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19"/>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UNITED STATES SECURITIES AND EXCHANGE COMMISSION</w:t>
      </w:r>
    </w:p>
    <w:p>
      <w:pPr>
        <w:jc w:val="center"/>
        <w:ind w:right="2719"/>
        <w:spacing w:after="0"/>
        <w:rPr>
          <w:sz w:val="20"/>
          <w:szCs w:val="20"/>
          <w:color w:val="auto"/>
        </w:rPr>
      </w:pPr>
      <w:r>
        <w:rPr>
          <w:rFonts w:ascii="Courier New" w:cs="Courier New" w:eastAsia="Courier New" w:hAnsi="Courier New"/>
          <w:sz w:val="16"/>
          <w:szCs w:val="16"/>
          <w:color w:val="auto"/>
        </w:rPr>
        <w:t>WASHINGTON, D.C. 20549</w:t>
      </w:r>
    </w:p>
    <w:p>
      <w:pPr>
        <w:spacing w:after="0" w:line="179"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FORM 6-K</w:t>
      </w:r>
    </w:p>
    <w:p>
      <w:pPr>
        <w:spacing w:after="0" w:line="179"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REPORT OF FOREIGN PRIVATE ISSUER</w:t>
      </w:r>
    </w:p>
    <w:p>
      <w:pPr>
        <w:jc w:val="center"/>
        <w:ind w:right="2719"/>
        <w:spacing w:after="0"/>
        <w:rPr>
          <w:sz w:val="20"/>
          <w:szCs w:val="20"/>
          <w:color w:val="auto"/>
        </w:rPr>
      </w:pPr>
      <w:r>
        <w:rPr>
          <w:rFonts w:ascii="Courier New" w:cs="Courier New" w:eastAsia="Courier New" w:hAnsi="Courier New"/>
          <w:sz w:val="16"/>
          <w:szCs w:val="16"/>
          <w:color w:val="auto"/>
        </w:rPr>
        <w:t>PURSUANT TO RULE 13A-16 OR 15D-16 OF</w:t>
      </w:r>
    </w:p>
    <w:p>
      <w:pPr>
        <w:jc w:val="center"/>
        <w:ind w:right="2639"/>
        <w:spacing w:after="0" w:line="237" w:lineRule="auto"/>
        <w:rPr>
          <w:sz w:val="20"/>
          <w:szCs w:val="20"/>
          <w:color w:val="auto"/>
        </w:rPr>
      </w:pPr>
      <w:r>
        <w:rPr>
          <w:rFonts w:ascii="Courier New" w:cs="Courier New" w:eastAsia="Courier New" w:hAnsi="Courier New"/>
          <w:sz w:val="16"/>
          <w:szCs w:val="16"/>
          <w:color w:val="auto"/>
        </w:rPr>
        <w:t>THE SECURITIES EXCHANGE ACT OF 1934</w:t>
      </w:r>
    </w:p>
    <w:p>
      <w:pPr>
        <w:spacing w:after="0" w:line="180"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For the Quarter Ended March 31, 2007</w:t>
      </w:r>
    </w:p>
    <w:p>
      <w:pPr>
        <w:spacing w:after="0" w:line="179"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Commission File Number 1-14840</w:t>
      </w:r>
    </w:p>
    <w:p>
      <w:pPr>
        <w:spacing w:after="0" w:line="179"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AMDOCS LIMITED</w:t>
      </w:r>
    </w:p>
    <w:p>
      <w:pPr>
        <w:jc w:val="center"/>
        <w:ind w:right="2719"/>
        <w:spacing w:after="0"/>
        <w:rPr>
          <w:sz w:val="20"/>
          <w:szCs w:val="20"/>
          <w:color w:val="auto"/>
        </w:rPr>
      </w:pPr>
      <w:r>
        <w:rPr>
          <w:rFonts w:ascii="Courier New" w:cs="Courier New" w:eastAsia="Courier New" w:hAnsi="Courier New"/>
          <w:sz w:val="16"/>
          <w:szCs w:val="16"/>
          <w:color w:val="auto"/>
        </w:rPr>
        <w:t>Suite 5, Tower Hill House Le Bordage</w:t>
      </w:r>
    </w:p>
    <w:p>
      <w:pPr>
        <w:jc w:val="center"/>
        <w:ind w:right="2619"/>
        <w:spacing w:after="0" w:line="237" w:lineRule="auto"/>
        <w:rPr>
          <w:sz w:val="20"/>
          <w:szCs w:val="20"/>
          <w:color w:val="auto"/>
        </w:rPr>
      </w:pPr>
      <w:r>
        <w:rPr>
          <w:rFonts w:ascii="Courier New" w:cs="Courier New" w:eastAsia="Courier New" w:hAnsi="Courier New"/>
          <w:sz w:val="16"/>
          <w:szCs w:val="16"/>
          <w:color w:val="auto"/>
        </w:rPr>
        <w:t>St. Peter Port, Island of Guernsey, GY1 3QT Channel Islands</w:t>
      </w:r>
    </w:p>
    <w:p>
      <w:pPr>
        <w:spacing w:after="0" w:line="180"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Amdocs, Inc.</w:t>
      </w:r>
    </w:p>
    <w:p>
      <w:pPr>
        <w:jc w:val="center"/>
        <w:ind w:right="2619"/>
        <w:spacing w:after="0"/>
        <w:rPr>
          <w:sz w:val="20"/>
          <w:szCs w:val="20"/>
          <w:color w:val="auto"/>
        </w:rPr>
      </w:pPr>
      <w:r>
        <w:rPr>
          <w:rFonts w:ascii="Courier New" w:cs="Courier New" w:eastAsia="Courier New" w:hAnsi="Courier New"/>
          <w:sz w:val="16"/>
          <w:szCs w:val="16"/>
          <w:color w:val="auto"/>
        </w:rPr>
        <w:t>1390 Timberlake Manor Parkway, Chesterfield, Missouri 63017</w:t>
      </w:r>
    </w:p>
    <w:p>
      <w:pPr>
        <w:spacing w:after="0" w:line="179"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185" w:lineRule="exact"/>
        <w:rPr>
          <w:sz w:val="24"/>
          <w:szCs w:val="24"/>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Indicate by check mark whether the registrant files or will file annual reports under cover of Form 20-F or Form 40-F:</w:t>
      </w:r>
    </w:p>
    <w:p>
      <w:pPr>
        <w:spacing w:after="0" w:line="180" w:lineRule="exact"/>
        <w:rPr>
          <w:sz w:val="24"/>
          <w:szCs w:val="24"/>
          <w:color w:val="auto"/>
        </w:rPr>
      </w:pPr>
    </w:p>
    <w:p>
      <w:pPr>
        <w:jc w:val="center"/>
        <w:ind w:right="2639"/>
        <w:spacing w:after="0"/>
        <w:rPr>
          <w:sz w:val="20"/>
          <w:szCs w:val="20"/>
          <w:color w:val="auto"/>
        </w:rPr>
      </w:pPr>
      <w:r>
        <w:rPr>
          <w:rFonts w:ascii="Courier New" w:cs="Courier New" w:eastAsia="Courier New" w:hAnsi="Courier New"/>
          <w:sz w:val="16"/>
          <w:szCs w:val="16"/>
          <w:color w:val="auto"/>
        </w:rPr>
        <w:t>FORM 20-F [X] FORM 40-F [ ]</w:t>
      </w:r>
    </w:p>
    <w:p>
      <w:pPr>
        <w:spacing w:after="0" w:line="185" w:lineRule="exact"/>
        <w:rPr>
          <w:sz w:val="24"/>
          <w:szCs w:val="24"/>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Indicate by check mark if the registrant is submitting the Form 6-K in paper as permitted by Regulation S-T Rule</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101(b)(1):</w:t>
      </w:r>
    </w:p>
    <w:p>
      <w:pPr>
        <w:ind w:left="94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4"/>
          <w:szCs w:val="24"/>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Indicate by check mark if the registrant is submitting the Form 6-K in paper as permitted by Regulation S-T Rule</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101(b)(7):</w:t>
      </w:r>
    </w:p>
    <w:p>
      <w:pPr>
        <w:ind w:left="94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4"/>
          <w:szCs w:val="24"/>
          <w:color w:val="auto"/>
        </w:rPr>
      </w:pPr>
    </w:p>
    <w:p>
      <w:pPr>
        <w:ind w:right="2719"/>
        <w:spacing w:after="0" w:line="259" w:lineRule="auto"/>
        <w:rPr>
          <w:sz w:val="20"/>
          <w:szCs w:val="20"/>
          <w:color w:val="auto"/>
        </w:rPr>
      </w:pPr>
      <w:r>
        <w:rPr>
          <w:rFonts w:ascii="Courier New" w:cs="Courier New" w:eastAsia="Courier New" w:hAnsi="Courier New"/>
          <w:sz w:val="15"/>
          <w:szCs w:val="15"/>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6"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YES [ ] NO [X]</w:t>
      </w:r>
    </w:p>
    <w:p>
      <w:pPr>
        <w:spacing w:after="0" w:line="185" w:lineRule="exact"/>
        <w:rPr>
          <w:sz w:val="24"/>
          <w:szCs w:val="24"/>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If "Yes" is marked, indicate below the file number assigned to the registrant in connection with Rule 12g3-2(b): 82-</w:t>
      </w:r>
    </w:p>
    <w:p>
      <w:pPr>
        <w:ind w:left="328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598" w:right="1440" w:bottom="1440" w:gutter="0" w:footer="0" w:header="0"/>
        </w:sectPr>
      </w:pPr>
    </w:p>
    <w:bookmarkStart w:id="1" w:name="page2"/>
    <w:bookmarkEnd w:id="1"/>
    <w:p>
      <w:pPr>
        <w:jc w:val="center"/>
        <w:ind w:right="2719"/>
        <w:spacing w:after="0"/>
        <w:rPr>
          <w:sz w:val="20"/>
          <w:szCs w:val="20"/>
          <w:color w:val="auto"/>
        </w:rPr>
      </w:pPr>
      <w:r>
        <w:rPr>
          <w:rFonts w:ascii="Courier New" w:cs="Courier New" w:eastAsia="Courier New" w:hAnsi="Courier New"/>
          <w:sz w:val="16"/>
          <w:szCs w:val="16"/>
          <w:color w:val="auto"/>
        </w:rPr>
        <w:t>AMDOCS LIMITED</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FORM 6-K</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REPORT OF FOREIGN PRIVATE ISSUER</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FOR THE QUARTER ENDED MARCH 31, 2007</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INDEX</w:t>
      </w:r>
    </w:p>
    <w:p>
      <w:pPr>
        <w:spacing w:after="0" w:line="17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5"/>
          <w:szCs w:val="15"/>
          <w:color w:val="auto"/>
        </w:rPr>
        <w:t>FINANCIAL INFORMATION</w:t>
      </w:r>
    </w:p>
    <w:p>
      <w:pPr>
        <w:spacing w:after="0" w:line="179"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Item 1. Financial Statements</w:t>
      </w:r>
    </w:p>
    <w:p>
      <w:pPr>
        <w:spacing w:after="0" w:line="179"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Unaudited Consolidated Financial Statements</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Consolidated Balance Sheets</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Consolidated Statements of Income</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Consolidated Statement of Changes in Shareholders' Equity</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Notes to Unaudited Consolidated Financial Statements</w:t>
      </w:r>
    </w:p>
    <w:p>
      <w:pPr>
        <w:spacing w:after="0" w:line="179"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Item 2. Operating and Financial Review and Prospects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OTHER INFORMATION</w:t>
      </w:r>
    </w:p>
    <w:p>
      <w:pPr>
        <w:spacing w:after="0" w:line="185" w:lineRule="exact"/>
        <w:rPr>
          <w:sz w:val="20"/>
          <w:szCs w:val="20"/>
          <w:color w:val="auto"/>
        </w:rPr>
      </w:pPr>
    </w:p>
    <w:p>
      <w:pPr>
        <w:ind w:left="1300" w:right="2819" w:hanging="843"/>
        <w:spacing w:after="0" w:line="236" w:lineRule="auto"/>
        <w:tabs>
          <w:tab w:leader="none" w:pos="1280" w:val="left"/>
        </w:tabs>
        <w:rPr>
          <w:sz w:val="20"/>
          <w:szCs w:val="20"/>
          <w:color w:val="auto"/>
        </w:rPr>
      </w:pPr>
      <w:r>
        <w:rPr>
          <w:rFonts w:ascii="Courier New" w:cs="Courier New" w:eastAsia="Courier New" w:hAnsi="Courier New"/>
          <w:sz w:val="16"/>
          <w:szCs w:val="16"/>
          <w:color w:val="auto"/>
        </w:rPr>
        <w:t>Item</w:t>
        <w:tab/>
        <w:t>1. Changes in Securities, Use of Proceeds and Issuer Purchases of Equity Securities</w:t>
      </w:r>
    </w:p>
    <w:p>
      <w:pPr>
        <w:spacing w:after="0" w:line="180"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Item 2. Reports on Form 6-K</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SIGNATURES</w:t>
      </w:r>
    </w:p>
    <w:p>
      <w:pPr>
        <w:spacing w:after="0" w:line="185"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This report on Form 6-K shall be incorporated by reference into the Registration Statements on Form F-3 (File Nos. 333-114079 and 333-114344) and any other Registration Statement filed by the Registrant that by its terms automatically incorporates the Registrant's filings and submissions with the SEC under Sections 13(a), 13(c) or 15(d) of the Securities Exchange Act of 1934.</w:t>
      </w:r>
    </w:p>
    <w:p>
      <w:pPr>
        <w:spacing w:after="0" w:line="17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5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PART I FINANCIAL INFORMATION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FINANCIAL STATEMENTS</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AMDOCS LIMITED</w:t>
      </w:r>
    </w:p>
    <w:p>
      <w:pPr>
        <w:ind w:left="2520"/>
        <w:spacing w:after="0"/>
        <w:rPr>
          <w:sz w:val="20"/>
          <w:szCs w:val="20"/>
          <w:color w:val="auto"/>
        </w:rPr>
      </w:pPr>
      <w:r>
        <w:rPr>
          <w:rFonts w:ascii="Courier New" w:cs="Courier New" w:eastAsia="Courier New" w:hAnsi="Courier New"/>
          <w:sz w:val="16"/>
          <w:szCs w:val="16"/>
          <w:color w:val="auto"/>
        </w:rPr>
        <w:t>CONSOLIDATED BALANCE SHEETS</w:t>
      </w:r>
    </w:p>
    <w:tbl>
      <w:tblPr>
        <w:tblLayout w:type="fixed"/>
        <w:tblInd w:w="0" w:type="dxa"/>
        <w:tblCellMar>
          <w:top w:w="0" w:type="dxa"/>
          <w:left w:w="0" w:type="dxa"/>
          <w:bottom w:w="0" w:type="dxa"/>
          <w:right w:w="0" w:type="dxa"/>
        </w:tblCellMar>
      </w:tblPr>
      <w:tr>
        <w:trPr>
          <w:trHeight w:val="179"/>
        </w:trPr>
        <w:tc>
          <w:tcPr>
            <w:tcW w:w="796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(dollar and share amounts in thousands, except per share data)</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721"/>
        </w:trPr>
        <w:tc>
          <w:tcPr>
            <w:tcW w:w="7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AS OF</w:t>
            </w:r>
          </w:p>
        </w:tc>
        <w:tc>
          <w:tcPr>
            <w:tcW w:w="1020" w:type="dxa"/>
            <w:vAlign w:val="bottom"/>
          </w:tcPr>
          <w:p>
            <w:pPr>
              <w:spacing w:after="0"/>
              <w:rPr>
                <w:sz w:val="24"/>
                <w:szCs w:val="24"/>
                <w:color w:val="auto"/>
              </w:rPr>
            </w:pPr>
          </w:p>
        </w:tc>
      </w:tr>
      <w:tr>
        <w:trPr>
          <w:trHeight w:val="180"/>
        </w:trPr>
        <w:tc>
          <w:tcPr>
            <w:tcW w:w="7960" w:type="dxa"/>
            <w:vAlign w:val="bottom"/>
          </w:tcPr>
          <w:p>
            <w:pPr>
              <w:spacing w:after="0"/>
              <w:rPr>
                <w:sz w:val="15"/>
                <w:szCs w:val="15"/>
                <w:color w:val="auto"/>
              </w:rPr>
            </w:pPr>
          </w:p>
        </w:tc>
        <w:tc>
          <w:tcPr>
            <w:tcW w:w="3100" w:type="dxa"/>
            <w:vAlign w:val="bottom"/>
            <w:gridSpan w:val="4"/>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7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MARCH 31,</w:t>
            </w:r>
          </w:p>
        </w:tc>
        <w:tc>
          <w:tcPr>
            <w:tcW w:w="16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SEPTEMBER 30,</w:t>
            </w:r>
          </w:p>
        </w:tc>
      </w:tr>
      <w:tr>
        <w:trPr>
          <w:trHeight w:val="180"/>
        </w:trPr>
        <w:tc>
          <w:tcPr>
            <w:tcW w:w="7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2007</w:t>
            </w:r>
          </w:p>
        </w:tc>
        <w:tc>
          <w:tcPr>
            <w:tcW w:w="660" w:type="dxa"/>
            <w:vAlign w:val="bottom"/>
          </w:tcPr>
          <w:p>
            <w:pPr>
              <w:spacing w:after="0"/>
              <w:rPr>
                <w:sz w:val="15"/>
                <w:szCs w:val="15"/>
                <w:color w:val="auto"/>
              </w:rPr>
            </w:pPr>
          </w:p>
        </w:tc>
        <w:tc>
          <w:tcPr>
            <w:tcW w:w="10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2006</w:t>
            </w:r>
          </w:p>
        </w:tc>
      </w:tr>
      <w:tr>
        <w:trPr>
          <w:trHeight w:val="180"/>
        </w:trPr>
        <w:tc>
          <w:tcPr>
            <w:tcW w:w="7960" w:type="dxa"/>
            <w:vAlign w:val="bottom"/>
          </w:tcPr>
          <w:p>
            <w:pPr>
              <w:spacing w:after="0"/>
              <w:rPr>
                <w:sz w:val="15"/>
                <w:szCs w:val="15"/>
                <w:color w:val="auto"/>
              </w:rPr>
            </w:pP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7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4"/>
              </w:rPr>
              <w:t>(UNAUDITED)</w:t>
            </w: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61"/>
        </w:trPr>
        <w:tc>
          <w:tcPr>
            <w:tcW w:w="79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0"/>
        </w:trPr>
        <w:tc>
          <w:tcPr>
            <w:tcW w:w="79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7960" w:type="dxa"/>
            <w:vAlign w:val="bottom"/>
          </w:tcPr>
          <w:p>
            <w:pPr>
              <w:ind w:left="280"/>
              <w:spacing w:after="0"/>
              <w:rPr>
                <w:sz w:val="20"/>
                <w:szCs w:val="20"/>
                <w:color w:val="auto"/>
              </w:rPr>
            </w:pPr>
            <w:r>
              <w:rPr>
                <w:rFonts w:ascii="Courier New" w:cs="Courier New" w:eastAsia="Courier New" w:hAnsi="Courier New"/>
                <w:sz w:val="16"/>
                <w:szCs w:val="16"/>
                <w:color w:val="auto"/>
              </w:rPr>
              <w:t>Cash and cash equivalents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621,230</w:t>
            </w:r>
          </w:p>
        </w:tc>
        <w:tc>
          <w:tcPr>
            <w:tcW w:w="6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607,187</w:t>
            </w:r>
          </w:p>
        </w:tc>
      </w:tr>
      <w:tr>
        <w:trPr>
          <w:trHeight w:val="180"/>
        </w:trPr>
        <w:tc>
          <w:tcPr>
            <w:tcW w:w="7960" w:type="dxa"/>
            <w:vAlign w:val="bottom"/>
          </w:tcPr>
          <w:p>
            <w:pPr>
              <w:ind w:left="280"/>
              <w:spacing w:after="0"/>
              <w:rPr>
                <w:sz w:val="20"/>
                <w:szCs w:val="20"/>
                <w:color w:val="auto"/>
              </w:rPr>
            </w:pPr>
            <w:r>
              <w:rPr>
                <w:rFonts w:ascii="Courier New" w:cs="Courier New" w:eastAsia="Courier New" w:hAnsi="Courier New"/>
                <w:sz w:val="16"/>
                <w:szCs w:val="16"/>
                <w:color w:val="auto"/>
              </w:rPr>
              <w:t>Short-term interest-bearing investments</w:t>
            </w:r>
          </w:p>
        </w:tc>
        <w:tc>
          <w:tcPr>
            <w:tcW w:w="300" w:type="dxa"/>
            <w:vAlign w:val="bottom"/>
          </w:tcPr>
          <w:p>
            <w:pPr>
              <w:spacing w:after="0"/>
              <w:rPr>
                <w:sz w:val="15"/>
                <w:szCs w:val="15"/>
                <w:color w:val="auto"/>
              </w:rPr>
            </w:pP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418,205</w:t>
            </w:r>
          </w:p>
        </w:tc>
        <w:tc>
          <w:tcPr>
            <w:tcW w:w="66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372,194</w:t>
            </w:r>
          </w:p>
        </w:tc>
      </w:tr>
      <w:tr>
        <w:trPr>
          <w:trHeight w:val="180"/>
        </w:trPr>
        <w:tc>
          <w:tcPr>
            <w:tcW w:w="7960" w:type="dxa"/>
            <w:vAlign w:val="bottom"/>
          </w:tcPr>
          <w:p>
            <w:pPr>
              <w:ind w:left="280"/>
              <w:spacing w:after="0"/>
              <w:rPr>
                <w:sz w:val="20"/>
                <w:szCs w:val="20"/>
                <w:color w:val="auto"/>
              </w:rPr>
            </w:pPr>
            <w:r>
              <w:rPr>
                <w:rFonts w:ascii="Courier New" w:cs="Courier New" w:eastAsia="Courier New" w:hAnsi="Courier New"/>
                <w:sz w:val="16"/>
                <w:szCs w:val="16"/>
                <w:color w:val="auto"/>
              </w:rPr>
              <w:t>Accounts receivable, net</w:t>
            </w:r>
          </w:p>
        </w:tc>
        <w:tc>
          <w:tcPr>
            <w:tcW w:w="300" w:type="dxa"/>
            <w:vAlign w:val="bottom"/>
          </w:tcPr>
          <w:p>
            <w:pPr>
              <w:spacing w:after="0"/>
              <w:rPr>
                <w:sz w:val="15"/>
                <w:szCs w:val="15"/>
                <w:color w:val="auto"/>
              </w:rPr>
            </w:pP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476,224</w:t>
            </w:r>
          </w:p>
        </w:tc>
        <w:tc>
          <w:tcPr>
            <w:tcW w:w="66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425,805</w:t>
            </w:r>
          </w:p>
        </w:tc>
      </w:tr>
      <w:tr>
        <w:trPr>
          <w:trHeight w:val="180"/>
        </w:trPr>
        <w:tc>
          <w:tcPr>
            <w:tcW w:w="7960" w:type="dxa"/>
            <w:vAlign w:val="bottom"/>
          </w:tcPr>
          <w:p>
            <w:pPr>
              <w:ind w:left="280"/>
              <w:spacing w:after="0"/>
              <w:rPr>
                <w:sz w:val="20"/>
                <w:szCs w:val="20"/>
                <w:color w:val="auto"/>
              </w:rPr>
            </w:pPr>
            <w:r>
              <w:rPr>
                <w:rFonts w:ascii="Courier New" w:cs="Courier New" w:eastAsia="Courier New" w:hAnsi="Courier New"/>
                <w:sz w:val="16"/>
                <w:szCs w:val="16"/>
                <w:color w:val="auto"/>
              </w:rPr>
              <w:t>Deferred income taxes and taxes receivable</w:t>
            </w:r>
          </w:p>
        </w:tc>
        <w:tc>
          <w:tcPr>
            <w:tcW w:w="300" w:type="dxa"/>
            <w:vAlign w:val="bottom"/>
          </w:tcPr>
          <w:p>
            <w:pPr>
              <w:spacing w:after="0"/>
              <w:rPr>
                <w:sz w:val="15"/>
                <w:szCs w:val="15"/>
                <w:color w:val="auto"/>
              </w:rPr>
            </w:pP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113,650</w:t>
            </w:r>
          </w:p>
        </w:tc>
        <w:tc>
          <w:tcPr>
            <w:tcW w:w="66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136,044</w:t>
            </w:r>
          </w:p>
        </w:tc>
      </w:tr>
      <w:tr>
        <w:trPr>
          <w:trHeight w:val="180"/>
        </w:trPr>
        <w:tc>
          <w:tcPr>
            <w:tcW w:w="7960" w:type="dxa"/>
            <w:vAlign w:val="bottom"/>
          </w:tcPr>
          <w:p>
            <w:pPr>
              <w:ind w:left="280"/>
              <w:spacing w:after="0"/>
              <w:rPr>
                <w:sz w:val="20"/>
                <w:szCs w:val="20"/>
                <w:color w:val="auto"/>
              </w:rPr>
            </w:pPr>
            <w:r>
              <w:rPr>
                <w:rFonts w:ascii="Courier New" w:cs="Courier New" w:eastAsia="Courier New" w:hAnsi="Courier New"/>
                <w:sz w:val="16"/>
                <w:szCs w:val="16"/>
                <w:color w:val="auto"/>
              </w:rPr>
              <w:t>Prepaid expenses and other current assets</w:t>
            </w:r>
          </w:p>
        </w:tc>
        <w:tc>
          <w:tcPr>
            <w:tcW w:w="300" w:type="dxa"/>
            <w:vAlign w:val="bottom"/>
          </w:tcPr>
          <w:p>
            <w:pPr>
              <w:spacing w:after="0"/>
              <w:rPr>
                <w:sz w:val="15"/>
                <w:szCs w:val="15"/>
                <w:color w:val="auto"/>
              </w:rPr>
            </w:pP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99,259</w:t>
            </w:r>
          </w:p>
        </w:tc>
        <w:tc>
          <w:tcPr>
            <w:tcW w:w="66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97,476</w:t>
            </w:r>
          </w:p>
        </w:tc>
      </w:tr>
      <w:tr>
        <w:trPr>
          <w:trHeight w:val="180"/>
        </w:trPr>
        <w:tc>
          <w:tcPr>
            <w:tcW w:w="7960" w:type="dxa"/>
            <w:vAlign w:val="bottom"/>
          </w:tcPr>
          <w:p>
            <w:pPr>
              <w:spacing w:after="0"/>
              <w:rPr>
                <w:sz w:val="15"/>
                <w:szCs w:val="15"/>
                <w:color w:val="auto"/>
              </w:rPr>
            </w:pP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7960" w:type="dxa"/>
            <w:vAlign w:val="bottom"/>
          </w:tcPr>
          <w:p>
            <w:pPr>
              <w:ind w:left="840"/>
              <w:spacing w:after="0"/>
              <w:rPr>
                <w:sz w:val="20"/>
                <w:szCs w:val="20"/>
                <w:color w:val="auto"/>
              </w:rPr>
            </w:pPr>
            <w:r>
              <w:rPr>
                <w:rFonts w:ascii="Courier New" w:cs="Courier New" w:eastAsia="Courier New" w:hAnsi="Courier New"/>
                <w:sz w:val="16"/>
                <w:szCs w:val="16"/>
                <w:color w:val="auto"/>
              </w:rPr>
              <w:t>Total current assets</w:t>
            </w:r>
          </w:p>
        </w:tc>
        <w:tc>
          <w:tcPr>
            <w:tcW w:w="300" w:type="dxa"/>
            <w:vAlign w:val="bottom"/>
          </w:tcPr>
          <w:p>
            <w:pPr>
              <w:spacing w:after="0"/>
              <w:rPr>
                <w:sz w:val="15"/>
                <w:szCs w:val="15"/>
                <w:color w:val="auto"/>
              </w:rPr>
            </w:pP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1,728,568</w:t>
            </w:r>
          </w:p>
        </w:tc>
        <w:tc>
          <w:tcPr>
            <w:tcW w:w="66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1,638,706</w:t>
            </w:r>
          </w:p>
        </w:tc>
      </w:tr>
      <w:tr>
        <w:trPr>
          <w:trHeight w:val="361"/>
        </w:trPr>
        <w:tc>
          <w:tcPr>
            <w:tcW w:w="7960" w:type="dxa"/>
            <w:vAlign w:val="bottom"/>
          </w:tcPr>
          <w:p>
            <w:pPr>
              <w:spacing w:after="0"/>
              <w:rPr>
                <w:sz w:val="20"/>
                <w:szCs w:val="20"/>
                <w:color w:val="auto"/>
              </w:rPr>
            </w:pPr>
            <w:r>
              <w:rPr>
                <w:rFonts w:ascii="Courier New" w:cs="Courier New" w:eastAsia="Courier New" w:hAnsi="Courier New"/>
                <w:sz w:val="16"/>
                <w:szCs w:val="16"/>
                <w:color w:val="auto"/>
              </w:rPr>
              <w:t>Equipment, vehicles and leasehold improvements, net</w:t>
            </w:r>
          </w:p>
        </w:tc>
        <w:tc>
          <w:tcPr>
            <w:tcW w:w="300" w:type="dxa"/>
            <w:vAlign w:val="bottom"/>
          </w:tcPr>
          <w:p>
            <w:pPr>
              <w:spacing w:after="0"/>
              <w:rPr>
                <w:sz w:val="24"/>
                <w:szCs w:val="24"/>
                <w:color w:val="auto"/>
              </w:rPr>
            </w:pP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242,784</w:t>
            </w:r>
          </w:p>
        </w:tc>
        <w:tc>
          <w:tcPr>
            <w:tcW w:w="660" w:type="dxa"/>
            <w:vAlign w:val="bottom"/>
          </w:tcPr>
          <w:p>
            <w:pPr>
              <w:spacing w:after="0"/>
              <w:rPr>
                <w:sz w:val="24"/>
                <w:szCs w:val="24"/>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220,290</w:t>
            </w:r>
          </w:p>
        </w:tc>
      </w:tr>
      <w:tr>
        <w:trPr>
          <w:trHeight w:val="180"/>
        </w:trPr>
        <w:tc>
          <w:tcPr>
            <w:tcW w:w="796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300" w:type="dxa"/>
            <w:vAlign w:val="bottom"/>
          </w:tcPr>
          <w:p>
            <w:pPr>
              <w:spacing w:after="0"/>
              <w:rPr>
                <w:sz w:val="15"/>
                <w:szCs w:val="15"/>
                <w:color w:val="auto"/>
              </w:rPr>
            </w:pP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179,703</w:t>
            </w:r>
          </w:p>
        </w:tc>
        <w:tc>
          <w:tcPr>
            <w:tcW w:w="66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133,690</w:t>
            </w:r>
          </w:p>
        </w:tc>
      </w:tr>
      <w:tr>
        <w:trPr>
          <w:trHeight w:val="180"/>
        </w:trPr>
        <w:tc>
          <w:tcPr>
            <w:tcW w:w="7960" w:type="dxa"/>
            <w:vAlign w:val="bottom"/>
          </w:tcPr>
          <w:p>
            <w:pPr>
              <w:spacing w:after="0"/>
              <w:rPr>
                <w:sz w:val="20"/>
                <w:szCs w:val="20"/>
                <w:color w:val="auto"/>
              </w:rPr>
            </w:pPr>
            <w:r>
              <w:rPr>
                <w:rFonts w:ascii="Courier New" w:cs="Courier New" w:eastAsia="Courier New" w:hAnsi="Courier New"/>
                <w:sz w:val="16"/>
                <w:szCs w:val="16"/>
                <w:color w:val="auto"/>
              </w:rPr>
              <w:t>Goodwill</w:t>
            </w:r>
          </w:p>
        </w:tc>
        <w:tc>
          <w:tcPr>
            <w:tcW w:w="300" w:type="dxa"/>
            <w:vAlign w:val="bottom"/>
          </w:tcPr>
          <w:p>
            <w:pPr>
              <w:spacing w:after="0"/>
              <w:rPr>
                <w:sz w:val="15"/>
                <w:szCs w:val="15"/>
                <w:color w:val="auto"/>
              </w:rPr>
            </w:pP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1,495,487</w:t>
            </w:r>
          </w:p>
        </w:tc>
        <w:tc>
          <w:tcPr>
            <w:tcW w:w="66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1,461,606</w:t>
            </w:r>
          </w:p>
        </w:tc>
      </w:tr>
      <w:tr>
        <w:trPr>
          <w:trHeight w:val="180"/>
        </w:trPr>
        <w:tc>
          <w:tcPr>
            <w:tcW w:w="7960" w:type="dxa"/>
            <w:vAlign w:val="bottom"/>
          </w:tcPr>
          <w:p>
            <w:pPr>
              <w:spacing w:after="0"/>
              <w:rPr>
                <w:sz w:val="20"/>
                <w:szCs w:val="20"/>
                <w:color w:val="auto"/>
              </w:rPr>
            </w:pPr>
            <w:r>
              <w:rPr>
                <w:rFonts w:ascii="Courier New" w:cs="Courier New" w:eastAsia="Courier New" w:hAnsi="Courier New"/>
                <w:sz w:val="16"/>
                <w:szCs w:val="16"/>
                <w:color w:val="auto"/>
              </w:rPr>
              <w:t>Intangible assets, net</w:t>
            </w:r>
          </w:p>
        </w:tc>
        <w:tc>
          <w:tcPr>
            <w:tcW w:w="300" w:type="dxa"/>
            <w:vAlign w:val="bottom"/>
          </w:tcPr>
          <w:p>
            <w:pPr>
              <w:spacing w:after="0"/>
              <w:rPr>
                <w:sz w:val="15"/>
                <w:szCs w:val="15"/>
                <w:color w:val="auto"/>
              </w:rPr>
            </w:pP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342,896</w:t>
            </w:r>
          </w:p>
        </w:tc>
        <w:tc>
          <w:tcPr>
            <w:tcW w:w="66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347,716</w:t>
            </w:r>
          </w:p>
        </w:tc>
      </w:tr>
      <w:tr>
        <w:trPr>
          <w:trHeight w:val="180"/>
        </w:trPr>
        <w:tc>
          <w:tcPr>
            <w:tcW w:w="7960" w:type="dxa"/>
            <w:vAlign w:val="bottom"/>
          </w:tcPr>
          <w:p>
            <w:pPr>
              <w:spacing w:after="0"/>
              <w:rPr>
                <w:sz w:val="20"/>
                <w:szCs w:val="20"/>
                <w:color w:val="auto"/>
              </w:rPr>
            </w:pPr>
            <w:r>
              <w:rPr>
                <w:rFonts w:ascii="Courier New" w:cs="Courier New" w:eastAsia="Courier New" w:hAnsi="Courier New"/>
                <w:sz w:val="16"/>
                <w:szCs w:val="16"/>
                <w:color w:val="auto"/>
              </w:rPr>
              <w:t>Other noncurrent assets</w:t>
            </w:r>
          </w:p>
        </w:tc>
        <w:tc>
          <w:tcPr>
            <w:tcW w:w="300" w:type="dxa"/>
            <w:vAlign w:val="bottom"/>
          </w:tcPr>
          <w:p>
            <w:pPr>
              <w:spacing w:after="0"/>
              <w:rPr>
                <w:sz w:val="15"/>
                <w:szCs w:val="15"/>
                <w:color w:val="auto"/>
              </w:rPr>
            </w:pP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172,579</w:t>
            </w:r>
          </w:p>
        </w:tc>
        <w:tc>
          <w:tcPr>
            <w:tcW w:w="66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160,820</w:t>
            </w:r>
          </w:p>
        </w:tc>
      </w:tr>
      <w:tr>
        <w:trPr>
          <w:trHeight w:val="180"/>
        </w:trPr>
        <w:tc>
          <w:tcPr>
            <w:tcW w:w="7960" w:type="dxa"/>
            <w:vAlign w:val="bottom"/>
          </w:tcPr>
          <w:p>
            <w:pPr>
              <w:spacing w:after="0"/>
              <w:rPr>
                <w:sz w:val="15"/>
                <w:szCs w:val="15"/>
                <w:color w:val="auto"/>
              </w:rPr>
            </w:pP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7960" w:type="dxa"/>
            <w:vAlign w:val="bottom"/>
          </w:tcPr>
          <w:p>
            <w:pPr>
              <w:ind w:left="840"/>
              <w:spacing w:after="0"/>
              <w:rPr>
                <w:sz w:val="20"/>
                <w:szCs w:val="20"/>
                <w:color w:val="auto"/>
              </w:rPr>
            </w:pPr>
            <w:r>
              <w:rPr>
                <w:rFonts w:ascii="Courier New" w:cs="Courier New" w:eastAsia="Courier New" w:hAnsi="Courier New"/>
                <w:sz w:val="16"/>
                <w:szCs w:val="16"/>
                <w:color w:val="auto"/>
              </w:rPr>
              <w:t>Total assets</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$ 4,162,017</w:t>
            </w:r>
          </w:p>
        </w:tc>
        <w:tc>
          <w:tcPr>
            <w:tcW w:w="6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3,962,828</w:t>
            </w:r>
          </w:p>
        </w:tc>
      </w:tr>
      <w:tr>
        <w:trPr>
          <w:trHeight w:val="180"/>
        </w:trPr>
        <w:tc>
          <w:tcPr>
            <w:tcW w:w="7960" w:type="dxa"/>
            <w:vAlign w:val="bottom"/>
          </w:tcPr>
          <w:p>
            <w:pPr>
              <w:spacing w:after="0"/>
              <w:rPr>
                <w:sz w:val="15"/>
                <w:szCs w:val="15"/>
                <w:color w:val="auto"/>
              </w:rPr>
            </w:pP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796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0"/>
        </w:trPr>
        <w:tc>
          <w:tcPr>
            <w:tcW w:w="79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7960" w:type="dxa"/>
            <w:vAlign w:val="bottom"/>
          </w:tcPr>
          <w:p>
            <w:pPr>
              <w:ind w:left="280"/>
              <w:spacing w:after="0"/>
              <w:rPr>
                <w:sz w:val="20"/>
                <w:szCs w:val="20"/>
                <w:color w:val="auto"/>
              </w:rPr>
            </w:pPr>
            <w:r>
              <w:rPr>
                <w:rFonts w:ascii="Courier New" w:cs="Courier New" w:eastAsia="Courier New" w:hAnsi="Courier New"/>
                <w:sz w:val="16"/>
                <w:szCs w:val="16"/>
                <w:color w:val="auto"/>
              </w:rPr>
              <w:t>Accounts payable</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178,046</w:t>
            </w:r>
          </w:p>
        </w:tc>
        <w:tc>
          <w:tcPr>
            <w:tcW w:w="6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148,398</w:t>
            </w:r>
          </w:p>
        </w:tc>
      </w:tr>
      <w:tr>
        <w:trPr>
          <w:trHeight w:val="180"/>
        </w:trPr>
        <w:tc>
          <w:tcPr>
            <w:tcW w:w="7960" w:type="dxa"/>
            <w:vAlign w:val="bottom"/>
          </w:tcPr>
          <w:p>
            <w:pPr>
              <w:ind w:left="280"/>
              <w:spacing w:after="0"/>
              <w:rPr>
                <w:sz w:val="20"/>
                <w:szCs w:val="20"/>
                <w:color w:val="auto"/>
              </w:rPr>
            </w:pPr>
            <w:r>
              <w:rPr>
                <w:rFonts w:ascii="Courier New" w:cs="Courier New" w:eastAsia="Courier New" w:hAnsi="Courier New"/>
                <w:sz w:val="16"/>
                <w:szCs w:val="16"/>
                <w:color w:val="auto"/>
              </w:rPr>
              <w:t>Accrued expenses and other current liabilities</w:t>
            </w:r>
          </w:p>
        </w:tc>
        <w:tc>
          <w:tcPr>
            <w:tcW w:w="300" w:type="dxa"/>
            <w:vAlign w:val="bottom"/>
          </w:tcPr>
          <w:p>
            <w:pPr>
              <w:spacing w:after="0"/>
              <w:rPr>
                <w:sz w:val="15"/>
                <w:szCs w:val="15"/>
                <w:color w:val="auto"/>
              </w:rPr>
            </w:pP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212,492</w:t>
            </w:r>
          </w:p>
        </w:tc>
        <w:tc>
          <w:tcPr>
            <w:tcW w:w="66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270,268</w:t>
            </w:r>
          </w:p>
        </w:tc>
      </w:tr>
      <w:tr>
        <w:trPr>
          <w:trHeight w:val="180"/>
        </w:trPr>
        <w:tc>
          <w:tcPr>
            <w:tcW w:w="7960" w:type="dxa"/>
            <w:vAlign w:val="bottom"/>
          </w:tcPr>
          <w:p>
            <w:pPr>
              <w:ind w:left="280"/>
              <w:spacing w:after="0"/>
              <w:rPr>
                <w:sz w:val="20"/>
                <w:szCs w:val="20"/>
                <w:color w:val="auto"/>
              </w:rPr>
            </w:pPr>
            <w:r>
              <w:rPr>
                <w:rFonts w:ascii="Courier New" w:cs="Courier New" w:eastAsia="Courier New" w:hAnsi="Courier New"/>
                <w:sz w:val="16"/>
                <w:szCs w:val="16"/>
                <w:color w:val="auto"/>
              </w:rPr>
              <w:t>Accrued personnel costs</w:t>
            </w:r>
          </w:p>
        </w:tc>
        <w:tc>
          <w:tcPr>
            <w:tcW w:w="300" w:type="dxa"/>
            <w:vAlign w:val="bottom"/>
          </w:tcPr>
          <w:p>
            <w:pPr>
              <w:spacing w:after="0"/>
              <w:rPr>
                <w:sz w:val="15"/>
                <w:szCs w:val="15"/>
                <w:color w:val="auto"/>
              </w:rPr>
            </w:pP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165,035</w:t>
            </w:r>
          </w:p>
        </w:tc>
        <w:tc>
          <w:tcPr>
            <w:tcW w:w="66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178,441</w:t>
            </w:r>
          </w:p>
        </w:tc>
      </w:tr>
      <w:tr>
        <w:trPr>
          <w:trHeight w:val="180"/>
        </w:trPr>
        <w:tc>
          <w:tcPr>
            <w:tcW w:w="7960" w:type="dxa"/>
            <w:vAlign w:val="bottom"/>
          </w:tcPr>
          <w:p>
            <w:pPr>
              <w:ind w:left="280"/>
              <w:spacing w:after="0"/>
              <w:rPr>
                <w:sz w:val="20"/>
                <w:szCs w:val="20"/>
                <w:color w:val="auto"/>
              </w:rPr>
            </w:pPr>
            <w:r>
              <w:rPr>
                <w:rFonts w:ascii="Courier New" w:cs="Courier New" w:eastAsia="Courier New" w:hAnsi="Courier New"/>
                <w:sz w:val="16"/>
                <w:szCs w:val="16"/>
                <w:color w:val="auto"/>
              </w:rPr>
              <w:t>Short-term portion of financing arrangements</w:t>
            </w:r>
          </w:p>
        </w:tc>
        <w:tc>
          <w:tcPr>
            <w:tcW w:w="300" w:type="dxa"/>
            <w:vAlign w:val="bottom"/>
          </w:tcPr>
          <w:p>
            <w:pPr>
              <w:spacing w:after="0"/>
              <w:rPr>
                <w:sz w:val="15"/>
                <w:szCs w:val="15"/>
                <w:color w:val="auto"/>
              </w:rPr>
            </w:pP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2,003</w:t>
            </w:r>
          </w:p>
        </w:tc>
        <w:tc>
          <w:tcPr>
            <w:tcW w:w="66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1,963</w:t>
            </w:r>
          </w:p>
        </w:tc>
      </w:tr>
      <w:tr>
        <w:trPr>
          <w:trHeight w:val="180"/>
        </w:trPr>
        <w:tc>
          <w:tcPr>
            <w:tcW w:w="7960" w:type="dxa"/>
            <w:vAlign w:val="bottom"/>
          </w:tcPr>
          <w:p>
            <w:pPr>
              <w:ind w:left="280"/>
              <w:spacing w:after="0"/>
              <w:rPr>
                <w:sz w:val="20"/>
                <w:szCs w:val="20"/>
                <w:color w:val="auto"/>
              </w:rPr>
            </w:pPr>
            <w:r>
              <w:rPr>
                <w:rFonts w:ascii="Courier New" w:cs="Courier New" w:eastAsia="Courier New" w:hAnsi="Courier New"/>
                <w:sz w:val="16"/>
                <w:szCs w:val="16"/>
                <w:color w:val="auto"/>
              </w:rPr>
              <w:t>Deferred revenue</w:t>
            </w:r>
          </w:p>
        </w:tc>
        <w:tc>
          <w:tcPr>
            <w:tcW w:w="300" w:type="dxa"/>
            <w:vAlign w:val="bottom"/>
          </w:tcPr>
          <w:p>
            <w:pPr>
              <w:spacing w:after="0"/>
              <w:rPr>
                <w:sz w:val="15"/>
                <w:szCs w:val="15"/>
                <w:color w:val="auto"/>
              </w:rPr>
            </w:pP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264,663</w:t>
            </w:r>
          </w:p>
        </w:tc>
        <w:tc>
          <w:tcPr>
            <w:tcW w:w="66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253,376</w:t>
            </w:r>
          </w:p>
        </w:tc>
      </w:tr>
      <w:tr>
        <w:trPr>
          <w:trHeight w:val="180"/>
        </w:trPr>
        <w:tc>
          <w:tcPr>
            <w:tcW w:w="7960" w:type="dxa"/>
            <w:vAlign w:val="bottom"/>
          </w:tcPr>
          <w:p>
            <w:pPr>
              <w:ind w:left="280"/>
              <w:spacing w:after="0"/>
              <w:rPr>
                <w:sz w:val="20"/>
                <w:szCs w:val="20"/>
                <w:color w:val="auto"/>
              </w:rPr>
            </w:pPr>
            <w:r>
              <w:rPr>
                <w:rFonts w:ascii="Courier New" w:cs="Courier New" w:eastAsia="Courier New" w:hAnsi="Courier New"/>
                <w:sz w:val="16"/>
                <w:szCs w:val="16"/>
                <w:color w:val="auto"/>
              </w:rPr>
              <w:t>Deferred income taxes and taxes payable</w:t>
            </w:r>
          </w:p>
        </w:tc>
        <w:tc>
          <w:tcPr>
            <w:tcW w:w="300" w:type="dxa"/>
            <w:vAlign w:val="bottom"/>
          </w:tcPr>
          <w:p>
            <w:pPr>
              <w:spacing w:after="0"/>
              <w:rPr>
                <w:sz w:val="15"/>
                <w:szCs w:val="15"/>
                <w:color w:val="auto"/>
              </w:rPr>
            </w:pP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176,368</w:t>
            </w:r>
          </w:p>
        </w:tc>
        <w:tc>
          <w:tcPr>
            <w:tcW w:w="66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179,241</w:t>
            </w:r>
          </w:p>
        </w:tc>
      </w:tr>
      <w:tr>
        <w:trPr>
          <w:trHeight w:val="180"/>
        </w:trPr>
        <w:tc>
          <w:tcPr>
            <w:tcW w:w="7960" w:type="dxa"/>
            <w:vAlign w:val="bottom"/>
          </w:tcPr>
          <w:p>
            <w:pPr>
              <w:spacing w:after="0"/>
              <w:rPr>
                <w:sz w:val="15"/>
                <w:szCs w:val="15"/>
                <w:color w:val="auto"/>
              </w:rPr>
            </w:pP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7960" w:type="dxa"/>
            <w:vAlign w:val="bottom"/>
          </w:tcPr>
          <w:p>
            <w:pPr>
              <w:ind w:left="840"/>
              <w:spacing w:after="0"/>
              <w:rPr>
                <w:sz w:val="20"/>
                <w:szCs w:val="20"/>
                <w:color w:val="auto"/>
              </w:rPr>
            </w:pPr>
            <w:r>
              <w:rPr>
                <w:rFonts w:ascii="Courier New" w:cs="Courier New" w:eastAsia="Courier New" w:hAnsi="Courier New"/>
                <w:sz w:val="16"/>
                <w:szCs w:val="16"/>
                <w:color w:val="auto"/>
              </w:rPr>
              <w:t>Total current liabilities</w:t>
            </w:r>
          </w:p>
        </w:tc>
        <w:tc>
          <w:tcPr>
            <w:tcW w:w="300" w:type="dxa"/>
            <w:vAlign w:val="bottom"/>
          </w:tcPr>
          <w:p>
            <w:pPr>
              <w:spacing w:after="0"/>
              <w:rPr>
                <w:sz w:val="15"/>
                <w:szCs w:val="15"/>
                <w:color w:val="auto"/>
              </w:rPr>
            </w:pP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998,607</w:t>
            </w:r>
          </w:p>
        </w:tc>
        <w:tc>
          <w:tcPr>
            <w:tcW w:w="66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1,031,687</w:t>
            </w:r>
          </w:p>
        </w:tc>
      </w:tr>
      <w:tr>
        <w:trPr>
          <w:trHeight w:val="361"/>
        </w:trPr>
        <w:tc>
          <w:tcPr>
            <w:tcW w:w="7960" w:type="dxa"/>
            <w:vAlign w:val="bottom"/>
          </w:tcPr>
          <w:p>
            <w:pPr>
              <w:spacing w:after="0"/>
              <w:rPr>
                <w:sz w:val="20"/>
                <w:szCs w:val="20"/>
                <w:color w:val="auto"/>
              </w:rPr>
            </w:pPr>
            <w:r>
              <w:rPr>
                <w:rFonts w:ascii="Courier New" w:cs="Courier New" w:eastAsia="Courier New" w:hAnsi="Courier New"/>
                <w:sz w:val="16"/>
                <w:szCs w:val="16"/>
                <w:color w:val="auto"/>
              </w:rPr>
              <w:t>Convertible notes</w:t>
            </w:r>
          </w:p>
        </w:tc>
        <w:tc>
          <w:tcPr>
            <w:tcW w:w="300" w:type="dxa"/>
            <w:vAlign w:val="bottom"/>
          </w:tcPr>
          <w:p>
            <w:pPr>
              <w:spacing w:after="0"/>
              <w:rPr>
                <w:sz w:val="24"/>
                <w:szCs w:val="24"/>
                <w:color w:val="auto"/>
              </w:rPr>
            </w:pP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450,000</w:t>
            </w:r>
          </w:p>
        </w:tc>
        <w:tc>
          <w:tcPr>
            <w:tcW w:w="660" w:type="dxa"/>
            <w:vAlign w:val="bottom"/>
          </w:tcPr>
          <w:p>
            <w:pPr>
              <w:spacing w:after="0"/>
              <w:rPr>
                <w:sz w:val="24"/>
                <w:szCs w:val="24"/>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450,000</w:t>
            </w:r>
          </w:p>
        </w:tc>
      </w:tr>
      <w:tr>
        <w:trPr>
          <w:trHeight w:val="180"/>
        </w:trPr>
        <w:tc>
          <w:tcPr>
            <w:tcW w:w="796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300" w:type="dxa"/>
            <w:vAlign w:val="bottom"/>
          </w:tcPr>
          <w:p>
            <w:pPr>
              <w:spacing w:after="0"/>
              <w:rPr>
                <w:sz w:val="15"/>
                <w:szCs w:val="15"/>
                <w:color w:val="auto"/>
              </w:rPr>
            </w:pP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130,607</w:t>
            </w:r>
          </w:p>
        </w:tc>
        <w:tc>
          <w:tcPr>
            <w:tcW w:w="66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129,339</w:t>
            </w:r>
          </w:p>
        </w:tc>
      </w:tr>
      <w:tr>
        <w:trPr>
          <w:trHeight w:val="180"/>
        </w:trPr>
        <w:tc>
          <w:tcPr>
            <w:tcW w:w="7960" w:type="dxa"/>
            <w:vAlign w:val="bottom"/>
          </w:tcPr>
          <w:p>
            <w:pPr>
              <w:spacing w:after="0"/>
              <w:rPr>
                <w:sz w:val="20"/>
                <w:szCs w:val="20"/>
                <w:color w:val="auto"/>
              </w:rPr>
            </w:pPr>
            <w:r>
              <w:rPr>
                <w:rFonts w:ascii="Courier New" w:cs="Courier New" w:eastAsia="Courier New" w:hAnsi="Courier New"/>
                <w:sz w:val="16"/>
                <w:szCs w:val="16"/>
                <w:color w:val="auto"/>
              </w:rPr>
              <w:t>Noncurrent liabilities and other</w:t>
            </w:r>
          </w:p>
        </w:tc>
        <w:tc>
          <w:tcPr>
            <w:tcW w:w="300" w:type="dxa"/>
            <w:vAlign w:val="bottom"/>
          </w:tcPr>
          <w:p>
            <w:pPr>
              <w:spacing w:after="0"/>
              <w:rPr>
                <w:sz w:val="15"/>
                <w:szCs w:val="15"/>
                <w:color w:val="auto"/>
              </w:rPr>
            </w:pP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187,217</w:t>
            </w:r>
          </w:p>
        </w:tc>
        <w:tc>
          <w:tcPr>
            <w:tcW w:w="66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197,637</w:t>
            </w:r>
          </w:p>
        </w:tc>
      </w:tr>
      <w:tr>
        <w:trPr>
          <w:trHeight w:val="180"/>
        </w:trPr>
        <w:tc>
          <w:tcPr>
            <w:tcW w:w="7960" w:type="dxa"/>
            <w:vAlign w:val="bottom"/>
          </w:tcPr>
          <w:p>
            <w:pPr>
              <w:spacing w:after="0"/>
              <w:rPr>
                <w:sz w:val="15"/>
                <w:szCs w:val="15"/>
                <w:color w:val="auto"/>
              </w:rPr>
            </w:pP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7960" w:type="dxa"/>
            <w:vAlign w:val="bottom"/>
          </w:tcPr>
          <w:p>
            <w:pPr>
              <w:ind w:left="840"/>
              <w:spacing w:after="0"/>
              <w:rPr>
                <w:sz w:val="20"/>
                <w:szCs w:val="20"/>
                <w:color w:val="auto"/>
              </w:rPr>
            </w:pPr>
            <w:r>
              <w:rPr>
                <w:rFonts w:ascii="Courier New" w:cs="Courier New" w:eastAsia="Courier New" w:hAnsi="Courier New"/>
                <w:sz w:val="16"/>
                <w:szCs w:val="16"/>
                <w:color w:val="auto"/>
              </w:rPr>
              <w:t>Total liabilities</w:t>
            </w:r>
          </w:p>
        </w:tc>
        <w:tc>
          <w:tcPr>
            <w:tcW w:w="300" w:type="dxa"/>
            <w:vAlign w:val="bottom"/>
          </w:tcPr>
          <w:p>
            <w:pPr>
              <w:spacing w:after="0"/>
              <w:rPr>
                <w:sz w:val="15"/>
                <w:szCs w:val="15"/>
                <w:color w:val="auto"/>
              </w:rPr>
            </w:pP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1,766,431</w:t>
            </w:r>
          </w:p>
        </w:tc>
        <w:tc>
          <w:tcPr>
            <w:tcW w:w="66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1,808,663</w:t>
            </w:r>
          </w:p>
        </w:tc>
      </w:tr>
      <w:tr>
        <w:trPr>
          <w:trHeight w:val="180"/>
        </w:trPr>
        <w:tc>
          <w:tcPr>
            <w:tcW w:w="7960" w:type="dxa"/>
            <w:vAlign w:val="bottom"/>
          </w:tcPr>
          <w:p>
            <w:pPr>
              <w:spacing w:after="0"/>
              <w:rPr>
                <w:sz w:val="15"/>
                <w:szCs w:val="15"/>
                <w:color w:val="auto"/>
              </w:rPr>
            </w:pP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796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7960" w:type="dxa"/>
            <w:vAlign w:val="bottom"/>
          </w:tcPr>
          <w:p>
            <w:pPr>
              <w:ind w:left="280"/>
              <w:spacing w:after="0"/>
              <w:rPr>
                <w:sz w:val="20"/>
                <w:szCs w:val="20"/>
                <w:color w:val="auto"/>
              </w:rPr>
            </w:pPr>
            <w:r>
              <w:rPr>
                <w:rFonts w:ascii="Courier New" w:cs="Courier New" w:eastAsia="Courier New" w:hAnsi="Courier New"/>
                <w:sz w:val="16"/>
                <w:szCs w:val="16"/>
                <w:color w:val="auto"/>
              </w:rPr>
              <w:t>Preferred Shares - Authorized 25,000 shares; (pound) 0.01 par value; 0 shares</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7960" w:type="dxa"/>
            <w:vAlign w:val="bottom"/>
          </w:tcPr>
          <w:p>
            <w:pPr>
              <w:ind w:left="460"/>
              <w:spacing w:after="0"/>
              <w:rPr>
                <w:sz w:val="20"/>
                <w:szCs w:val="20"/>
                <w:color w:val="auto"/>
              </w:rPr>
            </w:pPr>
            <w:r>
              <w:rPr>
                <w:rFonts w:ascii="Courier New" w:cs="Courier New" w:eastAsia="Courier New" w:hAnsi="Courier New"/>
                <w:sz w:val="16"/>
                <w:szCs w:val="16"/>
                <w:color w:val="auto"/>
              </w:rPr>
              <w:t>issued and outstanding</w:t>
            </w:r>
          </w:p>
        </w:tc>
        <w:tc>
          <w:tcPr>
            <w:tcW w:w="300" w:type="dxa"/>
            <w:vAlign w:val="bottom"/>
          </w:tcPr>
          <w:p>
            <w:pPr>
              <w:spacing w:after="0"/>
              <w:rPr>
                <w:sz w:val="15"/>
                <w:szCs w:val="15"/>
                <w:color w:val="auto"/>
              </w:rPr>
            </w:pP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7960" w:type="dxa"/>
            <w:vAlign w:val="bottom"/>
          </w:tcPr>
          <w:p>
            <w:pPr>
              <w:ind w:left="280"/>
              <w:spacing w:after="0"/>
              <w:rPr>
                <w:sz w:val="20"/>
                <w:szCs w:val="20"/>
                <w:color w:val="auto"/>
              </w:rPr>
            </w:pPr>
            <w:r>
              <w:rPr>
                <w:rFonts w:ascii="Courier New" w:cs="Courier New" w:eastAsia="Courier New" w:hAnsi="Courier New"/>
                <w:sz w:val="16"/>
                <w:szCs w:val="16"/>
                <w:color w:val="auto"/>
                <w:w w:val="99"/>
              </w:rPr>
              <w:t>Ordinary Shares - Authorized 550,000 shares; (pound) 0.01 par value; 235,687 and</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7960" w:type="dxa"/>
            <w:vAlign w:val="bottom"/>
          </w:tcPr>
          <w:p>
            <w:pPr>
              <w:ind w:left="460"/>
              <w:spacing w:after="0"/>
              <w:rPr>
                <w:sz w:val="20"/>
                <w:szCs w:val="20"/>
                <w:color w:val="auto"/>
              </w:rPr>
            </w:pPr>
            <w:r>
              <w:rPr>
                <w:rFonts w:ascii="Courier New" w:cs="Courier New" w:eastAsia="Courier New" w:hAnsi="Courier New"/>
                <w:sz w:val="16"/>
                <w:szCs w:val="16"/>
                <w:color w:val="auto"/>
              </w:rPr>
              <w:t>233,932 issued and 208,548 and 206,793 outstanding, respectively</w:t>
            </w:r>
          </w:p>
        </w:tc>
        <w:tc>
          <w:tcPr>
            <w:tcW w:w="300" w:type="dxa"/>
            <w:vAlign w:val="bottom"/>
          </w:tcPr>
          <w:p>
            <w:pPr>
              <w:spacing w:after="0"/>
              <w:rPr>
                <w:sz w:val="15"/>
                <w:szCs w:val="15"/>
                <w:color w:val="auto"/>
              </w:rPr>
            </w:pP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3,797</w:t>
            </w:r>
          </w:p>
        </w:tc>
        <w:tc>
          <w:tcPr>
            <w:tcW w:w="66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3,763</w:t>
            </w:r>
          </w:p>
        </w:tc>
      </w:tr>
      <w:tr>
        <w:trPr>
          <w:trHeight w:val="180"/>
        </w:trPr>
        <w:tc>
          <w:tcPr>
            <w:tcW w:w="7960" w:type="dxa"/>
            <w:vAlign w:val="bottom"/>
          </w:tcPr>
          <w:p>
            <w:pPr>
              <w:ind w:left="280"/>
              <w:spacing w:after="0"/>
              <w:rPr>
                <w:sz w:val="20"/>
                <w:szCs w:val="20"/>
                <w:color w:val="auto"/>
              </w:rPr>
            </w:pPr>
            <w:r>
              <w:rPr>
                <w:rFonts w:ascii="Courier New" w:cs="Courier New" w:eastAsia="Courier New" w:hAnsi="Courier New"/>
                <w:sz w:val="16"/>
                <w:szCs w:val="16"/>
                <w:color w:val="auto"/>
              </w:rPr>
              <w:t>Additional paid-in capital</w:t>
            </w:r>
          </w:p>
        </w:tc>
        <w:tc>
          <w:tcPr>
            <w:tcW w:w="300" w:type="dxa"/>
            <w:vAlign w:val="bottom"/>
          </w:tcPr>
          <w:p>
            <w:pPr>
              <w:spacing w:after="0"/>
              <w:rPr>
                <w:sz w:val="15"/>
                <w:szCs w:val="15"/>
                <w:color w:val="auto"/>
              </w:rPr>
            </w:pP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2,094,269</w:t>
            </w:r>
          </w:p>
        </w:tc>
        <w:tc>
          <w:tcPr>
            <w:tcW w:w="66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2,035,309</w:t>
            </w:r>
          </w:p>
        </w:tc>
      </w:tr>
      <w:tr>
        <w:trPr>
          <w:trHeight w:val="180"/>
        </w:trPr>
        <w:tc>
          <w:tcPr>
            <w:tcW w:w="7960" w:type="dxa"/>
            <w:vAlign w:val="bottom"/>
          </w:tcPr>
          <w:p>
            <w:pPr>
              <w:ind w:left="280"/>
              <w:spacing w:after="0"/>
              <w:rPr>
                <w:sz w:val="20"/>
                <w:szCs w:val="20"/>
                <w:color w:val="auto"/>
              </w:rPr>
            </w:pPr>
            <w:r>
              <w:rPr>
                <w:rFonts w:ascii="Courier New" w:cs="Courier New" w:eastAsia="Courier New" w:hAnsi="Courier New"/>
                <w:sz w:val="16"/>
                <w:szCs w:val="16"/>
                <w:color w:val="auto"/>
              </w:rPr>
              <w:t>Treasury stock, at cost - 27,139 Ordinary Shares</w:t>
            </w:r>
          </w:p>
        </w:tc>
        <w:tc>
          <w:tcPr>
            <w:tcW w:w="300" w:type="dxa"/>
            <w:vAlign w:val="bottom"/>
          </w:tcPr>
          <w:p>
            <w:pPr>
              <w:spacing w:after="0"/>
              <w:rPr>
                <w:sz w:val="15"/>
                <w:szCs w:val="15"/>
                <w:color w:val="auto"/>
              </w:rPr>
            </w:pP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(602,392)</w:t>
            </w:r>
          </w:p>
        </w:tc>
        <w:tc>
          <w:tcPr>
            <w:tcW w:w="6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(602,392)</w:t>
            </w:r>
          </w:p>
        </w:tc>
      </w:tr>
      <w:tr>
        <w:trPr>
          <w:trHeight w:val="180"/>
        </w:trPr>
        <w:tc>
          <w:tcPr>
            <w:tcW w:w="7960" w:type="dxa"/>
            <w:vAlign w:val="bottom"/>
          </w:tcPr>
          <w:p>
            <w:pPr>
              <w:ind w:left="280"/>
              <w:spacing w:after="0"/>
              <w:rPr>
                <w:sz w:val="20"/>
                <w:szCs w:val="20"/>
                <w:color w:val="auto"/>
              </w:rPr>
            </w:pPr>
            <w:r>
              <w:rPr>
                <w:rFonts w:ascii="Courier New" w:cs="Courier New" w:eastAsia="Courier New" w:hAnsi="Courier New"/>
                <w:sz w:val="16"/>
                <w:szCs w:val="16"/>
                <w:color w:val="auto"/>
              </w:rPr>
              <w:t>Accumulated other comprehensive income</w:t>
            </w:r>
          </w:p>
        </w:tc>
        <w:tc>
          <w:tcPr>
            <w:tcW w:w="300" w:type="dxa"/>
            <w:vAlign w:val="bottom"/>
          </w:tcPr>
          <w:p>
            <w:pPr>
              <w:spacing w:after="0"/>
              <w:rPr>
                <w:sz w:val="15"/>
                <w:szCs w:val="15"/>
                <w:color w:val="auto"/>
              </w:rPr>
            </w:pP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4,637</w:t>
            </w:r>
          </w:p>
        </w:tc>
        <w:tc>
          <w:tcPr>
            <w:tcW w:w="66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2,723</w:t>
            </w:r>
          </w:p>
        </w:tc>
      </w:tr>
      <w:tr>
        <w:trPr>
          <w:trHeight w:val="180"/>
        </w:trPr>
        <w:tc>
          <w:tcPr>
            <w:tcW w:w="7960" w:type="dxa"/>
            <w:vAlign w:val="bottom"/>
          </w:tcPr>
          <w:p>
            <w:pPr>
              <w:ind w:left="280"/>
              <w:spacing w:after="0"/>
              <w:rPr>
                <w:sz w:val="20"/>
                <w:szCs w:val="20"/>
                <w:color w:val="auto"/>
              </w:rPr>
            </w:pPr>
            <w:r>
              <w:rPr>
                <w:rFonts w:ascii="Courier New" w:cs="Courier New" w:eastAsia="Courier New" w:hAnsi="Courier New"/>
                <w:sz w:val="16"/>
                <w:szCs w:val="16"/>
                <w:color w:val="auto"/>
              </w:rPr>
              <w:t>Retained earnings</w:t>
            </w:r>
          </w:p>
        </w:tc>
        <w:tc>
          <w:tcPr>
            <w:tcW w:w="300" w:type="dxa"/>
            <w:vAlign w:val="bottom"/>
          </w:tcPr>
          <w:p>
            <w:pPr>
              <w:spacing w:after="0"/>
              <w:rPr>
                <w:sz w:val="15"/>
                <w:szCs w:val="15"/>
                <w:color w:val="auto"/>
              </w:rPr>
            </w:pP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895,275</w:t>
            </w:r>
          </w:p>
        </w:tc>
        <w:tc>
          <w:tcPr>
            <w:tcW w:w="66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714,762</w:t>
            </w:r>
          </w:p>
        </w:tc>
      </w:tr>
      <w:tr>
        <w:trPr>
          <w:trHeight w:val="180"/>
        </w:trPr>
        <w:tc>
          <w:tcPr>
            <w:tcW w:w="7960" w:type="dxa"/>
            <w:vAlign w:val="bottom"/>
          </w:tcPr>
          <w:p>
            <w:pPr>
              <w:spacing w:after="0"/>
              <w:rPr>
                <w:sz w:val="15"/>
                <w:szCs w:val="15"/>
                <w:color w:val="auto"/>
              </w:rPr>
            </w:pP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7960" w:type="dxa"/>
            <w:vAlign w:val="bottom"/>
          </w:tcPr>
          <w:p>
            <w:pPr>
              <w:ind w:left="840"/>
              <w:spacing w:after="0"/>
              <w:rPr>
                <w:sz w:val="20"/>
                <w:szCs w:val="20"/>
                <w:color w:val="auto"/>
              </w:rPr>
            </w:pPr>
            <w:r>
              <w:rPr>
                <w:rFonts w:ascii="Courier New" w:cs="Courier New" w:eastAsia="Courier New" w:hAnsi="Courier New"/>
                <w:sz w:val="16"/>
                <w:szCs w:val="16"/>
                <w:color w:val="auto"/>
              </w:rPr>
              <w:t>Total shareholders' equity</w:t>
            </w:r>
          </w:p>
        </w:tc>
        <w:tc>
          <w:tcPr>
            <w:tcW w:w="300" w:type="dxa"/>
            <w:vAlign w:val="bottom"/>
          </w:tcPr>
          <w:p>
            <w:pPr>
              <w:spacing w:after="0"/>
              <w:rPr>
                <w:sz w:val="15"/>
                <w:szCs w:val="15"/>
                <w:color w:val="auto"/>
              </w:rPr>
            </w:pP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2,395,586</w:t>
            </w:r>
          </w:p>
        </w:tc>
        <w:tc>
          <w:tcPr>
            <w:tcW w:w="66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2,154,165</w:t>
            </w:r>
          </w:p>
        </w:tc>
      </w:tr>
      <w:tr>
        <w:trPr>
          <w:trHeight w:val="180"/>
        </w:trPr>
        <w:tc>
          <w:tcPr>
            <w:tcW w:w="7960" w:type="dxa"/>
            <w:vAlign w:val="bottom"/>
          </w:tcPr>
          <w:p>
            <w:pPr>
              <w:spacing w:after="0"/>
              <w:rPr>
                <w:sz w:val="15"/>
                <w:szCs w:val="15"/>
                <w:color w:val="auto"/>
              </w:rPr>
            </w:pP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7960" w:type="dxa"/>
            <w:vAlign w:val="bottom"/>
          </w:tcPr>
          <w:p>
            <w:pPr>
              <w:ind w:left="840"/>
              <w:spacing w:after="0"/>
              <w:rPr>
                <w:sz w:val="20"/>
                <w:szCs w:val="20"/>
                <w:color w:val="auto"/>
              </w:rPr>
            </w:pPr>
            <w:r>
              <w:rPr>
                <w:rFonts w:ascii="Courier New" w:cs="Courier New" w:eastAsia="Courier New" w:hAnsi="Courier New"/>
                <w:sz w:val="16"/>
                <w:szCs w:val="16"/>
                <w:color w:val="auto"/>
              </w:rPr>
              <w:t>Total liabilities and shareholders' equity</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$ 4,162,017</w:t>
            </w:r>
          </w:p>
        </w:tc>
        <w:tc>
          <w:tcPr>
            <w:tcW w:w="6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3,962,828</w:t>
            </w:r>
          </w:p>
        </w:tc>
      </w:tr>
      <w:tr>
        <w:trPr>
          <w:trHeight w:val="180"/>
        </w:trPr>
        <w:tc>
          <w:tcPr>
            <w:tcW w:w="7960" w:type="dxa"/>
            <w:vAlign w:val="bottom"/>
          </w:tcPr>
          <w:p>
            <w:pPr>
              <w:spacing w:after="0"/>
              <w:rPr>
                <w:sz w:val="15"/>
                <w:szCs w:val="15"/>
                <w:color w:val="auto"/>
              </w:rPr>
            </w:pP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6"/>
          <w:szCs w:val="16"/>
          <w:color w:val="auto"/>
        </w:rPr>
        <w:t>The accompanying notes are an integral part of these consolidated</w:t>
      </w:r>
    </w:p>
    <w:p>
      <w:pPr>
        <w:jc w:val="center"/>
        <w:ind w:right="3660"/>
        <w:spacing w:after="0"/>
        <w:rPr>
          <w:sz w:val="20"/>
          <w:szCs w:val="20"/>
          <w:color w:val="auto"/>
        </w:rPr>
      </w:pPr>
      <w:r>
        <w:rPr>
          <w:rFonts w:ascii="Courier New" w:cs="Courier New" w:eastAsia="Courier New" w:hAnsi="Courier New"/>
          <w:sz w:val="16"/>
          <w:szCs w:val="16"/>
          <w:color w:val="auto"/>
        </w:rPr>
        <w:t>financial statements.</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060"/>
          </w:cols>
          <w:pgMar w:left="240" w:top="834" w:right="599" w:bottom="1440" w:gutter="0" w:footer="0" w:header="0"/>
        </w:sectPr>
      </w:pPr>
    </w:p>
    <w:bookmarkStart w:id="3" w:name="page4"/>
    <w:bookmarkEnd w:id="3"/>
    <w:p>
      <w:pPr>
        <w:jc w:val="center"/>
        <w:ind w:right="2719"/>
        <w:spacing w:after="0"/>
        <w:rPr>
          <w:sz w:val="20"/>
          <w:szCs w:val="20"/>
          <w:color w:val="auto"/>
        </w:rPr>
      </w:pPr>
      <w:r>
        <w:rPr>
          <w:rFonts w:ascii="Courier New" w:cs="Courier New" w:eastAsia="Courier New" w:hAnsi="Courier New"/>
          <w:sz w:val="16"/>
          <w:szCs w:val="16"/>
          <w:color w:val="auto"/>
        </w:rPr>
        <w:t>AMDOCS LIMITED</w:t>
      </w:r>
    </w:p>
    <w:p>
      <w:pPr>
        <w:jc w:val="center"/>
        <w:ind w:right="2639"/>
        <w:spacing w:after="0"/>
        <w:rPr>
          <w:sz w:val="20"/>
          <w:szCs w:val="20"/>
          <w:color w:val="auto"/>
        </w:rPr>
      </w:pPr>
      <w:r>
        <w:rPr>
          <w:rFonts w:ascii="Courier New" w:cs="Courier New" w:eastAsia="Courier New" w:hAnsi="Courier New"/>
          <w:sz w:val="16"/>
          <w:szCs w:val="16"/>
          <w:color w:val="auto"/>
        </w:rPr>
        <w:t>CONSOLIDATED STATEMENTS OF INCOME (UNAUDITED)</w:t>
      </w:r>
    </w:p>
    <w:tbl>
      <w:tblPr>
        <w:tblLayout w:type="fixed"/>
        <w:tblInd w:w="0" w:type="dxa"/>
        <w:tblCellMar>
          <w:top w:w="0" w:type="dxa"/>
          <w:left w:w="0" w:type="dxa"/>
          <w:bottom w:w="0" w:type="dxa"/>
          <w:right w:w="0" w:type="dxa"/>
        </w:tblCellMar>
      </w:tblPr>
      <w:tr>
        <w:trPr>
          <w:trHeight w:val="179"/>
        </w:trPr>
        <w:tc>
          <w:tcPr>
            <w:tcW w:w="6840" w:type="dxa"/>
            <w:vAlign w:val="bottom"/>
            <w:gridSpan w:val="5"/>
          </w:tcPr>
          <w:p>
            <w:pPr>
              <w:jc w:val="right"/>
              <w:ind w:right="102"/>
              <w:spacing w:after="0" w:line="179" w:lineRule="exact"/>
              <w:rPr>
                <w:sz w:val="20"/>
                <w:szCs w:val="20"/>
                <w:color w:val="auto"/>
              </w:rPr>
            </w:pPr>
            <w:r>
              <w:rPr>
                <w:rFonts w:ascii="Courier New" w:cs="Courier New" w:eastAsia="Courier New" w:hAnsi="Courier New"/>
                <w:sz w:val="16"/>
                <w:szCs w:val="16"/>
                <w:color w:val="auto"/>
              </w:rPr>
              <w:t>(dollar and share amounts in thousands, except per share data)</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721"/>
        </w:trPr>
        <w:tc>
          <w:tcPr>
            <w:tcW w:w="4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40" w:type="dxa"/>
            <w:vAlign w:val="bottom"/>
            <w:gridSpan w:val="3"/>
          </w:tcPr>
          <w:p>
            <w:pPr>
              <w:jc w:val="right"/>
              <w:ind w:right="382"/>
              <w:spacing w:after="0"/>
              <w:rPr>
                <w:sz w:val="20"/>
                <w:szCs w:val="20"/>
                <w:color w:val="auto"/>
              </w:rPr>
            </w:pPr>
            <w:r>
              <w:rPr>
                <w:rFonts w:ascii="Courier New" w:cs="Courier New" w:eastAsia="Courier New" w:hAnsi="Courier New"/>
                <w:sz w:val="16"/>
                <w:szCs w:val="16"/>
                <w:color w:val="auto"/>
              </w:rPr>
              <w:t>THREE MONTHS ENDED</w:t>
            </w:r>
          </w:p>
        </w:tc>
        <w:tc>
          <w:tcPr>
            <w:tcW w:w="380" w:type="dxa"/>
            <w:vAlign w:val="bottom"/>
          </w:tcPr>
          <w:p>
            <w:pPr>
              <w:spacing w:after="0"/>
              <w:rPr>
                <w:sz w:val="24"/>
                <w:szCs w:val="24"/>
                <w:color w:val="auto"/>
              </w:rPr>
            </w:pPr>
          </w:p>
        </w:tc>
        <w:tc>
          <w:tcPr>
            <w:tcW w:w="2540" w:type="dxa"/>
            <w:vAlign w:val="bottom"/>
            <w:gridSpan w:val="3"/>
          </w:tcPr>
          <w:p>
            <w:pPr>
              <w:jc w:val="right"/>
              <w:ind w:right="682"/>
              <w:spacing w:after="0"/>
              <w:rPr>
                <w:sz w:val="20"/>
                <w:szCs w:val="20"/>
                <w:color w:val="auto"/>
              </w:rPr>
            </w:pPr>
            <w:r>
              <w:rPr>
                <w:rFonts w:ascii="Courier New" w:cs="Courier New" w:eastAsia="Courier New" w:hAnsi="Courier New"/>
                <w:sz w:val="16"/>
                <w:szCs w:val="16"/>
                <w:color w:val="auto"/>
              </w:rPr>
              <w:t>SIX MONTHS ENDED</w:t>
            </w:r>
          </w:p>
        </w:tc>
      </w:tr>
      <w:tr>
        <w:trPr>
          <w:trHeight w:val="180"/>
        </w:trPr>
        <w:tc>
          <w:tcPr>
            <w:tcW w:w="4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MARCH 31,</w:t>
            </w: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MARCH 31,</w:t>
            </w:r>
          </w:p>
        </w:tc>
        <w:tc>
          <w:tcPr>
            <w:tcW w:w="940" w:type="dxa"/>
            <w:vAlign w:val="bottom"/>
          </w:tcPr>
          <w:p>
            <w:pPr>
              <w:spacing w:after="0"/>
              <w:rPr>
                <w:sz w:val="15"/>
                <w:szCs w:val="15"/>
                <w:color w:val="auto"/>
              </w:rPr>
            </w:pPr>
          </w:p>
        </w:tc>
      </w:tr>
      <w:tr>
        <w:trPr>
          <w:trHeight w:val="180"/>
        </w:trPr>
        <w:tc>
          <w:tcPr>
            <w:tcW w:w="4080" w:type="dxa"/>
            <w:vAlign w:val="bottom"/>
          </w:tcPr>
          <w:p>
            <w:pPr>
              <w:spacing w:after="0"/>
              <w:rPr>
                <w:sz w:val="15"/>
                <w:szCs w:val="15"/>
                <w:color w:val="auto"/>
              </w:rPr>
            </w:pPr>
          </w:p>
        </w:tc>
        <w:tc>
          <w:tcPr>
            <w:tcW w:w="2760" w:type="dxa"/>
            <w:vAlign w:val="bottom"/>
            <w:gridSpan w:val="4"/>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9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2007</w:t>
            </w:r>
          </w:p>
        </w:tc>
        <w:tc>
          <w:tcPr>
            <w:tcW w:w="480" w:type="dxa"/>
            <w:vAlign w:val="bottom"/>
          </w:tcPr>
          <w:p>
            <w:pPr>
              <w:spacing w:after="0"/>
              <w:rPr>
                <w:sz w:val="15"/>
                <w:szCs w:val="15"/>
                <w:color w:val="auto"/>
              </w:rPr>
            </w:pPr>
          </w:p>
        </w:tc>
        <w:tc>
          <w:tcPr>
            <w:tcW w:w="8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2006</w:t>
            </w:r>
          </w:p>
        </w:tc>
        <w:tc>
          <w:tcPr>
            <w:tcW w:w="380" w:type="dxa"/>
            <w:vAlign w:val="bottom"/>
          </w:tcPr>
          <w:p>
            <w:pPr>
              <w:spacing w:after="0"/>
              <w:rPr>
                <w:sz w:val="15"/>
                <w:szCs w:val="15"/>
                <w:color w:val="auto"/>
              </w:rPr>
            </w:pPr>
          </w:p>
        </w:tc>
        <w:tc>
          <w:tcPr>
            <w:tcW w:w="118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2007</w:t>
            </w:r>
          </w:p>
        </w:tc>
        <w:tc>
          <w:tcPr>
            <w:tcW w:w="420" w:type="dxa"/>
            <w:vAlign w:val="bottom"/>
          </w:tcPr>
          <w:p>
            <w:pPr>
              <w:spacing w:after="0"/>
              <w:rPr>
                <w:sz w:val="15"/>
                <w:szCs w:val="15"/>
                <w:color w:val="auto"/>
              </w:rPr>
            </w:pP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2006</w:t>
            </w:r>
          </w:p>
        </w:tc>
      </w:tr>
      <w:tr>
        <w:trPr>
          <w:trHeight w:val="180"/>
        </w:trPr>
        <w:tc>
          <w:tcPr>
            <w:tcW w:w="4080" w:type="dxa"/>
            <w:vAlign w:val="bottom"/>
          </w:tcPr>
          <w:p>
            <w:pPr>
              <w:spacing w:after="0"/>
              <w:rPr>
                <w:sz w:val="15"/>
                <w:szCs w:val="15"/>
                <w:color w:val="auto"/>
              </w:rPr>
            </w:pPr>
          </w:p>
        </w:tc>
        <w:tc>
          <w:tcPr>
            <w:tcW w:w="14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408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4080" w:type="dxa"/>
            <w:vAlign w:val="bottom"/>
          </w:tcPr>
          <w:p>
            <w:pPr>
              <w:ind w:left="180"/>
              <w:spacing w:after="0"/>
              <w:rPr>
                <w:sz w:val="20"/>
                <w:szCs w:val="20"/>
                <w:color w:val="auto"/>
              </w:rPr>
            </w:pPr>
            <w:r>
              <w:rPr>
                <w:rFonts w:ascii="Courier New" w:cs="Courier New" w:eastAsia="Courier New" w:hAnsi="Courier New"/>
                <w:sz w:val="16"/>
                <w:szCs w:val="16"/>
                <w:color w:val="auto"/>
              </w:rPr>
              <w:t>License</w:t>
            </w:r>
          </w:p>
        </w:tc>
        <w:tc>
          <w:tcPr>
            <w:tcW w:w="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37,526</w:t>
            </w:r>
          </w:p>
        </w:tc>
        <w:tc>
          <w:tcPr>
            <w:tcW w:w="4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30,291</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69,270</w:t>
            </w:r>
          </w:p>
        </w:tc>
        <w:tc>
          <w:tcPr>
            <w:tcW w:w="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61,952</w:t>
            </w:r>
          </w:p>
        </w:tc>
      </w:tr>
      <w:tr>
        <w:trPr>
          <w:trHeight w:val="180"/>
        </w:trPr>
        <w:tc>
          <w:tcPr>
            <w:tcW w:w="4080" w:type="dxa"/>
            <w:vAlign w:val="bottom"/>
          </w:tcPr>
          <w:p>
            <w:pPr>
              <w:ind w:left="180"/>
              <w:spacing w:after="0"/>
              <w:rPr>
                <w:sz w:val="20"/>
                <w:szCs w:val="20"/>
                <w:color w:val="auto"/>
              </w:rPr>
            </w:pPr>
            <w:r>
              <w:rPr>
                <w:rFonts w:ascii="Courier New" w:cs="Courier New" w:eastAsia="Courier New" w:hAnsi="Courier New"/>
                <w:sz w:val="16"/>
                <w:szCs w:val="16"/>
                <w:color w:val="auto"/>
              </w:rPr>
              <w:t>Service</w:t>
            </w:r>
          </w:p>
        </w:tc>
        <w:tc>
          <w:tcPr>
            <w:tcW w:w="42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668,835</w:t>
            </w:r>
          </w:p>
        </w:tc>
        <w:tc>
          <w:tcPr>
            <w:tcW w:w="480" w:type="dxa"/>
            <w:vAlign w:val="bottom"/>
          </w:tcPr>
          <w:p>
            <w:pPr>
              <w:spacing w:after="0"/>
              <w:rPr>
                <w:sz w:val="15"/>
                <w:szCs w:val="15"/>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570,838</w:t>
            </w:r>
          </w:p>
        </w:tc>
        <w:tc>
          <w:tcPr>
            <w:tcW w:w="380" w:type="dxa"/>
            <w:vAlign w:val="bottom"/>
          </w:tcPr>
          <w:p>
            <w:pPr>
              <w:spacing w:after="0"/>
              <w:rPr>
                <w:sz w:val="15"/>
                <w:szCs w:val="15"/>
                <w:color w:val="auto"/>
              </w:rPr>
            </w:pP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1,328,123</w:t>
            </w: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1,126,205</w:t>
            </w:r>
          </w:p>
        </w:tc>
      </w:tr>
      <w:tr>
        <w:trPr>
          <w:trHeight w:val="180"/>
        </w:trPr>
        <w:tc>
          <w:tcPr>
            <w:tcW w:w="4080" w:type="dxa"/>
            <w:vAlign w:val="bottom"/>
          </w:tcPr>
          <w:p>
            <w:pPr>
              <w:spacing w:after="0"/>
              <w:rPr>
                <w:sz w:val="15"/>
                <w:szCs w:val="15"/>
                <w:color w:val="auto"/>
              </w:rPr>
            </w:pPr>
          </w:p>
        </w:tc>
        <w:tc>
          <w:tcPr>
            <w:tcW w:w="14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706,361</w:t>
            </w:r>
          </w:p>
        </w:tc>
        <w:tc>
          <w:tcPr>
            <w:tcW w:w="480" w:type="dxa"/>
            <w:vAlign w:val="bottom"/>
          </w:tcPr>
          <w:p>
            <w:pPr>
              <w:spacing w:after="0"/>
              <w:rPr>
                <w:sz w:val="15"/>
                <w:szCs w:val="15"/>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601,129</w:t>
            </w:r>
          </w:p>
        </w:tc>
        <w:tc>
          <w:tcPr>
            <w:tcW w:w="380" w:type="dxa"/>
            <w:vAlign w:val="bottom"/>
          </w:tcPr>
          <w:p>
            <w:pPr>
              <w:spacing w:after="0"/>
              <w:rPr>
                <w:sz w:val="15"/>
                <w:szCs w:val="15"/>
                <w:color w:val="auto"/>
              </w:rPr>
            </w:pP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1,397,393</w:t>
            </w: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1,188,157</w:t>
            </w:r>
          </w:p>
        </w:tc>
      </w:tr>
      <w:tr>
        <w:trPr>
          <w:trHeight w:val="180"/>
        </w:trPr>
        <w:tc>
          <w:tcPr>
            <w:tcW w:w="4080" w:type="dxa"/>
            <w:vAlign w:val="bottom"/>
          </w:tcPr>
          <w:p>
            <w:pPr>
              <w:spacing w:after="0"/>
              <w:rPr>
                <w:sz w:val="15"/>
                <w:szCs w:val="15"/>
                <w:color w:val="auto"/>
              </w:rPr>
            </w:pPr>
          </w:p>
        </w:tc>
        <w:tc>
          <w:tcPr>
            <w:tcW w:w="14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408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4080" w:type="dxa"/>
            <w:vAlign w:val="bottom"/>
          </w:tcPr>
          <w:p>
            <w:pPr>
              <w:ind w:left="180"/>
              <w:spacing w:after="0"/>
              <w:rPr>
                <w:sz w:val="20"/>
                <w:szCs w:val="20"/>
                <w:color w:val="auto"/>
              </w:rPr>
            </w:pPr>
            <w:r>
              <w:rPr>
                <w:rFonts w:ascii="Courier New" w:cs="Courier New" w:eastAsia="Courier New" w:hAnsi="Courier New"/>
                <w:sz w:val="16"/>
                <w:szCs w:val="16"/>
                <w:color w:val="auto"/>
              </w:rPr>
              <w:t>Cost of license</w:t>
            </w:r>
          </w:p>
        </w:tc>
        <w:tc>
          <w:tcPr>
            <w:tcW w:w="42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1,016</w:t>
            </w:r>
          </w:p>
        </w:tc>
        <w:tc>
          <w:tcPr>
            <w:tcW w:w="480" w:type="dxa"/>
            <w:vAlign w:val="bottom"/>
          </w:tcPr>
          <w:p>
            <w:pPr>
              <w:spacing w:after="0"/>
              <w:rPr>
                <w:sz w:val="15"/>
                <w:szCs w:val="15"/>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916</w:t>
            </w:r>
          </w:p>
        </w:tc>
        <w:tc>
          <w:tcPr>
            <w:tcW w:w="380" w:type="dxa"/>
            <w:vAlign w:val="bottom"/>
          </w:tcPr>
          <w:p>
            <w:pPr>
              <w:spacing w:after="0"/>
              <w:rPr>
                <w:sz w:val="15"/>
                <w:szCs w:val="15"/>
                <w:color w:val="auto"/>
              </w:rPr>
            </w:pP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2,085</w:t>
            </w: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1,978</w:t>
            </w:r>
          </w:p>
        </w:tc>
      </w:tr>
      <w:tr>
        <w:trPr>
          <w:trHeight w:val="180"/>
        </w:trPr>
        <w:tc>
          <w:tcPr>
            <w:tcW w:w="4080" w:type="dxa"/>
            <w:vAlign w:val="bottom"/>
          </w:tcPr>
          <w:p>
            <w:pPr>
              <w:ind w:left="180"/>
              <w:spacing w:after="0"/>
              <w:rPr>
                <w:sz w:val="20"/>
                <w:szCs w:val="20"/>
                <w:color w:val="auto"/>
              </w:rPr>
            </w:pPr>
            <w:r>
              <w:rPr>
                <w:rFonts w:ascii="Courier New" w:cs="Courier New" w:eastAsia="Courier New" w:hAnsi="Courier New"/>
                <w:sz w:val="16"/>
                <w:szCs w:val="16"/>
                <w:color w:val="auto"/>
              </w:rPr>
              <w:t>Cost of service</w:t>
            </w:r>
          </w:p>
        </w:tc>
        <w:tc>
          <w:tcPr>
            <w:tcW w:w="42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446,860</w:t>
            </w:r>
          </w:p>
        </w:tc>
        <w:tc>
          <w:tcPr>
            <w:tcW w:w="480" w:type="dxa"/>
            <w:vAlign w:val="bottom"/>
          </w:tcPr>
          <w:p>
            <w:pPr>
              <w:spacing w:after="0"/>
              <w:rPr>
                <w:sz w:val="15"/>
                <w:szCs w:val="15"/>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388,333</w:t>
            </w:r>
          </w:p>
        </w:tc>
        <w:tc>
          <w:tcPr>
            <w:tcW w:w="380" w:type="dxa"/>
            <w:vAlign w:val="bottom"/>
          </w:tcPr>
          <w:p>
            <w:pPr>
              <w:spacing w:after="0"/>
              <w:rPr>
                <w:sz w:val="15"/>
                <w:szCs w:val="15"/>
                <w:color w:val="auto"/>
              </w:rPr>
            </w:pP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881,981</w:t>
            </w: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762,384</w:t>
            </w:r>
          </w:p>
        </w:tc>
      </w:tr>
      <w:tr>
        <w:trPr>
          <w:trHeight w:val="180"/>
        </w:trPr>
        <w:tc>
          <w:tcPr>
            <w:tcW w:w="4080" w:type="dxa"/>
            <w:vAlign w:val="bottom"/>
          </w:tcPr>
          <w:p>
            <w:pPr>
              <w:ind w:left="180"/>
              <w:spacing w:after="0"/>
              <w:rPr>
                <w:sz w:val="20"/>
                <w:szCs w:val="20"/>
                <w:color w:val="auto"/>
              </w:rPr>
            </w:pPr>
            <w:r>
              <w:rPr>
                <w:rFonts w:ascii="Courier New" w:cs="Courier New" w:eastAsia="Courier New" w:hAnsi="Courier New"/>
                <w:sz w:val="16"/>
                <w:szCs w:val="16"/>
                <w:color w:val="auto"/>
              </w:rPr>
              <w:t>Research and development</w:t>
            </w:r>
          </w:p>
        </w:tc>
        <w:tc>
          <w:tcPr>
            <w:tcW w:w="42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57,734</w:t>
            </w:r>
          </w:p>
        </w:tc>
        <w:tc>
          <w:tcPr>
            <w:tcW w:w="480" w:type="dxa"/>
            <w:vAlign w:val="bottom"/>
          </w:tcPr>
          <w:p>
            <w:pPr>
              <w:spacing w:after="0"/>
              <w:rPr>
                <w:sz w:val="15"/>
                <w:szCs w:val="15"/>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41,823</w:t>
            </w:r>
          </w:p>
        </w:tc>
        <w:tc>
          <w:tcPr>
            <w:tcW w:w="380" w:type="dxa"/>
            <w:vAlign w:val="bottom"/>
          </w:tcPr>
          <w:p>
            <w:pPr>
              <w:spacing w:after="0"/>
              <w:rPr>
                <w:sz w:val="15"/>
                <w:szCs w:val="15"/>
                <w:color w:val="auto"/>
              </w:rPr>
            </w:pP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118,202</w:t>
            </w: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84,937</w:t>
            </w:r>
          </w:p>
        </w:tc>
      </w:tr>
      <w:tr>
        <w:trPr>
          <w:trHeight w:val="180"/>
        </w:trPr>
        <w:tc>
          <w:tcPr>
            <w:tcW w:w="4080" w:type="dxa"/>
            <w:vAlign w:val="bottom"/>
          </w:tcPr>
          <w:p>
            <w:pPr>
              <w:ind w:left="180"/>
              <w:spacing w:after="0"/>
              <w:rPr>
                <w:sz w:val="20"/>
                <w:szCs w:val="20"/>
                <w:color w:val="auto"/>
              </w:rPr>
            </w:pPr>
            <w:r>
              <w:rPr>
                <w:rFonts w:ascii="Courier New" w:cs="Courier New" w:eastAsia="Courier New" w:hAnsi="Courier New"/>
                <w:sz w:val="16"/>
                <w:szCs w:val="16"/>
                <w:color w:val="auto"/>
              </w:rPr>
              <w:t>Selling, general and administrative</w:t>
            </w:r>
          </w:p>
        </w:tc>
        <w:tc>
          <w:tcPr>
            <w:tcW w:w="42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91,280</w:t>
            </w:r>
          </w:p>
        </w:tc>
        <w:tc>
          <w:tcPr>
            <w:tcW w:w="480" w:type="dxa"/>
            <w:vAlign w:val="bottom"/>
          </w:tcPr>
          <w:p>
            <w:pPr>
              <w:spacing w:after="0"/>
              <w:rPr>
                <w:sz w:val="15"/>
                <w:szCs w:val="15"/>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73,799</w:t>
            </w:r>
          </w:p>
        </w:tc>
        <w:tc>
          <w:tcPr>
            <w:tcW w:w="380" w:type="dxa"/>
            <w:vAlign w:val="bottom"/>
          </w:tcPr>
          <w:p>
            <w:pPr>
              <w:spacing w:after="0"/>
              <w:rPr>
                <w:sz w:val="15"/>
                <w:szCs w:val="15"/>
                <w:color w:val="auto"/>
              </w:rPr>
            </w:pP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180,450</w:t>
            </w: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152,349</w:t>
            </w:r>
          </w:p>
        </w:tc>
      </w:tr>
      <w:tr>
        <w:trPr>
          <w:trHeight w:val="180"/>
        </w:trPr>
        <w:tc>
          <w:tcPr>
            <w:tcW w:w="4080" w:type="dxa"/>
            <w:vAlign w:val="bottom"/>
          </w:tcPr>
          <w:p>
            <w:pPr>
              <w:ind w:left="180"/>
              <w:spacing w:after="0"/>
              <w:rPr>
                <w:sz w:val="20"/>
                <w:szCs w:val="20"/>
                <w:color w:val="auto"/>
              </w:rPr>
            </w:pPr>
            <w:r>
              <w:rPr>
                <w:rFonts w:ascii="Courier New" w:cs="Courier New" w:eastAsia="Courier New" w:hAnsi="Courier New"/>
                <w:sz w:val="16"/>
                <w:szCs w:val="16"/>
                <w:color w:val="auto"/>
              </w:rPr>
              <w:t>Amortization of purchased intangible</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4080" w:type="dxa"/>
            <w:vAlign w:val="bottom"/>
          </w:tcPr>
          <w:p>
            <w:pPr>
              <w:ind w:left="460"/>
              <w:spacing w:after="0"/>
              <w:rPr>
                <w:sz w:val="20"/>
                <w:szCs w:val="20"/>
                <w:color w:val="auto"/>
              </w:rPr>
            </w:pPr>
            <w:r>
              <w:rPr>
                <w:rFonts w:ascii="Courier New" w:cs="Courier New" w:eastAsia="Courier New" w:hAnsi="Courier New"/>
                <w:sz w:val="16"/>
                <w:szCs w:val="16"/>
                <w:color w:val="auto"/>
              </w:rPr>
              <w:t>assets</w:t>
            </w:r>
          </w:p>
        </w:tc>
        <w:tc>
          <w:tcPr>
            <w:tcW w:w="42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18,912</w:t>
            </w:r>
          </w:p>
        </w:tc>
        <w:tc>
          <w:tcPr>
            <w:tcW w:w="480" w:type="dxa"/>
            <w:vAlign w:val="bottom"/>
          </w:tcPr>
          <w:p>
            <w:pPr>
              <w:spacing w:after="0"/>
              <w:rPr>
                <w:sz w:val="15"/>
                <w:szCs w:val="15"/>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7,469</w:t>
            </w:r>
          </w:p>
        </w:tc>
        <w:tc>
          <w:tcPr>
            <w:tcW w:w="380" w:type="dxa"/>
            <w:vAlign w:val="bottom"/>
          </w:tcPr>
          <w:p>
            <w:pPr>
              <w:spacing w:after="0"/>
              <w:rPr>
                <w:sz w:val="15"/>
                <w:szCs w:val="15"/>
                <w:color w:val="auto"/>
              </w:rPr>
            </w:pP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36,610</w:t>
            </w: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15,041</w:t>
            </w:r>
          </w:p>
        </w:tc>
      </w:tr>
      <w:tr>
        <w:trPr>
          <w:trHeight w:val="180"/>
        </w:trPr>
        <w:tc>
          <w:tcPr>
            <w:tcW w:w="4080" w:type="dxa"/>
            <w:vAlign w:val="bottom"/>
          </w:tcPr>
          <w:p>
            <w:pPr>
              <w:ind w:left="180"/>
              <w:spacing w:after="0"/>
              <w:rPr>
                <w:sz w:val="20"/>
                <w:szCs w:val="20"/>
                <w:color w:val="auto"/>
              </w:rPr>
            </w:pPr>
            <w:r>
              <w:rPr>
                <w:rFonts w:ascii="Courier New" w:cs="Courier New" w:eastAsia="Courier New" w:hAnsi="Courier New"/>
                <w:sz w:val="16"/>
                <w:szCs w:val="16"/>
                <w:color w:val="auto"/>
              </w:rPr>
              <w:t>Restructuring charges, in-process</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4080" w:type="dxa"/>
            <w:vAlign w:val="bottom"/>
          </w:tcPr>
          <w:p>
            <w:pPr>
              <w:ind w:left="460"/>
              <w:spacing w:after="0"/>
              <w:rPr>
                <w:sz w:val="20"/>
                <w:szCs w:val="20"/>
                <w:color w:val="auto"/>
              </w:rPr>
            </w:pPr>
            <w:r>
              <w:rPr>
                <w:rFonts w:ascii="Courier New" w:cs="Courier New" w:eastAsia="Courier New" w:hAnsi="Courier New"/>
                <w:sz w:val="16"/>
                <w:szCs w:val="16"/>
                <w:color w:val="auto"/>
              </w:rPr>
              <w:t>research and development and other</w:t>
            </w:r>
          </w:p>
        </w:tc>
        <w:tc>
          <w:tcPr>
            <w:tcW w:w="42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6,761</w:t>
            </w:r>
          </w:p>
        </w:tc>
        <w:tc>
          <w:tcPr>
            <w:tcW w:w="480" w:type="dxa"/>
            <w:vAlign w:val="bottom"/>
          </w:tcPr>
          <w:p>
            <w:pPr>
              <w:spacing w:after="0"/>
              <w:rPr>
                <w:sz w:val="15"/>
                <w:szCs w:val="15"/>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6,761</w:t>
            </w: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080" w:type="dxa"/>
            <w:vAlign w:val="bottom"/>
          </w:tcPr>
          <w:p>
            <w:pPr>
              <w:spacing w:after="0"/>
              <w:rPr>
                <w:sz w:val="15"/>
                <w:szCs w:val="15"/>
                <w:color w:val="auto"/>
              </w:rPr>
            </w:pPr>
          </w:p>
        </w:tc>
        <w:tc>
          <w:tcPr>
            <w:tcW w:w="14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622,563</w:t>
            </w:r>
          </w:p>
        </w:tc>
        <w:tc>
          <w:tcPr>
            <w:tcW w:w="480" w:type="dxa"/>
            <w:vAlign w:val="bottom"/>
          </w:tcPr>
          <w:p>
            <w:pPr>
              <w:spacing w:after="0"/>
              <w:rPr>
                <w:sz w:val="15"/>
                <w:szCs w:val="15"/>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512,340</w:t>
            </w:r>
          </w:p>
        </w:tc>
        <w:tc>
          <w:tcPr>
            <w:tcW w:w="380" w:type="dxa"/>
            <w:vAlign w:val="bottom"/>
          </w:tcPr>
          <w:p>
            <w:pPr>
              <w:spacing w:after="0"/>
              <w:rPr>
                <w:sz w:val="15"/>
                <w:szCs w:val="15"/>
                <w:color w:val="auto"/>
              </w:rPr>
            </w:pP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1,226,089</w:t>
            </w: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1,016,689</w:t>
            </w:r>
          </w:p>
        </w:tc>
      </w:tr>
      <w:tr>
        <w:trPr>
          <w:trHeight w:val="180"/>
        </w:trPr>
        <w:tc>
          <w:tcPr>
            <w:tcW w:w="4080" w:type="dxa"/>
            <w:vAlign w:val="bottom"/>
          </w:tcPr>
          <w:p>
            <w:pPr>
              <w:spacing w:after="0"/>
              <w:rPr>
                <w:sz w:val="15"/>
                <w:szCs w:val="15"/>
                <w:color w:val="auto"/>
              </w:rPr>
            </w:pPr>
          </w:p>
        </w:tc>
        <w:tc>
          <w:tcPr>
            <w:tcW w:w="14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408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420" w:type="dxa"/>
            <w:vAlign w:val="bottom"/>
          </w:tcPr>
          <w:p>
            <w:pPr>
              <w:spacing w:after="0"/>
              <w:rPr>
                <w:sz w:val="24"/>
                <w:szCs w:val="24"/>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83,798</w:t>
            </w:r>
          </w:p>
        </w:tc>
        <w:tc>
          <w:tcPr>
            <w:tcW w:w="480" w:type="dxa"/>
            <w:vAlign w:val="bottom"/>
          </w:tcPr>
          <w:p>
            <w:pPr>
              <w:spacing w:after="0"/>
              <w:rPr>
                <w:sz w:val="24"/>
                <w:szCs w:val="24"/>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88,789</w:t>
            </w:r>
          </w:p>
        </w:tc>
        <w:tc>
          <w:tcPr>
            <w:tcW w:w="380" w:type="dxa"/>
            <w:vAlign w:val="bottom"/>
          </w:tcPr>
          <w:p>
            <w:pPr>
              <w:spacing w:after="0"/>
              <w:rPr>
                <w:sz w:val="24"/>
                <w:szCs w:val="24"/>
                <w:color w:val="auto"/>
              </w:rPr>
            </w:pP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171,304</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171,468</w:t>
            </w:r>
          </w:p>
        </w:tc>
      </w:tr>
      <w:tr>
        <w:trPr>
          <w:trHeight w:val="361"/>
        </w:trPr>
        <w:tc>
          <w:tcPr>
            <w:tcW w:w="4080" w:type="dxa"/>
            <w:vAlign w:val="bottom"/>
          </w:tcPr>
          <w:p>
            <w:pPr>
              <w:spacing w:after="0"/>
              <w:rPr>
                <w:sz w:val="20"/>
                <w:szCs w:val="20"/>
                <w:color w:val="auto"/>
              </w:rPr>
            </w:pPr>
            <w:r>
              <w:rPr>
                <w:rFonts w:ascii="Courier New" w:cs="Courier New" w:eastAsia="Courier New" w:hAnsi="Courier New"/>
                <w:sz w:val="16"/>
                <w:szCs w:val="16"/>
                <w:color w:val="auto"/>
              </w:rPr>
              <w:t>Interest income and other, net</w:t>
            </w:r>
          </w:p>
        </w:tc>
        <w:tc>
          <w:tcPr>
            <w:tcW w:w="420" w:type="dxa"/>
            <w:vAlign w:val="bottom"/>
          </w:tcPr>
          <w:p>
            <w:pPr>
              <w:spacing w:after="0"/>
              <w:rPr>
                <w:sz w:val="24"/>
                <w:szCs w:val="24"/>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10,899</w:t>
            </w:r>
          </w:p>
        </w:tc>
        <w:tc>
          <w:tcPr>
            <w:tcW w:w="480" w:type="dxa"/>
            <w:vAlign w:val="bottom"/>
          </w:tcPr>
          <w:p>
            <w:pPr>
              <w:spacing w:after="0"/>
              <w:rPr>
                <w:sz w:val="24"/>
                <w:szCs w:val="24"/>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10,307</w:t>
            </w:r>
          </w:p>
        </w:tc>
        <w:tc>
          <w:tcPr>
            <w:tcW w:w="380" w:type="dxa"/>
            <w:vAlign w:val="bottom"/>
          </w:tcPr>
          <w:p>
            <w:pPr>
              <w:spacing w:after="0"/>
              <w:rPr>
                <w:sz w:val="24"/>
                <w:szCs w:val="24"/>
                <w:color w:val="auto"/>
              </w:rPr>
            </w:pP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22,638</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18,721</w:t>
            </w:r>
          </w:p>
        </w:tc>
      </w:tr>
      <w:tr>
        <w:trPr>
          <w:trHeight w:val="180"/>
        </w:trPr>
        <w:tc>
          <w:tcPr>
            <w:tcW w:w="4080" w:type="dxa"/>
            <w:vAlign w:val="bottom"/>
          </w:tcPr>
          <w:p>
            <w:pPr>
              <w:spacing w:after="0"/>
              <w:rPr>
                <w:sz w:val="15"/>
                <w:szCs w:val="15"/>
                <w:color w:val="auto"/>
              </w:rPr>
            </w:pPr>
          </w:p>
        </w:tc>
        <w:tc>
          <w:tcPr>
            <w:tcW w:w="14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08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42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94,697</w:t>
            </w:r>
          </w:p>
        </w:tc>
        <w:tc>
          <w:tcPr>
            <w:tcW w:w="480" w:type="dxa"/>
            <w:vAlign w:val="bottom"/>
          </w:tcPr>
          <w:p>
            <w:pPr>
              <w:spacing w:after="0"/>
              <w:rPr>
                <w:sz w:val="15"/>
                <w:szCs w:val="15"/>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99,096</w:t>
            </w:r>
          </w:p>
        </w:tc>
        <w:tc>
          <w:tcPr>
            <w:tcW w:w="380" w:type="dxa"/>
            <w:vAlign w:val="bottom"/>
          </w:tcPr>
          <w:p>
            <w:pPr>
              <w:spacing w:after="0"/>
              <w:rPr>
                <w:sz w:val="15"/>
                <w:szCs w:val="15"/>
                <w:color w:val="auto"/>
              </w:rPr>
            </w:pP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193,942</w:t>
            </w: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190,189</w:t>
            </w:r>
          </w:p>
        </w:tc>
      </w:tr>
      <w:tr>
        <w:trPr>
          <w:trHeight w:val="180"/>
        </w:trPr>
        <w:tc>
          <w:tcPr>
            <w:tcW w:w="408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42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7,526</w:t>
            </w:r>
          </w:p>
        </w:tc>
        <w:tc>
          <w:tcPr>
            <w:tcW w:w="480" w:type="dxa"/>
            <w:vAlign w:val="bottom"/>
          </w:tcPr>
          <w:p>
            <w:pPr>
              <w:spacing w:after="0"/>
              <w:rPr>
                <w:sz w:val="15"/>
                <w:szCs w:val="15"/>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17,334</w:t>
            </w:r>
          </w:p>
        </w:tc>
        <w:tc>
          <w:tcPr>
            <w:tcW w:w="380" w:type="dxa"/>
            <w:vAlign w:val="bottom"/>
          </w:tcPr>
          <w:p>
            <w:pPr>
              <w:spacing w:after="0"/>
              <w:rPr>
                <w:sz w:val="15"/>
                <w:szCs w:val="15"/>
                <w:color w:val="auto"/>
              </w:rPr>
            </w:pP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13,429</w:t>
            </w: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33,093</w:t>
            </w:r>
          </w:p>
        </w:tc>
      </w:tr>
      <w:tr>
        <w:trPr>
          <w:trHeight w:val="180"/>
        </w:trPr>
        <w:tc>
          <w:tcPr>
            <w:tcW w:w="4080" w:type="dxa"/>
            <w:vAlign w:val="bottom"/>
          </w:tcPr>
          <w:p>
            <w:pPr>
              <w:spacing w:after="0"/>
              <w:rPr>
                <w:sz w:val="15"/>
                <w:szCs w:val="15"/>
                <w:color w:val="auto"/>
              </w:rPr>
            </w:pPr>
          </w:p>
        </w:tc>
        <w:tc>
          <w:tcPr>
            <w:tcW w:w="14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0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87,171</w:t>
            </w:r>
          </w:p>
        </w:tc>
        <w:tc>
          <w:tcPr>
            <w:tcW w:w="4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81,762</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180,513</w:t>
            </w:r>
          </w:p>
        </w:tc>
        <w:tc>
          <w:tcPr>
            <w:tcW w:w="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157,096</w:t>
            </w:r>
          </w:p>
        </w:tc>
      </w:tr>
      <w:tr>
        <w:trPr>
          <w:trHeight w:val="180"/>
        </w:trPr>
        <w:tc>
          <w:tcPr>
            <w:tcW w:w="4080" w:type="dxa"/>
            <w:vAlign w:val="bottom"/>
          </w:tcPr>
          <w:p>
            <w:pPr>
              <w:spacing w:after="0"/>
              <w:rPr>
                <w:sz w:val="15"/>
                <w:szCs w:val="15"/>
                <w:color w:val="auto"/>
              </w:rPr>
            </w:pPr>
          </w:p>
        </w:tc>
        <w:tc>
          <w:tcPr>
            <w:tcW w:w="14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408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0.42</w:t>
            </w:r>
          </w:p>
        </w:tc>
        <w:tc>
          <w:tcPr>
            <w:tcW w:w="4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0.40</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0.87</w:t>
            </w:r>
          </w:p>
        </w:tc>
        <w:tc>
          <w:tcPr>
            <w:tcW w:w="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0.78</w:t>
            </w:r>
          </w:p>
        </w:tc>
      </w:tr>
      <w:tr>
        <w:trPr>
          <w:trHeight w:val="180"/>
        </w:trPr>
        <w:tc>
          <w:tcPr>
            <w:tcW w:w="4080" w:type="dxa"/>
            <w:vAlign w:val="bottom"/>
          </w:tcPr>
          <w:p>
            <w:pPr>
              <w:spacing w:after="0"/>
              <w:rPr>
                <w:sz w:val="15"/>
                <w:szCs w:val="15"/>
                <w:color w:val="auto"/>
              </w:rPr>
            </w:pPr>
          </w:p>
        </w:tc>
        <w:tc>
          <w:tcPr>
            <w:tcW w:w="14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408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0.40</w:t>
            </w:r>
          </w:p>
        </w:tc>
        <w:tc>
          <w:tcPr>
            <w:tcW w:w="4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0.38</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0.82</w:t>
            </w:r>
          </w:p>
        </w:tc>
        <w:tc>
          <w:tcPr>
            <w:tcW w:w="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0.74</w:t>
            </w:r>
          </w:p>
        </w:tc>
      </w:tr>
      <w:tr>
        <w:trPr>
          <w:trHeight w:val="180"/>
        </w:trPr>
        <w:tc>
          <w:tcPr>
            <w:tcW w:w="4080" w:type="dxa"/>
            <w:vAlign w:val="bottom"/>
          </w:tcPr>
          <w:p>
            <w:pPr>
              <w:spacing w:after="0"/>
              <w:rPr>
                <w:sz w:val="15"/>
                <w:szCs w:val="15"/>
                <w:color w:val="auto"/>
              </w:rPr>
            </w:pPr>
          </w:p>
        </w:tc>
        <w:tc>
          <w:tcPr>
            <w:tcW w:w="14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4080" w:type="dxa"/>
            <w:vAlign w:val="bottom"/>
          </w:tcPr>
          <w:p>
            <w:pPr>
              <w:spacing w:after="0"/>
              <w:rPr>
                <w:sz w:val="20"/>
                <w:szCs w:val="20"/>
                <w:color w:val="auto"/>
              </w:rPr>
            </w:pPr>
            <w:r>
              <w:rPr>
                <w:rFonts w:ascii="Courier New" w:cs="Courier New" w:eastAsia="Courier New" w:hAnsi="Courier New"/>
                <w:sz w:val="16"/>
                <w:szCs w:val="16"/>
                <w:color w:val="auto"/>
              </w:rPr>
              <w:t>Basic weighted average number of shares</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4080" w:type="dxa"/>
            <w:vAlign w:val="bottom"/>
          </w:tcPr>
          <w:p>
            <w:pPr>
              <w:ind w:left="280"/>
              <w:spacing w:after="0"/>
              <w:rPr>
                <w:sz w:val="20"/>
                <w:szCs w:val="20"/>
                <w:color w:val="auto"/>
              </w:rPr>
            </w:pPr>
            <w:r>
              <w:rPr>
                <w:rFonts w:ascii="Courier New" w:cs="Courier New" w:eastAsia="Courier New" w:hAnsi="Courier New"/>
                <w:sz w:val="16"/>
                <w:szCs w:val="16"/>
                <w:color w:val="auto"/>
              </w:rPr>
              <w:t>outstanding</w:t>
            </w:r>
          </w:p>
        </w:tc>
        <w:tc>
          <w:tcPr>
            <w:tcW w:w="42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207,293</w:t>
            </w:r>
          </w:p>
        </w:tc>
        <w:tc>
          <w:tcPr>
            <w:tcW w:w="480" w:type="dxa"/>
            <w:vAlign w:val="bottom"/>
          </w:tcPr>
          <w:p>
            <w:pPr>
              <w:spacing w:after="0"/>
              <w:rPr>
                <w:sz w:val="15"/>
                <w:szCs w:val="15"/>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202,515</w:t>
            </w:r>
          </w:p>
        </w:tc>
        <w:tc>
          <w:tcPr>
            <w:tcW w:w="380" w:type="dxa"/>
            <w:vAlign w:val="bottom"/>
          </w:tcPr>
          <w:p>
            <w:pPr>
              <w:spacing w:after="0"/>
              <w:rPr>
                <w:sz w:val="15"/>
                <w:szCs w:val="15"/>
                <w:color w:val="auto"/>
              </w:rPr>
            </w:pP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206,867</w:t>
            </w: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201,509</w:t>
            </w:r>
          </w:p>
        </w:tc>
      </w:tr>
      <w:tr>
        <w:trPr>
          <w:trHeight w:val="180"/>
        </w:trPr>
        <w:tc>
          <w:tcPr>
            <w:tcW w:w="4080" w:type="dxa"/>
            <w:vAlign w:val="bottom"/>
          </w:tcPr>
          <w:p>
            <w:pPr>
              <w:spacing w:after="0"/>
              <w:rPr>
                <w:sz w:val="15"/>
                <w:szCs w:val="15"/>
                <w:color w:val="auto"/>
              </w:rPr>
            </w:pPr>
          </w:p>
        </w:tc>
        <w:tc>
          <w:tcPr>
            <w:tcW w:w="14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4080" w:type="dxa"/>
            <w:vAlign w:val="bottom"/>
          </w:tcPr>
          <w:p>
            <w:pPr>
              <w:spacing w:after="0"/>
              <w:rPr>
                <w:sz w:val="20"/>
                <w:szCs w:val="20"/>
                <w:color w:val="auto"/>
              </w:rPr>
            </w:pPr>
            <w:r>
              <w:rPr>
                <w:rFonts w:ascii="Courier New" w:cs="Courier New" w:eastAsia="Courier New" w:hAnsi="Courier New"/>
                <w:sz w:val="16"/>
                <w:szCs w:val="16"/>
                <w:color w:val="auto"/>
              </w:rPr>
              <w:t>Diluted weighted average number of shares</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4080" w:type="dxa"/>
            <w:vAlign w:val="bottom"/>
          </w:tcPr>
          <w:p>
            <w:pPr>
              <w:ind w:left="280"/>
              <w:spacing w:after="0"/>
              <w:rPr>
                <w:sz w:val="20"/>
                <w:szCs w:val="20"/>
                <w:color w:val="auto"/>
              </w:rPr>
            </w:pPr>
            <w:r>
              <w:rPr>
                <w:rFonts w:ascii="Courier New" w:cs="Courier New" w:eastAsia="Courier New" w:hAnsi="Courier New"/>
                <w:sz w:val="16"/>
                <w:szCs w:val="16"/>
                <w:color w:val="auto"/>
              </w:rPr>
              <w:t>outstanding</w:t>
            </w:r>
          </w:p>
        </w:tc>
        <w:tc>
          <w:tcPr>
            <w:tcW w:w="42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222,499</w:t>
            </w:r>
          </w:p>
        </w:tc>
        <w:tc>
          <w:tcPr>
            <w:tcW w:w="480" w:type="dxa"/>
            <w:vAlign w:val="bottom"/>
          </w:tcPr>
          <w:p>
            <w:pPr>
              <w:spacing w:after="0"/>
              <w:rPr>
                <w:sz w:val="15"/>
                <w:szCs w:val="15"/>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217,919</w:t>
            </w:r>
          </w:p>
        </w:tc>
        <w:tc>
          <w:tcPr>
            <w:tcW w:w="380" w:type="dxa"/>
            <w:vAlign w:val="bottom"/>
          </w:tcPr>
          <w:p>
            <w:pPr>
              <w:spacing w:after="0"/>
              <w:rPr>
                <w:sz w:val="15"/>
                <w:szCs w:val="15"/>
                <w:color w:val="auto"/>
              </w:rPr>
            </w:pP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222,608</w:t>
            </w: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216,394</w:t>
            </w:r>
          </w:p>
        </w:tc>
      </w:tr>
      <w:tr>
        <w:trPr>
          <w:trHeight w:val="180"/>
        </w:trPr>
        <w:tc>
          <w:tcPr>
            <w:tcW w:w="4080" w:type="dxa"/>
            <w:vAlign w:val="bottom"/>
          </w:tcPr>
          <w:p>
            <w:pPr>
              <w:spacing w:after="0"/>
              <w:rPr>
                <w:sz w:val="15"/>
                <w:szCs w:val="15"/>
                <w:color w:val="auto"/>
              </w:rPr>
            </w:pPr>
          </w:p>
        </w:tc>
        <w:tc>
          <w:tcPr>
            <w:tcW w:w="14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The accompanying notes are an integral part of these</w:t>
      </w:r>
    </w:p>
    <w:p>
      <w:pPr>
        <w:jc w:val="center"/>
        <w:ind w:right="2719"/>
        <w:spacing w:after="0"/>
        <w:rPr>
          <w:sz w:val="20"/>
          <w:szCs w:val="20"/>
          <w:color w:val="auto"/>
        </w:rPr>
      </w:pPr>
      <w:r>
        <w:rPr>
          <w:rFonts w:ascii="Courier New" w:cs="Courier New" w:eastAsia="Courier New" w:hAnsi="Courier New"/>
          <w:sz w:val="16"/>
          <w:szCs w:val="16"/>
          <w:color w:val="auto"/>
        </w:rPr>
        <w:t>consolidated financial statements.</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4" w:right="1440" w:bottom="1440" w:gutter="0" w:footer="0" w:header="0"/>
        </w:sectPr>
      </w:pPr>
    </w:p>
    <w:bookmarkStart w:id="4" w:name="page5"/>
    <w:bookmarkEnd w:id="4"/>
    <w:p>
      <w:pPr>
        <w:jc w:val="center"/>
        <w:ind w:right="4020"/>
        <w:spacing w:after="0"/>
        <w:rPr>
          <w:sz w:val="20"/>
          <w:szCs w:val="20"/>
          <w:color w:val="auto"/>
        </w:rPr>
      </w:pPr>
      <w:r>
        <w:rPr>
          <w:rFonts w:ascii="Courier New" w:cs="Courier New" w:eastAsia="Courier New" w:hAnsi="Courier New"/>
          <w:sz w:val="16"/>
          <w:szCs w:val="16"/>
          <w:color w:val="auto"/>
        </w:rPr>
        <w:t>AMDOCS LIMITED</w:t>
      </w:r>
    </w:p>
    <w:p>
      <w:pPr>
        <w:spacing w:after="0" w:line="179"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6"/>
          <w:szCs w:val="16"/>
          <w:color w:val="auto"/>
        </w:rPr>
        <w:t>CONSOLIDATED STATEMENT OF CHANGES IN SHAREHOLDERS' EQUITY (UNAUDITED)</w:t>
      </w:r>
    </w:p>
    <w:p>
      <w:pPr>
        <w:spacing w:after="0" w:line="179"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(dollar and share amounts in thousands)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4"/>
              </w:rPr>
              <w:t>Accumulated</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2580" w:type="dxa"/>
            <w:vAlign w:val="bottom"/>
          </w:tcPr>
          <w:p>
            <w:pPr>
              <w:spacing w:after="0"/>
              <w:rPr>
                <w:sz w:val="15"/>
                <w:szCs w:val="15"/>
                <w:color w:val="auto"/>
              </w:rPr>
            </w:pPr>
          </w:p>
        </w:tc>
        <w:tc>
          <w:tcPr>
            <w:tcW w:w="1920" w:type="dxa"/>
            <w:vAlign w:val="bottom"/>
            <w:gridSpan w:val="3"/>
          </w:tcPr>
          <w:p>
            <w:pPr>
              <w:jc w:val="right"/>
              <w:ind w:right="102"/>
              <w:spacing w:after="0"/>
              <w:rPr>
                <w:sz w:val="20"/>
                <w:szCs w:val="20"/>
                <w:color w:val="auto"/>
              </w:rPr>
            </w:pPr>
            <w:r>
              <w:rPr>
                <w:rFonts w:ascii="Courier New" w:cs="Courier New" w:eastAsia="Courier New" w:hAnsi="Courier New"/>
                <w:sz w:val="16"/>
                <w:szCs w:val="16"/>
                <w:color w:val="auto"/>
              </w:rPr>
              <w:t>Ordinary Shares</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Additional</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ind w:left="180"/>
              <w:spacing w:after="0"/>
              <w:rPr>
                <w:sz w:val="20"/>
                <w:szCs w:val="20"/>
                <w:color w:val="auto"/>
              </w:rPr>
            </w:pPr>
            <w:r>
              <w:rPr>
                <w:rFonts w:ascii="Courier New" w:cs="Courier New" w:eastAsia="Courier New" w:hAnsi="Courier New"/>
                <w:sz w:val="16"/>
                <w:szCs w:val="16"/>
                <w:color w:val="auto"/>
              </w:rPr>
              <w:t>Other</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ind w:left="280"/>
              <w:spacing w:after="0"/>
              <w:rPr>
                <w:sz w:val="20"/>
                <w:szCs w:val="20"/>
                <w:color w:val="auto"/>
              </w:rPr>
            </w:pPr>
            <w:r>
              <w:rPr>
                <w:rFonts w:ascii="Courier New" w:cs="Courier New" w:eastAsia="Courier New" w:hAnsi="Courier New"/>
                <w:sz w:val="16"/>
                <w:szCs w:val="16"/>
                <w:color w:val="auto"/>
              </w:rPr>
              <w:t>Total</w:t>
            </w:r>
          </w:p>
        </w:tc>
      </w:tr>
      <w:tr>
        <w:trPr>
          <w:trHeight w:val="180"/>
        </w:trPr>
        <w:tc>
          <w:tcPr>
            <w:tcW w:w="2580" w:type="dxa"/>
            <w:vAlign w:val="bottom"/>
          </w:tcPr>
          <w:p>
            <w:pPr>
              <w:spacing w:after="0"/>
              <w:rPr>
                <w:sz w:val="15"/>
                <w:szCs w:val="15"/>
                <w:color w:val="auto"/>
              </w:rPr>
            </w:pPr>
          </w:p>
        </w:tc>
        <w:tc>
          <w:tcPr>
            <w:tcW w:w="192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Paid-in</w:t>
            </w:r>
          </w:p>
        </w:tc>
        <w:tc>
          <w:tcPr>
            <w:tcW w:w="240" w:type="dxa"/>
            <w:vAlign w:val="bottom"/>
          </w:tcPr>
          <w:p>
            <w:pPr>
              <w:spacing w:after="0"/>
              <w:rPr>
                <w:sz w:val="15"/>
                <w:szCs w:val="15"/>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3"/>
              </w:rPr>
              <w:t>Treasury</w:t>
            </w:r>
          </w:p>
        </w:tc>
        <w:tc>
          <w:tcPr>
            <w:tcW w:w="14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Comprehensive</w:t>
            </w:r>
          </w:p>
        </w:tc>
        <w:tc>
          <w:tcPr>
            <w:tcW w:w="180" w:type="dxa"/>
            <w:vAlign w:val="bottom"/>
          </w:tcPr>
          <w:p>
            <w:pPr>
              <w:spacing w:after="0"/>
              <w:rPr>
                <w:sz w:val="15"/>
                <w:szCs w:val="15"/>
                <w:color w:val="auto"/>
              </w:rPr>
            </w:pPr>
          </w:p>
        </w:tc>
        <w:tc>
          <w:tcPr>
            <w:tcW w:w="122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3"/>
              </w:rPr>
              <w:t>Retained</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w w:val="94"/>
              </w:rPr>
              <w:t>Shareholders'</w:t>
            </w:r>
          </w:p>
        </w:tc>
      </w:tr>
      <w:tr>
        <w:trPr>
          <w:trHeight w:val="180"/>
        </w:trPr>
        <w:tc>
          <w:tcPr>
            <w:tcW w:w="2580" w:type="dxa"/>
            <w:vAlign w:val="bottom"/>
          </w:tcPr>
          <w:p>
            <w:pPr>
              <w:spacing w:after="0"/>
              <w:rPr>
                <w:sz w:val="15"/>
                <w:szCs w:val="15"/>
                <w:color w:val="auto"/>
              </w:rPr>
            </w:pP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Shares</w:t>
            </w:r>
          </w:p>
        </w:tc>
        <w:tc>
          <w:tcPr>
            <w:tcW w:w="240" w:type="dxa"/>
            <w:vAlign w:val="bottom"/>
          </w:tcPr>
          <w:p>
            <w:pPr>
              <w:spacing w:after="0"/>
              <w:rPr>
                <w:sz w:val="15"/>
                <w:szCs w:val="15"/>
                <w:color w:val="auto"/>
              </w:rPr>
            </w:pP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Amount</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Capital</w:t>
            </w:r>
          </w:p>
        </w:tc>
        <w:tc>
          <w:tcPr>
            <w:tcW w:w="240" w:type="dxa"/>
            <w:vAlign w:val="bottom"/>
          </w:tcPr>
          <w:p>
            <w:pPr>
              <w:spacing w:after="0"/>
              <w:rPr>
                <w:sz w:val="15"/>
                <w:szCs w:val="15"/>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Stock</w:t>
            </w:r>
          </w:p>
        </w:tc>
        <w:tc>
          <w:tcPr>
            <w:tcW w:w="200" w:type="dxa"/>
            <w:vAlign w:val="bottom"/>
          </w:tcPr>
          <w:p>
            <w:pPr>
              <w:spacing w:after="0"/>
              <w:rPr>
                <w:sz w:val="15"/>
                <w:szCs w:val="15"/>
                <w:color w:val="auto"/>
              </w:rPr>
            </w:pPr>
          </w:p>
        </w:tc>
        <w:tc>
          <w:tcPr>
            <w:tcW w:w="1220" w:type="dxa"/>
            <w:vAlign w:val="bottom"/>
          </w:tcPr>
          <w:p>
            <w:pPr>
              <w:ind w:left="180"/>
              <w:spacing w:after="0"/>
              <w:rPr>
                <w:sz w:val="20"/>
                <w:szCs w:val="20"/>
                <w:color w:val="auto"/>
              </w:rPr>
            </w:pPr>
            <w:r>
              <w:rPr>
                <w:rFonts w:ascii="Courier New" w:cs="Courier New" w:eastAsia="Courier New" w:hAnsi="Courier New"/>
                <w:sz w:val="16"/>
                <w:szCs w:val="16"/>
                <w:color w:val="auto"/>
              </w:rPr>
              <w:t>Income</w:t>
            </w:r>
          </w:p>
        </w:tc>
        <w:tc>
          <w:tcPr>
            <w:tcW w:w="180" w:type="dxa"/>
            <w:vAlign w:val="bottom"/>
          </w:tcPr>
          <w:p>
            <w:pPr>
              <w:spacing w:after="0"/>
              <w:rPr>
                <w:sz w:val="15"/>
                <w:szCs w:val="15"/>
                <w:color w:val="auto"/>
              </w:rPr>
            </w:pPr>
          </w:p>
        </w:tc>
        <w:tc>
          <w:tcPr>
            <w:tcW w:w="122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3"/>
              </w:rPr>
              <w:t>Earnings</w:t>
            </w:r>
          </w:p>
        </w:tc>
        <w:tc>
          <w:tcPr>
            <w:tcW w:w="380" w:type="dxa"/>
            <w:vAlign w:val="bottom"/>
          </w:tcPr>
          <w:p>
            <w:pPr>
              <w:spacing w:after="0"/>
              <w:rPr>
                <w:sz w:val="15"/>
                <w:szCs w:val="15"/>
                <w:color w:val="auto"/>
              </w:rPr>
            </w:pPr>
          </w:p>
        </w:tc>
        <w:tc>
          <w:tcPr>
            <w:tcW w:w="1200" w:type="dxa"/>
            <w:vAlign w:val="bottom"/>
          </w:tcPr>
          <w:p>
            <w:pPr>
              <w:ind w:left="280"/>
              <w:spacing w:after="0"/>
              <w:rPr>
                <w:sz w:val="20"/>
                <w:szCs w:val="20"/>
                <w:color w:val="auto"/>
              </w:rPr>
            </w:pPr>
            <w:r>
              <w:rPr>
                <w:rFonts w:ascii="Courier New" w:cs="Courier New" w:eastAsia="Courier New" w:hAnsi="Courier New"/>
                <w:sz w:val="16"/>
                <w:szCs w:val="16"/>
                <w:color w:val="auto"/>
              </w:rPr>
              <w:t>Equity</w:t>
            </w:r>
          </w:p>
        </w:tc>
      </w:tr>
      <w:tr>
        <w:trPr>
          <w:trHeight w:val="180"/>
        </w:trPr>
        <w:tc>
          <w:tcPr>
            <w:tcW w:w="2580" w:type="dxa"/>
            <w:vAlign w:val="bottom"/>
          </w:tcPr>
          <w:p>
            <w:pPr>
              <w:spacing w:after="0"/>
              <w:rPr>
                <w:sz w:val="15"/>
                <w:szCs w:val="15"/>
                <w:color w:val="auto"/>
              </w:rPr>
            </w:pP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820" w:type="dxa"/>
            <w:vAlign w:val="bottom"/>
            <w:gridSpan w:val="4"/>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2580" w:type="dxa"/>
            <w:vAlign w:val="bottom"/>
          </w:tcPr>
          <w:p>
            <w:pPr>
              <w:spacing w:after="0"/>
              <w:rPr>
                <w:sz w:val="20"/>
                <w:szCs w:val="20"/>
                <w:color w:val="auto"/>
              </w:rPr>
            </w:pPr>
            <w:r>
              <w:rPr>
                <w:rFonts w:ascii="Courier New" w:cs="Courier New" w:eastAsia="Courier New" w:hAnsi="Courier New"/>
                <w:sz w:val="16"/>
                <w:szCs w:val="16"/>
                <w:color w:val="auto"/>
              </w:rPr>
              <w:t>BALANCE AS OF SEPTEMBER</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0"/>
        </w:trPr>
        <w:tc>
          <w:tcPr>
            <w:tcW w:w="2580" w:type="dxa"/>
            <w:vAlign w:val="bottom"/>
          </w:tcPr>
          <w:p>
            <w:pPr>
              <w:ind w:left="280"/>
              <w:spacing w:after="0"/>
              <w:rPr>
                <w:sz w:val="20"/>
                <w:szCs w:val="20"/>
                <w:color w:val="auto"/>
              </w:rPr>
            </w:pPr>
            <w:r>
              <w:rPr>
                <w:rFonts w:ascii="Courier New" w:cs="Courier New" w:eastAsia="Courier New" w:hAnsi="Courier New"/>
                <w:sz w:val="16"/>
                <w:szCs w:val="16"/>
                <w:color w:val="auto"/>
              </w:rPr>
              <w:t>30, 2006</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206,793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3,763</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$ 2,035,309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(602,392)</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2,723</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714,762</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2,154,165</w:t>
            </w:r>
          </w:p>
        </w:tc>
      </w:tr>
      <w:tr>
        <w:trPr>
          <w:trHeight w:val="180"/>
        </w:trPr>
        <w:tc>
          <w:tcPr>
            <w:tcW w:w="2580" w:type="dxa"/>
            <w:vAlign w:val="bottom"/>
          </w:tcPr>
          <w:p>
            <w:pPr>
              <w:spacing w:after="0"/>
              <w:rPr>
                <w:sz w:val="20"/>
                <w:szCs w:val="20"/>
                <w:color w:val="auto"/>
              </w:rPr>
            </w:pPr>
            <w:r>
              <w:rPr>
                <w:rFonts w:ascii="Courier New" w:cs="Courier New" w:eastAsia="Courier New" w:hAnsi="Courier New"/>
                <w:sz w:val="16"/>
                <w:szCs w:val="16"/>
                <w:color w:val="auto"/>
              </w:rPr>
              <w:t>Comprehensive income:</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258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180,513</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180,513</w:t>
            </w:r>
          </w:p>
        </w:tc>
      </w:tr>
      <w:tr>
        <w:trPr>
          <w:trHeight w:val="180"/>
        </w:trPr>
        <w:tc>
          <w:tcPr>
            <w:tcW w:w="2580" w:type="dxa"/>
            <w:vAlign w:val="bottom"/>
          </w:tcPr>
          <w:p>
            <w:pPr>
              <w:ind w:left="180"/>
              <w:spacing w:after="0"/>
              <w:rPr>
                <w:sz w:val="20"/>
                <w:szCs w:val="20"/>
                <w:color w:val="auto"/>
              </w:rPr>
            </w:pPr>
            <w:r>
              <w:rPr>
                <w:rFonts w:ascii="Courier New" w:cs="Courier New" w:eastAsia="Courier New" w:hAnsi="Courier New"/>
                <w:sz w:val="16"/>
                <w:szCs w:val="16"/>
                <w:color w:val="auto"/>
              </w:rPr>
              <w:t>Unrealized gain on</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2580" w:type="dxa"/>
            <w:vAlign w:val="bottom"/>
          </w:tcPr>
          <w:p>
            <w:pPr>
              <w:ind w:left="460"/>
              <w:spacing w:after="0"/>
              <w:rPr>
                <w:sz w:val="20"/>
                <w:szCs w:val="20"/>
                <w:color w:val="auto"/>
              </w:rPr>
            </w:pPr>
            <w:r>
              <w:rPr>
                <w:rFonts w:ascii="Courier New" w:cs="Courier New" w:eastAsia="Courier New" w:hAnsi="Courier New"/>
                <w:sz w:val="16"/>
                <w:szCs w:val="16"/>
                <w:color w:val="auto"/>
              </w:rPr>
              <w:t>foreign currency</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2580" w:type="dxa"/>
            <w:vAlign w:val="bottom"/>
          </w:tcPr>
          <w:p>
            <w:pPr>
              <w:ind w:left="460"/>
              <w:spacing w:after="0"/>
              <w:rPr>
                <w:sz w:val="20"/>
                <w:szCs w:val="20"/>
                <w:color w:val="auto"/>
              </w:rPr>
            </w:pPr>
            <w:r>
              <w:rPr>
                <w:rFonts w:ascii="Courier New" w:cs="Courier New" w:eastAsia="Courier New" w:hAnsi="Courier New"/>
                <w:sz w:val="16"/>
                <w:szCs w:val="16"/>
                <w:color w:val="auto"/>
              </w:rPr>
              <w:t>hedging contracts,</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2580" w:type="dxa"/>
            <w:vAlign w:val="bottom"/>
          </w:tcPr>
          <w:p>
            <w:pPr>
              <w:ind w:left="460"/>
              <w:spacing w:after="0"/>
              <w:rPr>
                <w:sz w:val="20"/>
                <w:szCs w:val="20"/>
                <w:color w:val="auto"/>
              </w:rPr>
            </w:pPr>
            <w:r>
              <w:rPr>
                <w:rFonts w:ascii="Courier New" w:cs="Courier New" w:eastAsia="Courier New" w:hAnsi="Courier New"/>
                <w:sz w:val="16"/>
                <w:szCs w:val="16"/>
                <w:color w:val="auto"/>
              </w:rPr>
              <w:t>net of $807 tax</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1,499</w:t>
            </w:r>
          </w:p>
        </w:tc>
        <w:tc>
          <w:tcPr>
            <w:tcW w:w="18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1,499</w:t>
            </w:r>
          </w:p>
        </w:tc>
      </w:tr>
      <w:tr>
        <w:trPr>
          <w:trHeight w:val="180"/>
        </w:trPr>
        <w:tc>
          <w:tcPr>
            <w:tcW w:w="2580" w:type="dxa"/>
            <w:vAlign w:val="bottom"/>
          </w:tcPr>
          <w:p>
            <w:pPr>
              <w:ind w:left="180"/>
              <w:spacing w:after="0"/>
              <w:rPr>
                <w:sz w:val="20"/>
                <w:szCs w:val="20"/>
                <w:color w:val="auto"/>
              </w:rPr>
            </w:pPr>
            <w:r>
              <w:rPr>
                <w:rFonts w:ascii="Courier New" w:cs="Courier New" w:eastAsia="Courier New" w:hAnsi="Courier New"/>
                <w:sz w:val="16"/>
                <w:szCs w:val="16"/>
                <w:color w:val="auto"/>
              </w:rPr>
              <w:t>Unrealized gain on</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2580" w:type="dxa"/>
            <w:vAlign w:val="bottom"/>
          </w:tcPr>
          <w:p>
            <w:pPr>
              <w:ind w:left="460"/>
              <w:spacing w:after="0"/>
              <w:rPr>
                <w:sz w:val="20"/>
                <w:szCs w:val="20"/>
                <w:color w:val="auto"/>
              </w:rPr>
            </w:pPr>
            <w:r>
              <w:rPr>
                <w:rFonts w:ascii="Courier New" w:cs="Courier New" w:eastAsia="Courier New" w:hAnsi="Courier New"/>
                <w:sz w:val="16"/>
                <w:szCs w:val="16"/>
                <w:color w:val="auto"/>
              </w:rPr>
              <w:t>short-term</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2580" w:type="dxa"/>
            <w:vAlign w:val="bottom"/>
          </w:tcPr>
          <w:p>
            <w:pPr>
              <w:ind w:left="460"/>
              <w:spacing w:after="0"/>
              <w:rPr>
                <w:sz w:val="20"/>
                <w:szCs w:val="20"/>
                <w:color w:val="auto"/>
              </w:rPr>
            </w:pPr>
            <w:r>
              <w:rPr>
                <w:rFonts w:ascii="Courier New" w:cs="Courier New" w:eastAsia="Courier New" w:hAnsi="Courier New"/>
                <w:sz w:val="16"/>
                <w:szCs w:val="16"/>
                <w:color w:val="auto"/>
              </w:rPr>
              <w:t>interest-bearing</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2580" w:type="dxa"/>
            <w:vAlign w:val="bottom"/>
          </w:tcPr>
          <w:p>
            <w:pPr>
              <w:ind w:left="460"/>
              <w:spacing w:after="0"/>
              <w:rPr>
                <w:sz w:val="20"/>
                <w:szCs w:val="20"/>
                <w:color w:val="auto"/>
              </w:rPr>
            </w:pPr>
            <w:r>
              <w:rPr>
                <w:rFonts w:ascii="Courier New" w:cs="Courier New" w:eastAsia="Courier New" w:hAnsi="Courier New"/>
                <w:sz w:val="16"/>
                <w:szCs w:val="16"/>
                <w:color w:val="auto"/>
              </w:rPr>
              <w:t>investments, net of</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2580" w:type="dxa"/>
            <w:vAlign w:val="bottom"/>
          </w:tcPr>
          <w:p>
            <w:pPr>
              <w:ind w:left="460"/>
              <w:spacing w:after="0"/>
              <w:rPr>
                <w:sz w:val="20"/>
                <w:szCs w:val="20"/>
                <w:color w:val="auto"/>
              </w:rPr>
            </w:pPr>
            <w:r>
              <w:rPr>
                <w:rFonts w:ascii="Courier New" w:cs="Courier New" w:eastAsia="Courier New" w:hAnsi="Courier New"/>
                <w:sz w:val="16"/>
                <w:szCs w:val="16"/>
                <w:color w:val="auto"/>
              </w:rPr>
              <w:t>$(6) tax</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415</w:t>
            </w:r>
          </w:p>
        </w:tc>
        <w:tc>
          <w:tcPr>
            <w:tcW w:w="18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415</w:t>
            </w:r>
          </w:p>
        </w:tc>
      </w:tr>
      <w:tr>
        <w:trPr>
          <w:trHeight w:val="180"/>
        </w:trPr>
        <w:tc>
          <w:tcPr>
            <w:tcW w:w="2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580" w:type="dxa"/>
            <w:vAlign w:val="bottom"/>
          </w:tcPr>
          <w:p>
            <w:pPr>
              <w:ind w:left="180"/>
              <w:spacing w:after="0"/>
              <w:rPr>
                <w:sz w:val="20"/>
                <w:szCs w:val="20"/>
                <w:color w:val="auto"/>
              </w:rPr>
            </w:pPr>
            <w:r>
              <w:rPr>
                <w:rFonts w:ascii="Courier New" w:cs="Courier New" w:eastAsia="Courier New" w:hAnsi="Courier New"/>
                <w:sz w:val="16"/>
                <w:szCs w:val="16"/>
                <w:color w:val="auto"/>
              </w:rPr>
              <w:t>Comprehensive income</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182,427</w:t>
            </w:r>
          </w:p>
        </w:tc>
      </w:tr>
      <w:tr>
        <w:trPr>
          <w:trHeight w:val="180"/>
        </w:trPr>
        <w:tc>
          <w:tcPr>
            <w:tcW w:w="2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580" w:type="dxa"/>
            <w:vAlign w:val="bottom"/>
          </w:tcPr>
          <w:p>
            <w:pPr>
              <w:spacing w:after="0"/>
              <w:rPr>
                <w:sz w:val="20"/>
                <w:szCs w:val="20"/>
                <w:color w:val="auto"/>
              </w:rPr>
            </w:pPr>
            <w:r>
              <w:rPr>
                <w:rFonts w:ascii="Courier New" w:cs="Courier New" w:eastAsia="Courier New" w:hAnsi="Courier New"/>
                <w:sz w:val="16"/>
                <w:szCs w:val="16"/>
                <w:color w:val="auto"/>
              </w:rPr>
              <w:t>Employee stock options</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2580" w:type="dxa"/>
            <w:vAlign w:val="bottom"/>
          </w:tcPr>
          <w:p>
            <w:pPr>
              <w:ind w:left="280"/>
              <w:spacing w:after="0"/>
              <w:rPr>
                <w:sz w:val="20"/>
                <w:szCs w:val="20"/>
                <w:color w:val="auto"/>
              </w:rPr>
            </w:pPr>
            <w:r>
              <w:rPr>
                <w:rFonts w:ascii="Courier New" w:cs="Courier New" w:eastAsia="Courier New" w:hAnsi="Courier New"/>
                <w:sz w:val="16"/>
                <w:szCs w:val="16"/>
                <w:color w:val="auto"/>
              </w:rPr>
              <w:t>exercised</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1,474</w:t>
            </w:r>
          </w:p>
        </w:tc>
        <w:tc>
          <w:tcPr>
            <w:tcW w:w="240" w:type="dxa"/>
            <w:vAlign w:val="bottom"/>
          </w:tcPr>
          <w:p>
            <w:pPr>
              <w:spacing w:after="0"/>
              <w:rPr>
                <w:sz w:val="15"/>
                <w:szCs w:val="15"/>
                <w:color w:val="auto"/>
              </w:rPr>
            </w:pP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28,919</w:t>
            </w:r>
          </w:p>
        </w:tc>
        <w:tc>
          <w:tcPr>
            <w:tcW w:w="24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28,948</w:t>
            </w:r>
          </w:p>
        </w:tc>
      </w:tr>
      <w:tr>
        <w:trPr>
          <w:trHeight w:val="180"/>
        </w:trPr>
        <w:tc>
          <w:tcPr>
            <w:tcW w:w="2580" w:type="dxa"/>
            <w:vAlign w:val="bottom"/>
          </w:tcPr>
          <w:p>
            <w:pPr>
              <w:spacing w:after="0"/>
              <w:rPr>
                <w:sz w:val="20"/>
                <w:szCs w:val="20"/>
                <w:color w:val="auto"/>
              </w:rPr>
            </w:pPr>
            <w:r>
              <w:rPr>
                <w:rFonts w:ascii="Courier New" w:cs="Courier New" w:eastAsia="Courier New" w:hAnsi="Courier New"/>
                <w:sz w:val="16"/>
                <w:szCs w:val="16"/>
                <w:color w:val="auto"/>
              </w:rPr>
              <w:t>Issuance of restricted</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2580" w:type="dxa"/>
            <w:vAlign w:val="bottom"/>
          </w:tcPr>
          <w:p>
            <w:pPr>
              <w:ind w:left="280"/>
              <w:spacing w:after="0"/>
              <w:rPr>
                <w:sz w:val="20"/>
                <w:szCs w:val="20"/>
                <w:color w:val="auto"/>
              </w:rPr>
            </w:pPr>
            <w:r>
              <w:rPr>
                <w:rFonts w:ascii="Courier New" w:cs="Courier New" w:eastAsia="Courier New" w:hAnsi="Courier New"/>
                <w:sz w:val="16"/>
                <w:szCs w:val="16"/>
                <w:color w:val="auto"/>
              </w:rPr>
              <w:t>stock, net of</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2580" w:type="dxa"/>
            <w:vAlign w:val="bottom"/>
          </w:tcPr>
          <w:p>
            <w:pPr>
              <w:ind w:left="280"/>
              <w:spacing w:after="0"/>
              <w:rPr>
                <w:sz w:val="20"/>
                <w:szCs w:val="20"/>
                <w:color w:val="auto"/>
              </w:rPr>
            </w:pPr>
            <w:r>
              <w:rPr>
                <w:rFonts w:ascii="Courier New" w:cs="Courier New" w:eastAsia="Courier New" w:hAnsi="Courier New"/>
                <w:sz w:val="16"/>
                <w:szCs w:val="16"/>
                <w:color w:val="auto"/>
              </w:rPr>
              <w:t>cancellations</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281</w:t>
            </w:r>
          </w:p>
        </w:tc>
        <w:tc>
          <w:tcPr>
            <w:tcW w:w="240" w:type="dxa"/>
            <w:vAlign w:val="bottom"/>
          </w:tcPr>
          <w:p>
            <w:pPr>
              <w:spacing w:after="0"/>
              <w:rPr>
                <w:sz w:val="15"/>
                <w:szCs w:val="15"/>
                <w:color w:val="auto"/>
              </w:rPr>
            </w:pP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0"/>
        </w:trPr>
        <w:tc>
          <w:tcPr>
            <w:tcW w:w="2580" w:type="dxa"/>
            <w:vAlign w:val="bottom"/>
          </w:tcPr>
          <w:p>
            <w:pPr>
              <w:spacing w:after="0"/>
              <w:rPr>
                <w:sz w:val="20"/>
                <w:szCs w:val="20"/>
                <w:color w:val="auto"/>
              </w:rPr>
            </w:pPr>
            <w:r>
              <w:rPr>
                <w:rFonts w:ascii="Courier New" w:cs="Courier New" w:eastAsia="Courier New" w:hAnsi="Courier New"/>
                <w:sz w:val="16"/>
                <w:szCs w:val="16"/>
                <w:color w:val="auto"/>
              </w:rPr>
              <w:t>Issuance of stock options</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2580" w:type="dxa"/>
            <w:vAlign w:val="bottom"/>
          </w:tcPr>
          <w:p>
            <w:pPr>
              <w:ind w:left="280"/>
              <w:spacing w:after="0"/>
              <w:rPr>
                <w:sz w:val="20"/>
                <w:szCs w:val="20"/>
                <w:color w:val="auto"/>
              </w:rPr>
            </w:pPr>
            <w:r>
              <w:rPr>
                <w:rFonts w:ascii="Courier New" w:cs="Courier New" w:eastAsia="Courier New" w:hAnsi="Courier New"/>
                <w:sz w:val="16"/>
                <w:szCs w:val="16"/>
                <w:color w:val="auto"/>
              </w:rPr>
              <w:t>related to acquisition</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768</w:t>
            </w:r>
          </w:p>
        </w:tc>
        <w:tc>
          <w:tcPr>
            <w:tcW w:w="24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768</w:t>
            </w:r>
          </w:p>
        </w:tc>
      </w:tr>
      <w:tr>
        <w:trPr>
          <w:trHeight w:val="180"/>
        </w:trPr>
        <w:tc>
          <w:tcPr>
            <w:tcW w:w="2580" w:type="dxa"/>
            <w:vAlign w:val="bottom"/>
          </w:tcPr>
          <w:p>
            <w:pPr>
              <w:spacing w:after="0"/>
              <w:rPr>
                <w:sz w:val="20"/>
                <w:szCs w:val="20"/>
                <w:color w:val="auto"/>
              </w:rPr>
            </w:pPr>
            <w:r>
              <w:rPr>
                <w:rFonts w:ascii="Courier New" w:cs="Courier New" w:eastAsia="Courier New" w:hAnsi="Courier New"/>
                <w:sz w:val="16"/>
                <w:szCs w:val="16"/>
                <w:color w:val="auto"/>
              </w:rPr>
              <w:t>Tax benefit of stock</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2580" w:type="dxa"/>
            <w:vAlign w:val="bottom"/>
          </w:tcPr>
          <w:p>
            <w:pPr>
              <w:ind w:left="280"/>
              <w:spacing w:after="0"/>
              <w:rPr>
                <w:sz w:val="20"/>
                <w:szCs w:val="20"/>
                <w:color w:val="auto"/>
              </w:rPr>
            </w:pPr>
            <w:r>
              <w:rPr>
                <w:rFonts w:ascii="Courier New" w:cs="Courier New" w:eastAsia="Courier New" w:hAnsi="Courier New"/>
                <w:sz w:val="16"/>
                <w:szCs w:val="16"/>
                <w:color w:val="auto"/>
              </w:rPr>
              <w:t>options exercised and</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2580" w:type="dxa"/>
            <w:vAlign w:val="bottom"/>
          </w:tcPr>
          <w:p>
            <w:pPr>
              <w:ind w:left="280"/>
              <w:spacing w:after="0"/>
              <w:rPr>
                <w:sz w:val="20"/>
                <w:szCs w:val="20"/>
                <w:color w:val="auto"/>
              </w:rPr>
            </w:pPr>
            <w:r>
              <w:rPr>
                <w:rFonts w:ascii="Courier New" w:cs="Courier New" w:eastAsia="Courier New" w:hAnsi="Courier New"/>
                <w:sz w:val="16"/>
                <w:szCs w:val="16"/>
                <w:color w:val="auto"/>
              </w:rPr>
              <w:t>restricted stock vested</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1,963</w:t>
            </w:r>
          </w:p>
        </w:tc>
        <w:tc>
          <w:tcPr>
            <w:tcW w:w="24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1,963</w:t>
            </w:r>
          </w:p>
        </w:tc>
      </w:tr>
      <w:tr>
        <w:trPr>
          <w:trHeight w:val="180"/>
        </w:trPr>
        <w:tc>
          <w:tcPr>
            <w:tcW w:w="2580" w:type="dxa"/>
            <w:vAlign w:val="bottom"/>
          </w:tcPr>
          <w:p>
            <w:pPr>
              <w:spacing w:after="0"/>
              <w:rPr>
                <w:sz w:val="20"/>
                <w:szCs w:val="20"/>
                <w:color w:val="auto"/>
              </w:rPr>
            </w:pPr>
            <w:r>
              <w:rPr>
                <w:rFonts w:ascii="Courier New" w:cs="Courier New" w:eastAsia="Courier New" w:hAnsi="Courier New"/>
                <w:sz w:val="16"/>
                <w:szCs w:val="16"/>
                <w:color w:val="auto"/>
              </w:rPr>
              <w:t>Equity-based compensation</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2580" w:type="dxa"/>
            <w:vAlign w:val="bottom"/>
          </w:tcPr>
          <w:p>
            <w:pPr>
              <w:ind w:left="280"/>
              <w:spacing w:after="0"/>
              <w:rPr>
                <w:sz w:val="20"/>
                <w:szCs w:val="20"/>
                <w:color w:val="auto"/>
              </w:rPr>
            </w:pPr>
            <w:r>
              <w:rPr>
                <w:rFonts w:ascii="Courier New" w:cs="Courier New" w:eastAsia="Courier New" w:hAnsi="Courier New"/>
                <w:sz w:val="16"/>
                <w:szCs w:val="16"/>
                <w:color w:val="auto"/>
              </w:rPr>
              <w:t>expense related to</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2580" w:type="dxa"/>
            <w:vAlign w:val="bottom"/>
          </w:tcPr>
          <w:p>
            <w:pPr>
              <w:ind w:left="280"/>
              <w:spacing w:after="0"/>
              <w:rPr>
                <w:sz w:val="20"/>
                <w:szCs w:val="20"/>
                <w:color w:val="auto"/>
              </w:rPr>
            </w:pPr>
            <w:r>
              <w:rPr>
                <w:rFonts w:ascii="Courier New" w:cs="Courier New" w:eastAsia="Courier New" w:hAnsi="Courier New"/>
                <w:sz w:val="16"/>
                <w:szCs w:val="16"/>
                <w:color w:val="auto"/>
              </w:rPr>
              <w:t>employees</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27,291</w:t>
            </w:r>
          </w:p>
        </w:tc>
        <w:tc>
          <w:tcPr>
            <w:tcW w:w="24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27,291</w:t>
            </w:r>
          </w:p>
        </w:tc>
      </w:tr>
      <w:tr>
        <w:trPr>
          <w:trHeight w:val="180"/>
        </w:trPr>
        <w:tc>
          <w:tcPr>
            <w:tcW w:w="2580" w:type="dxa"/>
            <w:vAlign w:val="bottom"/>
          </w:tcPr>
          <w:p>
            <w:pPr>
              <w:spacing w:after="0"/>
              <w:rPr>
                <w:sz w:val="20"/>
                <w:szCs w:val="20"/>
                <w:color w:val="auto"/>
              </w:rPr>
            </w:pPr>
            <w:r>
              <w:rPr>
                <w:rFonts w:ascii="Courier New" w:cs="Courier New" w:eastAsia="Courier New" w:hAnsi="Courier New"/>
                <w:sz w:val="16"/>
                <w:szCs w:val="16"/>
                <w:color w:val="auto"/>
              </w:rPr>
              <w:t>Equity-based compensation</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2580" w:type="dxa"/>
            <w:vAlign w:val="bottom"/>
          </w:tcPr>
          <w:p>
            <w:pPr>
              <w:ind w:left="280"/>
              <w:spacing w:after="0"/>
              <w:rPr>
                <w:sz w:val="20"/>
                <w:szCs w:val="20"/>
                <w:color w:val="auto"/>
              </w:rPr>
            </w:pPr>
            <w:r>
              <w:rPr>
                <w:rFonts w:ascii="Courier New" w:cs="Courier New" w:eastAsia="Courier New" w:hAnsi="Courier New"/>
                <w:sz w:val="16"/>
                <w:szCs w:val="16"/>
                <w:color w:val="auto"/>
              </w:rPr>
              <w:t>expense related to non</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2580" w:type="dxa"/>
            <w:vAlign w:val="bottom"/>
          </w:tcPr>
          <w:p>
            <w:pPr>
              <w:ind w:left="280"/>
              <w:spacing w:after="0"/>
              <w:rPr>
                <w:sz w:val="20"/>
                <w:szCs w:val="20"/>
                <w:color w:val="auto"/>
              </w:rPr>
            </w:pPr>
            <w:r>
              <w:rPr>
                <w:rFonts w:ascii="Courier New" w:cs="Courier New" w:eastAsia="Courier New" w:hAnsi="Courier New"/>
                <w:sz w:val="16"/>
                <w:szCs w:val="16"/>
                <w:color w:val="auto"/>
              </w:rPr>
              <w:t>employee stock options</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w:t>
            </w:r>
          </w:p>
        </w:tc>
        <w:tc>
          <w:tcPr>
            <w:tcW w:w="24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0"/>
        </w:trPr>
        <w:tc>
          <w:tcPr>
            <w:tcW w:w="2580" w:type="dxa"/>
            <w:vAlign w:val="bottom"/>
          </w:tcPr>
          <w:p>
            <w:pPr>
              <w:spacing w:after="0"/>
              <w:rPr>
                <w:sz w:val="15"/>
                <w:szCs w:val="15"/>
                <w:color w:val="auto"/>
              </w:rPr>
            </w:pP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580" w:type="dxa"/>
            <w:vAlign w:val="bottom"/>
          </w:tcPr>
          <w:p>
            <w:pPr>
              <w:spacing w:after="0"/>
              <w:rPr>
                <w:sz w:val="20"/>
                <w:szCs w:val="20"/>
                <w:color w:val="auto"/>
              </w:rPr>
            </w:pPr>
            <w:r>
              <w:rPr>
                <w:rFonts w:ascii="Courier New" w:cs="Courier New" w:eastAsia="Courier New" w:hAnsi="Courier New"/>
                <w:sz w:val="16"/>
                <w:szCs w:val="16"/>
                <w:color w:val="auto"/>
              </w:rPr>
              <w:t>BALANCE AS OF  MARCH 31,</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2580" w:type="dxa"/>
            <w:vAlign w:val="bottom"/>
          </w:tcPr>
          <w:p>
            <w:pPr>
              <w:ind w:left="280"/>
              <w:spacing w:after="0"/>
              <w:rPr>
                <w:sz w:val="20"/>
                <w:szCs w:val="20"/>
                <w:color w:val="auto"/>
              </w:rPr>
            </w:pPr>
            <w:r>
              <w:rPr>
                <w:rFonts w:ascii="Courier New" w:cs="Courier New" w:eastAsia="Courier New" w:hAnsi="Courier New"/>
                <w:sz w:val="16"/>
                <w:szCs w:val="16"/>
                <w:color w:val="auto"/>
              </w:rPr>
              <w:t>2007</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208,548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3,797</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$ 2,094,269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(602,392)</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4,637</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895,275</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2,395,586</w:t>
            </w:r>
          </w:p>
        </w:tc>
      </w:tr>
      <w:tr>
        <w:trPr>
          <w:trHeight w:val="180"/>
        </w:trPr>
        <w:tc>
          <w:tcPr>
            <w:tcW w:w="2580" w:type="dxa"/>
            <w:vAlign w:val="bottom"/>
          </w:tcPr>
          <w:p>
            <w:pPr>
              <w:spacing w:after="0"/>
              <w:rPr>
                <w:sz w:val="15"/>
                <w:szCs w:val="15"/>
                <w:color w:val="auto"/>
              </w:rPr>
            </w:pP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right="4300"/>
        <w:spacing w:after="0" w:line="237" w:lineRule="auto"/>
        <w:rPr>
          <w:sz w:val="20"/>
          <w:szCs w:val="20"/>
          <w:color w:val="auto"/>
        </w:rPr>
      </w:pPr>
      <w:r>
        <w:rPr>
          <w:rFonts w:ascii="Courier New" w:cs="Courier New" w:eastAsia="Courier New" w:hAnsi="Courier New"/>
          <w:sz w:val="16"/>
          <w:szCs w:val="16"/>
          <w:color w:val="auto"/>
        </w:rPr>
        <w:t>As of March 31, 2007 and September 30, 2006, accumulated other comprehensive income is comprised of unrealized gain on foreign currency hedging contracts, net of tax, of $4,340 and $2,841, respectively, and unrealized gain (loss) on short-term interest-bearing investments, net of tax, of $297 and $(118), respectively.</w:t>
      </w:r>
    </w:p>
    <w:p>
      <w:pPr>
        <w:spacing w:after="0" w:line="182" w:lineRule="exact"/>
        <w:rPr>
          <w:sz w:val="20"/>
          <w:szCs w:val="20"/>
          <w:color w:val="auto"/>
        </w:rPr>
      </w:pPr>
    </w:p>
    <w:p>
      <w:pPr>
        <w:jc w:val="center"/>
        <w:ind w:right="4020"/>
        <w:spacing w:after="0"/>
        <w:rPr>
          <w:sz w:val="20"/>
          <w:szCs w:val="20"/>
          <w:color w:val="auto"/>
        </w:rPr>
      </w:pPr>
      <w:r>
        <w:rPr>
          <w:rFonts w:ascii="Courier New" w:cs="Courier New" w:eastAsia="Courier New" w:hAnsi="Courier New"/>
          <w:sz w:val="16"/>
          <w:szCs w:val="16"/>
          <w:color w:val="auto"/>
        </w:rPr>
        <w:t>The accompanying notes are an integral part of these</w:t>
      </w:r>
    </w:p>
    <w:p>
      <w:pPr>
        <w:jc w:val="center"/>
        <w:ind w:right="4020"/>
        <w:spacing w:after="0"/>
        <w:rPr>
          <w:sz w:val="20"/>
          <w:szCs w:val="20"/>
          <w:color w:val="auto"/>
        </w:rPr>
      </w:pPr>
      <w:r>
        <w:rPr>
          <w:rFonts w:ascii="Courier New" w:cs="Courier New" w:eastAsia="Courier New" w:hAnsi="Courier New"/>
          <w:sz w:val="16"/>
          <w:szCs w:val="16"/>
          <w:color w:val="auto"/>
        </w:rPr>
        <w:t>consolidated financial statements.</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520"/>
          </w:cols>
          <w:pgMar w:left="240" w:top="654" w:right="139" w:bottom="1440" w:gutter="0" w:footer="0" w:header="0"/>
        </w:sectPr>
      </w:pPr>
    </w:p>
    <w:bookmarkStart w:id="5" w:name="page6"/>
    <w:bookmarkEnd w:id="5"/>
    <w:p>
      <w:pPr>
        <w:jc w:val="center"/>
        <w:ind w:right="2719"/>
        <w:spacing w:after="0"/>
        <w:rPr>
          <w:sz w:val="20"/>
          <w:szCs w:val="20"/>
          <w:color w:val="auto"/>
        </w:rPr>
      </w:pPr>
      <w:r>
        <w:rPr>
          <w:rFonts w:ascii="Courier New" w:cs="Courier New" w:eastAsia="Courier New" w:hAnsi="Courier New"/>
          <w:sz w:val="16"/>
          <w:szCs w:val="16"/>
          <w:color w:val="auto"/>
        </w:rPr>
        <w:t>AMDOCS LIMITED</w:t>
      </w:r>
    </w:p>
    <w:p>
      <w:pPr>
        <w:spacing w:after="0" w:line="179"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CONSOLIDATED STATEMENTS OF CASH FLOWS (UNAUDITED)</w:t>
      </w:r>
    </w:p>
    <w:p>
      <w:pPr>
        <w:spacing w:after="0" w:line="17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(dollar in thousands)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60" w:type="dxa"/>
            <w:vAlign w:val="bottom"/>
            <w:gridSpan w:val="3"/>
          </w:tcPr>
          <w:p>
            <w:pPr>
              <w:jc w:val="right"/>
              <w:ind w:right="402"/>
              <w:spacing w:after="0"/>
              <w:rPr>
                <w:sz w:val="20"/>
                <w:szCs w:val="20"/>
                <w:color w:val="auto"/>
              </w:rPr>
            </w:pPr>
            <w:r>
              <w:rPr>
                <w:rFonts w:ascii="Courier New" w:cs="Courier New" w:eastAsia="Courier New" w:hAnsi="Courier New"/>
                <w:sz w:val="16"/>
                <w:szCs w:val="16"/>
                <w:color w:val="auto"/>
                <w:w w:val="98"/>
              </w:rPr>
              <w:t>SIX MONTHS ENDED MARCH 31,</w:t>
            </w:r>
          </w:p>
        </w:tc>
      </w:tr>
      <w:tr>
        <w:trPr>
          <w:trHeight w:val="180"/>
        </w:trPr>
        <w:tc>
          <w:tcPr>
            <w:tcW w:w="5540" w:type="dxa"/>
            <w:vAlign w:val="bottom"/>
          </w:tcPr>
          <w:p>
            <w:pPr>
              <w:spacing w:after="0"/>
              <w:rPr>
                <w:sz w:val="15"/>
                <w:szCs w:val="15"/>
                <w:color w:val="auto"/>
              </w:rPr>
            </w:pPr>
          </w:p>
        </w:tc>
        <w:tc>
          <w:tcPr>
            <w:tcW w:w="3280" w:type="dxa"/>
            <w:vAlign w:val="bottom"/>
            <w:gridSpan w:val="4"/>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2007</w:t>
            </w:r>
          </w:p>
        </w:tc>
        <w:tc>
          <w:tcPr>
            <w:tcW w:w="560" w:type="dxa"/>
            <w:vAlign w:val="bottom"/>
          </w:tcPr>
          <w:p>
            <w:pPr>
              <w:spacing w:after="0"/>
              <w:rPr>
                <w:sz w:val="15"/>
                <w:szCs w:val="15"/>
                <w:color w:val="auto"/>
              </w:rPr>
            </w:pPr>
          </w:p>
        </w:tc>
        <w:tc>
          <w:tcPr>
            <w:tcW w:w="10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2006</w:t>
            </w:r>
          </w:p>
        </w:tc>
      </w:tr>
      <w:tr>
        <w:trPr>
          <w:trHeight w:val="180"/>
        </w:trPr>
        <w:tc>
          <w:tcPr>
            <w:tcW w:w="5540" w:type="dxa"/>
            <w:vAlign w:val="bottom"/>
          </w:tcPr>
          <w:p>
            <w:pPr>
              <w:spacing w:after="0"/>
              <w:rPr>
                <w:sz w:val="15"/>
                <w:szCs w:val="15"/>
                <w:color w:val="auto"/>
              </w:rPr>
            </w:pPr>
          </w:p>
        </w:tc>
        <w:tc>
          <w:tcPr>
            <w:tcW w:w="1640" w:type="dxa"/>
            <w:vAlign w:val="bottom"/>
            <w:gridSpan w:val="2"/>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361"/>
        </w:trPr>
        <w:tc>
          <w:tcPr>
            <w:tcW w:w="5540" w:type="dxa"/>
            <w:vAlign w:val="bottom"/>
          </w:tcPr>
          <w:p>
            <w:pPr>
              <w:spacing w:after="0"/>
              <w:rPr>
                <w:sz w:val="20"/>
                <w:szCs w:val="20"/>
                <w:color w:val="auto"/>
              </w:rPr>
            </w:pPr>
            <w:r>
              <w:rPr>
                <w:rFonts w:ascii="Courier New" w:cs="Courier New" w:eastAsia="Courier New" w:hAnsi="Courier New"/>
                <w:sz w:val="16"/>
                <w:szCs w:val="16"/>
                <w:color w:val="auto"/>
              </w:rPr>
              <w:t>CASH FLOW FROM OPERATING ACTIVITIES:</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180,513</w:t>
            </w:r>
          </w:p>
        </w:tc>
        <w:tc>
          <w:tcPr>
            <w:tcW w:w="56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157,096</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rPr>
              <w:t>Reconciliation of net income to net cash provided by</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operating activities:</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540" w:type="dxa"/>
            <w:vAlign w:val="bottom"/>
          </w:tcPr>
          <w:p>
            <w:pPr>
              <w:ind w:left="280"/>
              <w:spacing w:after="0"/>
              <w:rPr>
                <w:sz w:val="20"/>
                <w:szCs w:val="20"/>
                <w:color w:val="auto"/>
              </w:rPr>
            </w:pPr>
            <w:r>
              <w:rPr>
                <w:rFonts w:ascii="Courier New" w:cs="Courier New" w:eastAsia="Courier New" w:hAnsi="Courier New"/>
                <w:sz w:val="16"/>
                <w:szCs w:val="16"/>
                <w:color w:val="auto"/>
              </w:rPr>
              <w:t>Depreciation and amortization</w:t>
            </w:r>
          </w:p>
        </w:tc>
        <w:tc>
          <w:tcPr>
            <w:tcW w:w="320" w:type="dxa"/>
            <w:vAlign w:val="bottom"/>
          </w:tcPr>
          <w:p>
            <w:pPr>
              <w:spacing w:after="0"/>
              <w:rPr>
                <w:sz w:val="15"/>
                <w:szCs w:val="15"/>
                <w:color w:val="auto"/>
              </w:rPr>
            </w:pPr>
          </w:p>
        </w:tc>
        <w:tc>
          <w:tcPr>
            <w:tcW w:w="13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77,805</w:t>
            </w:r>
          </w:p>
        </w:tc>
        <w:tc>
          <w:tcPr>
            <w:tcW w:w="56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54,131</w:t>
            </w:r>
          </w:p>
        </w:tc>
      </w:tr>
      <w:tr>
        <w:trPr>
          <w:trHeight w:val="180"/>
        </w:trPr>
        <w:tc>
          <w:tcPr>
            <w:tcW w:w="5540" w:type="dxa"/>
            <w:vAlign w:val="bottom"/>
          </w:tcPr>
          <w:p>
            <w:pPr>
              <w:ind w:left="280"/>
              <w:spacing w:after="0"/>
              <w:rPr>
                <w:sz w:val="20"/>
                <w:szCs w:val="20"/>
                <w:color w:val="auto"/>
              </w:rPr>
            </w:pPr>
            <w:r>
              <w:rPr>
                <w:rFonts w:ascii="Courier New" w:cs="Courier New" w:eastAsia="Courier New" w:hAnsi="Courier New"/>
                <w:sz w:val="16"/>
                <w:szCs w:val="16"/>
                <w:color w:val="auto"/>
              </w:rPr>
              <w:t>In-process research and development and other</w:t>
            </w:r>
          </w:p>
        </w:tc>
        <w:tc>
          <w:tcPr>
            <w:tcW w:w="320" w:type="dxa"/>
            <w:vAlign w:val="bottom"/>
          </w:tcPr>
          <w:p>
            <w:pPr>
              <w:spacing w:after="0"/>
              <w:rPr>
                <w:sz w:val="15"/>
                <w:szCs w:val="15"/>
                <w:color w:val="auto"/>
              </w:rPr>
            </w:pPr>
          </w:p>
        </w:tc>
        <w:tc>
          <w:tcPr>
            <w:tcW w:w="13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750</w:t>
            </w:r>
          </w:p>
        </w:tc>
        <w:tc>
          <w:tcPr>
            <w:tcW w:w="56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ind w:left="280"/>
              <w:spacing w:after="0"/>
              <w:rPr>
                <w:sz w:val="20"/>
                <w:szCs w:val="20"/>
                <w:color w:val="auto"/>
              </w:rPr>
            </w:pPr>
            <w:r>
              <w:rPr>
                <w:rFonts w:ascii="Courier New" w:cs="Courier New" w:eastAsia="Courier New" w:hAnsi="Courier New"/>
                <w:sz w:val="16"/>
                <w:szCs w:val="16"/>
                <w:color w:val="auto"/>
              </w:rPr>
              <w:t>(Gain) Loss on sale of equipment</w:t>
            </w:r>
          </w:p>
        </w:tc>
        <w:tc>
          <w:tcPr>
            <w:tcW w:w="32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(278)</w:t>
            </w:r>
          </w:p>
        </w:tc>
        <w:tc>
          <w:tcPr>
            <w:tcW w:w="56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864</w:t>
            </w:r>
          </w:p>
        </w:tc>
      </w:tr>
      <w:tr>
        <w:trPr>
          <w:trHeight w:val="180"/>
        </w:trPr>
        <w:tc>
          <w:tcPr>
            <w:tcW w:w="5540" w:type="dxa"/>
            <w:vAlign w:val="bottom"/>
          </w:tcPr>
          <w:p>
            <w:pPr>
              <w:ind w:left="280"/>
              <w:spacing w:after="0"/>
              <w:rPr>
                <w:sz w:val="20"/>
                <w:szCs w:val="20"/>
                <w:color w:val="auto"/>
              </w:rPr>
            </w:pPr>
            <w:r>
              <w:rPr>
                <w:rFonts w:ascii="Courier New" w:cs="Courier New" w:eastAsia="Courier New" w:hAnsi="Courier New"/>
                <w:sz w:val="16"/>
                <w:szCs w:val="16"/>
                <w:color w:val="auto"/>
              </w:rPr>
              <w:t>Equity-based compensation expense</w:t>
            </w:r>
          </w:p>
        </w:tc>
        <w:tc>
          <w:tcPr>
            <w:tcW w:w="320" w:type="dxa"/>
            <w:vAlign w:val="bottom"/>
          </w:tcPr>
          <w:p>
            <w:pPr>
              <w:spacing w:after="0"/>
              <w:rPr>
                <w:sz w:val="15"/>
                <w:szCs w:val="15"/>
                <w:color w:val="auto"/>
              </w:rPr>
            </w:pPr>
          </w:p>
        </w:tc>
        <w:tc>
          <w:tcPr>
            <w:tcW w:w="13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27,291</w:t>
            </w:r>
          </w:p>
        </w:tc>
        <w:tc>
          <w:tcPr>
            <w:tcW w:w="56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21,000</w:t>
            </w:r>
          </w:p>
        </w:tc>
      </w:tr>
      <w:tr>
        <w:trPr>
          <w:trHeight w:val="180"/>
        </w:trPr>
        <w:tc>
          <w:tcPr>
            <w:tcW w:w="5540" w:type="dxa"/>
            <w:vAlign w:val="bottom"/>
          </w:tcPr>
          <w:p>
            <w:pPr>
              <w:ind w:left="280"/>
              <w:spacing w:after="0"/>
              <w:rPr>
                <w:sz w:val="20"/>
                <w:szCs w:val="20"/>
                <w:color w:val="auto"/>
              </w:rPr>
            </w:pPr>
            <w:r>
              <w:rPr>
                <w:rFonts w:ascii="Courier New" w:cs="Courier New" w:eastAsia="Courier New" w:hAnsi="Courier New"/>
                <w:sz w:val="16"/>
                <w:szCs w:val="16"/>
                <w:color w:val="auto"/>
              </w:rPr>
              <w:t>Deferred income taxes</w:t>
            </w:r>
          </w:p>
        </w:tc>
        <w:tc>
          <w:tcPr>
            <w:tcW w:w="32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(8,674)</w:t>
            </w:r>
          </w:p>
        </w:tc>
        <w:tc>
          <w:tcPr>
            <w:tcW w:w="56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10,425</w:t>
            </w:r>
          </w:p>
        </w:tc>
      </w:tr>
      <w:tr>
        <w:trPr>
          <w:trHeight w:val="180"/>
        </w:trPr>
        <w:tc>
          <w:tcPr>
            <w:tcW w:w="5540" w:type="dxa"/>
            <w:vAlign w:val="bottom"/>
          </w:tcPr>
          <w:p>
            <w:pPr>
              <w:ind w:left="280"/>
              <w:spacing w:after="0"/>
              <w:rPr>
                <w:sz w:val="20"/>
                <w:szCs w:val="20"/>
                <w:color w:val="auto"/>
              </w:rPr>
            </w:pPr>
            <w:r>
              <w:rPr>
                <w:rFonts w:ascii="Courier New" w:cs="Courier New" w:eastAsia="Courier New" w:hAnsi="Courier New"/>
                <w:sz w:val="16"/>
                <w:szCs w:val="16"/>
                <w:color w:val="auto"/>
              </w:rPr>
              <w:t>Excess tax benefit from equity-based compensation</w:t>
            </w:r>
          </w:p>
        </w:tc>
        <w:tc>
          <w:tcPr>
            <w:tcW w:w="32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(265)</w:t>
            </w:r>
          </w:p>
        </w:tc>
        <w:tc>
          <w:tcPr>
            <w:tcW w:w="56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(1,595)</w:t>
            </w:r>
          </w:p>
        </w:tc>
      </w:tr>
      <w:tr>
        <w:trPr>
          <w:trHeight w:val="180"/>
        </w:trPr>
        <w:tc>
          <w:tcPr>
            <w:tcW w:w="5540" w:type="dxa"/>
            <w:vAlign w:val="bottom"/>
          </w:tcPr>
          <w:p>
            <w:pPr>
              <w:ind w:left="280"/>
              <w:spacing w:after="0"/>
              <w:rPr>
                <w:sz w:val="20"/>
                <w:szCs w:val="20"/>
                <w:color w:val="auto"/>
              </w:rPr>
            </w:pPr>
            <w:r>
              <w:rPr>
                <w:rFonts w:ascii="Courier New" w:cs="Courier New" w:eastAsia="Courier New" w:hAnsi="Courier New"/>
                <w:sz w:val="16"/>
                <w:szCs w:val="16"/>
                <w:color w:val="auto"/>
              </w:rPr>
              <w:t>Realized gain from short-term interest-bearing</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investments</w:t>
            </w:r>
          </w:p>
        </w:tc>
        <w:tc>
          <w:tcPr>
            <w:tcW w:w="32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(1,289)</w:t>
            </w:r>
          </w:p>
        </w:tc>
        <w:tc>
          <w:tcPr>
            <w:tcW w:w="56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(3,781)</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rPr>
              <w:t>Net changes in operating assets and liabilities, net of</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540" w:type="dxa"/>
            <w:vAlign w:val="bottom"/>
          </w:tcPr>
          <w:p>
            <w:pPr>
              <w:ind w:left="280"/>
              <w:spacing w:after="0"/>
              <w:rPr>
                <w:sz w:val="20"/>
                <w:szCs w:val="20"/>
                <w:color w:val="auto"/>
              </w:rPr>
            </w:pPr>
            <w:r>
              <w:rPr>
                <w:rFonts w:ascii="Courier New" w:cs="Courier New" w:eastAsia="Courier New" w:hAnsi="Courier New"/>
                <w:sz w:val="16"/>
                <w:szCs w:val="16"/>
                <w:color w:val="auto"/>
              </w:rPr>
              <w:t>amounts acquired:</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540" w:type="dxa"/>
            <w:vAlign w:val="bottom"/>
          </w:tcPr>
          <w:p>
            <w:pPr>
              <w:ind w:left="280"/>
              <w:spacing w:after="0"/>
              <w:rPr>
                <w:sz w:val="20"/>
                <w:szCs w:val="20"/>
                <w:color w:val="auto"/>
              </w:rPr>
            </w:pPr>
            <w:r>
              <w:rPr>
                <w:rFonts w:ascii="Courier New" w:cs="Courier New" w:eastAsia="Courier New" w:hAnsi="Courier New"/>
                <w:sz w:val="16"/>
                <w:szCs w:val="16"/>
                <w:color w:val="auto"/>
              </w:rPr>
              <w:t>Accounts receivable</w:t>
            </w:r>
          </w:p>
        </w:tc>
        <w:tc>
          <w:tcPr>
            <w:tcW w:w="32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(49,329)</w:t>
            </w:r>
          </w:p>
        </w:tc>
        <w:tc>
          <w:tcPr>
            <w:tcW w:w="56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(45,364)</w:t>
            </w:r>
          </w:p>
        </w:tc>
      </w:tr>
      <w:tr>
        <w:trPr>
          <w:trHeight w:val="180"/>
        </w:trPr>
        <w:tc>
          <w:tcPr>
            <w:tcW w:w="5540" w:type="dxa"/>
            <w:vAlign w:val="bottom"/>
          </w:tcPr>
          <w:p>
            <w:pPr>
              <w:ind w:left="280"/>
              <w:spacing w:after="0"/>
              <w:rPr>
                <w:sz w:val="20"/>
                <w:szCs w:val="20"/>
                <w:color w:val="auto"/>
              </w:rPr>
            </w:pPr>
            <w:r>
              <w:rPr>
                <w:rFonts w:ascii="Courier New" w:cs="Courier New" w:eastAsia="Courier New" w:hAnsi="Courier New"/>
                <w:sz w:val="16"/>
                <w:szCs w:val="16"/>
                <w:color w:val="auto"/>
              </w:rPr>
              <w:t>Prepaid expenses and other current assets</w:t>
            </w:r>
          </w:p>
        </w:tc>
        <w:tc>
          <w:tcPr>
            <w:tcW w:w="32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(695)</w:t>
            </w:r>
          </w:p>
        </w:tc>
        <w:tc>
          <w:tcPr>
            <w:tcW w:w="56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456</w:t>
            </w:r>
          </w:p>
        </w:tc>
      </w:tr>
      <w:tr>
        <w:trPr>
          <w:trHeight w:val="180"/>
        </w:trPr>
        <w:tc>
          <w:tcPr>
            <w:tcW w:w="5540" w:type="dxa"/>
            <w:vAlign w:val="bottom"/>
          </w:tcPr>
          <w:p>
            <w:pPr>
              <w:ind w:left="280"/>
              <w:spacing w:after="0"/>
              <w:rPr>
                <w:sz w:val="20"/>
                <w:szCs w:val="20"/>
                <w:color w:val="auto"/>
              </w:rPr>
            </w:pPr>
            <w:r>
              <w:rPr>
                <w:rFonts w:ascii="Courier New" w:cs="Courier New" w:eastAsia="Courier New" w:hAnsi="Courier New"/>
                <w:sz w:val="16"/>
                <w:szCs w:val="16"/>
                <w:color w:val="auto"/>
              </w:rPr>
              <w:t>Other noncurrent assets</w:t>
            </w:r>
          </w:p>
        </w:tc>
        <w:tc>
          <w:tcPr>
            <w:tcW w:w="32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(11,666)</w:t>
            </w:r>
          </w:p>
        </w:tc>
        <w:tc>
          <w:tcPr>
            <w:tcW w:w="56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(2,813)</w:t>
            </w:r>
          </w:p>
        </w:tc>
      </w:tr>
      <w:tr>
        <w:trPr>
          <w:trHeight w:val="180"/>
        </w:trPr>
        <w:tc>
          <w:tcPr>
            <w:tcW w:w="5540" w:type="dxa"/>
            <w:vAlign w:val="bottom"/>
          </w:tcPr>
          <w:p>
            <w:pPr>
              <w:ind w:left="280"/>
              <w:spacing w:after="0"/>
              <w:rPr>
                <w:sz w:val="20"/>
                <w:szCs w:val="20"/>
                <w:color w:val="auto"/>
              </w:rPr>
            </w:pPr>
            <w:r>
              <w:rPr>
                <w:rFonts w:ascii="Courier New" w:cs="Courier New" w:eastAsia="Courier New" w:hAnsi="Courier New"/>
                <w:sz w:val="16"/>
                <w:szCs w:val="16"/>
                <w:color w:val="auto"/>
              </w:rPr>
              <w:t>Accounts payable and accrued expenses</w:t>
            </w:r>
          </w:p>
        </w:tc>
        <w:tc>
          <w:tcPr>
            <w:tcW w:w="320" w:type="dxa"/>
            <w:vAlign w:val="bottom"/>
          </w:tcPr>
          <w:p>
            <w:pPr>
              <w:spacing w:after="0"/>
              <w:rPr>
                <w:sz w:val="15"/>
                <w:szCs w:val="15"/>
                <w:color w:val="auto"/>
              </w:rPr>
            </w:pPr>
          </w:p>
        </w:tc>
        <w:tc>
          <w:tcPr>
            <w:tcW w:w="13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933</w:t>
            </w:r>
          </w:p>
        </w:tc>
        <w:tc>
          <w:tcPr>
            <w:tcW w:w="56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(29,202)</w:t>
            </w:r>
          </w:p>
        </w:tc>
      </w:tr>
      <w:tr>
        <w:trPr>
          <w:trHeight w:val="180"/>
        </w:trPr>
        <w:tc>
          <w:tcPr>
            <w:tcW w:w="5540" w:type="dxa"/>
            <w:vAlign w:val="bottom"/>
          </w:tcPr>
          <w:p>
            <w:pPr>
              <w:ind w:left="280"/>
              <w:spacing w:after="0"/>
              <w:rPr>
                <w:sz w:val="20"/>
                <w:szCs w:val="20"/>
                <w:color w:val="auto"/>
              </w:rPr>
            </w:pPr>
            <w:r>
              <w:rPr>
                <w:rFonts w:ascii="Courier New" w:cs="Courier New" w:eastAsia="Courier New" w:hAnsi="Courier New"/>
                <w:sz w:val="16"/>
                <w:szCs w:val="16"/>
                <w:color w:val="auto"/>
              </w:rPr>
              <w:t>Deferred revenue</w:t>
            </w:r>
          </w:p>
        </w:tc>
        <w:tc>
          <w:tcPr>
            <w:tcW w:w="32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(5,418)</w:t>
            </w:r>
          </w:p>
        </w:tc>
        <w:tc>
          <w:tcPr>
            <w:tcW w:w="56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16,185</w:t>
            </w:r>
          </w:p>
        </w:tc>
      </w:tr>
      <w:tr>
        <w:trPr>
          <w:trHeight w:val="180"/>
        </w:trPr>
        <w:tc>
          <w:tcPr>
            <w:tcW w:w="5540" w:type="dxa"/>
            <w:vAlign w:val="bottom"/>
          </w:tcPr>
          <w:p>
            <w:pPr>
              <w:ind w:left="280"/>
              <w:spacing w:after="0"/>
              <w:rPr>
                <w:sz w:val="20"/>
                <w:szCs w:val="20"/>
                <w:color w:val="auto"/>
              </w:rPr>
            </w:pPr>
            <w:r>
              <w:rPr>
                <w:rFonts w:ascii="Courier New" w:cs="Courier New" w:eastAsia="Courier New" w:hAnsi="Courier New"/>
                <w:sz w:val="16"/>
                <w:szCs w:val="16"/>
                <w:color w:val="auto"/>
              </w:rPr>
              <w:t>Income taxes payable</w:t>
            </w:r>
          </w:p>
        </w:tc>
        <w:tc>
          <w:tcPr>
            <w:tcW w:w="32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(22,671)</w:t>
            </w:r>
          </w:p>
        </w:tc>
        <w:tc>
          <w:tcPr>
            <w:tcW w:w="56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2,042</w:t>
            </w:r>
          </w:p>
        </w:tc>
      </w:tr>
      <w:tr>
        <w:trPr>
          <w:trHeight w:val="180"/>
        </w:trPr>
        <w:tc>
          <w:tcPr>
            <w:tcW w:w="5540" w:type="dxa"/>
            <w:vAlign w:val="bottom"/>
          </w:tcPr>
          <w:p>
            <w:pPr>
              <w:ind w:left="280"/>
              <w:spacing w:after="0"/>
              <w:rPr>
                <w:sz w:val="20"/>
                <w:szCs w:val="20"/>
                <w:color w:val="auto"/>
              </w:rPr>
            </w:pPr>
            <w:r>
              <w:rPr>
                <w:rFonts w:ascii="Courier New" w:cs="Courier New" w:eastAsia="Courier New" w:hAnsi="Courier New"/>
                <w:sz w:val="16"/>
                <w:szCs w:val="16"/>
                <w:color w:val="auto"/>
              </w:rPr>
              <w:t>Noncurrent liabilities and other</w:t>
            </w:r>
          </w:p>
        </w:tc>
        <w:tc>
          <w:tcPr>
            <w:tcW w:w="320" w:type="dxa"/>
            <w:vAlign w:val="bottom"/>
          </w:tcPr>
          <w:p>
            <w:pPr>
              <w:spacing w:after="0"/>
              <w:rPr>
                <w:sz w:val="15"/>
                <w:szCs w:val="15"/>
                <w:color w:val="auto"/>
              </w:rPr>
            </w:pPr>
          </w:p>
        </w:tc>
        <w:tc>
          <w:tcPr>
            <w:tcW w:w="13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3,296</w:t>
            </w:r>
          </w:p>
        </w:tc>
        <w:tc>
          <w:tcPr>
            <w:tcW w:w="56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1,987</w:t>
            </w:r>
          </w:p>
        </w:tc>
      </w:tr>
      <w:tr>
        <w:trPr>
          <w:trHeight w:val="180"/>
        </w:trPr>
        <w:tc>
          <w:tcPr>
            <w:tcW w:w="5540" w:type="dxa"/>
            <w:vAlign w:val="bottom"/>
          </w:tcPr>
          <w:p>
            <w:pPr>
              <w:spacing w:after="0"/>
              <w:rPr>
                <w:sz w:val="15"/>
                <w:szCs w:val="15"/>
                <w:color w:val="auto"/>
              </w:rPr>
            </w:pPr>
          </w:p>
        </w:tc>
        <w:tc>
          <w:tcPr>
            <w:tcW w:w="1640" w:type="dxa"/>
            <w:vAlign w:val="bottom"/>
            <w:gridSpan w:val="2"/>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rPr>
              <w:t>Net cash provided by operating activities</w:t>
            </w:r>
          </w:p>
        </w:tc>
        <w:tc>
          <w:tcPr>
            <w:tcW w:w="320" w:type="dxa"/>
            <w:vAlign w:val="bottom"/>
          </w:tcPr>
          <w:p>
            <w:pPr>
              <w:spacing w:after="0"/>
              <w:rPr>
                <w:sz w:val="15"/>
                <w:szCs w:val="15"/>
                <w:color w:val="auto"/>
              </w:rPr>
            </w:pPr>
          </w:p>
        </w:tc>
        <w:tc>
          <w:tcPr>
            <w:tcW w:w="13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190,303</w:t>
            </w:r>
          </w:p>
        </w:tc>
        <w:tc>
          <w:tcPr>
            <w:tcW w:w="56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181,431</w:t>
            </w:r>
          </w:p>
        </w:tc>
      </w:tr>
      <w:tr>
        <w:trPr>
          <w:trHeight w:val="180"/>
        </w:trPr>
        <w:tc>
          <w:tcPr>
            <w:tcW w:w="5540" w:type="dxa"/>
            <w:vAlign w:val="bottom"/>
          </w:tcPr>
          <w:p>
            <w:pPr>
              <w:spacing w:after="0"/>
              <w:rPr>
                <w:sz w:val="15"/>
                <w:szCs w:val="15"/>
                <w:color w:val="auto"/>
              </w:rPr>
            </w:pPr>
          </w:p>
        </w:tc>
        <w:tc>
          <w:tcPr>
            <w:tcW w:w="1640" w:type="dxa"/>
            <w:vAlign w:val="bottom"/>
            <w:gridSpan w:val="2"/>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361"/>
        </w:trPr>
        <w:tc>
          <w:tcPr>
            <w:tcW w:w="5540" w:type="dxa"/>
            <w:vAlign w:val="bottom"/>
          </w:tcPr>
          <w:p>
            <w:pPr>
              <w:spacing w:after="0"/>
              <w:rPr>
                <w:sz w:val="20"/>
                <w:szCs w:val="20"/>
                <w:color w:val="auto"/>
              </w:rPr>
            </w:pPr>
            <w:r>
              <w:rPr>
                <w:rFonts w:ascii="Courier New" w:cs="Courier New" w:eastAsia="Courier New" w:hAnsi="Courier New"/>
                <w:sz w:val="16"/>
                <w:szCs w:val="16"/>
                <w:color w:val="auto"/>
              </w:rPr>
              <w:t>CASH FLOW FROM INVESTING ACTIVITIES:</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rPr>
              <w:t>Proceeds from sale of equipment, vehicles and leasehold</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improvements</w:t>
            </w:r>
          </w:p>
        </w:tc>
        <w:tc>
          <w:tcPr>
            <w:tcW w:w="320" w:type="dxa"/>
            <w:vAlign w:val="bottom"/>
          </w:tcPr>
          <w:p>
            <w:pPr>
              <w:spacing w:after="0"/>
              <w:rPr>
                <w:sz w:val="15"/>
                <w:szCs w:val="15"/>
                <w:color w:val="auto"/>
              </w:rPr>
            </w:pPr>
          </w:p>
        </w:tc>
        <w:tc>
          <w:tcPr>
            <w:tcW w:w="13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1,347</w:t>
            </w:r>
          </w:p>
        </w:tc>
        <w:tc>
          <w:tcPr>
            <w:tcW w:w="56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3,525</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rPr>
              <w:t>Payments for purchase of equipment, vehicles and</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leasehold improvements</w:t>
            </w:r>
          </w:p>
        </w:tc>
        <w:tc>
          <w:tcPr>
            <w:tcW w:w="32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(84,889)</w:t>
            </w:r>
          </w:p>
        </w:tc>
        <w:tc>
          <w:tcPr>
            <w:tcW w:w="56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(27,106)</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rPr>
              <w:t>Proceeds from sale of short-term interest-bearing</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investments</w:t>
            </w:r>
          </w:p>
        </w:tc>
        <w:tc>
          <w:tcPr>
            <w:tcW w:w="320" w:type="dxa"/>
            <w:vAlign w:val="bottom"/>
          </w:tcPr>
          <w:p>
            <w:pPr>
              <w:spacing w:after="0"/>
              <w:rPr>
                <w:sz w:val="15"/>
                <w:szCs w:val="15"/>
                <w:color w:val="auto"/>
              </w:rPr>
            </w:pPr>
          </w:p>
        </w:tc>
        <w:tc>
          <w:tcPr>
            <w:tcW w:w="13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440,440</w:t>
            </w:r>
          </w:p>
        </w:tc>
        <w:tc>
          <w:tcPr>
            <w:tcW w:w="56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524,178</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rPr>
              <w:t>Purchase of short-term interest-bearing investments</w:t>
            </w:r>
          </w:p>
        </w:tc>
        <w:tc>
          <w:tcPr>
            <w:tcW w:w="32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(484,753)</w:t>
            </w:r>
          </w:p>
        </w:tc>
        <w:tc>
          <w:tcPr>
            <w:tcW w:w="56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(890,670)</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rPr>
              <w:t>Net cash paid for acquisitions</w:t>
            </w:r>
          </w:p>
        </w:tc>
        <w:tc>
          <w:tcPr>
            <w:tcW w:w="32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(77,598)</w:t>
            </w:r>
          </w:p>
        </w:tc>
        <w:tc>
          <w:tcPr>
            <w:tcW w:w="56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(1,858)</w:t>
            </w:r>
          </w:p>
        </w:tc>
      </w:tr>
      <w:tr>
        <w:trPr>
          <w:trHeight w:val="180"/>
        </w:trPr>
        <w:tc>
          <w:tcPr>
            <w:tcW w:w="5540" w:type="dxa"/>
            <w:vAlign w:val="bottom"/>
          </w:tcPr>
          <w:p>
            <w:pPr>
              <w:spacing w:after="0"/>
              <w:rPr>
                <w:sz w:val="15"/>
                <w:szCs w:val="15"/>
                <w:color w:val="auto"/>
              </w:rPr>
            </w:pPr>
          </w:p>
        </w:tc>
        <w:tc>
          <w:tcPr>
            <w:tcW w:w="1640" w:type="dxa"/>
            <w:vAlign w:val="bottom"/>
            <w:gridSpan w:val="2"/>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rPr>
              <w:t>Net cash used in investing activities</w:t>
            </w:r>
          </w:p>
        </w:tc>
        <w:tc>
          <w:tcPr>
            <w:tcW w:w="32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(205,453)</w:t>
            </w:r>
          </w:p>
        </w:tc>
        <w:tc>
          <w:tcPr>
            <w:tcW w:w="56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(391,931)</w:t>
            </w:r>
          </w:p>
        </w:tc>
      </w:tr>
      <w:tr>
        <w:trPr>
          <w:trHeight w:val="180"/>
        </w:trPr>
        <w:tc>
          <w:tcPr>
            <w:tcW w:w="5540" w:type="dxa"/>
            <w:vAlign w:val="bottom"/>
          </w:tcPr>
          <w:p>
            <w:pPr>
              <w:spacing w:after="0"/>
              <w:rPr>
                <w:sz w:val="15"/>
                <w:szCs w:val="15"/>
                <w:color w:val="auto"/>
              </w:rPr>
            </w:pPr>
          </w:p>
        </w:tc>
        <w:tc>
          <w:tcPr>
            <w:tcW w:w="1640" w:type="dxa"/>
            <w:vAlign w:val="bottom"/>
            <w:gridSpan w:val="2"/>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361"/>
        </w:trPr>
        <w:tc>
          <w:tcPr>
            <w:tcW w:w="5540" w:type="dxa"/>
            <w:vAlign w:val="bottom"/>
          </w:tcPr>
          <w:p>
            <w:pPr>
              <w:spacing w:after="0"/>
              <w:rPr>
                <w:sz w:val="20"/>
                <w:szCs w:val="20"/>
                <w:color w:val="auto"/>
              </w:rPr>
            </w:pPr>
            <w:r>
              <w:rPr>
                <w:rFonts w:ascii="Courier New" w:cs="Courier New" w:eastAsia="Courier New" w:hAnsi="Courier New"/>
                <w:sz w:val="16"/>
                <w:szCs w:val="16"/>
                <w:color w:val="auto"/>
              </w:rPr>
              <w:t>CASH FLOW FROM FINANCING ACTIVITIES:</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rPr>
              <w:t>Proceeds from employee stock options exercised</w:t>
            </w:r>
          </w:p>
        </w:tc>
        <w:tc>
          <w:tcPr>
            <w:tcW w:w="320" w:type="dxa"/>
            <w:vAlign w:val="bottom"/>
          </w:tcPr>
          <w:p>
            <w:pPr>
              <w:spacing w:after="0"/>
              <w:rPr>
                <w:sz w:val="15"/>
                <w:szCs w:val="15"/>
                <w:color w:val="auto"/>
              </w:rPr>
            </w:pPr>
          </w:p>
        </w:tc>
        <w:tc>
          <w:tcPr>
            <w:tcW w:w="13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28,953</w:t>
            </w:r>
          </w:p>
        </w:tc>
        <w:tc>
          <w:tcPr>
            <w:tcW w:w="56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54,178</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rPr>
              <w:t>Excess tax benefit from equity-based compensation</w:t>
            </w:r>
          </w:p>
        </w:tc>
        <w:tc>
          <w:tcPr>
            <w:tcW w:w="320" w:type="dxa"/>
            <w:vAlign w:val="bottom"/>
          </w:tcPr>
          <w:p>
            <w:pPr>
              <w:spacing w:after="0"/>
              <w:rPr>
                <w:sz w:val="15"/>
                <w:szCs w:val="15"/>
                <w:color w:val="auto"/>
              </w:rPr>
            </w:pPr>
          </w:p>
        </w:tc>
        <w:tc>
          <w:tcPr>
            <w:tcW w:w="13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265</w:t>
            </w:r>
          </w:p>
        </w:tc>
        <w:tc>
          <w:tcPr>
            <w:tcW w:w="56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1,595</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rPr>
              <w:t>Principal payments under financing arrangements and other</w:t>
            </w:r>
          </w:p>
        </w:tc>
        <w:tc>
          <w:tcPr>
            <w:tcW w:w="320" w:type="dxa"/>
            <w:vAlign w:val="bottom"/>
          </w:tcPr>
          <w:p>
            <w:pPr>
              <w:spacing w:after="0"/>
              <w:rPr>
                <w:sz w:val="15"/>
                <w:szCs w:val="15"/>
                <w:color w:val="auto"/>
              </w:rPr>
            </w:pPr>
          </w:p>
        </w:tc>
        <w:tc>
          <w:tcPr>
            <w:tcW w:w="13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(4,677)</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rPr>
              <w:t>Principal payments on capital lease obligations</w:t>
            </w:r>
          </w:p>
        </w:tc>
        <w:tc>
          <w:tcPr>
            <w:tcW w:w="32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(25)</w:t>
            </w:r>
          </w:p>
        </w:tc>
        <w:tc>
          <w:tcPr>
            <w:tcW w:w="56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(3,127)</w:t>
            </w:r>
          </w:p>
        </w:tc>
      </w:tr>
      <w:tr>
        <w:trPr>
          <w:trHeight w:val="180"/>
        </w:trPr>
        <w:tc>
          <w:tcPr>
            <w:tcW w:w="5540" w:type="dxa"/>
            <w:vAlign w:val="bottom"/>
          </w:tcPr>
          <w:p>
            <w:pPr>
              <w:spacing w:after="0"/>
              <w:rPr>
                <w:sz w:val="15"/>
                <w:szCs w:val="15"/>
                <w:color w:val="auto"/>
              </w:rPr>
            </w:pPr>
          </w:p>
        </w:tc>
        <w:tc>
          <w:tcPr>
            <w:tcW w:w="1640" w:type="dxa"/>
            <w:vAlign w:val="bottom"/>
            <w:gridSpan w:val="2"/>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rPr>
              <w:t>Net cash provided by financing activities</w:t>
            </w:r>
          </w:p>
        </w:tc>
        <w:tc>
          <w:tcPr>
            <w:tcW w:w="320" w:type="dxa"/>
            <w:vAlign w:val="bottom"/>
          </w:tcPr>
          <w:p>
            <w:pPr>
              <w:spacing w:after="0"/>
              <w:rPr>
                <w:sz w:val="15"/>
                <w:szCs w:val="15"/>
                <w:color w:val="auto"/>
              </w:rPr>
            </w:pPr>
          </w:p>
        </w:tc>
        <w:tc>
          <w:tcPr>
            <w:tcW w:w="13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29,193</w:t>
            </w:r>
          </w:p>
        </w:tc>
        <w:tc>
          <w:tcPr>
            <w:tcW w:w="56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47,969</w:t>
            </w:r>
          </w:p>
        </w:tc>
      </w:tr>
      <w:tr>
        <w:trPr>
          <w:trHeight w:val="180"/>
        </w:trPr>
        <w:tc>
          <w:tcPr>
            <w:tcW w:w="5540" w:type="dxa"/>
            <w:vAlign w:val="bottom"/>
          </w:tcPr>
          <w:p>
            <w:pPr>
              <w:spacing w:after="0"/>
              <w:rPr>
                <w:sz w:val="15"/>
                <w:szCs w:val="15"/>
                <w:color w:val="auto"/>
              </w:rPr>
            </w:pPr>
          </w:p>
        </w:tc>
        <w:tc>
          <w:tcPr>
            <w:tcW w:w="1640" w:type="dxa"/>
            <w:vAlign w:val="bottom"/>
            <w:gridSpan w:val="2"/>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361"/>
        </w:trPr>
        <w:tc>
          <w:tcPr>
            <w:tcW w:w="5540" w:type="dxa"/>
            <w:vAlign w:val="bottom"/>
          </w:tcPr>
          <w:p>
            <w:pPr>
              <w:spacing w:after="0"/>
              <w:rPr>
                <w:sz w:val="20"/>
                <w:szCs w:val="20"/>
                <w:color w:val="auto"/>
              </w:rPr>
            </w:pPr>
            <w:r>
              <w:rPr>
                <w:rFonts w:ascii="Courier New" w:cs="Courier New" w:eastAsia="Courier New" w:hAnsi="Courier New"/>
                <w:sz w:val="16"/>
                <w:szCs w:val="16"/>
                <w:color w:val="auto"/>
              </w:rPr>
              <w:t>Net increase (decrease) in cash and cash equivalents</w:t>
            </w:r>
          </w:p>
        </w:tc>
        <w:tc>
          <w:tcPr>
            <w:tcW w:w="320" w:type="dxa"/>
            <w:vAlign w:val="bottom"/>
          </w:tcPr>
          <w:p>
            <w:pPr>
              <w:spacing w:after="0"/>
              <w:rPr>
                <w:sz w:val="24"/>
                <w:szCs w:val="24"/>
                <w:color w:val="auto"/>
              </w:rPr>
            </w:pPr>
          </w:p>
        </w:tc>
        <w:tc>
          <w:tcPr>
            <w:tcW w:w="13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14,043</w:t>
            </w:r>
          </w:p>
        </w:tc>
        <w:tc>
          <w:tcPr>
            <w:tcW w:w="560" w:type="dxa"/>
            <w:vAlign w:val="bottom"/>
          </w:tcPr>
          <w:p>
            <w:pPr>
              <w:spacing w:after="0"/>
              <w:rPr>
                <w:sz w:val="24"/>
                <w:szCs w:val="24"/>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(162,531)</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320" w:type="dxa"/>
            <w:vAlign w:val="bottom"/>
          </w:tcPr>
          <w:p>
            <w:pPr>
              <w:spacing w:after="0"/>
              <w:rPr>
                <w:sz w:val="15"/>
                <w:szCs w:val="15"/>
                <w:color w:val="auto"/>
              </w:rPr>
            </w:pPr>
          </w:p>
        </w:tc>
        <w:tc>
          <w:tcPr>
            <w:tcW w:w="13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607,187</w:t>
            </w:r>
          </w:p>
        </w:tc>
        <w:tc>
          <w:tcPr>
            <w:tcW w:w="56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707,552</w:t>
            </w:r>
          </w:p>
        </w:tc>
      </w:tr>
      <w:tr>
        <w:trPr>
          <w:trHeight w:val="180"/>
        </w:trPr>
        <w:tc>
          <w:tcPr>
            <w:tcW w:w="5540" w:type="dxa"/>
            <w:vAlign w:val="bottom"/>
          </w:tcPr>
          <w:p>
            <w:pPr>
              <w:spacing w:after="0"/>
              <w:rPr>
                <w:sz w:val="15"/>
                <w:szCs w:val="15"/>
                <w:color w:val="auto"/>
              </w:rPr>
            </w:pPr>
          </w:p>
        </w:tc>
        <w:tc>
          <w:tcPr>
            <w:tcW w:w="1640" w:type="dxa"/>
            <w:vAlign w:val="bottom"/>
            <w:gridSpan w:val="2"/>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621,230</w:t>
            </w:r>
          </w:p>
        </w:tc>
        <w:tc>
          <w:tcPr>
            <w:tcW w:w="56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545,021</w:t>
            </w:r>
          </w:p>
        </w:tc>
      </w:tr>
      <w:tr>
        <w:trPr>
          <w:trHeight w:val="180"/>
        </w:trPr>
        <w:tc>
          <w:tcPr>
            <w:tcW w:w="5540" w:type="dxa"/>
            <w:vAlign w:val="bottom"/>
          </w:tcPr>
          <w:p>
            <w:pPr>
              <w:spacing w:after="0"/>
              <w:rPr>
                <w:sz w:val="15"/>
                <w:szCs w:val="15"/>
                <w:color w:val="auto"/>
              </w:rPr>
            </w:pPr>
          </w:p>
        </w:tc>
        <w:tc>
          <w:tcPr>
            <w:tcW w:w="1640" w:type="dxa"/>
            <w:vAlign w:val="bottom"/>
            <w:gridSpan w:val="2"/>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5540" w:type="dxa"/>
            <w:vAlign w:val="bottom"/>
          </w:tcPr>
          <w:p>
            <w:pPr>
              <w:spacing w:after="0"/>
              <w:rPr>
                <w:sz w:val="20"/>
                <w:szCs w:val="20"/>
                <w:color w:val="auto"/>
              </w:rPr>
            </w:pPr>
            <w:r>
              <w:rPr>
                <w:rFonts w:ascii="Courier New" w:cs="Courier New" w:eastAsia="Courier New" w:hAnsi="Courier New"/>
                <w:sz w:val="16"/>
                <w:szCs w:val="16"/>
                <w:color w:val="auto"/>
              </w:rPr>
              <w:t>SUPPLEMENTARY CASH FLOW INFORMATION</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rPr>
              <w:t>Cash paid for:</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540" w:type="dxa"/>
            <w:vAlign w:val="bottom"/>
          </w:tcPr>
          <w:p>
            <w:pPr>
              <w:ind w:left="280"/>
              <w:spacing w:after="0"/>
              <w:rPr>
                <w:sz w:val="20"/>
                <w:szCs w:val="20"/>
                <w:color w:val="auto"/>
              </w:rPr>
            </w:pPr>
            <w:r>
              <w:rPr>
                <w:rFonts w:ascii="Courier New" w:cs="Courier New" w:eastAsia="Courier New" w:hAnsi="Courier New"/>
                <w:sz w:val="16"/>
                <w:szCs w:val="16"/>
                <w:color w:val="auto"/>
              </w:rPr>
              <w:t>Income taxes, net of refunds</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38,351</w:t>
            </w:r>
          </w:p>
        </w:tc>
        <w:tc>
          <w:tcPr>
            <w:tcW w:w="56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18,490</w:t>
            </w:r>
          </w:p>
        </w:tc>
      </w:tr>
      <w:tr>
        <w:trPr>
          <w:trHeight w:val="180"/>
        </w:trPr>
        <w:tc>
          <w:tcPr>
            <w:tcW w:w="5540" w:type="dxa"/>
            <w:vAlign w:val="bottom"/>
          </w:tcPr>
          <w:p>
            <w:pPr>
              <w:ind w:left="280"/>
              <w:spacing w:after="0"/>
              <w:rPr>
                <w:sz w:val="20"/>
                <w:szCs w:val="20"/>
                <w:color w:val="auto"/>
              </w:rPr>
            </w:pPr>
            <w:r>
              <w:rPr>
                <w:rFonts w:ascii="Courier New" w:cs="Courier New" w:eastAsia="Courier New" w:hAnsi="Courier New"/>
                <w:sz w:val="16"/>
                <w:szCs w:val="16"/>
                <w:color w:val="auto"/>
              </w:rPr>
              <w:t>Interest</w:t>
            </w:r>
          </w:p>
        </w:tc>
        <w:tc>
          <w:tcPr>
            <w:tcW w:w="320" w:type="dxa"/>
            <w:vAlign w:val="bottom"/>
          </w:tcPr>
          <w:p>
            <w:pPr>
              <w:spacing w:after="0"/>
              <w:rPr>
                <w:sz w:val="15"/>
                <w:szCs w:val="15"/>
                <w:color w:val="auto"/>
              </w:rPr>
            </w:pPr>
          </w:p>
        </w:tc>
        <w:tc>
          <w:tcPr>
            <w:tcW w:w="13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2,011</w:t>
            </w:r>
          </w:p>
        </w:tc>
        <w:tc>
          <w:tcPr>
            <w:tcW w:w="56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1,882</w:t>
            </w:r>
          </w:p>
        </w:tc>
      </w:tr>
    </w:tbl>
    <w:p>
      <w:pPr>
        <w:spacing w:after="0" w:line="36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The accompanying notes are an integral part of these</w:t>
      </w:r>
    </w:p>
    <w:p>
      <w:pPr>
        <w:jc w:val="center"/>
        <w:ind w:right="2719"/>
        <w:spacing w:after="0"/>
        <w:rPr>
          <w:sz w:val="20"/>
          <w:szCs w:val="20"/>
          <w:color w:val="auto"/>
        </w:rPr>
      </w:pPr>
      <w:r>
        <w:rPr>
          <w:rFonts w:ascii="Courier New" w:cs="Courier New" w:eastAsia="Courier New" w:hAnsi="Courier New"/>
          <w:sz w:val="16"/>
          <w:szCs w:val="16"/>
          <w:color w:val="auto"/>
        </w:rPr>
        <w:t>consolidated financial statements.</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4" w:right="1440" w:bottom="1440" w:gutter="0" w:footer="0" w:header="0"/>
        </w:sectPr>
      </w:pPr>
    </w:p>
    <w:bookmarkStart w:id="6" w:name="page7"/>
    <w:bookmarkEnd w:id="6"/>
    <w:p>
      <w:pPr>
        <w:jc w:val="center"/>
        <w:ind w:right="2715"/>
        <w:spacing w:after="0"/>
        <w:rPr>
          <w:sz w:val="20"/>
          <w:szCs w:val="20"/>
          <w:color w:val="auto"/>
        </w:rPr>
      </w:pPr>
      <w:r>
        <w:rPr>
          <w:rFonts w:ascii="Courier New" w:cs="Courier New" w:eastAsia="Courier New" w:hAnsi="Courier New"/>
          <w:sz w:val="16"/>
          <w:szCs w:val="16"/>
          <w:color w:val="auto"/>
        </w:rPr>
        <w:t>AMDOCS LIMITED</w:t>
      </w:r>
    </w:p>
    <w:p>
      <w:pPr>
        <w:jc w:val="center"/>
        <w:ind w:right="2715"/>
        <w:spacing w:after="0"/>
        <w:rPr>
          <w:sz w:val="20"/>
          <w:szCs w:val="20"/>
          <w:color w:val="auto"/>
        </w:rPr>
      </w:pPr>
      <w:r>
        <w:rPr>
          <w:rFonts w:ascii="Courier New" w:cs="Courier New" w:eastAsia="Courier New" w:hAnsi="Courier New"/>
          <w:sz w:val="16"/>
          <w:szCs w:val="16"/>
          <w:color w:val="auto"/>
        </w:rPr>
        <w:t>NOTES TO UNAUDITED CONSOLIDATED FINANCIAL STATEMENTS</w:t>
      </w:r>
    </w:p>
    <w:p>
      <w:pPr>
        <w:spacing w:after="0" w:line="179"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79" w:lineRule="exact"/>
        <w:rPr>
          <w:sz w:val="20"/>
          <w:szCs w:val="20"/>
          <w:color w:val="auto"/>
        </w:rPr>
      </w:pPr>
    </w:p>
    <w:p>
      <w:pPr>
        <w:ind w:left="564" w:hanging="564"/>
        <w:spacing w:after="0"/>
        <w:tabs>
          <w:tab w:leader="none" w:pos="56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185" w:lineRule="exact"/>
        <w:rPr>
          <w:sz w:val="20"/>
          <w:szCs w:val="20"/>
          <w:color w:val="auto"/>
        </w:rPr>
      </w:pPr>
    </w:p>
    <w:p>
      <w:pPr>
        <w:ind w:left="4" w:right="2719" w:firstLine="563"/>
        <w:spacing w:after="0" w:line="238" w:lineRule="auto"/>
        <w:rPr>
          <w:sz w:val="20"/>
          <w:szCs w:val="20"/>
          <w:color w:val="auto"/>
        </w:rPr>
      </w:pPr>
      <w:r>
        <w:rPr>
          <w:rFonts w:ascii="Courier New" w:cs="Courier New" w:eastAsia="Courier New" w:hAnsi="Courier New"/>
          <w:sz w:val="16"/>
          <w:szCs w:val="16"/>
          <w:color w:val="auto"/>
        </w:rPr>
        <w:t>Amdocs Limited (the "Company") is a leading provider of software products and services primarily to the communications industry. The Company and its subsidiaries operate in one segment offering products and services that enable their customers to move toward an integrated approach to customer management. The Company designs, develops, markets, supports, operates, and provides managed services for information system solutions primarily for leading communications companies throughout the world.</w:t>
      </w:r>
    </w:p>
    <w:p>
      <w:pPr>
        <w:spacing w:after="0" w:line="185" w:lineRule="exact"/>
        <w:rPr>
          <w:sz w:val="20"/>
          <w:szCs w:val="20"/>
          <w:color w:val="auto"/>
        </w:rPr>
      </w:pPr>
    </w:p>
    <w:p>
      <w:pPr>
        <w:ind w:left="4" w:right="2719" w:firstLine="563"/>
        <w:spacing w:after="0" w:line="237" w:lineRule="auto"/>
        <w:rPr>
          <w:sz w:val="20"/>
          <w:szCs w:val="20"/>
          <w:color w:val="auto"/>
        </w:rPr>
      </w:pPr>
      <w:r>
        <w:rPr>
          <w:rFonts w:ascii="Courier New" w:cs="Courier New" w:eastAsia="Courier New" w:hAnsi="Courier New"/>
          <w:sz w:val="16"/>
          <w:szCs w:val="16"/>
          <w:color w:val="auto"/>
        </w:rPr>
        <w:t>The unaudited consolidated financial statements of the Company have been prepared in accordance with U.S. generally accepted accounting principles ("GAAP"). In the opinion of the Company's management, all adjustments considered necessary for a fair presentation of the unaudited interim consolidated financial statements have been included herein and are of a normal recurring nature.</w:t>
      </w:r>
    </w:p>
    <w:p>
      <w:pPr>
        <w:spacing w:after="0" w:line="189" w:lineRule="exact"/>
        <w:rPr>
          <w:sz w:val="20"/>
          <w:szCs w:val="20"/>
          <w:color w:val="auto"/>
        </w:rPr>
      </w:pPr>
    </w:p>
    <w:p>
      <w:pPr>
        <w:ind w:left="4" w:right="2819" w:firstLine="563"/>
        <w:spacing w:after="0" w:line="237" w:lineRule="auto"/>
        <w:rPr>
          <w:sz w:val="20"/>
          <w:szCs w:val="20"/>
          <w:color w:val="auto"/>
        </w:rPr>
      </w:pPr>
      <w:r>
        <w:rPr>
          <w:rFonts w:ascii="Courier New" w:cs="Courier New" w:eastAsia="Courier New" w:hAnsi="Courier New"/>
          <w:sz w:val="16"/>
          <w:szCs w:val="16"/>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189" w:lineRule="exact"/>
        <w:rPr>
          <w:sz w:val="20"/>
          <w:szCs w:val="20"/>
          <w:color w:val="auto"/>
        </w:rPr>
      </w:pPr>
    </w:p>
    <w:p>
      <w:pPr>
        <w:ind w:left="4" w:right="2719" w:firstLine="563"/>
        <w:spacing w:after="0" w:line="256" w:lineRule="auto"/>
        <w:rPr>
          <w:sz w:val="20"/>
          <w:szCs w:val="20"/>
          <w:color w:val="auto"/>
        </w:rPr>
      </w:pPr>
      <w:r>
        <w:rPr>
          <w:rFonts w:ascii="Courier New" w:cs="Courier New" w:eastAsia="Courier New" w:hAnsi="Courier New"/>
          <w:sz w:val="15"/>
          <w:szCs w:val="15"/>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2006, set forth in the Company's Annual Report on Form 20-F filed with the U.S. Securities and Exchange Commission (the "SEC").</w:t>
      </w:r>
    </w:p>
    <w:p>
      <w:pPr>
        <w:spacing w:after="0" w:line="168" w:lineRule="exact"/>
        <w:rPr>
          <w:sz w:val="20"/>
          <w:szCs w:val="20"/>
          <w:color w:val="auto"/>
        </w:rPr>
      </w:pPr>
    </w:p>
    <w:p>
      <w:pPr>
        <w:ind w:left="1124"/>
        <w:spacing w:after="0"/>
        <w:rPr>
          <w:sz w:val="20"/>
          <w:szCs w:val="20"/>
          <w:color w:val="auto"/>
        </w:rPr>
      </w:pPr>
      <w:r>
        <w:rPr>
          <w:rFonts w:ascii="Courier New" w:cs="Courier New" w:eastAsia="Courier New" w:hAnsi="Courier New"/>
          <w:sz w:val="16"/>
          <w:szCs w:val="16"/>
          <w:color w:val="auto"/>
        </w:rPr>
        <w:t>Reclassification</w:t>
      </w:r>
    </w:p>
    <w:p>
      <w:pPr>
        <w:spacing w:after="0" w:line="185" w:lineRule="exact"/>
        <w:rPr>
          <w:sz w:val="20"/>
          <w:szCs w:val="20"/>
          <w:color w:val="auto"/>
        </w:rPr>
      </w:pPr>
    </w:p>
    <w:p>
      <w:pPr>
        <w:ind w:left="4" w:right="2999" w:firstLine="563"/>
        <w:spacing w:after="0" w:line="236" w:lineRule="auto"/>
        <w:rPr>
          <w:sz w:val="20"/>
          <w:szCs w:val="20"/>
          <w:color w:val="auto"/>
        </w:rPr>
      </w:pPr>
      <w:r>
        <w:rPr>
          <w:rFonts w:ascii="Courier New" w:cs="Courier New" w:eastAsia="Courier New" w:hAnsi="Courier New"/>
          <w:sz w:val="16"/>
          <w:szCs w:val="16"/>
          <w:color w:val="auto"/>
        </w:rPr>
        <w:t>Certain immaterial amounts in prior year financial statements have been reclassified to conform to the current year presentation.</w:t>
      </w:r>
    </w:p>
    <w:p>
      <w:pPr>
        <w:spacing w:after="0" w:line="180" w:lineRule="exact"/>
        <w:rPr>
          <w:sz w:val="20"/>
          <w:szCs w:val="20"/>
          <w:color w:val="auto"/>
        </w:rPr>
      </w:pPr>
    </w:p>
    <w:p>
      <w:pPr>
        <w:ind w:left="564" w:hanging="564"/>
        <w:spacing w:after="0"/>
        <w:tabs>
          <w:tab w:leader="none" w:pos="5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Recent Accounting Pronouncements</w:t>
      </w:r>
    </w:p>
    <w:p>
      <w:pPr>
        <w:spacing w:after="0" w:line="185" w:lineRule="exact"/>
        <w:rPr>
          <w:sz w:val="20"/>
          <w:szCs w:val="20"/>
          <w:color w:val="auto"/>
        </w:rPr>
      </w:pPr>
    </w:p>
    <w:p>
      <w:pPr>
        <w:ind w:left="4" w:right="2719" w:firstLine="563"/>
        <w:spacing w:after="0" w:line="255" w:lineRule="auto"/>
        <w:rPr>
          <w:sz w:val="20"/>
          <w:szCs w:val="20"/>
          <w:color w:val="auto"/>
        </w:rPr>
      </w:pPr>
      <w:r>
        <w:rPr>
          <w:rFonts w:ascii="Courier New" w:cs="Courier New" w:eastAsia="Courier New" w:hAnsi="Courier New"/>
          <w:sz w:val="15"/>
          <w:szCs w:val="15"/>
          <w:color w:val="auto"/>
        </w:rPr>
        <w:t>In February 2007, the Financial Accounting Standards Board ("FASB") issued Statement No. 159 "The Fair Value Option for Financial Assets and Financial Liabilities" including an amendment of FASB Statement No. 115 ("SFAS 159"), which allows an entity the irrevocable option to elect fair value for the initial and subsequent measurement for certain financial assets and liabilities under an instrument-by-instrument election. If the fair value option is elected for an instrument, subsequent changes in fair value for that instrument will be recognized in earnings. SFAS 159 also establishes additional disclosure requirements and is effective for fiscal years beginning after November 15, 2007, with early adoption permitted provided that the entity also adopts Statement No. 157, "Fair Value Measurements" ("SFAS 157"). The Company is currently evaluating the effect that the application of SFAS 159 will have on its consolidated results of operations and financial condition.</w:t>
      </w:r>
    </w:p>
    <w:p>
      <w:pPr>
        <w:spacing w:after="0" w:line="178" w:lineRule="exact"/>
        <w:rPr>
          <w:sz w:val="20"/>
          <w:szCs w:val="20"/>
          <w:color w:val="auto"/>
        </w:rPr>
      </w:pPr>
    </w:p>
    <w:p>
      <w:pPr>
        <w:ind w:left="4" w:right="2819" w:firstLine="563"/>
        <w:spacing w:after="0" w:line="238" w:lineRule="auto"/>
        <w:rPr>
          <w:sz w:val="20"/>
          <w:szCs w:val="20"/>
          <w:color w:val="auto"/>
        </w:rPr>
      </w:pPr>
      <w:r>
        <w:rPr>
          <w:rFonts w:ascii="Courier New" w:cs="Courier New" w:eastAsia="Courier New" w:hAnsi="Courier New"/>
          <w:sz w:val="16"/>
          <w:szCs w:val="16"/>
          <w:color w:val="auto"/>
        </w:rPr>
        <w:t>In September 2006, the FASB issued SFAS 157. SFAS 157 defines fair value, establishes a framework for measuring fair value in generally accepted accounting principles, and expands disclosures about fair value measurements. SFAS 157 applies under other accounting pronouncements that require or permit fair value measurements. SFAS 157 will be effective for fiscal years beginning after November 15, 2007, and interim periods within those fiscal years, with early adoption permitted. The Company</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3"/>
          </w:cols>
          <w:pgMar w:left="236" w:top="473" w:right="1440" w:bottom="1440" w:gutter="0" w:footer="0" w:header="0"/>
        </w:sectPr>
      </w:pPr>
    </w:p>
    <w:bookmarkStart w:id="7" w:name="page8"/>
    <w:bookmarkEnd w:id="7"/>
    <w:p>
      <w:pPr>
        <w:jc w:val="center"/>
        <w:ind w:right="2715"/>
        <w:spacing w:after="0"/>
        <w:rPr>
          <w:sz w:val="20"/>
          <w:szCs w:val="20"/>
          <w:color w:val="auto"/>
        </w:rPr>
      </w:pPr>
      <w:r>
        <w:rPr>
          <w:rFonts w:ascii="Courier New" w:cs="Courier New" w:eastAsia="Courier New" w:hAnsi="Courier New"/>
          <w:sz w:val="16"/>
          <w:szCs w:val="16"/>
          <w:color w:val="auto"/>
        </w:rPr>
        <w:t>AMDOCS LIMITED</w:t>
      </w:r>
    </w:p>
    <w:p>
      <w:pPr>
        <w:jc w:val="center"/>
        <w:ind w:right="2715"/>
        <w:spacing w:after="0"/>
        <w:rPr>
          <w:sz w:val="20"/>
          <w:szCs w:val="20"/>
          <w:color w:val="auto"/>
        </w:rPr>
      </w:pPr>
      <w:r>
        <w:rPr>
          <w:rFonts w:ascii="Courier New" w:cs="Courier New" w:eastAsia="Courier New" w:hAnsi="Courier New"/>
          <w:sz w:val="16"/>
          <w:szCs w:val="16"/>
          <w:color w:val="auto"/>
        </w:rPr>
        <w:t>NOTES TO UNAUDITED CONSOLIDATED FINANCIAL STATEMENTS</w:t>
      </w:r>
    </w:p>
    <w:p>
      <w:pPr>
        <w:spacing w:after="0" w:line="179"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365" w:lineRule="exact"/>
        <w:rPr>
          <w:sz w:val="20"/>
          <w:szCs w:val="20"/>
          <w:color w:val="auto"/>
        </w:rPr>
      </w:pPr>
    </w:p>
    <w:p>
      <w:pPr>
        <w:ind w:left="4" w:right="2719"/>
        <w:spacing w:after="0" w:line="236" w:lineRule="auto"/>
        <w:rPr>
          <w:sz w:val="20"/>
          <w:szCs w:val="20"/>
          <w:color w:val="auto"/>
        </w:rPr>
      </w:pPr>
      <w:r>
        <w:rPr>
          <w:rFonts w:ascii="Courier New" w:cs="Courier New" w:eastAsia="Courier New" w:hAnsi="Courier New"/>
          <w:sz w:val="16"/>
          <w:szCs w:val="16"/>
          <w:color w:val="auto"/>
        </w:rPr>
        <w:t>is currently evaluating the effect that the application of SFAS 157 will have on its consolidated results of operations and financial condition.</w:t>
      </w:r>
    </w:p>
    <w:p>
      <w:pPr>
        <w:spacing w:after="0" w:line="185" w:lineRule="exact"/>
        <w:rPr>
          <w:sz w:val="20"/>
          <w:szCs w:val="20"/>
          <w:color w:val="auto"/>
        </w:rPr>
      </w:pPr>
    </w:p>
    <w:p>
      <w:pPr>
        <w:ind w:left="4" w:right="2719" w:firstLine="563"/>
        <w:spacing w:after="0" w:line="238" w:lineRule="auto"/>
        <w:rPr>
          <w:sz w:val="20"/>
          <w:szCs w:val="20"/>
          <w:color w:val="auto"/>
        </w:rPr>
      </w:pPr>
      <w:r>
        <w:rPr>
          <w:rFonts w:ascii="Courier New" w:cs="Courier New" w:eastAsia="Courier New" w:hAnsi="Courier New"/>
          <w:sz w:val="16"/>
          <w:szCs w:val="16"/>
          <w:color w:val="auto"/>
        </w:rPr>
        <w:t>In September 2006, the SEC issued Staff Accounting Bulletin No. 108, "Financial Statements - Considering the Effects of Prior Year Misstatements when Quantifying Misstatements in Current Year Financial Statements" ("SAB 108"). SAB 108 requires companies to quantify the impact of all correcting misstatements, including both the carryover and reversing effects of prior year misstatements, on the current year financial statements. SAB 108 is effective for fiscal years ending after November 15, 2006. The Company applied the provisions of SAB 108 in the first quarter of fiscal 2007 and there was no impact to the consolidated financial statements.</w:t>
      </w:r>
    </w:p>
    <w:p>
      <w:pPr>
        <w:spacing w:after="0" w:line="186" w:lineRule="exact"/>
        <w:rPr>
          <w:sz w:val="20"/>
          <w:szCs w:val="20"/>
          <w:color w:val="auto"/>
        </w:rPr>
      </w:pPr>
    </w:p>
    <w:p>
      <w:pPr>
        <w:ind w:left="4" w:right="2719" w:firstLine="563"/>
        <w:spacing w:after="0" w:line="238" w:lineRule="auto"/>
        <w:rPr>
          <w:sz w:val="20"/>
          <w:szCs w:val="20"/>
          <w:color w:val="auto"/>
        </w:rPr>
      </w:pPr>
      <w:r>
        <w:rPr>
          <w:rFonts w:ascii="Courier New" w:cs="Courier New" w:eastAsia="Courier New" w:hAnsi="Courier New"/>
          <w:sz w:val="16"/>
          <w:szCs w:val="16"/>
          <w:color w:val="auto"/>
        </w:rPr>
        <w:t>In June 2006, the FASB issued Interpretation No. 48, "Accounting for Uncertainty in Income Taxes," An Interpretation of SFAS No. 109, ("FIN 48"). FIN 48 clarifies the accounting for uncertainty in income taxes recognized in an enterprise's financial statements in accordance with SFAS No. 109, Accounting for Income Taxes. FIN 48 also prescribes a recognition threshold and measurement attribute for the financial statement recognition and measurement of a tax position taken or expected to be taken in a tax return that results in a tax benefit. Additionally, FIN 48 provides guidance on de-recognition, income statement classification of interest and penalties, accounting in interim periods, disclosure, and transition. This interpretation is effective for fiscal years beginning after December 15, 2006. The Company is currently evaluating the effect that the application of FIN 48 will have on its consolidated results of operations and financial condition.</w:t>
      </w:r>
    </w:p>
    <w:p>
      <w:pPr>
        <w:spacing w:after="0" w:line="189" w:lineRule="exact"/>
        <w:rPr>
          <w:sz w:val="20"/>
          <w:szCs w:val="20"/>
          <w:color w:val="auto"/>
        </w:rPr>
      </w:pPr>
    </w:p>
    <w:p>
      <w:pPr>
        <w:ind w:left="4" w:right="2719" w:firstLine="563"/>
        <w:spacing w:after="0" w:line="238" w:lineRule="auto"/>
        <w:rPr>
          <w:sz w:val="20"/>
          <w:szCs w:val="20"/>
          <w:color w:val="auto"/>
        </w:rPr>
      </w:pPr>
      <w:r>
        <w:rPr>
          <w:rFonts w:ascii="Courier New" w:cs="Courier New" w:eastAsia="Courier New" w:hAnsi="Courier New"/>
          <w:sz w:val="16"/>
          <w:szCs w:val="16"/>
          <w:color w:val="auto"/>
        </w:rPr>
        <w:t>In February 2006, the FASB issued SFAS No. 155, "Accounting for Certain Hybrid Financial Instruments," an amendment of FASB Statement No. 133 and 140 ("SFAS 155"), which permits fair value measurement for any hybrid financial instrument that contains an embedded derivative that otherwise would require bifurcation, with changes in fair value recognized in earnings. The fair-value election will eliminate the need to separately recognize certain derivatives embedded in hybrid financial instruments under FASB Statement No. 133, Accounting for Derivative Instruments and Hedging Activities. In January 2007, the FASB issued Statement 133 Implementation Issue No. B40 "Application of Paragraph 13(b) to Securitized Interests in Prepayable Financial Assets", which provides a possibility of an exemption from bifurcation analysis in paragraph 13(b) of Statement 133 for certain securitized interests in prepayable financial assets. The Company applied the provisions of SFAS 155 and Statement 133 Implementation Issue No. B40 in the first quarter of fiscal 2007 and there was no impact to the consolidated financial statements.</w:t>
      </w:r>
    </w:p>
    <w:p>
      <w:pPr>
        <w:spacing w:after="0" w:line="185" w:lineRule="exact"/>
        <w:rPr>
          <w:sz w:val="20"/>
          <w:szCs w:val="20"/>
          <w:color w:val="auto"/>
        </w:rPr>
      </w:pPr>
    </w:p>
    <w:p>
      <w:pPr>
        <w:ind w:left="564" w:hanging="564"/>
        <w:spacing w:after="0"/>
        <w:tabs>
          <w:tab w:leader="none" w:pos="56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RECEIVABLE, NET</w:t>
      </w:r>
    </w:p>
    <w:p>
      <w:pPr>
        <w:spacing w:after="0" w:line="179" w:lineRule="exact"/>
        <w:rPr>
          <w:rFonts w:ascii="Courier New" w:cs="Courier New" w:eastAsia="Courier New" w:hAnsi="Courier New"/>
          <w:sz w:val="16"/>
          <w:szCs w:val="16"/>
          <w:color w:val="auto"/>
        </w:rPr>
      </w:pPr>
    </w:p>
    <w:p>
      <w:pPr>
        <w:ind w:left="5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receivable, net consists of the following:</w:t>
      </w:r>
    </w:p>
    <w:p>
      <w:pPr>
        <w:spacing w:after="0" w:line="200" w:lineRule="exact"/>
        <w:rPr>
          <w:sz w:val="20"/>
          <w:szCs w:val="20"/>
          <w:color w:val="auto"/>
        </w:rPr>
      </w:pPr>
    </w:p>
    <w:p>
      <w:pPr>
        <w:spacing w:after="0" w:line="340" w:lineRule="exact"/>
        <w:rPr>
          <w:sz w:val="20"/>
          <w:szCs w:val="20"/>
          <w:color w:val="auto"/>
        </w:rPr>
      </w:pPr>
    </w:p>
    <w:tbl>
      <w:tblPr>
        <w:tblLayout w:type="fixed"/>
        <w:tblInd w:w="944" w:type="dxa"/>
        <w:tblCellMar>
          <w:top w:w="0" w:type="dxa"/>
          <w:left w:w="0" w:type="dxa"/>
          <w:bottom w:w="0" w:type="dxa"/>
          <w:right w:w="0" w:type="dxa"/>
        </w:tblCellMar>
      </w:tblPr>
      <w:tr>
        <w:trPr>
          <w:trHeight w:val="181"/>
        </w:trPr>
        <w:tc>
          <w:tcPr>
            <w:tcW w:w="3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00" w:type="dxa"/>
            <w:vAlign w:val="bottom"/>
          </w:tcPr>
          <w:p>
            <w:pPr>
              <w:ind w:left="1220"/>
              <w:spacing w:after="0"/>
              <w:rPr>
                <w:sz w:val="20"/>
                <w:szCs w:val="20"/>
                <w:color w:val="auto"/>
              </w:rPr>
            </w:pPr>
            <w:r>
              <w:rPr>
                <w:rFonts w:ascii="Courier New" w:cs="Courier New" w:eastAsia="Courier New" w:hAnsi="Courier New"/>
                <w:sz w:val="16"/>
                <w:szCs w:val="16"/>
                <w:color w:val="auto"/>
                <w:w w:val="95"/>
              </w:rPr>
              <w:t>As of</w:t>
            </w:r>
          </w:p>
        </w:tc>
        <w:tc>
          <w:tcPr>
            <w:tcW w:w="14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80"/>
        </w:trPr>
        <w:tc>
          <w:tcPr>
            <w:tcW w:w="3420" w:type="dxa"/>
            <w:vAlign w:val="bottom"/>
          </w:tcPr>
          <w:p>
            <w:pPr>
              <w:spacing w:after="0"/>
              <w:rPr>
                <w:sz w:val="15"/>
                <w:szCs w:val="15"/>
                <w:color w:val="auto"/>
              </w:rPr>
            </w:pPr>
          </w:p>
        </w:tc>
        <w:tc>
          <w:tcPr>
            <w:tcW w:w="4460" w:type="dxa"/>
            <w:vAlign w:val="bottom"/>
            <w:gridSpan w:val="4"/>
          </w:tcPr>
          <w:p>
            <w:pPr>
              <w:ind w:left="600"/>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3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00" w:type="dxa"/>
            <w:vAlign w:val="bottom"/>
          </w:tcPr>
          <w:p>
            <w:pPr>
              <w:jc w:val="right"/>
              <w:ind w:right="782"/>
              <w:spacing w:after="0"/>
              <w:rPr>
                <w:sz w:val="20"/>
                <w:szCs w:val="20"/>
                <w:color w:val="auto"/>
              </w:rPr>
            </w:pPr>
            <w:r>
              <w:rPr>
                <w:rFonts w:ascii="Courier New" w:cs="Courier New" w:eastAsia="Courier New" w:hAnsi="Courier New"/>
                <w:sz w:val="16"/>
                <w:szCs w:val="16"/>
                <w:color w:val="auto"/>
                <w:w w:val="94"/>
              </w:rPr>
              <w:t>MARCH 31,</w:t>
            </w:r>
          </w:p>
        </w:tc>
        <w:tc>
          <w:tcPr>
            <w:tcW w:w="140" w:type="dxa"/>
            <w:vAlign w:val="bottom"/>
          </w:tcPr>
          <w:p>
            <w:pPr>
              <w:spacing w:after="0"/>
              <w:rPr>
                <w:sz w:val="15"/>
                <w:szCs w:val="15"/>
                <w:color w:val="auto"/>
              </w:rPr>
            </w:pP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9"/>
              </w:rPr>
              <w:t>SEPTEMBER 30,</w:t>
            </w:r>
          </w:p>
        </w:tc>
      </w:tr>
      <w:tr>
        <w:trPr>
          <w:trHeight w:val="180"/>
        </w:trPr>
        <w:tc>
          <w:tcPr>
            <w:tcW w:w="3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6"/>
                <w:szCs w:val="16"/>
                <w:color w:val="auto"/>
              </w:rPr>
              <w:t>2007</w:t>
            </w:r>
          </w:p>
        </w:tc>
        <w:tc>
          <w:tcPr>
            <w:tcW w:w="140" w:type="dxa"/>
            <w:vAlign w:val="bottom"/>
          </w:tcPr>
          <w:p>
            <w:pPr>
              <w:spacing w:after="0"/>
              <w:rPr>
                <w:sz w:val="15"/>
                <w:szCs w:val="15"/>
                <w:color w:val="auto"/>
              </w:rPr>
            </w:pPr>
          </w:p>
        </w:tc>
        <w:tc>
          <w:tcPr>
            <w:tcW w:w="16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2006</w:t>
            </w:r>
          </w:p>
        </w:tc>
      </w:tr>
      <w:tr>
        <w:trPr>
          <w:trHeight w:val="361"/>
        </w:trPr>
        <w:tc>
          <w:tcPr>
            <w:tcW w:w="3420" w:type="dxa"/>
            <w:vAlign w:val="bottom"/>
          </w:tcPr>
          <w:p>
            <w:pPr>
              <w:spacing w:after="0"/>
              <w:rPr>
                <w:sz w:val="24"/>
                <w:szCs w:val="24"/>
                <w:color w:val="auto"/>
              </w:rPr>
            </w:pPr>
          </w:p>
        </w:tc>
        <w:tc>
          <w:tcPr>
            <w:tcW w:w="268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spacing w:after="0"/>
              <w:rPr>
                <w:sz w:val="20"/>
                <w:szCs w:val="20"/>
                <w:color w:val="auto"/>
              </w:rPr>
            </w:pPr>
            <w:r>
              <w:rPr>
                <w:rFonts w:ascii="Courier New" w:cs="Courier New" w:eastAsia="Courier New" w:hAnsi="Courier New"/>
                <w:sz w:val="16"/>
                <w:szCs w:val="16"/>
                <w:color w:val="auto"/>
                <w:w w:val="96"/>
              </w:rPr>
              <w:t>-------------------</w:t>
            </w:r>
          </w:p>
        </w:tc>
      </w:tr>
      <w:tr>
        <w:trPr>
          <w:trHeight w:val="541"/>
        </w:trPr>
        <w:tc>
          <w:tcPr>
            <w:tcW w:w="3420" w:type="dxa"/>
            <w:vAlign w:val="bottom"/>
          </w:tcPr>
          <w:p>
            <w:pPr>
              <w:spacing w:after="0"/>
              <w:rPr>
                <w:sz w:val="20"/>
                <w:szCs w:val="20"/>
                <w:color w:val="auto"/>
              </w:rPr>
            </w:pPr>
            <w:r>
              <w:rPr>
                <w:rFonts w:ascii="Courier New" w:cs="Courier New" w:eastAsia="Courier New" w:hAnsi="Courier New"/>
                <w:sz w:val="16"/>
                <w:szCs w:val="16"/>
                <w:color w:val="auto"/>
              </w:rPr>
              <w:t>Accounts receivable - billed</w:t>
            </w:r>
          </w:p>
        </w:tc>
        <w:tc>
          <w:tcPr>
            <w:tcW w:w="980" w:type="dxa"/>
            <w:vAlign w:val="bottom"/>
          </w:tcPr>
          <w:p>
            <w:pPr>
              <w:ind w:left="600"/>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ind w:left="200"/>
              <w:spacing w:after="0"/>
              <w:rPr>
                <w:sz w:val="20"/>
                <w:szCs w:val="20"/>
                <w:color w:val="auto"/>
              </w:rPr>
            </w:pPr>
            <w:r>
              <w:rPr>
                <w:rFonts w:ascii="Courier New" w:cs="Courier New" w:eastAsia="Courier New" w:hAnsi="Courier New"/>
                <w:sz w:val="16"/>
                <w:szCs w:val="16"/>
                <w:color w:val="auto"/>
              </w:rPr>
              <w:t>438,218</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383,763</w:t>
            </w:r>
          </w:p>
        </w:tc>
      </w:tr>
      <w:tr>
        <w:trPr>
          <w:trHeight w:val="180"/>
        </w:trPr>
        <w:tc>
          <w:tcPr>
            <w:tcW w:w="3420" w:type="dxa"/>
            <w:vAlign w:val="bottom"/>
          </w:tcPr>
          <w:p>
            <w:pPr>
              <w:spacing w:after="0"/>
              <w:rPr>
                <w:sz w:val="20"/>
                <w:szCs w:val="20"/>
                <w:color w:val="auto"/>
              </w:rPr>
            </w:pPr>
            <w:r>
              <w:rPr>
                <w:rFonts w:ascii="Courier New" w:cs="Courier New" w:eastAsia="Courier New" w:hAnsi="Courier New"/>
                <w:sz w:val="16"/>
                <w:szCs w:val="16"/>
                <w:color w:val="auto"/>
              </w:rPr>
              <w:t>Accounts receivable - unbilled</w:t>
            </w:r>
          </w:p>
        </w:tc>
        <w:tc>
          <w:tcPr>
            <w:tcW w:w="980" w:type="dxa"/>
            <w:vAlign w:val="bottom"/>
          </w:tcPr>
          <w:p>
            <w:pPr>
              <w:spacing w:after="0"/>
              <w:rPr>
                <w:sz w:val="15"/>
                <w:szCs w:val="15"/>
                <w:color w:val="auto"/>
              </w:rPr>
            </w:pPr>
          </w:p>
        </w:tc>
        <w:tc>
          <w:tcPr>
            <w:tcW w:w="1700" w:type="dxa"/>
            <w:vAlign w:val="bottom"/>
          </w:tcPr>
          <w:p>
            <w:pPr>
              <w:jc w:val="right"/>
              <w:ind w:right="782"/>
              <w:spacing w:after="0"/>
              <w:rPr>
                <w:sz w:val="20"/>
                <w:szCs w:val="20"/>
                <w:color w:val="auto"/>
              </w:rPr>
            </w:pPr>
            <w:r>
              <w:rPr>
                <w:rFonts w:ascii="Courier New" w:cs="Courier New" w:eastAsia="Courier New" w:hAnsi="Courier New"/>
                <w:sz w:val="16"/>
                <w:szCs w:val="16"/>
                <w:color w:val="auto"/>
              </w:rPr>
              <w:t>57,977</w:t>
            </w:r>
          </w:p>
        </w:tc>
        <w:tc>
          <w:tcPr>
            <w:tcW w:w="140" w:type="dxa"/>
            <w:vAlign w:val="bottom"/>
          </w:tcPr>
          <w:p>
            <w:pPr>
              <w:spacing w:after="0"/>
              <w:rPr>
                <w:sz w:val="15"/>
                <w:szCs w:val="15"/>
                <w:color w:val="auto"/>
              </w:rPr>
            </w:pPr>
          </w:p>
        </w:tc>
        <w:tc>
          <w:tcPr>
            <w:tcW w:w="16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54,117</w:t>
            </w:r>
          </w:p>
        </w:tc>
      </w:tr>
      <w:tr>
        <w:trPr>
          <w:trHeight w:val="180"/>
        </w:trPr>
        <w:tc>
          <w:tcPr>
            <w:tcW w:w="3420" w:type="dxa"/>
            <w:vAlign w:val="bottom"/>
          </w:tcPr>
          <w:p>
            <w:pPr>
              <w:spacing w:after="0"/>
              <w:rPr>
                <w:sz w:val="20"/>
                <w:szCs w:val="20"/>
                <w:color w:val="auto"/>
              </w:rPr>
            </w:pPr>
            <w:r>
              <w:rPr>
                <w:rFonts w:ascii="Courier New" w:cs="Courier New" w:eastAsia="Courier New" w:hAnsi="Courier New"/>
                <w:sz w:val="16"/>
                <w:szCs w:val="16"/>
                <w:color w:val="auto"/>
              </w:rPr>
              <w:t>Less-allowances</w:t>
            </w:r>
          </w:p>
        </w:tc>
        <w:tc>
          <w:tcPr>
            <w:tcW w:w="980" w:type="dxa"/>
            <w:vAlign w:val="bottom"/>
          </w:tcPr>
          <w:p>
            <w:pPr>
              <w:spacing w:after="0"/>
              <w:rPr>
                <w:sz w:val="15"/>
                <w:szCs w:val="15"/>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6"/>
                <w:szCs w:val="16"/>
                <w:color w:val="auto"/>
              </w:rPr>
              <w:t>(19,971)</w:t>
            </w:r>
          </w:p>
        </w:tc>
        <w:tc>
          <w:tcPr>
            <w:tcW w:w="140" w:type="dxa"/>
            <w:vAlign w:val="bottom"/>
          </w:tcPr>
          <w:p>
            <w:pPr>
              <w:spacing w:after="0"/>
              <w:rPr>
                <w:sz w:val="15"/>
                <w:szCs w:val="15"/>
                <w:color w:val="auto"/>
              </w:rPr>
            </w:pPr>
          </w:p>
        </w:tc>
        <w:tc>
          <w:tcPr>
            <w:tcW w:w="16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(12,075)</w:t>
            </w:r>
          </w:p>
        </w:tc>
      </w:tr>
      <w:tr>
        <w:trPr>
          <w:trHeight w:val="180"/>
        </w:trPr>
        <w:tc>
          <w:tcPr>
            <w:tcW w:w="3420" w:type="dxa"/>
            <w:vAlign w:val="bottom"/>
          </w:tcPr>
          <w:p>
            <w:pPr>
              <w:spacing w:after="0"/>
              <w:rPr>
                <w:sz w:val="15"/>
                <w:szCs w:val="15"/>
                <w:color w:val="auto"/>
              </w:rPr>
            </w:pPr>
          </w:p>
        </w:tc>
        <w:tc>
          <w:tcPr>
            <w:tcW w:w="268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3420" w:type="dxa"/>
            <w:vAlign w:val="bottom"/>
          </w:tcPr>
          <w:p>
            <w:pPr>
              <w:spacing w:after="0"/>
              <w:rPr>
                <w:sz w:val="20"/>
                <w:szCs w:val="20"/>
                <w:color w:val="auto"/>
              </w:rPr>
            </w:pPr>
            <w:r>
              <w:rPr>
                <w:rFonts w:ascii="Courier New" w:cs="Courier New" w:eastAsia="Courier New" w:hAnsi="Courier New"/>
                <w:sz w:val="16"/>
                <w:szCs w:val="16"/>
                <w:color w:val="auto"/>
              </w:rPr>
              <w:t>Accounts receivable, net</w:t>
            </w:r>
          </w:p>
        </w:tc>
        <w:tc>
          <w:tcPr>
            <w:tcW w:w="980" w:type="dxa"/>
            <w:vAlign w:val="bottom"/>
          </w:tcPr>
          <w:p>
            <w:pPr>
              <w:ind w:left="600"/>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ind w:left="200"/>
              <w:spacing w:after="0"/>
              <w:rPr>
                <w:sz w:val="20"/>
                <w:szCs w:val="20"/>
                <w:color w:val="auto"/>
              </w:rPr>
            </w:pPr>
            <w:r>
              <w:rPr>
                <w:rFonts w:ascii="Courier New" w:cs="Courier New" w:eastAsia="Courier New" w:hAnsi="Courier New"/>
                <w:sz w:val="16"/>
                <w:szCs w:val="16"/>
                <w:color w:val="auto"/>
              </w:rPr>
              <w:t>476,224</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425,805</w:t>
            </w:r>
          </w:p>
        </w:tc>
      </w:tr>
      <w:tr>
        <w:trPr>
          <w:trHeight w:val="180"/>
        </w:trPr>
        <w:tc>
          <w:tcPr>
            <w:tcW w:w="3420" w:type="dxa"/>
            <w:vAlign w:val="bottom"/>
          </w:tcPr>
          <w:p>
            <w:pPr>
              <w:spacing w:after="0"/>
              <w:rPr>
                <w:sz w:val="15"/>
                <w:szCs w:val="15"/>
                <w:color w:val="auto"/>
              </w:rPr>
            </w:pPr>
          </w:p>
        </w:tc>
        <w:tc>
          <w:tcPr>
            <w:tcW w:w="268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spacing w:after="0"/>
              <w:rPr>
                <w:sz w:val="20"/>
                <w:szCs w:val="20"/>
                <w:color w:val="auto"/>
              </w:rPr>
            </w:pPr>
            <w:r>
              <w:rPr>
                <w:rFonts w:ascii="Courier New" w:cs="Courier New" w:eastAsia="Courier New" w:hAnsi="Courier New"/>
                <w:sz w:val="16"/>
                <w:szCs w:val="16"/>
                <w:color w:val="auto"/>
                <w:w w:val="96"/>
              </w:rPr>
              <w:t>===================</w:t>
            </w:r>
          </w:p>
        </w:tc>
      </w:tr>
      <w:tr>
        <w:trPr>
          <w:trHeight w:val="541"/>
        </w:trPr>
        <w:tc>
          <w:tcPr>
            <w:tcW w:w="3420" w:type="dxa"/>
            <w:vAlign w:val="bottom"/>
          </w:tcPr>
          <w:p>
            <w:pPr>
              <w:ind w:left="2720"/>
              <w:spacing w:after="0"/>
              <w:rPr>
                <w:sz w:val="20"/>
                <w:szCs w:val="20"/>
                <w:color w:val="auto"/>
              </w:rPr>
            </w:pPr>
            <w:r>
              <w:rPr>
                <w:rFonts w:ascii="Courier New" w:cs="Courier New" w:eastAsia="Courier New" w:hAnsi="Courier New"/>
                <w:sz w:val="16"/>
                <w:szCs w:val="16"/>
                <w:color w:val="auto"/>
              </w:rPr>
              <w:t>7</w:t>
            </w:r>
          </w:p>
        </w:tc>
        <w:tc>
          <w:tcPr>
            <w:tcW w:w="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0223"/>
          </w:cols>
          <w:pgMar w:left="236" w:top="654" w:right="1440" w:bottom="1440" w:gutter="0" w:footer="0" w:header="0"/>
        </w:sectPr>
      </w:pPr>
    </w:p>
    <w:bookmarkStart w:id="8" w:name="page9"/>
    <w:bookmarkEnd w:id="8"/>
    <w:p>
      <w:pPr>
        <w:jc w:val="center"/>
        <w:ind w:right="3656"/>
        <w:spacing w:after="0"/>
        <w:rPr>
          <w:sz w:val="20"/>
          <w:szCs w:val="20"/>
          <w:color w:val="auto"/>
        </w:rPr>
      </w:pPr>
      <w:r>
        <w:rPr>
          <w:rFonts w:ascii="Courier New" w:cs="Courier New" w:eastAsia="Courier New" w:hAnsi="Courier New"/>
          <w:sz w:val="16"/>
          <w:szCs w:val="16"/>
          <w:color w:val="auto"/>
        </w:rPr>
        <w:t>AMDOCS LIMITED</w:t>
      </w:r>
    </w:p>
    <w:p>
      <w:pPr>
        <w:jc w:val="center"/>
        <w:ind w:right="3656"/>
        <w:spacing w:after="0"/>
        <w:rPr>
          <w:sz w:val="20"/>
          <w:szCs w:val="20"/>
          <w:color w:val="auto"/>
        </w:rPr>
      </w:pPr>
      <w:r>
        <w:rPr>
          <w:rFonts w:ascii="Courier New" w:cs="Courier New" w:eastAsia="Courier New" w:hAnsi="Courier New"/>
          <w:sz w:val="16"/>
          <w:szCs w:val="16"/>
          <w:color w:val="auto"/>
        </w:rPr>
        <w:t>NOTES TO UNAUDITED CONSOLIDATED FINANCIAL STATEMENTS</w:t>
      </w:r>
    </w:p>
    <w:p>
      <w:pPr>
        <w:spacing w:after="0" w:line="179"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360" w:lineRule="exact"/>
        <w:rPr>
          <w:sz w:val="20"/>
          <w:szCs w:val="20"/>
          <w:color w:val="auto"/>
        </w:rPr>
      </w:pPr>
    </w:p>
    <w:p>
      <w:pPr>
        <w:ind w:left="564" w:hanging="564"/>
        <w:spacing w:after="0"/>
        <w:tabs>
          <w:tab w:leader="none" w:pos="56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COMPREHENSIVE INCOME</w:t>
      </w:r>
    </w:p>
    <w:p>
      <w:pPr>
        <w:spacing w:after="0" w:line="185" w:lineRule="exact"/>
        <w:rPr>
          <w:sz w:val="20"/>
          <w:szCs w:val="20"/>
          <w:color w:val="auto"/>
        </w:rPr>
      </w:pPr>
    </w:p>
    <w:p>
      <w:pPr>
        <w:ind w:left="4" w:right="3760" w:firstLine="563"/>
        <w:spacing w:after="0" w:line="237" w:lineRule="auto"/>
        <w:rPr>
          <w:sz w:val="20"/>
          <w:szCs w:val="20"/>
          <w:color w:val="auto"/>
        </w:rPr>
      </w:pPr>
      <w:r>
        <w:rPr>
          <w:rFonts w:ascii="Courier New" w:cs="Courier New" w:eastAsia="Courier New" w:hAnsi="Courier New"/>
          <w:sz w:val="16"/>
          <w:szCs w:val="16"/>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86" w:lineRule="exact"/>
        <w:rPr>
          <w:sz w:val="20"/>
          <w:szCs w:val="20"/>
          <w:color w:val="auto"/>
        </w:rPr>
      </w:pPr>
    </w:p>
    <w:p>
      <w:pPr>
        <w:ind w:left="4" w:right="4220" w:firstLine="563"/>
        <w:spacing w:after="0" w:line="236" w:lineRule="auto"/>
        <w:rPr>
          <w:sz w:val="20"/>
          <w:szCs w:val="20"/>
          <w:color w:val="auto"/>
        </w:rPr>
      </w:pPr>
      <w:r>
        <w:rPr>
          <w:rFonts w:ascii="Courier New" w:cs="Courier New" w:eastAsia="Courier New" w:hAnsi="Courier New"/>
          <w:sz w:val="16"/>
          <w:szCs w:val="16"/>
          <w:color w:val="auto"/>
        </w:rPr>
        <w:t>The following table sets forth the reconciliation from net income to comprehensive income for the following periods:</w:t>
      </w:r>
    </w:p>
    <w:p>
      <w:pPr>
        <w:spacing w:after="0" w:line="200" w:lineRule="exact"/>
        <w:rPr>
          <w:sz w:val="20"/>
          <w:szCs w:val="20"/>
          <w:color w:val="auto"/>
        </w:rPr>
      </w:pPr>
    </w:p>
    <w:p>
      <w:pPr>
        <w:spacing w:after="0" w:line="340" w:lineRule="exact"/>
        <w:rPr>
          <w:sz w:val="20"/>
          <w:szCs w:val="20"/>
          <w:color w:val="auto"/>
        </w:rPr>
      </w:pPr>
    </w:p>
    <w:tbl>
      <w:tblPr>
        <w:tblLayout w:type="fixed"/>
        <w:tblInd w:w="944" w:type="dxa"/>
        <w:tblCellMar>
          <w:top w:w="0" w:type="dxa"/>
          <w:left w:w="0" w:type="dxa"/>
          <w:bottom w:w="0" w:type="dxa"/>
          <w:right w:w="0" w:type="dxa"/>
        </w:tblCellMar>
      </w:tblPr>
      <w:tr>
        <w:trPr>
          <w:trHeight w:val="181"/>
        </w:trPr>
        <w:tc>
          <w:tcPr>
            <w:tcW w:w="24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680" w:type="dxa"/>
            <w:vAlign w:val="bottom"/>
            <w:gridSpan w:val="3"/>
          </w:tcPr>
          <w:p>
            <w:pPr>
              <w:jc w:val="right"/>
              <w:ind w:right="722"/>
              <w:spacing w:after="0"/>
              <w:rPr>
                <w:sz w:val="20"/>
                <w:szCs w:val="20"/>
                <w:color w:val="auto"/>
              </w:rPr>
            </w:pPr>
            <w:r>
              <w:rPr>
                <w:rFonts w:ascii="Courier New" w:cs="Courier New" w:eastAsia="Courier New" w:hAnsi="Courier New"/>
                <w:sz w:val="16"/>
                <w:szCs w:val="16"/>
                <w:color w:val="auto"/>
              </w:rPr>
              <w:t>THREE MONTHS ENDED</w:t>
            </w:r>
          </w:p>
        </w:tc>
        <w:tc>
          <w:tcPr>
            <w:tcW w:w="420" w:type="dxa"/>
            <w:vAlign w:val="bottom"/>
          </w:tcPr>
          <w:p>
            <w:pPr>
              <w:spacing w:after="0"/>
              <w:rPr>
                <w:sz w:val="15"/>
                <w:szCs w:val="15"/>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SIX MONTHS ENDED</w:t>
            </w:r>
          </w:p>
        </w:tc>
        <w:tc>
          <w:tcPr>
            <w:tcW w:w="1040" w:type="dxa"/>
            <w:vAlign w:val="bottom"/>
          </w:tcPr>
          <w:p>
            <w:pPr>
              <w:spacing w:after="0"/>
              <w:rPr>
                <w:sz w:val="15"/>
                <w:szCs w:val="15"/>
                <w:color w:val="auto"/>
              </w:rPr>
            </w:pPr>
          </w:p>
        </w:tc>
      </w:tr>
      <w:tr>
        <w:trPr>
          <w:trHeight w:val="180"/>
        </w:trPr>
        <w:tc>
          <w:tcPr>
            <w:tcW w:w="24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MARCH 31,</w:t>
            </w: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MARCH 31,</w:t>
            </w:r>
          </w:p>
        </w:tc>
        <w:tc>
          <w:tcPr>
            <w:tcW w:w="1040" w:type="dxa"/>
            <w:vAlign w:val="bottom"/>
          </w:tcPr>
          <w:p>
            <w:pPr>
              <w:spacing w:after="0"/>
              <w:rPr>
                <w:sz w:val="15"/>
                <w:szCs w:val="15"/>
                <w:color w:val="auto"/>
              </w:rPr>
            </w:pPr>
          </w:p>
        </w:tc>
      </w:tr>
      <w:tr>
        <w:trPr>
          <w:trHeight w:val="180"/>
        </w:trPr>
        <w:tc>
          <w:tcPr>
            <w:tcW w:w="2440" w:type="dxa"/>
            <w:vAlign w:val="bottom"/>
          </w:tcPr>
          <w:p>
            <w:pPr>
              <w:spacing w:after="0"/>
              <w:rPr>
                <w:sz w:val="15"/>
                <w:szCs w:val="15"/>
                <w:color w:val="auto"/>
              </w:rPr>
            </w:pPr>
          </w:p>
        </w:tc>
        <w:tc>
          <w:tcPr>
            <w:tcW w:w="2760" w:type="dxa"/>
            <w:vAlign w:val="bottom"/>
            <w:gridSpan w:val="2"/>
          </w:tcPr>
          <w:p>
            <w:pPr>
              <w:ind w:left="1300"/>
              <w:spacing w:after="0"/>
              <w:rPr>
                <w:sz w:val="20"/>
                <w:szCs w:val="20"/>
                <w:color w:val="auto"/>
              </w:rPr>
            </w:pPr>
            <w:r>
              <w:rPr>
                <w:rFonts w:ascii="Courier New" w:cs="Courier New" w:eastAsia="Courier New" w:hAnsi="Courier New"/>
                <w:sz w:val="11"/>
                <w:szCs w:val="11"/>
                <w:color w:val="auto"/>
                <w:w w:val="70"/>
              </w:rPr>
              <w:t>-------------------------------</w:t>
            </w: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20" w:type="dxa"/>
            <w:vAlign w:val="bottom"/>
            <w:gridSpan w:val="4"/>
          </w:tcPr>
          <w:p>
            <w:pPr>
              <w:ind w:left="140"/>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24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80" w:type="dxa"/>
            <w:vAlign w:val="bottom"/>
          </w:tcPr>
          <w:p>
            <w:pPr>
              <w:jc w:val="right"/>
              <w:ind w:right="622"/>
              <w:spacing w:after="0"/>
              <w:rPr>
                <w:sz w:val="20"/>
                <w:szCs w:val="20"/>
                <w:color w:val="auto"/>
              </w:rPr>
            </w:pPr>
            <w:r>
              <w:rPr>
                <w:rFonts w:ascii="Courier New" w:cs="Courier New" w:eastAsia="Courier New" w:hAnsi="Courier New"/>
                <w:sz w:val="16"/>
                <w:szCs w:val="16"/>
                <w:color w:val="auto"/>
                <w:w w:val="93"/>
              </w:rPr>
              <w:t>2007</w:t>
            </w:r>
          </w:p>
        </w:tc>
        <w:tc>
          <w:tcPr>
            <w:tcW w:w="420" w:type="dxa"/>
            <w:vAlign w:val="bottom"/>
          </w:tcPr>
          <w:p>
            <w:pPr>
              <w:spacing w:after="0"/>
              <w:rPr>
                <w:sz w:val="15"/>
                <w:szCs w:val="15"/>
                <w:color w:val="auto"/>
              </w:rPr>
            </w:pPr>
          </w:p>
        </w:tc>
        <w:tc>
          <w:tcPr>
            <w:tcW w:w="118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2006</w:t>
            </w:r>
          </w:p>
        </w:tc>
        <w:tc>
          <w:tcPr>
            <w:tcW w:w="420" w:type="dxa"/>
            <w:vAlign w:val="bottom"/>
          </w:tcPr>
          <w:p>
            <w:pPr>
              <w:spacing w:after="0"/>
              <w:rPr>
                <w:sz w:val="15"/>
                <w:szCs w:val="15"/>
                <w:color w:val="auto"/>
              </w:rPr>
            </w:pPr>
          </w:p>
        </w:tc>
        <w:tc>
          <w:tcPr>
            <w:tcW w:w="13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2007</w:t>
            </w:r>
          </w:p>
        </w:tc>
        <w:tc>
          <w:tcPr>
            <w:tcW w:w="660" w:type="dxa"/>
            <w:vAlign w:val="bottom"/>
          </w:tcPr>
          <w:p>
            <w:pPr>
              <w:spacing w:after="0"/>
              <w:rPr>
                <w:sz w:val="15"/>
                <w:szCs w:val="15"/>
                <w:color w:val="auto"/>
              </w:rPr>
            </w:pPr>
          </w:p>
        </w:tc>
        <w:tc>
          <w:tcPr>
            <w:tcW w:w="1040" w:type="dxa"/>
            <w:vAlign w:val="bottom"/>
          </w:tcPr>
          <w:p>
            <w:pPr>
              <w:jc w:val="right"/>
              <w:ind w:right="582"/>
              <w:spacing w:after="0"/>
              <w:rPr>
                <w:sz w:val="20"/>
                <w:szCs w:val="20"/>
                <w:color w:val="auto"/>
              </w:rPr>
            </w:pPr>
            <w:r>
              <w:rPr>
                <w:rFonts w:ascii="Courier New" w:cs="Courier New" w:eastAsia="Courier New" w:hAnsi="Courier New"/>
                <w:sz w:val="16"/>
                <w:szCs w:val="16"/>
                <w:color w:val="auto"/>
                <w:w w:val="93"/>
              </w:rPr>
              <w:t>2006</w:t>
            </w:r>
          </w:p>
        </w:tc>
      </w:tr>
      <w:tr>
        <w:trPr>
          <w:trHeight w:val="180"/>
        </w:trPr>
        <w:tc>
          <w:tcPr>
            <w:tcW w:w="2440" w:type="dxa"/>
            <w:vAlign w:val="bottom"/>
          </w:tcPr>
          <w:p>
            <w:pPr>
              <w:spacing w:after="0"/>
              <w:rPr>
                <w:sz w:val="15"/>
                <w:szCs w:val="15"/>
                <w:color w:val="auto"/>
              </w:rPr>
            </w:pPr>
          </w:p>
        </w:tc>
        <w:tc>
          <w:tcPr>
            <w:tcW w:w="27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41"/>
        </w:trPr>
        <w:tc>
          <w:tcPr>
            <w:tcW w:w="24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680" w:type="dxa"/>
            <w:vAlign w:val="bottom"/>
          </w:tcPr>
          <w:p>
            <w:pPr>
              <w:ind w:left="13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87,171</w:t>
            </w:r>
          </w:p>
        </w:tc>
        <w:tc>
          <w:tcPr>
            <w:tcW w:w="4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81,762</w:t>
            </w:r>
          </w:p>
        </w:tc>
        <w:tc>
          <w:tcPr>
            <w:tcW w:w="4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180,513</w:t>
            </w:r>
          </w:p>
        </w:tc>
        <w:tc>
          <w:tcPr>
            <w:tcW w:w="6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157,096</w:t>
            </w:r>
          </w:p>
        </w:tc>
      </w:tr>
      <w:tr>
        <w:trPr>
          <w:trHeight w:val="180"/>
        </w:trPr>
        <w:tc>
          <w:tcPr>
            <w:tcW w:w="4120" w:type="dxa"/>
            <w:vAlign w:val="bottom"/>
            <w:gridSpan w:val="2"/>
          </w:tcPr>
          <w:p>
            <w:pPr>
              <w:spacing w:after="0"/>
              <w:rPr>
                <w:sz w:val="20"/>
                <w:szCs w:val="20"/>
                <w:color w:val="auto"/>
              </w:rPr>
            </w:pPr>
            <w:r>
              <w:rPr>
                <w:rFonts w:ascii="Courier New" w:cs="Courier New" w:eastAsia="Courier New" w:hAnsi="Courier New"/>
                <w:sz w:val="16"/>
                <w:szCs w:val="16"/>
                <w:color w:val="auto"/>
              </w:rPr>
              <w:t>Other comprehensive income (loss):</w:t>
            </w: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2440" w:type="dxa"/>
            <w:vAlign w:val="bottom"/>
          </w:tcPr>
          <w:p>
            <w:pPr>
              <w:ind w:left="180"/>
              <w:spacing w:after="0"/>
              <w:rPr>
                <w:sz w:val="20"/>
                <w:szCs w:val="20"/>
                <w:color w:val="auto"/>
              </w:rPr>
            </w:pPr>
            <w:r>
              <w:rPr>
                <w:rFonts w:ascii="Courier New" w:cs="Courier New" w:eastAsia="Courier New" w:hAnsi="Courier New"/>
                <w:sz w:val="16"/>
                <w:szCs w:val="16"/>
                <w:color w:val="auto"/>
              </w:rPr>
              <w:t>Unrealized (loss) gain</w:t>
            </w:r>
          </w:p>
        </w:tc>
        <w:tc>
          <w:tcPr>
            <w:tcW w:w="1680" w:type="dxa"/>
            <w:vAlign w:val="bottom"/>
          </w:tcPr>
          <w:p>
            <w:pPr>
              <w:spacing w:after="0"/>
              <w:rPr>
                <w:sz w:val="20"/>
                <w:szCs w:val="20"/>
                <w:color w:val="auto"/>
              </w:rPr>
            </w:pPr>
            <w:r>
              <w:rPr>
                <w:rFonts w:ascii="Courier New" w:cs="Courier New" w:eastAsia="Courier New" w:hAnsi="Courier New"/>
                <w:sz w:val="16"/>
                <w:szCs w:val="16"/>
                <w:color w:val="auto"/>
              </w:rPr>
              <w:t>on</w:t>
            </w: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2440" w:type="dxa"/>
            <w:vAlign w:val="bottom"/>
          </w:tcPr>
          <w:p>
            <w:pPr>
              <w:ind w:left="180"/>
              <w:spacing w:after="0"/>
              <w:rPr>
                <w:sz w:val="20"/>
                <w:szCs w:val="20"/>
                <w:color w:val="auto"/>
              </w:rPr>
            </w:pPr>
            <w:r>
              <w:rPr>
                <w:rFonts w:ascii="Courier New" w:cs="Courier New" w:eastAsia="Courier New" w:hAnsi="Courier New"/>
                <w:sz w:val="16"/>
                <w:szCs w:val="16"/>
                <w:color w:val="auto"/>
                <w:w w:val="97"/>
              </w:rPr>
              <w:t>foreign currency hedging</w:t>
            </w:r>
          </w:p>
        </w:tc>
        <w:tc>
          <w:tcPr>
            <w:tcW w:w="1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2440" w:type="dxa"/>
            <w:vAlign w:val="bottom"/>
          </w:tcPr>
          <w:p>
            <w:pPr>
              <w:ind w:left="180"/>
              <w:spacing w:after="0"/>
              <w:rPr>
                <w:sz w:val="20"/>
                <w:szCs w:val="20"/>
                <w:color w:val="auto"/>
              </w:rPr>
            </w:pPr>
            <w:r>
              <w:rPr>
                <w:rFonts w:ascii="Courier New" w:cs="Courier New" w:eastAsia="Courier New" w:hAnsi="Courier New"/>
                <w:sz w:val="16"/>
                <w:szCs w:val="16"/>
                <w:color w:val="auto"/>
              </w:rPr>
              <w:t>contracts, net of tax</w:t>
            </w:r>
          </w:p>
        </w:tc>
        <w:tc>
          <w:tcPr>
            <w:tcW w:w="16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(168)</w:t>
            </w:r>
          </w:p>
        </w:tc>
        <w:tc>
          <w:tcPr>
            <w:tcW w:w="420" w:type="dxa"/>
            <w:vAlign w:val="bottom"/>
          </w:tcPr>
          <w:p>
            <w:pPr>
              <w:spacing w:after="0"/>
              <w:rPr>
                <w:sz w:val="15"/>
                <w:szCs w:val="15"/>
                <w:color w:val="auto"/>
              </w:rPr>
            </w:pP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1,505</w:t>
            </w:r>
          </w:p>
        </w:tc>
        <w:tc>
          <w:tcPr>
            <w:tcW w:w="420" w:type="dxa"/>
            <w:vAlign w:val="bottom"/>
          </w:tcPr>
          <w:p>
            <w:pPr>
              <w:spacing w:after="0"/>
              <w:rPr>
                <w:sz w:val="15"/>
                <w:szCs w:val="15"/>
                <w:color w:val="auto"/>
              </w:rPr>
            </w:pPr>
          </w:p>
        </w:tc>
        <w:tc>
          <w:tcPr>
            <w:tcW w:w="13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1,499</w:t>
            </w:r>
          </w:p>
        </w:tc>
        <w:tc>
          <w:tcPr>
            <w:tcW w:w="66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4,158</w:t>
            </w:r>
          </w:p>
        </w:tc>
      </w:tr>
      <w:tr>
        <w:trPr>
          <w:trHeight w:val="180"/>
        </w:trPr>
        <w:tc>
          <w:tcPr>
            <w:tcW w:w="2440" w:type="dxa"/>
            <w:vAlign w:val="bottom"/>
          </w:tcPr>
          <w:p>
            <w:pPr>
              <w:spacing w:after="0"/>
              <w:rPr>
                <w:sz w:val="20"/>
                <w:szCs w:val="20"/>
                <w:color w:val="auto"/>
              </w:rPr>
            </w:pPr>
            <w:r>
              <w:rPr>
                <w:rFonts w:ascii="Courier New" w:cs="Courier New" w:eastAsia="Courier New" w:hAnsi="Courier New"/>
                <w:sz w:val="16"/>
                <w:szCs w:val="16"/>
                <w:color w:val="auto"/>
              </w:rPr>
              <w:t>Unrealized gain (loss) on</w:t>
            </w:r>
          </w:p>
        </w:tc>
        <w:tc>
          <w:tcPr>
            <w:tcW w:w="1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41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short-term interest-bearing</w:t>
            </w: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2440" w:type="dxa"/>
            <w:vAlign w:val="bottom"/>
          </w:tcPr>
          <w:p>
            <w:pPr>
              <w:ind w:left="180"/>
              <w:spacing w:after="0"/>
              <w:rPr>
                <w:sz w:val="20"/>
                <w:szCs w:val="20"/>
                <w:color w:val="auto"/>
              </w:rPr>
            </w:pPr>
            <w:r>
              <w:rPr>
                <w:rFonts w:ascii="Courier New" w:cs="Courier New" w:eastAsia="Courier New" w:hAnsi="Courier New"/>
                <w:sz w:val="16"/>
                <w:szCs w:val="16"/>
                <w:color w:val="auto"/>
              </w:rPr>
              <w:t>investments, net of tax</w:t>
            </w:r>
          </w:p>
        </w:tc>
        <w:tc>
          <w:tcPr>
            <w:tcW w:w="168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521</w:t>
            </w:r>
          </w:p>
        </w:tc>
        <w:tc>
          <w:tcPr>
            <w:tcW w:w="420" w:type="dxa"/>
            <w:vAlign w:val="bottom"/>
          </w:tcPr>
          <w:p>
            <w:pPr>
              <w:spacing w:after="0"/>
              <w:rPr>
                <w:sz w:val="15"/>
                <w:szCs w:val="15"/>
                <w:color w:val="auto"/>
              </w:rPr>
            </w:pP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(307)</w:t>
            </w:r>
          </w:p>
        </w:tc>
        <w:tc>
          <w:tcPr>
            <w:tcW w:w="420" w:type="dxa"/>
            <w:vAlign w:val="bottom"/>
          </w:tcPr>
          <w:p>
            <w:pPr>
              <w:spacing w:after="0"/>
              <w:rPr>
                <w:sz w:val="15"/>
                <w:szCs w:val="15"/>
                <w:color w:val="auto"/>
              </w:rPr>
            </w:pPr>
          </w:p>
        </w:tc>
        <w:tc>
          <w:tcPr>
            <w:tcW w:w="13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415</w:t>
            </w:r>
          </w:p>
        </w:tc>
        <w:tc>
          <w:tcPr>
            <w:tcW w:w="6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(257)</w:t>
            </w:r>
          </w:p>
        </w:tc>
      </w:tr>
      <w:tr>
        <w:trPr>
          <w:trHeight w:val="180"/>
        </w:trPr>
        <w:tc>
          <w:tcPr>
            <w:tcW w:w="2440" w:type="dxa"/>
            <w:vAlign w:val="bottom"/>
          </w:tcPr>
          <w:p>
            <w:pPr>
              <w:spacing w:after="0"/>
              <w:rPr>
                <w:sz w:val="15"/>
                <w:szCs w:val="15"/>
                <w:color w:val="auto"/>
              </w:rPr>
            </w:pPr>
          </w:p>
        </w:tc>
        <w:tc>
          <w:tcPr>
            <w:tcW w:w="27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440" w:type="dxa"/>
            <w:vAlign w:val="bottom"/>
          </w:tcPr>
          <w:p>
            <w:pPr>
              <w:spacing w:after="0"/>
              <w:rPr>
                <w:sz w:val="20"/>
                <w:szCs w:val="20"/>
                <w:color w:val="auto"/>
              </w:rPr>
            </w:pPr>
            <w:r>
              <w:rPr>
                <w:rFonts w:ascii="Courier New" w:cs="Courier New" w:eastAsia="Courier New" w:hAnsi="Courier New"/>
                <w:sz w:val="16"/>
                <w:szCs w:val="16"/>
                <w:color w:val="auto"/>
              </w:rPr>
              <w:t>Comprehensive income</w:t>
            </w:r>
          </w:p>
        </w:tc>
        <w:tc>
          <w:tcPr>
            <w:tcW w:w="1680" w:type="dxa"/>
            <w:vAlign w:val="bottom"/>
          </w:tcPr>
          <w:p>
            <w:pPr>
              <w:ind w:left="13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87,524</w:t>
            </w:r>
          </w:p>
        </w:tc>
        <w:tc>
          <w:tcPr>
            <w:tcW w:w="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82,960</w:t>
            </w:r>
          </w:p>
        </w:tc>
        <w:tc>
          <w:tcPr>
            <w:tcW w:w="4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182,427</w:t>
            </w:r>
          </w:p>
        </w:tc>
        <w:tc>
          <w:tcPr>
            <w:tcW w:w="6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160,997</w:t>
            </w:r>
          </w:p>
        </w:tc>
      </w:tr>
      <w:tr>
        <w:trPr>
          <w:trHeight w:val="361"/>
        </w:trPr>
        <w:tc>
          <w:tcPr>
            <w:tcW w:w="2440" w:type="dxa"/>
            <w:vAlign w:val="bottom"/>
          </w:tcPr>
          <w:p>
            <w:pPr>
              <w:spacing w:after="0"/>
              <w:rPr>
                <w:sz w:val="24"/>
                <w:szCs w:val="24"/>
                <w:color w:val="auto"/>
              </w:rPr>
            </w:pPr>
          </w:p>
        </w:tc>
        <w:tc>
          <w:tcPr>
            <w:tcW w:w="27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ind w:left="564" w:hanging="564"/>
        <w:spacing w:after="0"/>
        <w:tabs>
          <w:tab w:leader="none" w:pos="56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w:t>
      </w:r>
    </w:p>
    <w:p>
      <w:pPr>
        <w:spacing w:after="0" w:line="179" w:lineRule="exact"/>
        <w:rPr>
          <w:rFonts w:ascii="Courier New" w:cs="Courier New" w:eastAsia="Courier New" w:hAnsi="Courier New"/>
          <w:sz w:val="16"/>
          <w:szCs w:val="16"/>
          <w:color w:val="auto"/>
        </w:rPr>
      </w:pPr>
    </w:p>
    <w:p>
      <w:pPr>
        <w:ind w:left="5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 for income taxes for the following periods consisted of:</w:t>
      </w:r>
    </w:p>
    <w:p>
      <w:pPr>
        <w:spacing w:after="0" w:line="200" w:lineRule="exact"/>
        <w:rPr>
          <w:sz w:val="20"/>
          <w:szCs w:val="20"/>
          <w:color w:val="auto"/>
        </w:rPr>
      </w:pPr>
    </w:p>
    <w:p>
      <w:pPr>
        <w:spacing w:after="0" w:line="340" w:lineRule="exact"/>
        <w:rPr>
          <w:sz w:val="20"/>
          <w:szCs w:val="20"/>
          <w:color w:val="auto"/>
        </w:rPr>
      </w:pPr>
    </w:p>
    <w:tbl>
      <w:tblPr>
        <w:tblLayout w:type="fixed"/>
        <w:tblInd w:w="664" w:type="dxa"/>
        <w:tblCellMar>
          <w:top w:w="0" w:type="dxa"/>
          <w:left w:w="0" w:type="dxa"/>
          <w:bottom w:w="0" w:type="dxa"/>
          <w:right w:w="0" w:type="dxa"/>
        </w:tblCellMar>
      </w:tblPr>
      <w:tr>
        <w:trPr>
          <w:trHeight w:val="181"/>
        </w:trPr>
        <w:tc>
          <w:tcPr>
            <w:tcW w:w="18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680" w:type="dxa"/>
            <w:vAlign w:val="bottom"/>
            <w:gridSpan w:val="3"/>
          </w:tcPr>
          <w:p>
            <w:pPr>
              <w:jc w:val="right"/>
              <w:ind w:right="722"/>
              <w:spacing w:after="0"/>
              <w:rPr>
                <w:sz w:val="20"/>
                <w:szCs w:val="20"/>
                <w:color w:val="auto"/>
              </w:rPr>
            </w:pPr>
            <w:r>
              <w:rPr>
                <w:rFonts w:ascii="Courier New" w:cs="Courier New" w:eastAsia="Courier New" w:hAnsi="Courier New"/>
                <w:sz w:val="16"/>
                <w:szCs w:val="16"/>
                <w:color w:val="auto"/>
              </w:rPr>
              <w:t>THREE MONTHS ENDED</w:t>
            </w:r>
          </w:p>
        </w:tc>
        <w:tc>
          <w:tcPr>
            <w:tcW w:w="360" w:type="dxa"/>
            <w:vAlign w:val="bottom"/>
          </w:tcPr>
          <w:p>
            <w:pPr>
              <w:spacing w:after="0"/>
              <w:rPr>
                <w:sz w:val="15"/>
                <w:szCs w:val="15"/>
                <w:color w:val="auto"/>
              </w:rPr>
            </w:pPr>
          </w:p>
        </w:tc>
        <w:tc>
          <w:tcPr>
            <w:tcW w:w="1360" w:type="dxa"/>
            <w:vAlign w:val="bottom"/>
          </w:tcPr>
          <w:p>
            <w:pPr>
              <w:ind w:left="440"/>
              <w:spacing w:after="0"/>
              <w:rPr>
                <w:sz w:val="20"/>
                <w:szCs w:val="20"/>
                <w:color w:val="auto"/>
              </w:rPr>
            </w:pPr>
            <w:r>
              <w:rPr>
                <w:rFonts w:ascii="Courier New" w:cs="Courier New" w:eastAsia="Courier New" w:hAnsi="Courier New"/>
                <w:sz w:val="16"/>
                <w:szCs w:val="16"/>
                <w:color w:val="auto"/>
                <w:w w:val="93"/>
              </w:rPr>
              <w:t>SIX MONTHS</w:t>
            </w: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rPr>
              <w:t>ENDED</w:t>
            </w:r>
          </w:p>
        </w:tc>
        <w:tc>
          <w:tcPr>
            <w:tcW w:w="560" w:type="dxa"/>
            <w:vAlign w:val="bottom"/>
          </w:tcPr>
          <w:p>
            <w:pPr>
              <w:spacing w:after="0"/>
              <w:rPr>
                <w:sz w:val="15"/>
                <w:szCs w:val="15"/>
                <w:color w:val="auto"/>
              </w:rPr>
            </w:pPr>
          </w:p>
        </w:tc>
      </w:tr>
      <w:tr>
        <w:trPr>
          <w:trHeight w:val="180"/>
        </w:trPr>
        <w:tc>
          <w:tcPr>
            <w:tcW w:w="18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50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MARCH 31,</w:t>
            </w: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20" w:type="dxa"/>
            <w:vAlign w:val="bottom"/>
            <w:gridSpan w:val="2"/>
          </w:tcPr>
          <w:p>
            <w:pPr>
              <w:ind w:left="800"/>
              <w:spacing w:after="0"/>
              <w:rPr>
                <w:sz w:val="20"/>
                <w:szCs w:val="20"/>
                <w:color w:val="auto"/>
              </w:rPr>
            </w:pPr>
            <w:r>
              <w:rPr>
                <w:rFonts w:ascii="Courier New" w:cs="Courier New" w:eastAsia="Courier New" w:hAnsi="Courier New"/>
                <w:sz w:val="16"/>
                <w:szCs w:val="16"/>
                <w:color w:val="auto"/>
              </w:rPr>
              <w:t>MARCH 31,</w:t>
            </w:r>
          </w:p>
        </w:tc>
        <w:tc>
          <w:tcPr>
            <w:tcW w:w="560" w:type="dxa"/>
            <w:vAlign w:val="bottom"/>
          </w:tcPr>
          <w:p>
            <w:pPr>
              <w:spacing w:after="0"/>
              <w:rPr>
                <w:sz w:val="15"/>
                <w:szCs w:val="15"/>
                <w:color w:val="auto"/>
              </w:rPr>
            </w:pPr>
          </w:p>
        </w:tc>
      </w:tr>
      <w:tr>
        <w:trPr>
          <w:trHeight w:val="180"/>
        </w:trPr>
        <w:tc>
          <w:tcPr>
            <w:tcW w:w="1860" w:type="dxa"/>
            <w:vAlign w:val="bottom"/>
          </w:tcPr>
          <w:p>
            <w:pPr>
              <w:spacing w:after="0"/>
              <w:rPr>
                <w:sz w:val="15"/>
                <w:szCs w:val="15"/>
                <w:color w:val="auto"/>
              </w:rPr>
            </w:pPr>
          </w:p>
        </w:tc>
        <w:tc>
          <w:tcPr>
            <w:tcW w:w="3580" w:type="dxa"/>
            <w:vAlign w:val="bottom"/>
            <w:gridSpan w:val="2"/>
          </w:tcPr>
          <w:p>
            <w:pPr>
              <w:ind w:left="2160"/>
              <w:spacing w:after="0"/>
              <w:rPr>
                <w:sz w:val="20"/>
                <w:szCs w:val="20"/>
                <w:color w:val="auto"/>
              </w:rPr>
            </w:pPr>
            <w:r>
              <w:rPr>
                <w:rFonts w:ascii="Courier New" w:cs="Courier New" w:eastAsia="Courier New" w:hAnsi="Courier New"/>
                <w:sz w:val="10"/>
                <w:szCs w:val="10"/>
                <w:color w:val="auto"/>
                <w:w w:val="75"/>
              </w:rPr>
              <w:t>-------------------------------</w:t>
            </w: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1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8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040" w:type="dxa"/>
            <w:vAlign w:val="bottom"/>
          </w:tcPr>
          <w:p>
            <w:pPr>
              <w:jc w:val="right"/>
              <w:ind w:right="582"/>
              <w:spacing w:after="0"/>
              <w:rPr>
                <w:sz w:val="20"/>
                <w:szCs w:val="20"/>
                <w:color w:val="auto"/>
              </w:rPr>
            </w:pPr>
            <w:r>
              <w:rPr>
                <w:rFonts w:ascii="Courier New" w:cs="Courier New" w:eastAsia="Courier New" w:hAnsi="Courier New"/>
                <w:sz w:val="16"/>
                <w:szCs w:val="16"/>
                <w:color w:val="auto"/>
                <w:w w:val="93"/>
              </w:rPr>
              <w:t>2007</w:t>
            </w:r>
          </w:p>
        </w:tc>
        <w:tc>
          <w:tcPr>
            <w:tcW w:w="460" w:type="dxa"/>
            <w:vAlign w:val="bottom"/>
          </w:tcPr>
          <w:p>
            <w:pPr>
              <w:spacing w:after="0"/>
              <w:rPr>
                <w:sz w:val="15"/>
                <w:szCs w:val="15"/>
                <w:color w:val="auto"/>
              </w:rPr>
            </w:pPr>
          </w:p>
        </w:tc>
        <w:tc>
          <w:tcPr>
            <w:tcW w:w="118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2006</w:t>
            </w:r>
          </w:p>
        </w:tc>
        <w:tc>
          <w:tcPr>
            <w:tcW w:w="360" w:type="dxa"/>
            <w:vAlign w:val="bottom"/>
          </w:tcPr>
          <w:p>
            <w:pPr>
              <w:spacing w:after="0"/>
              <w:rPr>
                <w:sz w:val="15"/>
                <w:szCs w:val="15"/>
                <w:color w:val="auto"/>
              </w:rPr>
            </w:pPr>
          </w:p>
        </w:tc>
        <w:tc>
          <w:tcPr>
            <w:tcW w:w="13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2007</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2006</w:t>
            </w:r>
          </w:p>
        </w:tc>
        <w:tc>
          <w:tcPr>
            <w:tcW w:w="560" w:type="dxa"/>
            <w:vAlign w:val="bottom"/>
          </w:tcPr>
          <w:p>
            <w:pPr>
              <w:spacing w:after="0"/>
              <w:rPr>
                <w:sz w:val="15"/>
                <w:szCs w:val="15"/>
                <w:color w:val="auto"/>
              </w:rPr>
            </w:pPr>
          </w:p>
        </w:tc>
      </w:tr>
      <w:tr>
        <w:trPr>
          <w:trHeight w:val="180"/>
        </w:trPr>
        <w:tc>
          <w:tcPr>
            <w:tcW w:w="1860" w:type="dxa"/>
            <w:vAlign w:val="bottom"/>
          </w:tcPr>
          <w:p>
            <w:pPr>
              <w:spacing w:after="0"/>
              <w:rPr>
                <w:sz w:val="15"/>
                <w:szCs w:val="15"/>
                <w:color w:val="auto"/>
              </w:rPr>
            </w:pPr>
          </w:p>
        </w:tc>
        <w:tc>
          <w:tcPr>
            <w:tcW w:w="3580" w:type="dxa"/>
            <w:vAlign w:val="bottom"/>
            <w:gridSpan w:val="2"/>
          </w:tcPr>
          <w:p>
            <w:pPr>
              <w:ind w:left="216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41"/>
        </w:trPr>
        <w:tc>
          <w:tcPr>
            <w:tcW w:w="186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2540" w:type="dxa"/>
            <w:vAlign w:val="bottom"/>
          </w:tcPr>
          <w:p>
            <w:pPr>
              <w:ind w:left="216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19,424</w:t>
            </w:r>
          </w:p>
        </w:tc>
        <w:tc>
          <w:tcPr>
            <w:tcW w:w="4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12,500</w:t>
            </w:r>
          </w:p>
        </w:tc>
        <w:tc>
          <w:tcPr>
            <w:tcW w:w="3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ind w:left="340"/>
              <w:spacing w:after="0"/>
              <w:rPr>
                <w:sz w:val="20"/>
                <w:szCs w:val="20"/>
                <w:color w:val="auto"/>
              </w:rPr>
            </w:pPr>
            <w:r>
              <w:rPr>
                <w:rFonts w:ascii="Courier New" w:cs="Courier New" w:eastAsia="Courier New" w:hAnsi="Courier New"/>
                <w:sz w:val="16"/>
                <w:szCs w:val="16"/>
                <w:color w:val="auto"/>
              </w:rPr>
              <w:t>23,168</w:t>
            </w: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22,432</w:t>
            </w:r>
          </w:p>
        </w:tc>
      </w:tr>
      <w:tr>
        <w:trPr>
          <w:trHeight w:val="180"/>
        </w:trPr>
        <w:tc>
          <w:tcPr>
            <w:tcW w:w="1860" w:type="dxa"/>
            <w:vAlign w:val="bottom"/>
          </w:tcPr>
          <w:p>
            <w:pPr>
              <w:spacing w:after="0"/>
              <w:rPr>
                <w:sz w:val="20"/>
                <w:szCs w:val="20"/>
                <w:color w:val="auto"/>
              </w:rPr>
            </w:pPr>
            <w:r>
              <w:rPr>
                <w:rFonts w:ascii="Courier New" w:cs="Courier New" w:eastAsia="Courier New" w:hAnsi="Courier New"/>
                <w:sz w:val="16"/>
                <w:szCs w:val="16"/>
                <w:color w:val="auto"/>
              </w:rPr>
              <w:t>Deferred</w:t>
            </w:r>
          </w:p>
        </w:tc>
        <w:tc>
          <w:tcPr>
            <w:tcW w:w="254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(11,898)</w:t>
            </w:r>
          </w:p>
        </w:tc>
        <w:tc>
          <w:tcPr>
            <w:tcW w:w="460" w:type="dxa"/>
            <w:vAlign w:val="bottom"/>
          </w:tcPr>
          <w:p>
            <w:pPr>
              <w:spacing w:after="0"/>
              <w:rPr>
                <w:sz w:val="15"/>
                <w:szCs w:val="15"/>
                <w:color w:val="auto"/>
              </w:rPr>
            </w:pP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4,834</w:t>
            </w:r>
          </w:p>
        </w:tc>
        <w:tc>
          <w:tcPr>
            <w:tcW w:w="360" w:type="dxa"/>
            <w:vAlign w:val="bottom"/>
          </w:tcPr>
          <w:p>
            <w:pPr>
              <w:spacing w:after="0"/>
              <w:rPr>
                <w:sz w:val="15"/>
                <w:szCs w:val="15"/>
                <w:color w:val="auto"/>
              </w:rPr>
            </w:pPr>
          </w:p>
        </w:tc>
        <w:tc>
          <w:tcPr>
            <w:tcW w:w="1360" w:type="dxa"/>
            <w:vAlign w:val="bottom"/>
          </w:tcPr>
          <w:p>
            <w:pPr>
              <w:ind w:left="340"/>
              <w:spacing w:after="0"/>
              <w:rPr>
                <w:sz w:val="20"/>
                <w:szCs w:val="20"/>
                <w:color w:val="auto"/>
              </w:rPr>
            </w:pPr>
            <w:r>
              <w:rPr>
                <w:rFonts w:ascii="Courier New" w:cs="Courier New" w:eastAsia="Courier New" w:hAnsi="Courier New"/>
                <w:sz w:val="16"/>
                <w:szCs w:val="16"/>
                <w:color w:val="auto"/>
              </w:rPr>
              <w:t>(9,739)</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10,661</w:t>
            </w:r>
          </w:p>
        </w:tc>
      </w:tr>
      <w:tr>
        <w:trPr>
          <w:trHeight w:val="180"/>
        </w:trPr>
        <w:tc>
          <w:tcPr>
            <w:tcW w:w="1860" w:type="dxa"/>
            <w:vAlign w:val="bottom"/>
          </w:tcPr>
          <w:p>
            <w:pPr>
              <w:spacing w:after="0"/>
              <w:rPr>
                <w:sz w:val="15"/>
                <w:szCs w:val="15"/>
                <w:color w:val="auto"/>
              </w:rPr>
            </w:pPr>
          </w:p>
        </w:tc>
        <w:tc>
          <w:tcPr>
            <w:tcW w:w="3580" w:type="dxa"/>
            <w:vAlign w:val="bottom"/>
            <w:gridSpan w:val="2"/>
          </w:tcPr>
          <w:p>
            <w:pPr>
              <w:ind w:left="216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860" w:type="dxa"/>
            <w:vAlign w:val="bottom"/>
          </w:tcPr>
          <w:p>
            <w:pPr>
              <w:spacing w:after="0"/>
              <w:rPr>
                <w:sz w:val="15"/>
                <w:szCs w:val="15"/>
                <w:color w:val="auto"/>
              </w:rPr>
            </w:pPr>
          </w:p>
        </w:tc>
        <w:tc>
          <w:tcPr>
            <w:tcW w:w="2540" w:type="dxa"/>
            <w:vAlign w:val="bottom"/>
          </w:tcPr>
          <w:p>
            <w:pPr>
              <w:ind w:left="216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7,526</w:t>
            </w:r>
          </w:p>
        </w:tc>
        <w:tc>
          <w:tcPr>
            <w:tcW w:w="4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17,334</w:t>
            </w:r>
          </w:p>
        </w:tc>
        <w:tc>
          <w:tcPr>
            <w:tcW w:w="3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ind w:left="340"/>
              <w:spacing w:after="0"/>
              <w:rPr>
                <w:sz w:val="20"/>
                <w:szCs w:val="20"/>
                <w:color w:val="auto"/>
              </w:rPr>
            </w:pPr>
            <w:r>
              <w:rPr>
                <w:rFonts w:ascii="Courier New" w:cs="Courier New" w:eastAsia="Courier New" w:hAnsi="Courier New"/>
                <w:sz w:val="16"/>
                <w:szCs w:val="16"/>
                <w:color w:val="auto"/>
              </w:rPr>
              <w:t>13,429</w:t>
            </w: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33,093</w:t>
            </w:r>
          </w:p>
        </w:tc>
      </w:tr>
      <w:tr>
        <w:trPr>
          <w:trHeight w:val="180"/>
        </w:trPr>
        <w:tc>
          <w:tcPr>
            <w:tcW w:w="1860" w:type="dxa"/>
            <w:vAlign w:val="bottom"/>
          </w:tcPr>
          <w:p>
            <w:pPr>
              <w:spacing w:after="0"/>
              <w:rPr>
                <w:sz w:val="15"/>
                <w:szCs w:val="15"/>
                <w:color w:val="auto"/>
              </w:rPr>
            </w:pPr>
          </w:p>
        </w:tc>
        <w:tc>
          <w:tcPr>
            <w:tcW w:w="3580" w:type="dxa"/>
            <w:vAlign w:val="bottom"/>
            <w:gridSpan w:val="2"/>
          </w:tcPr>
          <w:p>
            <w:pPr>
              <w:ind w:left="216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541"/>
        </w:trPr>
        <w:tc>
          <w:tcPr>
            <w:tcW w:w="1860" w:type="dxa"/>
            <w:vAlign w:val="bottom"/>
          </w:tcPr>
          <w:p>
            <w:pPr>
              <w:spacing w:after="0"/>
              <w:rPr>
                <w:sz w:val="24"/>
                <w:szCs w:val="24"/>
                <w:color w:val="auto"/>
              </w:rPr>
            </w:pPr>
          </w:p>
        </w:tc>
        <w:tc>
          <w:tcPr>
            <w:tcW w:w="2540" w:type="dxa"/>
            <w:vAlign w:val="bottom"/>
          </w:tcPr>
          <w:p>
            <w:pPr>
              <w:ind w:left="1140"/>
              <w:spacing w:after="0"/>
              <w:rPr>
                <w:sz w:val="20"/>
                <w:szCs w:val="20"/>
                <w:color w:val="auto"/>
              </w:rPr>
            </w:pPr>
            <w:r>
              <w:rPr>
                <w:rFonts w:ascii="Courier New" w:cs="Courier New" w:eastAsia="Courier New" w:hAnsi="Courier New"/>
                <w:sz w:val="16"/>
                <w:szCs w:val="16"/>
                <w:color w:val="auto"/>
              </w:rPr>
              <w:t>8</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164"/>
          </w:cols>
          <w:pgMar w:left="236" w:top="654" w:right="499" w:bottom="1440" w:gutter="0" w:footer="0" w:header="0"/>
        </w:sectPr>
      </w:pPr>
    </w:p>
    <w:bookmarkStart w:id="9" w:name="page10"/>
    <w:bookmarkEnd w:id="9"/>
    <w:p>
      <w:pPr>
        <w:jc w:val="center"/>
        <w:ind w:right="280"/>
        <w:spacing w:after="0"/>
        <w:rPr>
          <w:sz w:val="20"/>
          <w:szCs w:val="20"/>
          <w:color w:val="auto"/>
        </w:rPr>
      </w:pPr>
      <w:r>
        <w:rPr>
          <w:rFonts w:ascii="Courier New" w:cs="Courier New" w:eastAsia="Courier New" w:hAnsi="Courier New"/>
          <w:sz w:val="16"/>
          <w:szCs w:val="16"/>
          <w:color w:val="auto"/>
        </w:rPr>
        <w:t>AMDOCS LIMITED</w:t>
      </w:r>
    </w:p>
    <w:p>
      <w:pPr>
        <w:jc w:val="center"/>
        <w:ind w:right="280"/>
        <w:spacing w:after="0"/>
        <w:rPr>
          <w:sz w:val="20"/>
          <w:szCs w:val="20"/>
          <w:color w:val="auto"/>
        </w:rPr>
      </w:pPr>
      <w:r>
        <w:rPr>
          <w:rFonts w:ascii="Courier New" w:cs="Courier New" w:eastAsia="Courier New" w:hAnsi="Courier New"/>
          <w:sz w:val="16"/>
          <w:szCs w:val="16"/>
          <w:color w:val="auto"/>
        </w:rPr>
        <w:t>NOTES TO UNAUDITED CONSOLIDATED FINANCIAL STATEMENTS</w:t>
      </w:r>
    </w:p>
    <w:p>
      <w:pPr>
        <w:spacing w:after="0" w:line="17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85" w:lineRule="exact"/>
        <w:rPr>
          <w:sz w:val="20"/>
          <w:szCs w:val="20"/>
          <w:color w:val="auto"/>
        </w:rPr>
      </w:pPr>
    </w:p>
    <w:p>
      <w:pPr>
        <w:ind w:right="380" w:firstLine="563"/>
        <w:spacing w:after="0" w:line="236" w:lineRule="auto"/>
        <w:rPr>
          <w:sz w:val="20"/>
          <w:szCs w:val="20"/>
          <w:color w:val="auto"/>
        </w:rPr>
      </w:pPr>
      <w:r>
        <w:rPr>
          <w:rFonts w:ascii="Courier New" w:cs="Courier New" w:eastAsia="Courier New" w:hAnsi="Courier New"/>
          <w:sz w:val="16"/>
          <w:szCs w:val="16"/>
          <w:color w:val="auto"/>
        </w:rPr>
        <w:t>The effective income tax rate varied from the statutory Guernsey tax rate as follows for the following periods:</w:t>
      </w:r>
    </w:p>
    <w:p>
      <w:pPr>
        <w:spacing w:after="0" w:line="200" w:lineRule="exact"/>
        <w:rPr>
          <w:sz w:val="20"/>
          <w:szCs w:val="20"/>
          <w:color w:val="auto"/>
        </w:rPr>
      </w:pPr>
    </w:p>
    <w:p>
      <w:pPr>
        <w:spacing w:after="0" w:line="340" w:lineRule="exact"/>
        <w:rPr>
          <w:sz w:val="20"/>
          <w:szCs w:val="20"/>
          <w:color w:val="auto"/>
        </w:rPr>
      </w:pPr>
    </w:p>
    <w:tbl>
      <w:tblPr>
        <w:tblLayout w:type="fixed"/>
        <w:tblInd w:w="660" w:type="dxa"/>
        <w:tblCellMar>
          <w:top w:w="0" w:type="dxa"/>
          <w:left w:w="0" w:type="dxa"/>
          <w:bottom w:w="0" w:type="dxa"/>
          <w:right w:w="0" w:type="dxa"/>
        </w:tblCellMar>
      </w:tblPr>
      <w:tr>
        <w:trPr>
          <w:trHeight w:val="181"/>
        </w:trPr>
        <w:tc>
          <w:tcPr>
            <w:tcW w:w="3740" w:type="dxa"/>
            <w:vAlign w:val="bottom"/>
          </w:tcPr>
          <w:p>
            <w:pPr>
              <w:spacing w:after="0"/>
              <w:rPr>
                <w:sz w:val="15"/>
                <w:szCs w:val="15"/>
                <w:color w:val="auto"/>
              </w:rPr>
            </w:pPr>
          </w:p>
        </w:tc>
        <w:tc>
          <w:tcPr>
            <w:tcW w:w="3380" w:type="dxa"/>
            <w:vAlign w:val="bottom"/>
            <w:gridSpan w:val="2"/>
          </w:tcPr>
          <w:p>
            <w:pPr>
              <w:jc w:val="right"/>
              <w:ind w:right="662"/>
              <w:spacing w:after="0"/>
              <w:rPr>
                <w:sz w:val="20"/>
                <w:szCs w:val="20"/>
                <w:color w:val="auto"/>
              </w:rPr>
            </w:pPr>
            <w:r>
              <w:rPr>
                <w:rFonts w:ascii="Courier New" w:cs="Courier New" w:eastAsia="Courier New" w:hAnsi="Courier New"/>
                <w:sz w:val="16"/>
                <w:szCs w:val="16"/>
                <w:color w:val="auto"/>
              </w:rPr>
              <w:t>THREE MONTHS ENDED</w:t>
            </w:r>
          </w:p>
        </w:tc>
      </w:tr>
      <w:tr>
        <w:trPr>
          <w:trHeight w:val="180"/>
        </w:trPr>
        <w:tc>
          <w:tcPr>
            <w:tcW w:w="37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60" w:type="dxa"/>
            <w:vAlign w:val="bottom"/>
          </w:tcPr>
          <w:p>
            <w:pPr>
              <w:jc w:val="right"/>
              <w:ind w:right="1142"/>
              <w:spacing w:after="0"/>
              <w:rPr>
                <w:sz w:val="20"/>
                <w:szCs w:val="20"/>
                <w:color w:val="auto"/>
              </w:rPr>
            </w:pPr>
            <w:r>
              <w:rPr>
                <w:rFonts w:ascii="Courier New" w:cs="Courier New" w:eastAsia="Courier New" w:hAnsi="Courier New"/>
                <w:sz w:val="16"/>
                <w:szCs w:val="16"/>
                <w:color w:val="auto"/>
                <w:w w:val="94"/>
              </w:rPr>
              <w:t>MARCH 31,</w:t>
            </w:r>
          </w:p>
        </w:tc>
      </w:tr>
      <w:tr>
        <w:trPr>
          <w:trHeight w:val="180"/>
        </w:trPr>
        <w:tc>
          <w:tcPr>
            <w:tcW w:w="3740" w:type="dxa"/>
            <w:vAlign w:val="bottom"/>
          </w:tcPr>
          <w:p>
            <w:pPr>
              <w:spacing w:after="0"/>
              <w:rPr>
                <w:sz w:val="15"/>
                <w:szCs w:val="15"/>
                <w:color w:val="auto"/>
              </w:rPr>
            </w:pPr>
          </w:p>
        </w:tc>
        <w:tc>
          <w:tcPr>
            <w:tcW w:w="3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740" w:type="dxa"/>
            <w:vAlign w:val="bottom"/>
          </w:tcPr>
          <w:p>
            <w:pPr>
              <w:spacing w:after="0"/>
              <w:rPr>
                <w:sz w:val="15"/>
                <w:szCs w:val="15"/>
                <w:color w:val="auto"/>
              </w:rPr>
            </w:pPr>
          </w:p>
        </w:tc>
        <w:tc>
          <w:tcPr>
            <w:tcW w:w="13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2007</w:t>
            </w:r>
          </w:p>
        </w:tc>
        <w:tc>
          <w:tcPr>
            <w:tcW w:w="20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2006</w:t>
            </w:r>
          </w:p>
        </w:tc>
      </w:tr>
      <w:tr>
        <w:trPr>
          <w:trHeight w:val="180"/>
        </w:trPr>
        <w:tc>
          <w:tcPr>
            <w:tcW w:w="37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w w:val="90"/>
              </w:rPr>
              <w:t>---------------</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41"/>
        </w:trPr>
        <w:tc>
          <w:tcPr>
            <w:tcW w:w="3740" w:type="dxa"/>
            <w:vAlign w:val="bottom"/>
          </w:tcPr>
          <w:p>
            <w:pPr>
              <w:spacing w:after="0"/>
              <w:rPr>
                <w:sz w:val="20"/>
                <w:szCs w:val="20"/>
                <w:color w:val="auto"/>
              </w:rPr>
            </w:pPr>
            <w:r>
              <w:rPr>
                <w:rFonts w:ascii="Courier New" w:cs="Courier New" w:eastAsia="Courier New" w:hAnsi="Courier New"/>
                <w:sz w:val="16"/>
                <w:szCs w:val="16"/>
                <w:color w:val="auto"/>
              </w:rPr>
              <w:t>Statutory Guernsey tax rate</w:t>
            </w:r>
          </w:p>
        </w:tc>
        <w:tc>
          <w:tcPr>
            <w:tcW w:w="13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w:t>
            </w:r>
          </w:p>
        </w:tc>
        <w:tc>
          <w:tcPr>
            <w:tcW w:w="20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Guernsey tax-exempt status</w:t>
            </w:r>
          </w:p>
        </w:tc>
        <w:tc>
          <w:tcPr>
            <w:tcW w:w="13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w:t>
            </w:r>
          </w:p>
        </w:tc>
        <w:tc>
          <w:tcPr>
            <w:tcW w:w="20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Foreign taxes</w:t>
            </w: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w:t>
            </w:r>
          </w:p>
        </w:tc>
        <w:tc>
          <w:tcPr>
            <w:tcW w:w="20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18</w:t>
            </w:r>
          </w:p>
        </w:tc>
      </w:tr>
      <w:tr>
        <w:trPr>
          <w:trHeight w:val="180"/>
        </w:trPr>
        <w:tc>
          <w:tcPr>
            <w:tcW w:w="37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w w:val="90"/>
              </w:rPr>
              <w:t>---------------</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Income tax rate before effect of</w:t>
            </w: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w:t>
            </w:r>
          </w:p>
        </w:tc>
        <w:tc>
          <w:tcPr>
            <w:tcW w:w="20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18</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acquisition-related costs,</w:t>
            </w:r>
          </w:p>
        </w:tc>
        <w:tc>
          <w:tcPr>
            <w:tcW w:w="13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restructuring charges and</w:t>
            </w:r>
          </w:p>
        </w:tc>
        <w:tc>
          <w:tcPr>
            <w:tcW w:w="13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equity-based compensation expense (2)</w:t>
            </w:r>
          </w:p>
        </w:tc>
        <w:tc>
          <w:tcPr>
            <w:tcW w:w="13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61"/>
        </w:trPr>
        <w:tc>
          <w:tcPr>
            <w:tcW w:w="3740" w:type="dxa"/>
            <w:vAlign w:val="bottom"/>
          </w:tcPr>
          <w:p>
            <w:pPr>
              <w:spacing w:after="0"/>
              <w:rPr>
                <w:sz w:val="20"/>
                <w:szCs w:val="20"/>
                <w:color w:val="auto"/>
              </w:rPr>
            </w:pPr>
            <w:r>
              <w:rPr>
                <w:rFonts w:ascii="Courier New" w:cs="Courier New" w:eastAsia="Courier New" w:hAnsi="Courier New"/>
                <w:sz w:val="16"/>
                <w:szCs w:val="16"/>
                <w:color w:val="auto"/>
              </w:rPr>
              <w:t>Effect of acquisition-related costs,</w:t>
            </w:r>
          </w:p>
        </w:tc>
        <w:tc>
          <w:tcPr>
            <w:tcW w:w="13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w:t>
            </w:r>
          </w:p>
        </w:tc>
        <w:tc>
          <w:tcPr>
            <w:tcW w:w="20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restructuring charges and</w:t>
            </w:r>
          </w:p>
        </w:tc>
        <w:tc>
          <w:tcPr>
            <w:tcW w:w="13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equity-based compensation expense (2)</w:t>
            </w:r>
          </w:p>
        </w:tc>
        <w:tc>
          <w:tcPr>
            <w:tcW w:w="13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61"/>
        </w:trPr>
        <w:tc>
          <w:tcPr>
            <w:tcW w:w="37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w w:val="90"/>
              </w:rPr>
              <w:t>---------------</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740" w:type="dxa"/>
            <w:vAlign w:val="bottom"/>
          </w:tcPr>
          <w:p>
            <w:pPr>
              <w:spacing w:after="0"/>
              <w:rPr>
                <w:sz w:val="15"/>
                <w:szCs w:val="15"/>
                <w:color w:val="auto"/>
              </w:rPr>
            </w:pPr>
          </w:p>
        </w:tc>
        <w:tc>
          <w:tcPr>
            <w:tcW w:w="13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w:t>
            </w:r>
          </w:p>
        </w:tc>
        <w:tc>
          <w:tcPr>
            <w:tcW w:w="20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17%</w:t>
            </w:r>
          </w:p>
        </w:tc>
      </w:tr>
      <w:tr>
        <w:trPr>
          <w:trHeight w:val="180"/>
        </w:trPr>
        <w:tc>
          <w:tcPr>
            <w:tcW w:w="37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w w:val="90"/>
              </w:rPr>
              <w:t>---------------</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left="1120" w:right="560" w:hanging="561"/>
        <w:spacing w:after="0" w:line="237" w:lineRule="auto"/>
        <w:tabs>
          <w:tab w:leader="none" w:pos="11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six months ended March 31, 2007 includes the Company's net release of $11,924 of tax reserves attributable to a resolved tax audit of a prior year, as well as changes in the Company's tax reserves in the ordinary course of business. The changes in the Company's tax reserves are recognized through income taxes or through other balance sheet items.</w:t>
      </w:r>
    </w:p>
    <w:p>
      <w:pPr>
        <w:spacing w:after="0" w:line="188" w:lineRule="exact"/>
        <w:rPr>
          <w:rFonts w:ascii="Courier New" w:cs="Courier New" w:eastAsia="Courier New" w:hAnsi="Courier New"/>
          <w:sz w:val="16"/>
          <w:szCs w:val="16"/>
          <w:color w:val="auto"/>
        </w:rPr>
      </w:pPr>
    </w:p>
    <w:p>
      <w:pPr>
        <w:ind w:left="1120" w:right="280" w:hanging="561"/>
        <w:spacing w:after="0" w:line="237" w:lineRule="auto"/>
        <w:tabs>
          <w:tab w:leader="none" w:pos="11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Acquisition-related costs include amortization of purchased intangible assets, in-process research and development write-off and other.</w:t>
      </w:r>
    </w:p>
    <w:p>
      <w:pPr>
        <w:spacing w:after="0" w:line="185" w:lineRule="exact"/>
        <w:rPr>
          <w:sz w:val="20"/>
          <w:szCs w:val="20"/>
          <w:color w:val="auto"/>
        </w:rPr>
      </w:pPr>
    </w:p>
    <w:p>
      <w:pPr>
        <w:ind w:right="940" w:firstLine="563"/>
        <w:spacing w:after="0" w:line="236" w:lineRule="auto"/>
        <w:rPr>
          <w:sz w:val="20"/>
          <w:szCs w:val="20"/>
          <w:color w:val="auto"/>
        </w:rPr>
      </w:pPr>
      <w:r>
        <w:rPr>
          <w:rFonts w:ascii="Courier New" w:cs="Courier New" w:eastAsia="Courier New" w:hAnsi="Courier New"/>
          <w:sz w:val="16"/>
          <w:szCs w:val="16"/>
          <w:color w:val="auto"/>
        </w:rPr>
        <w:t>As a Guernsey company with tax-exempt status, the Company's overall effective tax rate is attributable to foreign taxes.</w:t>
      </w:r>
    </w:p>
    <w:p>
      <w:pPr>
        <w:spacing w:after="0" w:line="185" w:lineRule="exact"/>
        <w:rPr>
          <w:sz w:val="20"/>
          <w:szCs w:val="20"/>
          <w:color w:val="auto"/>
        </w:rPr>
      </w:pPr>
    </w:p>
    <w:p>
      <w:pPr>
        <w:ind w:right="280" w:firstLine="563"/>
        <w:spacing w:after="0" w:line="238" w:lineRule="auto"/>
        <w:rPr>
          <w:sz w:val="20"/>
          <w:szCs w:val="20"/>
          <w:color w:val="auto"/>
        </w:rPr>
      </w:pPr>
      <w:r>
        <w:rPr>
          <w:rFonts w:ascii="Courier New" w:cs="Courier New" w:eastAsia="Courier New" w:hAnsi="Courier New"/>
          <w:sz w:val="16"/>
          <w:szCs w:val="16"/>
          <w:color w:val="auto"/>
        </w:rPr>
        <w:t>As of March 31, 2007, deferred tax assets of $42,736, derived from net capital and operating loss carry forwards related to some of the Company's subsidiaries, were offset by valuation allowances related to the uncertainty of realizing tax benefit for such losses. When realization of the tax benefits associated with such net capital and operating losses is deemed more likely than not, the valuation allowance will be released through income taxes or through goodwill when it relates to a business combination.</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SIX MONTHS ENDED</w:t>
      </w:r>
    </w:p>
    <w:p>
      <w:pPr>
        <w:ind w:left="940"/>
        <w:spacing w:after="0"/>
        <w:rPr>
          <w:sz w:val="20"/>
          <w:szCs w:val="20"/>
          <w:color w:val="auto"/>
        </w:rPr>
      </w:pPr>
      <w:r>
        <w:rPr>
          <w:rFonts w:ascii="Courier New" w:cs="Courier New" w:eastAsia="Courier New" w:hAnsi="Courier New"/>
          <w:sz w:val="16"/>
          <w:szCs w:val="16"/>
          <w:color w:val="auto"/>
        </w:rPr>
        <w:t>MARCH 31,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2007(1)</w:t>
            </w:r>
          </w:p>
        </w:tc>
        <w:tc>
          <w:tcPr>
            <w:tcW w:w="14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2006</w:t>
            </w:r>
          </w:p>
        </w:tc>
      </w:tr>
      <w:tr>
        <w:trPr>
          <w:trHeight w:val="180"/>
        </w:trPr>
        <w:tc>
          <w:tcPr>
            <w:tcW w:w="150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6"/>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41"/>
        </w:trPr>
        <w:tc>
          <w:tcPr>
            <w:tcW w:w="15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20%</w:t>
            </w:r>
          </w:p>
        </w:tc>
        <w:tc>
          <w:tcPr>
            <w:tcW w:w="14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w:t>
            </w:r>
          </w:p>
        </w:tc>
      </w:tr>
      <w:tr>
        <w:trPr>
          <w:trHeight w:val="180"/>
        </w:trPr>
        <w:tc>
          <w:tcPr>
            <w:tcW w:w="150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8"/>
              </w:rPr>
              <w:t>(20)</w:t>
            </w:r>
          </w:p>
        </w:tc>
        <w:tc>
          <w:tcPr>
            <w:tcW w:w="14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w:t>
            </w:r>
          </w:p>
        </w:tc>
      </w:tr>
      <w:tr>
        <w:trPr>
          <w:trHeight w:val="180"/>
        </w:trPr>
        <w:tc>
          <w:tcPr>
            <w:tcW w:w="150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3"/>
              </w:rPr>
              <w:t>12</w:t>
            </w:r>
          </w:p>
        </w:tc>
        <w:tc>
          <w:tcPr>
            <w:tcW w:w="14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18</w:t>
            </w:r>
          </w:p>
        </w:tc>
      </w:tr>
      <w:tr>
        <w:trPr>
          <w:trHeight w:val="180"/>
        </w:trPr>
        <w:tc>
          <w:tcPr>
            <w:tcW w:w="150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6"/>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50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3"/>
              </w:rPr>
              <w:t>12</w:t>
            </w:r>
          </w:p>
        </w:tc>
        <w:tc>
          <w:tcPr>
            <w:tcW w:w="14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18</w:t>
            </w:r>
          </w:p>
        </w:tc>
      </w:tr>
      <w:tr>
        <w:trPr>
          <w:trHeight w:val="902"/>
        </w:trPr>
        <w:tc>
          <w:tcPr>
            <w:tcW w:w="15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(5)</w:t>
            </w:r>
          </w:p>
        </w:tc>
        <w:tc>
          <w:tcPr>
            <w:tcW w:w="14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w:t>
            </w:r>
          </w:p>
        </w:tc>
      </w:tr>
      <w:tr>
        <w:trPr>
          <w:trHeight w:val="721"/>
        </w:trPr>
        <w:tc>
          <w:tcPr>
            <w:tcW w:w="150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6"/>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5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7%</w:t>
            </w:r>
          </w:p>
        </w:tc>
        <w:tc>
          <w:tcPr>
            <w:tcW w:w="14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17%</w:t>
            </w:r>
          </w:p>
        </w:tc>
      </w:tr>
      <w:tr>
        <w:trPr>
          <w:trHeight w:val="180"/>
        </w:trPr>
        <w:tc>
          <w:tcPr>
            <w:tcW w:w="150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6"/>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2">
            <w:col w:w="7780" w:space="380"/>
            <w:col w:w="2900"/>
          </w:cols>
          <w:pgMar w:left="240" w:top="654" w:right="599" w:bottom="1440" w:gutter="0" w:footer="0" w:header="0"/>
        </w:sectPr>
      </w:pPr>
    </w:p>
    <w:bookmarkStart w:id="10" w:name="page11"/>
    <w:bookmarkEnd w:id="10"/>
    <w:p>
      <w:pPr>
        <w:jc w:val="center"/>
        <w:ind w:right="3656"/>
        <w:spacing w:after="0"/>
        <w:rPr>
          <w:sz w:val="20"/>
          <w:szCs w:val="20"/>
          <w:color w:val="auto"/>
        </w:rPr>
      </w:pPr>
      <w:r>
        <w:rPr>
          <w:rFonts w:ascii="Courier New" w:cs="Courier New" w:eastAsia="Courier New" w:hAnsi="Courier New"/>
          <w:sz w:val="16"/>
          <w:szCs w:val="16"/>
          <w:color w:val="auto"/>
        </w:rPr>
        <w:t>AMDOCS LIMITED</w:t>
      </w:r>
    </w:p>
    <w:p>
      <w:pPr>
        <w:jc w:val="center"/>
        <w:ind w:right="3656"/>
        <w:spacing w:after="0"/>
        <w:rPr>
          <w:sz w:val="20"/>
          <w:szCs w:val="20"/>
          <w:color w:val="auto"/>
        </w:rPr>
      </w:pPr>
      <w:r>
        <w:rPr>
          <w:rFonts w:ascii="Courier New" w:cs="Courier New" w:eastAsia="Courier New" w:hAnsi="Courier New"/>
          <w:sz w:val="16"/>
          <w:szCs w:val="16"/>
          <w:color w:val="auto"/>
        </w:rPr>
        <w:t>NOTES TO UNAUDITED CONSOLIDATED FINANCIAL STATEMENTS</w:t>
      </w:r>
    </w:p>
    <w:p>
      <w:pPr>
        <w:spacing w:after="0" w:line="179"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79" w:lineRule="exact"/>
        <w:rPr>
          <w:sz w:val="20"/>
          <w:szCs w:val="20"/>
          <w:color w:val="auto"/>
        </w:rPr>
      </w:pPr>
    </w:p>
    <w:p>
      <w:pPr>
        <w:ind w:left="564" w:hanging="564"/>
        <w:spacing w:after="0"/>
        <w:tabs>
          <w:tab w:leader="none" w:pos="56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SHARE</w:t>
      </w:r>
    </w:p>
    <w:p>
      <w:pPr>
        <w:spacing w:after="0" w:line="185" w:lineRule="exact"/>
        <w:rPr>
          <w:sz w:val="20"/>
          <w:szCs w:val="20"/>
          <w:color w:val="auto"/>
        </w:rPr>
      </w:pPr>
    </w:p>
    <w:p>
      <w:pPr>
        <w:ind w:left="4" w:right="4320" w:firstLine="563"/>
        <w:spacing w:after="0" w:line="236" w:lineRule="auto"/>
        <w:rPr>
          <w:sz w:val="20"/>
          <w:szCs w:val="20"/>
          <w:color w:val="auto"/>
        </w:rPr>
      </w:pPr>
      <w:r>
        <w:rPr>
          <w:rFonts w:ascii="Courier New" w:cs="Courier New" w:eastAsia="Courier New" w:hAnsi="Courier New"/>
          <w:sz w:val="16"/>
          <w:szCs w:val="16"/>
          <w:color w:val="auto"/>
        </w:rPr>
        <w:t>The following table sets forth the computation of basic and diluted earnings per share:</w:t>
      </w:r>
    </w:p>
    <w:p>
      <w:pPr>
        <w:spacing w:after="0" w:line="200" w:lineRule="exact"/>
        <w:rPr>
          <w:sz w:val="20"/>
          <w:szCs w:val="20"/>
          <w:color w:val="auto"/>
        </w:rPr>
      </w:pPr>
    </w:p>
    <w:p>
      <w:pPr>
        <w:spacing w:after="0" w:line="340" w:lineRule="exact"/>
        <w:rPr>
          <w:sz w:val="20"/>
          <w:szCs w:val="20"/>
          <w:color w:val="auto"/>
        </w:rPr>
      </w:pPr>
    </w:p>
    <w:tbl>
      <w:tblPr>
        <w:tblLayout w:type="fixed"/>
        <w:tblInd w:w="664" w:type="dxa"/>
        <w:tblCellMar>
          <w:top w:w="0" w:type="dxa"/>
          <w:left w:w="0" w:type="dxa"/>
          <w:bottom w:w="0" w:type="dxa"/>
          <w:right w:w="0" w:type="dxa"/>
        </w:tblCellMar>
      </w:tblPr>
      <w:tr>
        <w:trPr>
          <w:trHeight w:val="181"/>
        </w:trPr>
        <w:tc>
          <w:tcPr>
            <w:tcW w:w="3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THREE MONTHS</w:t>
            </w:r>
          </w:p>
        </w:tc>
        <w:tc>
          <w:tcPr>
            <w:tcW w:w="1400" w:type="dxa"/>
            <w:vAlign w:val="bottom"/>
            <w:gridSpan w:val="2"/>
          </w:tcPr>
          <w:p>
            <w:pPr>
              <w:spacing w:after="0"/>
              <w:rPr>
                <w:sz w:val="20"/>
                <w:szCs w:val="20"/>
                <w:color w:val="auto"/>
              </w:rPr>
            </w:pPr>
            <w:r>
              <w:rPr>
                <w:rFonts w:ascii="Courier New" w:cs="Courier New" w:eastAsia="Courier New" w:hAnsi="Courier New"/>
                <w:sz w:val="16"/>
                <w:szCs w:val="16"/>
                <w:color w:val="auto"/>
              </w:rPr>
              <w:t>ENDED</w:t>
            </w:r>
          </w:p>
        </w:tc>
        <w:tc>
          <w:tcPr>
            <w:tcW w:w="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SIX MONTHS</w:t>
            </w:r>
          </w:p>
        </w:tc>
        <w:tc>
          <w:tcPr>
            <w:tcW w:w="1260" w:type="dxa"/>
            <w:vAlign w:val="bottom"/>
            <w:gridSpan w:val="2"/>
          </w:tcPr>
          <w:p>
            <w:pPr>
              <w:jc w:val="right"/>
              <w:ind w:right="682"/>
              <w:spacing w:after="0"/>
              <w:rPr>
                <w:sz w:val="20"/>
                <w:szCs w:val="20"/>
                <w:color w:val="auto"/>
              </w:rPr>
            </w:pPr>
            <w:r>
              <w:rPr>
                <w:rFonts w:ascii="Courier New" w:cs="Courier New" w:eastAsia="Courier New" w:hAnsi="Courier New"/>
                <w:sz w:val="16"/>
                <w:szCs w:val="16"/>
                <w:color w:val="auto"/>
                <w:w w:val="99"/>
              </w:rPr>
              <w:t>ENDED</w:t>
            </w:r>
          </w:p>
        </w:tc>
      </w:tr>
      <w:tr>
        <w:trPr>
          <w:trHeight w:val="180"/>
        </w:trPr>
        <w:tc>
          <w:tcPr>
            <w:tcW w:w="3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MARCH 31,</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MARCH 31,</w:t>
            </w:r>
          </w:p>
        </w:tc>
        <w:tc>
          <w:tcPr>
            <w:tcW w:w="980" w:type="dxa"/>
            <w:vAlign w:val="bottom"/>
          </w:tcPr>
          <w:p>
            <w:pPr>
              <w:spacing w:after="0"/>
              <w:rPr>
                <w:sz w:val="15"/>
                <w:szCs w:val="15"/>
                <w:color w:val="auto"/>
              </w:rPr>
            </w:pPr>
          </w:p>
        </w:tc>
      </w:tr>
      <w:tr>
        <w:trPr>
          <w:trHeight w:val="180"/>
        </w:trPr>
        <w:tc>
          <w:tcPr>
            <w:tcW w:w="3800" w:type="dxa"/>
            <w:vAlign w:val="bottom"/>
          </w:tcPr>
          <w:p>
            <w:pPr>
              <w:spacing w:after="0"/>
              <w:rPr>
                <w:sz w:val="15"/>
                <w:szCs w:val="15"/>
                <w:color w:val="auto"/>
              </w:rPr>
            </w:pPr>
          </w:p>
        </w:tc>
        <w:tc>
          <w:tcPr>
            <w:tcW w:w="3600" w:type="dxa"/>
            <w:vAlign w:val="bottom"/>
            <w:gridSpan w:val="4"/>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31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2007</w:t>
            </w:r>
          </w:p>
        </w:tc>
        <w:tc>
          <w:tcPr>
            <w:tcW w:w="240" w:type="dxa"/>
            <w:vAlign w:val="bottom"/>
          </w:tcPr>
          <w:p>
            <w:pPr>
              <w:spacing w:after="0"/>
              <w:rPr>
                <w:sz w:val="15"/>
                <w:szCs w:val="15"/>
                <w:color w:val="auto"/>
              </w:rPr>
            </w:pPr>
          </w:p>
        </w:tc>
        <w:tc>
          <w:tcPr>
            <w:tcW w:w="11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2006</w:t>
            </w:r>
          </w:p>
        </w:tc>
        <w:tc>
          <w:tcPr>
            <w:tcW w:w="420" w:type="dxa"/>
            <w:vAlign w:val="bottom"/>
          </w:tcPr>
          <w:p>
            <w:pPr>
              <w:spacing w:after="0"/>
              <w:rPr>
                <w:sz w:val="15"/>
                <w:szCs w:val="15"/>
                <w:color w:val="auto"/>
              </w:rPr>
            </w:pPr>
          </w:p>
        </w:tc>
        <w:tc>
          <w:tcPr>
            <w:tcW w:w="1420" w:type="dxa"/>
            <w:vAlign w:val="bottom"/>
          </w:tcPr>
          <w:p>
            <w:pPr>
              <w:jc w:val="right"/>
              <w:ind w:right="822"/>
              <w:spacing w:after="0"/>
              <w:rPr>
                <w:sz w:val="20"/>
                <w:szCs w:val="20"/>
                <w:color w:val="auto"/>
              </w:rPr>
            </w:pPr>
            <w:r>
              <w:rPr>
                <w:rFonts w:ascii="Courier New" w:cs="Courier New" w:eastAsia="Courier New" w:hAnsi="Courier New"/>
                <w:sz w:val="16"/>
                <w:szCs w:val="16"/>
                <w:color w:val="auto"/>
              </w:rPr>
              <w:t>2007</w:t>
            </w:r>
          </w:p>
        </w:tc>
        <w:tc>
          <w:tcPr>
            <w:tcW w:w="280" w:type="dxa"/>
            <w:vAlign w:val="bottom"/>
          </w:tcPr>
          <w:p>
            <w:pPr>
              <w:spacing w:after="0"/>
              <w:rPr>
                <w:sz w:val="15"/>
                <w:szCs w:val="15"/>
                <w:color w:val="auto"/>
              </w:rPr>
            </w:pPr>
          </w:p>
        </w:tc>
        <w:tc>
          <w:tcPr>
            <w:tcW w:w="9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2006</w:t>
            </w:r>
          </w:p>
        </w:tc>
      </w:tr>
      <w:tr>
        <w:trPr>
          <w:trHeight w:val="180"/>
        </w:trPr>
        <w:tc>
          <w:tcPr>
            <w:tcW w:w="3800" w:type="dxa"/>
            <w:vAlign w:val="bottom"/>
          </w:tcPr>
          <w:p>
            <w:pPr>
              <w:spacing w:after="0"/>
              <w:rPr>
                <w:sz w:val="15"/>
                <w:szCs w:val="15"/>
                <w:color w:val="auto"/>
              </w:rPr>
            </w:pPr>
          </w:p>
        </w:tc>
        <w:tc>
          <w:tcPr>
            <w:tcW w:w="220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w w:val="96"/>
              </w:rPr>
              <w:t>-------------</w:t>
            </w:r>
          </w:p>
        </w:tc>
        <w:tc>
          <w:tcPr>
            <w:tcW w:w="1840" w:type="dxa"/>
            <w:vAlign w:val="bottom"/>
            <w:gridSpan w:val="2"/>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541"/>
        </w:trPr>
        <w:tc>
          <w:tcPr>
            <w:tcW w:w="3800" w:type="dxa"/>
            <w:vAlign w:val="bottom"/>
          </w:tcPr>
          <w:p>
            <w:pPr>
              <w:spacing w:after="0"/>
              <w:rPr>
                <w:sz w:val="20"/>
                <w:szCs w:val="20"/>
                <w:color w:val="auto"/>
              </w:rPr>
            </w:pPr>
            <w:r>
              <w:rPr>
                <w:rFonts w:ascii="Courier New" w:cs="Courier New" w:eastAsia="Courier New" w:hAnsi="Courier New"/>
                <w:sz w:val="16"/>
                <w:szCs w:val="16"/>
                <w:color w:val="auto"/>
              </w:rPr>
              <w:t>Numerator:</w:t>
            </w:r>
          </w:p>
        </w:tc>
        <w:tc>
          <w:tcPr>
            <w:tcW w:w="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0"/>
        </w:trPr>
        <w:tc>
          <w:tcPr>
            <w:tcW w:w="3800" w:type="dxa"/>
            <w:vAlign w:val="bottom"/>
          </w:tcPr>
          <w:p>
            <w:pPr>
              <w:ind w:left="280"/>
              <w:spacing w:after="0"/>
              <w:rPr>
                <w:sz w:val="20"/>
                <w:szCs w:val="20"/>
                <w:color w:val="auto"/>
              </w:rPr>
            </w:pPr>
            <w:r>
              <w:rPr>
                <w:rFonts w:ascii="Courier New" w:cs="Courier New" w:eastAsia="Courier New" w:hAnsi="Courier New"/>
                <w:sz w:val="16"/>
                <w:szCs w:val="16"/>
                <w:color w:val="auto"/>
              </w:rPr>
              <w:t>Numerator for basic earnings per</w:t>
            </w: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3800" w:type="dxa"/>
            <w:vAlign w:val="bottom"/>
          </w:tcPr>
          <w:p>
            <w:pPr>
              <w:ind w:left="460"/>
              <w:spacing w:after="0"/>
              <w:rPr>
                <w:sz w:val="20"/>
                <w:szCs w:val="20"/>
                <w:color w:val="auto"/>
              </w:rPr>
            </w:pPr>
            <w:r>
              <w:rPr>
                <w:rFonts w:ascii="Courier New" w:cs="Courier New" w:eastAsia="Courier New" w:hAnsi="Courier New"/>
                <w:sz w:val="16"/>
                <w:szCs w:val="16"/>
                <w:color w:val="auto"/>
              </w:rPr>
              <w:t>share</w:t>
            </w: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3800" w:type="dxa"/>
            <w:vAlign w:val="bottom"/>
          </w:tcPr>
          <w:p>
            <w:pPr>
              <w:spacing w:after="0"/>
              <w:rPr>
                <w:sz w:val="15"/>
                <w:szCs w:val="15"/>
                <w:color w:val="auto"/>
              </w:rPr>
            </w:pPr>
          </w:p>
        </w:tc>
        <w:tc>
          <w:tcPr>
            <w:tcW w:w="6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87,171</w:t>
            </w:r>
          </w:p>
        </w:tc>
        <w:tc>
          <w:tcPr>
            <w:tcW w:w="2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81,762</w:t>
            </w:r>
          </w:p>
        </w:tc>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180,513</w:t>
            </w:r>
          </w:p>
        </w:tc>
        <w:tc>
          <w:tcPr>
            <w:tcW w:w="2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157,096</w:t>
            </w:r>
          </w:p>
        </w:tc>
      </w:tr>
      <w:tr>
        <w:trPr>
          <w:trHeight w:val="180"/>
        </w:trPr>
        <w:tc>
          <w:tcPr>
            <w:tcW w:w="3800" w:type="dxa"/>
            <w:vAlign w:val="bottom"/>
          </w:tcPr>
          <w:p>
            <w:pPr>
              <w:ind w:left="280"/>
              <w:spacing w:after="0"/>
              <w:rPr>
                <w:sz w:val="20"/>
                <w:szCs w:val="20"/>
                <w:color w:val="auto"/>
              </w:rPr>
            </w:pPr>
            <w:r>
              <w:rPr>
                <w:rFonts w:ascii="Courier New" w:cs="Courier New" w:eastAsia="Courier New" w:hAnsi="Courier New"/>
                <w:sz w:val="16"/>
                <w:szCs w:val="16"/>
                <w:color w:val="auto"/>
              </w:rPr>
              <w:t>Effect of assumed conversion of</w:t>
            </w: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3800" w:type="dxa"/>
            <w:vAlign w:val="bottom"/>
          </w:tcPr>
          <w:p>
            <w:pPr>
              <w:ind w:left="460"/>
              <w:spacing w:after="0"/>
              <w:rPr>
                <w:sz w:val="20"/>
                <w:szCs w:val="20"/>
                <w:color w:val="auto"/>
              </w:rPr>
            </w:pPr>
            <w:r>
              <w:rPr>
                <w:rFonts w:ascii="Courier New" w:cs="Courier New" w:eastAsia="Courier New" w:hAnsi="Courier New"/>
                <w:sz w:val="16"/>
                <w:szCs w:val="16"/>
                <w:color w:val="auto"/>
              </w:rPr>
              <w:t>0.50% convertible notes</w:t>
            </w:r>
          </w:p>
        </w:tc>
        <w:tc>
          <w:tcPr>
            <w:tcW w:w="600" w:type="dxa"/>
            <w:vAlign w:val="bottom"/>
          </w:tcPr>
          <w:p>
            <w:pPr>
              <w:spacing w:after="0"/>
              <w:rPr>
                <w:sz w:val="15"/>
                <w:szCs w:val="15"/>
                <w:color w:val="auto"/>
              </w:rPr>
            </w:pPr>
          </w:p>
        </w:tc>
        <w:tc>
          <w:tcPr>
            <w:tcW w:w="16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985</w:t>
            </w:r>
          </w:p>
        </w:tc>
        <w:tc>
          <w:tcPr>
            <w:tcW w:w="240" w:type="dxa"/>
            <w:vAlign w:val="bottom"/>
          </w:tcPr>
          <w:p>
            <w:pPr>
              <w:spacing w:after="0"/>
              <w:rPr>
                <w:sz w:val="15"/>
                <w:szCs w:val="15"/>
                <w:color w:val="auto"/>
              </w:rPr>
            </w:pP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979</w:t>
            </w:r>
          </w:p>
        </w:tc>
        <w:tc>
          <w:tcPr>
            <w:tcW w:w="420" w:type="dxa"/>
            <w:vAlign w:val="bottom"/>
          </w:tcPr>
          <w:p>
            <w:pPr>
              <w:spacing w:after="0"/>
              <w:rPr>
                <w:sz w:val="15"/>
                <w:szCs w:val="15"/>
                <w:color w:val="auto"/>
              </w:rPr>
            </w:pPr>
          </w:p>
        </w:tc>
        <w:tc>
          <w:tcPr>
            <w:tcW w:w="14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1,970</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1,979</w:t>
            </w:r>
          </w:p>
        </w:tc>
      </w:tr>
      <w:tr>
        <w:trPr>
          <w:trHeight w:val="180"/>
        </w:trPr>
        <w:tc>
          <w:tcPr>
            <w:tcW w:w="3800" w:type="dxa"/>
            <w:vAlign w:val="bottom"/>
          </w:tcPr>
          <w:p>
            <w:pPr>
              <w:spacing w:after="0"/>
              <w:rPr>
                <w:sz w:val="15"/>
                <w:szCs w:val="15"/>
                <w:color w:val="auto"/>
              </w:rPr>
            </w:pPr>
          </w:p>
        </w:tc>
        <w:tc>
          <w:tcPr>
            <w:tcW w:w="220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w w:val="96"/>
              </w:rPr>
              <w:t>-------------</w:t>
            </w:r>
          </w:p>
        </w:tc>
        <w:tc>
          <w:tcPr>
            <w:tcW w:w="1840" w:type="dxa"/>
            <w:vAlign w:val="bottom"/>
            <w:gridSpan w:val="2"/>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800" w:type="dxa"/>
            <w:vAlign w:val="bottom"/>
          </w:tcPr>
          <w:p>
            <w:pPr>
              <w:ind w:left="280"/>
              <w:spacing w:after="0"/>
              <w:rPr>
                <w:sz w:val="20"/>
                <w:szCs w:val="20"/>
                <w:color w:val="auto"/>
              </w:rPr>
            </w:pPr>
            <w:r>
              <w:rPr>
                <w:rFonts w:ascii="Courier New" w:cs="Courier New" w:eastAsia="Courier New" w:hAnsi="Courier New"/>
                <w:sz w:val="16"/>
                <w:szCs w:val="16"/>
                <w:color w:val="auto"/>
              </w:rPr>
              <w:t>Numerator for diluted earnings per</w:t>
            </w:r>
          </w:p>
        </w:tc>
        <w:tc>
          <w:tcPr>
            <w:tcW w:w="6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88,156</w:t>
            </w:r>
          </w:p>
        </w:tc>
        <w:tc>
          <w:tcPr>
            <w:tcW w:w="2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82,741</w:t>
            </w:r>
          </w:p>
        </w:tc>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182,483</w:t>
            </w:r>
          </w:p>
        </w:tc>
        <w:tc>
          <w:tcPr>
            <w:tcW w:w="2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159,075</w:t>
            </w:r>
          </w:p>
        </w:tc>
      </w:tr>
      <w:tr>
        <w:trPr>
          <w:trHeight w:val="180"/>
        </w:trPr>
        <w:tc>
          <w:tcPr>
            <w:tcW w:w="3800" w:type="dxa"/>
            <w:vAlign w:val="bottom"/>
          </w:tcPr>
          <w:p>
            <w:pPr>
              <w:ind w:left="460"/>
              <w:spacing w:after="0"/>
              <w:rPr>
                <w:sz w:val="20"/>
                <w:szCs w:val="20"/>
                <w:color w:val="auto"/>
              </w:rPr>
            </w:pPr>
            <w:r>
              <w:rPr>
                <w:rFonts w:ascii="Courier New" w:cs="Courier New" w:eastAsia="Courier New" w:hAnsi="Courier New"/>
                <w:sz w:val="16"/>
                <w:szCs w:val="16"/>
                <w:color w:val="auto"/>
              </w:rPr>
              <w:t>share</w:t>
            </w: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3800" w:type="dxa"/>
            <w:vAlign w:val="bottom"/>
          </w:tcPr>
          <w:p>
            <w:pPr>
              <w:spacing w:after="0"/>
              <w:rPr>
                <w:sz w:val="15"/>
                <w:szCs w:val="15"/>
                <w:color w:val="auto"/>
              </w:rPr>
            </w:pPr>
          </w:p>
        </w:tc>
        <w:tc>
          <w:tcPr>
            <w:tcW w:w="220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w w:val="96"/>
              </w:rPr>
              <w:t>=============</w:t>
            </w:r>
          </w:p>
        </w:tc>
        <w:tc>
          <w:tcPr>
            <w:tcW w:w="1840" w:type="dxa"/>
            <w:vAlign w:val="bottom"/>
            <w:gridSpan w:val="2"/>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361"/>
        </w:trPr>
        <w:tc>
          <w:tcPr>
            <w:tcW w:w="3800" w:type="dxa"/>
            <w:vAlign w:val="bottom"/>
          </w:tcPr>
          <w:p>
            <w:pPr>
              <w:spacing w:after="0"/>
              <w:rPr>
                <w:sz w:val="20"/>
                <w:szCs w:val="20"/>
                <w:color w:val="auto"/>
              </w:rPr>
            </w:pPr>
            <w:r>
              <w:rPr>
                <w:rFonts w:ascii="Courier New" w:cs="Courier New" w:eastAsia="Courier New" w:hAnsi="Courier New"/>
                <w:sz w:val="16"/>
                <w:szCs w:val="16"/>
                <w:color w:val="auto"/>
              </w:rPr>
              <w:t>Denominator:</w:t>
            </w:r>
          </w:p>
        </w:tc>
        <w:tc>
          <w:tcPr>
            <w:tcW w:w="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0"/>
        </w:trPr>
        <w:tc>
          <w:tcPr>
            <w:tcW w:w="3800" w:type="dxa"/>
            <w:vAlign w:val="bottom"/>
          </w:tcPr>
          <w:p>
            <w:pPr>
              <w:ind w:left="280"/>
              <w:spacing w:after="0"/>
              <w:rPr>
                <w:sz w:val="20"/>
                <w:szCs w:val="20"/>
                <w:color w:val="auto"/>
              </w:rPr>
            </w:pPr>
            <w:r>
              <w:rPr>
                <w:rFonts w:ascii="Courier New" w:cs="Courier New" w:eastAsia="Courier New" w:hAnsi="Courier New"/>
                <w:sz w:val="16"/>
                <w:szCs w:val="16"/>
                <w:color w:val="auto"/>
              </w:rPr>
              <w:t>Denominator for basic earnings per</w:t>
            </w: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3800" w:type="dxa"/>
            <w:vAlign w:val="bottom"/>
          </w:tcPr>
          <w:p>
            <w:pPr>
              <w:ind w:left="460"/>
              <w:spacing w:after="0"/>
              <w:rPr>
                <w:sz w:val="20"/>
                <w:szCs w:val="20"/>
                <w:color w:val="auto"/>
              </w:rPr>
            </w:pPr>
            <w:r>
              <w:rPr>
                <w:rFonts w:ascii="Courier New" w:cs="Courier New" w:eastAsia="Courier New" w:hAnsi="Courier New"/>
                <w:sz w:val="16"/>
                <w:szCs w:val="16"/>
                <w:color w:val="auto"/>
              </w:rPr>
              <w:t>share- weighted average number</w:t>
            </w: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3800" w:type="dxa"/>
            <w:vAlign w:val="bottom"/>
          </w:tcPr>
          <w:p>
            <w:pPr>
              <w:ind w:left="460"/>
              <w:spacing w:after="0"/>
              <w:rPr>
                <w:sz w:val="20"/>
                <w:szCs w:val="20"/>
                <w:color w:val="auto"/>
              </w:rPr>
            </w:pPr>
            <w:r>
              <w:rPr>
                <w:rFonts w:ascii="Courier New" w:cs="Courier New" w:eastAsia="Courier New" w:hAnsi="Courier New"/>
                <w:sz w:val="16"/>
                <w:szCs w:val="16"/>
                <w:color w:val="auto"/>
              </w:rPr>
              <w:t>of shares outstanding</w:t>
            </w:r>
          </w:p>
        </w:tc>
        <w:tc>
          <w:tcPr>
            <w:tcW w:w="600" w:type="dxa"/>
            <w:vAlign w:val="bottom"/>
          </w:tcPr>
          <w:p>
            <w:pPr>
              <w:spacing w:after="0"/>
              <w:rPr>
                <w:sz w:val="15"/>
                <w:szCs w:val="15"/>
                <w:color w:val="auto"/>
              </w:rPr>
            </w:pPr>
          </w:p>
        </w:tc>
        <w:tc>
          <w:tcPr>
            <w:tcW w:w="16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207,293</w:t>
            </w:r>
          </w:p>
        </w:tc>
        <w:tc>
          <w:tcPr>
            <w:tcW w:w="240" w:type="dxa"/>
            <w:vAlign w:val="bottom"/>
          </w:tcPr>
          <w:p>
            <w:pPr>
              <w:spacing w:after="0"/>
              <w:rPr>
                <w:sz w:val="15"/>
                <w:szCs w:val="15"/>
                <w:color w:val="auto"/>
              </w:rPr>
            </w:pP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202,515</w:t>
            </w:r>
          </w:p>
        </w:tc>
        <w:tc>
          <w:tcPr>
            <w:tcW w:w="420" w:type="dxa"/>
            <w:vAlign w:val="bottom"/>
          </w:tcPr>
          <w:p>
            <w:pPr>
              <w:spacing w:after="0"/>
              <w:rPr>
                <w:sz w:val="15"/>
                <w:szCs w:val="15"/>
                <w:color w:val="auto"/>
              </w:rPr>
            </w:pPr>
          </w:p>
        </w:tc>
        <w:tc>
          <w:tcPr>
            <w:tcW w:w="14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206,867</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201,509</w:t>
            </w:r>
          </w:p>
        </w:tc>
      </w:tr>
      <w:tr>
        <w:trPr>
          <w:trHeight w:val="180"/>
        </w:trPr>
        <w:tc>
          <w:tcPr>
            <w:tcW w:w="3800" w:type="dxa"/>
            <w:vAlign w:val="bottom"/>
          </w:tcPr>
          <w:p>
            <w:pPr>
              <w:ind w:left="280"/>
              <w:spacing w:after="0"/>
              <w:rPr>
                <w:sz w:val="20"/>
                <w:szCs w:val="20"/>
                <w:color w:val="auto"/>
              </w:rPr>
            </w:pPr>
            <w:r>
              <w:rPr>
                <w:rFonts w:ascii="Courier New" w:cs="Courier New" w:eastAsia="Courier New" w:hAnsi="Courier New"/>
                <w:sz w:val="16"/>
                <w:szCs w:val="16"/>
                <w:color w:val="auto"/>
              </w:rPr>
              <w:t>Effect of assumed conversion of</w:t>
            </w: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3800" w:type="dxa"/>
            <w:vAlign w:val="bottom"/>
          </w:tcPr>
          <w:p>
            <w:pPr>
              <w:ind w:left="460"/>
              <w:spacing w:after="0"/>
              <w:rPr>
                <w:sz w:val="20"/>
                <w:szCs w:val="20"/>
                <w:color w:val="auto"/>
              </w:rPr>
            </w:pPr>
            <w:r>
              <w:rPr>
                <w:rFonts w:ascii="Courier New" w:cs="Courier New" w:eastAsia="Courier New" w:hAnsi="Courier New"/>
                <w:sz w:val="16"/>
                <w:szCs w:val="16"/>
                <w:color w:val="auto"/>
              </w:rPr>
              <w:t>0.50% convertible notes</w:t>
            </w:r>
          </w:p>
        </w:tc>
        <w:tc>
          <w:tcPr>
            <w:tcW w:w="600" w:type="dxa"/>
            <w:vAlign w:val="bottom"/>
          </w:tcPr>
          <w:p>
            <w:pPr>
              <w:spacing w:after="0"/>
              <w:rPr>
                <w:sz w:val="15"/>
                <w:szCs w:val="15"/>
                <w:color w:val="auto"/>
              </w:rPr>
            </w:pPr>
          </w:p>
        </w:tc>
        <w:tc>
          <w:tcPr>
            <w:tcW w:w="16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10,436</w:t>
            </w:r>
          </w:p>
        </w:tc>
        <w:tc>
          <w:tcPr>
            <w:tcW w:w="240" w:type="dxa"/>
            <w:vAlign w:val="bottom"/>
          </w:tcPr>
          <w:p>
            <w:pPr>
              <w:spacing w:after="0"/>
              <w:rPr>
                <w:sz w:val="15"/>
                <w:szCs w:val="15"/>
                <w:color w:val="auto"/>
              </w:rPr>
            </w:pP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10,436</w:t>
            </w:r>
          </w:p>
        </w:tc>
        <w:tc>
          <w:tcPr>
            <w:tcW w:w="420" w:type="dxa"/>
            <w:vAlign w:val="bottom"/>
          </w:tcPr>
          <w:p>
            <w:pPr>
              <w:spacing w:after="0"/>
              <w:rPr>
                <w:sz w:val="15"/>
                <w:szCs w:val="15"/>
                <w:color w:val="auto"/>
              </w:rPr>
            </w:pPr>
          </w:p>
        </w:tc>
        <w:tc>
          <w:tcPr>
            <w:tcW w:w="14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10,436</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10,436</w:t>
            </w:r>
          </w:p>
        </w:tc>
      </w:tr>
      <w:tr>
        <w:trPr>
          <w:trHeight w:val="180"/>
        </w:trPr>
        <w:tc>
          <w:tcPr>
            <w:tcW w:w="3800" w:type="dxa"/>
            <w:vAlign w:val="bottom"/>
          </w:tcPr>
          <w:p>
            <w:pPr>
              <w:ind w:left="280"/>
              <w:spacing w:after="0"/>
              <w:rPr>
                <w:sz w:val="20"/>
                <w:szCs w:val="20"/>
                <w:color w:val="auto"/>
              </w:rPr>
            </w:pPr>
            <w:r>
              <w:rPr>
                <w:rFonts w:ascii="Courier New" w:cs="Courier New" w:eastAsia="Courier New" w:hAnsi="Courier New"/>
                <w:sz w:val="16"/>
                <w:szCs w:val="16"/>
                <w:color w:val="auto"/>
              </w:rPr>
              <w:t>Effect of dilutive stock options</w:t>
            </w: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3800" w:type="dxa"/>
            <w:vAlign w:val="bottom"/>
          </w:tcPr>
          <w:p>
            <w:pPr>
              <w:ind w:left="560"/>
              <w:spacing w:after="0"/>
              <w:rPr>
                <w:sz w:val="20"/>
                <w:szCs w:val="20"/>
                <w:color w:val="auto"/>
              </w:rPr>
            </w:pPr>
            <w:r>
              <w:rPr>
                <w:rFonts w:ascii="Courier New" w:cs="Courier New" w:eastAsia="Courier New" w:hAnsi="Courier New"/>
                <w:sz w:val="16"/>
                <w:szCs w:val="16"/>
                <w:color w:val="auto"/>
              </w:rPr>
              <w:t>granted</w:t>
            </w:r>
          </w:p>
        </w:tc>
        <w:tc>
          <w:tcPr>
            <w:tcW w:w="600" w:type="dxa"/>
            <w:vAlign w:val="bottom"/>
          </w:tcPr>
          <w:p>
            <w:pPr>
              <w:spacing w:after="0"/>
              <w:rPr>
                <w:sz w:val="15"/>
                <w:szCs w:val="15"/>
                <w:color w:val="auto"/>
              </w:rPr>
            </w:pPr>
          </w:p>
        </w:tc>
        <w:tc>
          <w:tcPr>
            <w:tcW w:w="16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4,442</w:t>
            </w:r>
          </w:p>
        </w:tc>
        <w:tc>
          <w:tcPr>
            <w:tcW w:w="240" w:type="dxa"/>
            <w:vAlign w:val="bottom"/>
          </w:tcPr>
          <w:p>
            <w:pPr>
              <w:spacing w:after="0"/>
              <w:rPr>
                <w:sz w:val="15"/>
                <w:szCs w:val="15"/>
                <w:color w:val="auto"/>
              </w:rPr>
            </w:pP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4,856</w:t>
            </w:r>
          </w:p>
        </w:tc>
        <w:tc>
          <w:tcPr>
            <w:tcW w:w="420" w:type="dxa"/>
            <w:vAlign w:val="bottom"/>
          </w:tcPr>
          <w:p>
            <w:pPr>
              <w:spacing w:after="0"/>
              <w:rPr>
                <w:sz w:val="15"/>
                <w:szCs w:val="15"/>
                <w:color w:val="auto"/>
              </w:rPr>
            </w:pPr>
          </w:p>
        </w:tc>
        <w:tc>
          <w:tcPr>
            <w:tcW w:w="14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4,986</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4,373</w:t>
            </w:r>
          </w:p>
        </w:tc>
      </w:tr>
      <w:tr>
        <w:trPr>
          <w:trHeight w:val="180"/>
        </w:trPr>
        <w:tc>
          <w:tcPr>
            <w:tcW w:w="3800" w:type="dxa"/>
            <w:vAlign w:val="bottom"/>
          </w:tcPr>
          <w:p>
            <w:pPr>
              <w:ind w:left="280"/>
              <w:spacing w:after="0"/>
              <w:rPr>
                <w:sz w:val="20"/>
                <w:szCs w:val="20"/>
                <w:color w:val="auto"/>
              </w:rPr>
            </w:pPr>
            <w:r>
              <w:rPr>
                <w:rFonts w:ascii="Courier New" w:cs="Courier New" w:eastAsia="Courier New" w:hAnsi="Courier New"/>
                <w:sz w:val="16"/>
                <w:szCs w:val="16"/>
                <w:color w:val="auto"/>
              </w:rPr>
              <w:t>Effect of restricted stock issued</w:t>
            </w:r>
          </w:p>
        </w:tc>
        <w:tc>
          <w:tcPr>
            <w:tcW w:w="600" w:type="dxa"/>
            <w:vAlign w:val="bottom"/>
          </w:tcPr>
          <w:p>
            <w:pPr>
              <w:spacing w:after="0"/>
              <w:rPr>
                <w:sz w:val="15"/>
                <w:szCs w:val="15"/>
                <w:color w:val="auto"/>
              </w:rPr>
            </w:pPr>
          </w:p>
        </w:tc>
        <w:tc>
          <w:tcPr>
            <w:tcW w:w="16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328</w:t>
            </w:r>
          </w:p>
        </w:tc>
        <w:tc>
          <w:tcPr>
            <w:tcW w:w="240" w:type="dxa"/>
            <w:vAlign w:val="bottom"/>
          </w:tcPr>
          <w:p>
            <w:pPr>
              <w:spacing w:after="0"/>
              <w:rPr>
                <w:sz w:val="15"/>
                <w:szCs w:val="15"/>
                <w:color w:val="auto"/>
              </w:rPr>
            </w:pP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112</w:t>
            </w:r>
          </w:p>
        </w:tc>
        <w:tc>
          <w:tcPr>
            <w:tcW w:w="420" w:type="dxa"/>
            <w:vAlign w:val="bottom"/>
          </w:tcPr>
          <w:p>
            <w:pPr>
              <w:spacing w:after="0"/>
              <w:rPr>
                <w:sz w:val="15"/>
                <w:szCs w:val="15"/>
                <w:color w:val="auto"/>
              </w:rPr>
            </w:pPr>
          </w:p>
        </w:tc>
        <w:tc>
          <w:tcPr>
            <w:tcW w:w="14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319</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76</w:t>
            </w:r>
          </w:p>
        </w:tc>
      </w:tr>
      <w:tr>
        <w:trPr>
          <w:trHeight w:val="361"/>
        </w:trPr>
        <w:tc>
          <w:tcPr>
            <w:tcW w:w="3800" w:type="dxa"/>
            <w:vAlign w:val="bottom"/>
          </w:tcPr>
          <w:p>
            <w:pPr>
              <w:spacing w:after="0"/>
              <w:rPr>
                <w:sz w:val="24"/>
                <w:szCs w:val="24"/>
                <w:color w:val="auto"/>
              </w:rPr>
            </w:pPr>
          </w:p>
        </w:tc>
        <w:tc>
          <w:tcPr>
            <w:tcW w:w="220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w w:val="96"/>
              </w:rPr>
              <w:t>-------------</w:t>
            </w:r>
          </w:p>
        </w:tc>
        <w:tc>
          <w:tcPr>
            <w:tcW w:w="1840" w:type="dxa"/>
            <w:vAlign w:val="bottom"/>
            <w:gridSpan w:val="2"/>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800" w:type="dxa"/>
            <w:vAlign w:val="bottom"/>
          </w:tcPr>
          <w:p>
            <w:pPr>
              <w:ind w:left="280"/>
              <w:spacing w:after="0"/>
              <w:rPr>
                <w:sz w:val="20"/>
                <w:szCs w:val="20"/>
                <w:color w:val="auto"/>
              </w:rPr>
            </w:pPr>
            <w:r>
              <w:rPr>
                <w:rFonts w:ascii="Courier New" w:cs="Courier New" w:eastAsia="Courier New" w:hAnsi="Courier New"/>
                <w:sz w:val="16"/>
                <w:szCs w:val="16"/>
                <w:color w:val="auto"/>
              </w:rPr>
              <w:t>Denominator for diluted earnings</w:t>
            </w: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3800" w:type="dxa"/>
            <w:vAlign w:val="bottom"/>
          </w:tcPr>
          <w:p>
            <w:pPr>
              <w:ind w:left="460"/>
              <w:spacing w:after="0"/>
              <w:rPr>
                <w:sz w:val="20"/>
                <w:szCs w:val="20"/>
                <w:color w:val="auto"/>
              </w:rPr>
            </w:pPr>
            <w:r>
              <w:rPr>
                <w:rFonts w:ascii="Courier New" w:cs="Courier New" w:eastAsia="Courier New" w:hAnsi="Courier New"/>
                <w:sz w:val="16"/>
                <w:szCs w:val="16"/>
                <w:color w:val="auto"/>
              </w:rPr>
              <w:t>per share - adjusted weighted</w:t>
            </w: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3800" w:type="dxa"/>
            <w:vAlign w:val="bottom"/>
          </w:tcPr>
          <w:p>
            <w:pPr>
              <w:ind w:left="460"/>
              <w:spacing w:after="0"/>
              <w:rPr>
                <w:sz w:val="20"/>
                <w:szCs w:val="20"/>
                <w:color w:val="auto"/>
              </w:rPr>
            </w:pPr>
            <w:r>
              <w:rPr>
                <w:rFonts w:ascii="Courier New" w:cs="Courier New" w:eastAsia="Courier New" w:hAnsi="Courier New"/>
                <w:sz w:val="16"/>
                <w:szCs w:val="16"/>
                <w:color w:val="auto"/>
              </w:rPr>
              <w:t>average shares and assumed</w:t>
            </w: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3800" w:type="dxa"/>
            <w:vAlign w:val="bottom"/>
          </w:tcPr>
          <w:p>
            <w:pPr>
              <w:ind w:left="460"/>
              <w:spacing w:after="0"/>
              <w:rPr>
                <w:sz w:val="20"/>
                <w:szCs w:val="20"/>
                <w:color w:val="auto"/>
              </w:rPr>
            </w:pPr>
            <w:r>
              <w:rPr>
                <w:rFonts w:ascii="Courier New" w:cs="Courier New" w:eastAsia="Courier New" w:hAnsi="Courier New"/>
                <w:sz w:val="16"/>
                <w:szCs w:val="16"/>
                <w:color w:val="auto"/>
              </w:rPr>
              <w:t>conversions</w:t>
            </w:r>
          </w:p>
        </w:tc>
        <w:tc>
          <w:tcPr>
            <w:tcW w:w="600" w:type="dxa"/>
            <w:vAlign w:val="bottom"/>
          </w:tcPr>
          <w:p>
            <w:pPr>
              <w:spacing w:after="0"/>
              <w:rPr>
                <w:sz w:val="15"/>
                <w:szCs w:val="15"/>
                <w:color w:val="auto"/>
              </w:rPr>
            </w:pPr>
          </w:p>
        </w:tc>
        <w:tc>
          <w:tcPr>
            <w:tcW w:w="16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222,499</w:t>
            </w:r>
          </w:p>
        </w:tc>
        <w:tc>
          <w:tcPr>
            <w:tcW w:w="240" w:type="dxa"/>
            <w:vAlign w:val="bottom"/>
          </w:tcPr>
          <w:p>
            <w:pPr>
              <w:spacing w:after="0"/>
              <w:rPr>
                <w:sz w:val="15"/>
                <w:szCs w:val="15"/>
                <w:color w:val="auto"/>
              </w:rPr>
            </w:pP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217,919</w:t>
            </w:r>
          </w:p>
        </w:tc>
        <w:tc>
          <w:tcPr>
            <w:tcW w:w="420" w:type="dxa"/>
            <w:vAlign w:val="bottom"/>
          </w:tcPr>
          <w:p>
            <w:pPr>
              <w:spacing w:after="0"/>
              <w:rPr>
                <w:sz w:val="15"/>
                <w:szCs w:val="15"/>
                <w:color w:val="auto"/>
              </w:rPr>
            </w:pPr>
          </w:p>
        </w:tc>
        <w:tc>
          <w:tcPr>
            <w:tcW w:w="14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222,608</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216,394</w:t>
            </w:r>
          </w:p>
        </w:tc>
      </w:tr>
      <w:tr>
        <w:trPr>
          <w:trHeight w:val="180"/>
        </w:trPr>
        <w:tc>
          <w:tcPr>
            <w:tcW w:w="3800" w:type="dxa"/>
            <w:vAlign w:val="bottom"/>
          </w:tcPr>
          <w:p>
            <w:pPr>
              <w:spacing w:after="0"/>
              <w:rPr>
                <w:sz w:val="15"/>
                <w:szCs w:val="15"/>
                <w:color w:val="auto"/>
              </w:rPr>
            </w:pPr>
          </w:p>
        </w:tc>
        <w:tc>
          <w:tcPr>
            <w:tcW w:w="220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w w:val="96"/>
              </w:rPr>
              <w:t>=============</w:t>
            </w:r>
          </w:p>
        </w:tc>
        <w:tc>
          <w:tcPr>
            <w:tcW w:w="1840" w:type="dxa"/>
            <w:vAlign w:val="bottom"/>
            <w:gridSpan w:val="2"/>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361"/>
        </w:trPr>
        <w:tc>
          <w:tcPr>
            <w:tcW w:w="3800" w:type="dxa"/>
            <w:vAlign w:val="bottom"/>
          </w:tcPr>
          <w:p>
            <w:pPr>
              <w:ind w:left="280"/>
              <w:spacing w:after="0"/>
              <w:rPr>
                <w:sz w:val="20"/>
                <w:szCs w:val="20"/>
                <w:color w:val="auto"/>
              </w:rPr>
            </w:pPr>
            <w:r>
              <w:rPr>
                <w:rFonts w:ascii="Courier New" w:cs="Courier New" w:eastAsia="Courier New" w:hAnsi="Courier New"/>
                <w:sz w:val="16"/>
                <w:szCs w:val="16"/>
                <w:color w:val="auto"/>
              </w:rPr>
              <w:t>Basic earnings per share</w:t>
            </w:r>
          </w:p>
        </w:tc>
        <w:tc>
          <w:tcPr>
            <w:tcW w:w="6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0.42</w:t>
            </w:r>
          </w:p>
        </w:tc>
        <w:tc>
          <w:tcPr>
            <w:tcW w:w="2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0.40</w:t>
            </w:r>
          </w:p>
        </w:tc>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0.87</w:t>
            </w:r>
          </w:p>
        </w:tc>
        <w:tc>
          <w:tcPr>
            <w:tcW w:w="2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0.78</w:t>
            </w:r>
          </w:p>
        </w:tc>
      </w:tr>
      <w:tr>
        <w:trPr>
          <w:trHeight w:val="180"/>
        </w:trPr>
        <w:tc>
          <w:tcPr>
            <w:tcW w:w="3800" w:type="dxa"/>
            <w:vAlign w:val="bottom"/>
          </w:tcPr>
          <w:p>
            <w:pPr>
              <w:spacing w:after="0"/>
              <w:rPr>
                <w:sz w:val="15"/>
                <w:szCs w:val="15"/>
                <w:color w:val="auto"/>
              </w:rPr>
            </w:pPr>
          </w:p>
        </w:tc>
        <w:tc>
          <w:tcPr>
            <w:tcW w:w="220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w w:val="96"/>
              </w:rPr>
              <w:t>=============</w:t>
            </w:r>
          </w:p>
        </w:tc>
        <w:tc>
          <w:tcPr>
            <w:tcW w:w="1840" w:type="dxa"/>
            <w:vAlign w:val="bottom"/>
            <w:gridSpan w:val="2"/>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361"/>
        </w:trPr>
        <w:tc>
          <w:tcPr>
            <w:tcW w:w="3800" w:type="dxa"/>
            <w:vAlign w:val="bottom"/>
          </w:tcPr>
          <w:p>
            <w:pPr>
              <w:ind w:left="280"/>
              <w:spacing w:after="0"/>
              <w:rPr>
                <w:sz w:val="20"/>
                <w:szCs w:val="20"/>
                <w:color w:val="auto"/>
              </w:rPr>
            </w:pPr>
            <w:r>
              <w:rPr>
                <w:rFonts w:ascii="Courier New" w:cs="Courier New" w:eastAsia="Courier New" w:hAnsi="Courier New"/>
                <w:sz w:val="16"/>
                <w:szCs w:val="16"/>
                <w:color w:val="auto"/>
              </w:rPr>
              <w:t>Diluted earnings per share</w:t>
            </w:r>
          </w:p>
        </w:tc>
        <w:tc>
          <w:tcPr>
            <w:tcW w:w="6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0.40</w:t>
            </w:r>
          </w:p>
        </w:tc>
        <w:tc>
          <w:tcPr>
            <w:tcW w:w="2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0.38</w:t>
            </w:r>
          </w:p>
        </w:tc>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0.82</w:t>
            </w:r>
          </w:p>
        </w:tc>
        <w:tc>
          <w:tcPr>
            <w:tcW w:w="2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0.74</w:t>
            </w:r>
          </w:p>
        </w:tc>
      </w:tr>
      <w:tr>
        <w:trPr>
          <w:trHeight w:val="180"/>
        </w:trPr>
        <w:tc>
          <w:tcPr>
            <w:tcW w:w="3800" w:type="dxa"/>
            <w:vAlign w:val="bottom"/>
          </w:tcPr>
          <w:p>
            <w:pPr>
              <w:spacing w:after="0"/>
              <w:rPr>
                <w:sz w:val="15"/>
                <w:szCs w:val="15"/>
                <w:color w:val="auto"/>
              </w:rPr>
            </w:pPr>
          </w:p>
        </w:tc>
        <w:tc>
          <w:tcPr>
            <w:tcW w:w="220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w w:val="96"/>
              </w:rPr>
              <w:t>=============</w:t>
            </w:r>
          </w:p>
        </w:tc>
        <w:tc>
          <w:tcPr>
            <w:tcW w:w="1840" w:type="dxa"/>
            <w:vAlign w:val="bottom"/>
            <w:gridSpan w:val="2"/>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541"/>
        </w:trPr>
        <w:tc>
          <w:tcPr>
            <w:tcW w:w="3800" w:type="dxa"/>
            <w:vAlign w:val="bottom"/>
          </w:tcPr>
          <w:p>
            <w:pPr>
              <w:ind w:left="3000"/>
              <w:spacing w:after="0"/>
              <w:rPr>
                <w:sz w:val="20"/>
                <w:szCs w:val="20"/>
                <w:color w:val="auto"/>
              </w:rPr>
            </w:pPr>
            <w:r>
              <w:rPr>
                <w:rFonts w:ascii="Courier New" w:cs="Courier New" w:eastAsia="Courier New" w:hAnsi="Courier New"/>
                <w:sz w:val="16"/>
                <w:szCs w:val="16"/>
                <w:color w:val="auto"/>
              </w:rPr>
              <w:t>10</w:t>
            </w:r>
          </w:p>
        </w:tc>
        <w:tc>
          <w:tcPr>
            <w:tcW w:w="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164"/>
          </w:cols>
          <w:pgMar w:left="236" w:top="654" w:right="499" w:bottom="1440" w:gutter="0" w:footer="0" w:header="0"/>
        </w:sectPr>
      </w:pPr>
    </w:p>
    <w:bookmarkStart w:id="11" w:name="page12"/>
    <w:bookmarkEnd w:id="11"/>
    <w:p>
      <w:pPr>
        <w:jc w:val="center"/>
        <w:ind w:right="1236"/>
        <w:spacing w:after="0"/>
        <w:rPr>
          <w:sz w:val="20"/>
          <w:szCs w:val="20"/>
          <w:color w:val="auto"/>
        </w:rPr>
      </w:pPr>
      <w:r>
        <w:rPr>
          <w:rFonts w:ascii="Courier New" w:cs="Courier New" w:eastAsia="Courier New" w:hAnsi="Courier New"/>
          <w:sz w:val="16"/>
          <w:szCs w:val="16"/>
          <w:color w:val="auto"/>
        </w:rPr>
        <w:t>AMDOCS LIMITED</w:t>
      </w:r>
    </w:p>
    <w:p>
      <w:pPr>
        <w:jc w:val="center"/>
        <w:ind w:right="1236"/>
        <w:spacing w:after="0"/>
        <w:rPr>
          <w:sz w:val="20"/>
          <w:szCs w:val="20"/>
          <w:color w:val="auto"/>
        </w:rPr>
      </w:pPr>
      <w:r>
        <w:rPr>
          <w:rFonts w:ascii="Courier New" w:cs="Courier New" w:eastAsia="Courier New" w:hAnsi="Courier New"/>
          <w:sz w:val="16"/>
          <w:szCs w:val="16"/>
          <w:color w:val="auto"/>
        </w:rPr>
        <w:t>NOTES TO UNAUDITED CONSOLIDATED FINANCIAL STATEMENTS</w:t>
      </w:r>
    </w:p>
    <w:p>
      <w:pPr>
        <w:spacing w:after="0" w:line="179"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85" w:lineRule="exact"/>
        <w:rPr>
          <w:sz w:val="20"/>
          <w:szCs w:val="20"/>
          <w:color w:val="auto"/>
        </w:rPr>
      </w:pPr>
    </w:p>
    <w:p>
      <w:pPr>
        <w:ind w:left="1124" w:right="6860" w:hanging="1124"/>
        <w:spacing w:after="0" w:line="509" w:lineRule="auto"/>
        <w:tabs>
          <w:tab w:leader="none" w:pos="561"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SIGVALUE</w:t>
      </w:r>
    </w:p>
    <w:p>
      <w:pPr>
        <w:spacing w:after="0" w:line="1" w:lineRule="exact"/>
        <w:rPr>
          <w:sz w:val="20"/>
          <w:szCs w:val="20"/>
          <w:color w:val="auto"/>
        </w:rPr>
      </w:pPr>
    </w:p>
    <w:p>
      <w:pPr>
        <w:ind w:left="4" w:right="1420" w:firstLine="563"/>
        <w:spacing w:after="0" w:line="238" w:lineRule="auto"/>
        <w:rPr>
          <w:sz w:val="20"/>
          <w:szCs w:val="20"/>
          <w:color w:val="auto"/>
        </w:rPr>
      </w:pPr>
      <w:r>
        <w:rPr>
          <w:rFonts w:ascii="Courier New" w:cs="Courier New" w:eastAsia="Courier New" w:hAnsi="Courier New"/>
          <w:sz w:val="16"/>
          <w:szCs w:val="16"/>
          <w:color w:val="auto"/>
        </w:rPr>
        <w:t>On February 7, 2007, the Company acquired SigValue Technologies, Inc. ("SigValue"), a provider of an integrated billing, customer care and service control platform designed for telecommunications service providers in high-growth emerging markets around the world, where the customer base is predominantly comprised of mobile pre-paid subscribers. Prior to the acquisition, the Company owned 14% of SigValue's outstanding capital stock. Under the terms of the agreement, the Company acquired all of SigValue's remaining share capital. The Company expects that this acquisition will expand its offering for the fast growing emerging markets.</w:t>
      </w:r>
    </w:p>
    <w:p>
      <w:pPr>
        <w:spacing w:after="0" w:line="186" w:lineRule="exact"/>
        <w:rPr>
          <w:sz w:val="20"/>
          <w:szCs w:val="20"/>
          <w:color w:val="auto"/>
        </w:rPr>
      </w:pPr>
    </w:p>
    <w:p>
      <w:pPr>
        <w:ind w:left="4" w:right="1240" w:firstLine="563"/>
        <w:spacing w:after="0" w:line="238" w:lineRule="auto"/>
        <w:rPr>
          <w:sz w:val="20"/>
          <w:szCs w:val="20"/>
          <w:color w:val="auto"/>
        </w:rPr>
      </w:pPr>
      <w:r>
        <w:rPr>
          <w:rFonts w:ascii="Courier New" w:cs="Courier New" w:eastAsia="Courier New" w:hAnsi="Courier New"/>
          <w:sz w:val="16"/>
          <w:szCs w:val="16"/>
          <w:color w:val="auto"/>
        </w:rPr>
        <w:t>The aggregate purchase price for the remaining 86% of SigValue's outstanding capital stock was $71,827, which consisted of $70,428 in cash (including cash on hand), $768 related to the assumption of stock options held by SigValue employees and $631 of transaction costs. The fair value of the stock options was estimated using the Black-Scholes option pricing model. The acquisition was accounted for using the purchase method of accounting, as required by Statement of Financial Accountung Standard No. 141, "Business Combinations" ("SFAS No. 141"). The fair market value of SigValue's assets and liabilities has been included in the Company's consolidated balance sheet and the results of SigValue's operations are included in the Company's consolidated statements of operations, commencing on February 8, 2007. The Company obtained a preliminary independent valuation of the intangible assets acquired in the SigValue transaction. The total purchase price was allocated to SigValue's assets and liabilities, including identifiable intangibles, based on their respective estimated fair values, on the date the transaction was consummated. The excess of the purchase price over 86% of the fair value of the net assets and identifiable intangibles acquired, or goodwill, was $29,810 of which none is tax deductible.</w:t>
      </w:r>
    </w:p>
    <w:p>
      <w:pPr>
        <w:spacing w:after="0" w:line="192" w:lineRule="exact"/>
        <w:rPr>
          <w:sz w:val="20"/>
          <w:szCs w:val="20"/>
          <w:color w:val="auto"/>
        </w:rPr>
      </w:pPr>
    </w:p>
    <w:p>
      <w:pPr>
        <w:ind w:left="4" w:right="1240" w:firstLine="563"/>
        <w:spacing w:after="0" w:line="238" w:lineRule="auto"/>
        <w:rPr>
          <w:sz w:val="20"/>
          <w:szCs w:val="20"/>
          <w:color w:val="auto"/>
        </w:rPr>
      </w:pPr>
      <w:r>
        <w:rPr>
          <w:rFonts w:ascii="Courier New" w:cs="Courier New" w:eastAsia="Courier New" w:hAnsi="Courier New"/>
          <w:sz w:val="16"/>
          <w:szCs w:val="16"/>
          <w:color w:val="auto"/>
        </w:rPr>
        <w:t>As described above, prior to the acquisition the Company's ownership interest in SigValue was 14%, and therefore the Company accounted for the investment in SigValue under the cost method. In the second quarter of 2007, the Company recognized its 14% share in SigValue's results from the time it first acquired an ownership interest in SigValue through the acquisition of 100% ownership of SigValue on February 7. The Company's share in SigValue's pre-acquisition results was an income of $1,916, and is included in restructuring charges, in-process research and development and other for the three and six months ended March 31, 2007.</w:t>
      </w:r>
    </w:p>
    <w:p>
      <w:pPr>
        <w:spacing w:after="0" w:line="181" w:lineRule="exact"/>
        <w:rPr>
          <w:sz w:val="20"/>
          <w:szCs w:val="20"/>
          <w:color w:val="auto"/>
        </w:rPr>
      </w:pPr>
    </w:p>
    <w:p>
      <w:pPr>
        <w:ind w:left="564"/>
        <w:spacing w:after="0"/>
        <w:rPr>
          <w:sz w:val="20"/>
          <w:szCs w:val="20"/>
          <w:color w:val="auto"/>
        </w:rPr>
      </w:pPr>
      <w:r>
        <w:rPr>
          <w:rFonts w:ascii="Courier New" w:cs="Courier New" w:eastAsia="Courier New" w:hAnsi="Courier New"/>
          <w:sz w:val="16"/>
          <w:szCs w:val="16"/>
          <w:color w:val="auto"/>
        </w:rPr>
        <w:t>The following is the allocation of the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720" w:type="dxa"/>
            <w:vAlign w:val="bottom"/>
          </w:tcPr>
          <w:p>
            <w:pPr>
              <w:spacing w:after="0"/>
              <w:rPr>
                <w:sz w:val="20"/>
                <w:szCs w:val="20"/>
                <w:color w:val="auto"/>
              </w:rPr>
            </w:pPr>
            <w:r>
              <w:rPr>
                <w:rFonts w:ascii="Courier New" w:cs="Courier New" w:eastAsia="Courier New" w:hAnsi="Courier New"/>
                <w:sz w:val="16"/>
                <w:szCs w:val="16"/>
                <w:color w:val="auto"/>
              </w:rPr>
              <w:t>Assets acquired (1)</w:t>
            </w:r>
          </w:p>
        </w:tc>
        <w:tc>
          <w:tcPr>
            <w:tcW w:w="2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$22,232</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Liabilities assumed</w:t>
            </w:r>
          </w:p>
        </w:tc>
        <w:tc>
          <w:tcPr>
            <w:tcW w:w="2440" w:type="dxa"/>
            <w:vAlign w:val="bottom"/>
          </w:tcPr>
          <w:p>
            <w:pPr>
              <w:jc w:val="right"/>
              <w:spacing w:after="0"/>
              <w:rPr>
                <w:sz w:val="20"/>
                <w:szCs w:val="20"/>
                <w:color w:val="auto"/>
              </w:rPr>
            </w:pPr>
            <w:r>
              <w:rPr>
                <w:rFonts w:ascii="Courier New" w:cs="Courier New" w:eastAsia="Courier New" w:hAnsi="Courier New"/>
                <w:sz w:val="16"/>
                <w:szCs w:val="16"/>
                <w:color w:val="auto"/>
              </w:rPr>
              <w:t>(2,628)</w:t>
            </w:r>
          </w:p>
        </w:tc>
      </w:tr>
      <w:tr>
        <w:trPr>
          <w:trHeight w:val="180"/>
        </w:trPr>
        <w:tc>
          <w:tcPr>
            <w:tcW w:w="5720" w:type="dxa"/>
            <w:vAlign w:val="bottom"/>
          </w:tcPr>
          <w:p>
            <w:pPr>
              <w:spacing w:after="0"/>
              <w:rPr>
                <w:sz w:val="15"/>
                <w:szCs w:val="15"/>
                <w:color w:val="auto"/>
              </w:rPr>
            </w:pPr>
          </w:p>
        </w:tc>
        <w:tc>
          <w:tcPr>
            <w:tcW w:w="2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Net assets acquired</w:t>
            </w:r>
          </w:p>
        </w:tc>
        <w:tc>
          <w:tcPr>
            <w:tcW w:w="2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19,604</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Core technology</w:t>
            </w:r>
          </w:p>
        </w:tc>
        <w:tc>
          <w:tcPr>
            <w:tcW w:w="2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19,513</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Customer arrangements (2)</w:t>
            </w:r>
          </w:p>
        </w:tc>
        <w:tc>
          <w:tcPr>
            <w:tcW w:w="2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4,775</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Trademark</w:t>
            </w:r>
          </w:p>
        </w:tc>
        <w:tc>
          <w:tcPr>
            <w:tcW w:w="2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482</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In-process research and development (3)</w:t>
            </w:r>
          </w:p>
        </w:tc>
        <w:tc>
          <w:tcPr>
            <w:tcW w:w="2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2,666</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Net deferred tax liability resulting from the difference</w:t>
            </w:r>
          </w:p>
        </w:tc>
        <w:tc>
          <w:tcPr>
            <w:tcW w:w="2440" w:type="dxa"/>
            <w:vAlign w:val="bottom"/>
          </w:tcPr>
          <w:p>
            <w:pPr>
              <w:spacing w:after="0"/>
              <w:rPr>
                <w:sz w:val="15"/>
                <w:szCs w:val="15"/>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between the assigned value of certain assets and their</w:t>
            </w:r>
          </w:p>
        </w:tc>
        <w:tc>
          <w:tcPr>
            <w:tcW w:w="2440" w:type="dxa"/>
            <w:vAlign w:val="bottom"/>
          </w:tcPr>
          <w:p>
            <w:pPr>
              <w:spacing w:after="0"/>
              <w:rPr>
                <w:sz w:val="15"/>
                <w:szCs w:val="15"/>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respective tax bases and loss carry forward, net</w:t>
            </w:r>
          </w:p>
        </w:tc>
        <w:tc>
          <w:tcPr>
            <w:tcW w:w="2440" w:type="dxa"/>
            <w:vAlign w:val="bottom"/>
          </w:tcPr>
          <w:p>
            <w:pPr>
              <w:jc w:val="right"/>
              <w:spacing w:after="0"/>
              <w:rPr>
                <w:sz w:val="20"/>
                <w:szCs w:val="20"/>
                <w:color w:val="auto"/>
              </w:rPr>
            </w:pPr>
            <w:r>
              <w:rPr>
                <w:rFonts w:ascii="Courier New" w:cs="Courier New" w:eastAsia="Courier New" w:hAnsi="Courier New"/>
                <w:sz w:val="16"/>
                <w:szCs w:val="16"/>
                <w:color w:val="auto"/>
              </w:rPr>
              <w:t>(5,023)</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Goodwill</w:t>
            </w:r>
          </w:p>
        </w:tc>
        <w:tc>
          <w:tcPr>
            <w:tcW w:w="2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29,810</w:t>
            </w:r>
          </w:p>
        </w:tc>
      </w:tr>
    </w:tbl>
    <w:p>
      <w:pPr>
        <w:spacing w:after="0" w:line="179" w:lineRule="exact"/>
        <w:rPr>
          <w:sz w:val="20"/>
          <w:szCs w:val="20"/>
          <w:color w:val="auto"/>
        </w:rPr>
      </w:pPr>
    </w:p>
    <w:p>
      <w:pPr>
        <w:ind w:left="6184"/>
        <w:spacing w:after="0"/>
        <w:rPr>
          <w:sz w:val="20"/>
          <w:szCs w:val="20"/>
          <w:color w:val="auto"/>
        </w:rPr>
      </w:pPr>
      <w:r>
        <w:rPr>
          <w:rFonts w:ascii="Courier New" w:cs="Courier New" w:eastAsia="Courier New" w:hAnsi="Courier New"/>
          <w:sz w:val="16"/>
          <w:szCs w:val="16"/>
          <w:color w:val="auto"/>
        </w:rPr>
        <w:t>--------------------</w:t>
      </w:r>
    </w:p>
    <w:p>
      <w:pPr>
        <w:jc w:val="right"/>
        <w:ind w:right="680"/>
        <w:spacing w:after="0"/>
        <w:rPr>
          <w:sz w:val="20"/>
          <w:szCs w:val="20"/>
          <w:color w:val="auto"/>
        </w:rPr>
      </w:pPr>
      <w:r>
        <w:rPr>
          <w:rFonts w:ascii="Courier New" w:cs="Courier New" w:eastAsia="Courier New" w:hAnsi="Courier New"/>
          <w:sz w:val="16"/>
          <w:szCs w:val="16"/>
          <w:color w:val="auto"/>
        </w:rPr>
        <w:t>$71,827</w:t>
      </w:r>
    </w:p>
    <w:p>
      <w:pPr>
        <w:jc w:val="right"/>
        <w:ind w:right="680"/>
        <w:spacing w:after="0" w:line="237" w:lineRule="auto"/>
        <w:rPr>
          <w:sz w:val="20"/>
          <w:szCs w:val="20"/>
          <w:color w:val="auto"/>
        </w:rPr>
      </w:pPr>
      <w:r>
        <w:rPr>
          <w:rFonts w:ascii="Courier New" w:cs="Courier New" w:eastAsia="Courier New" w:hAnsi="Courier New"/>
          <w:sz w:val="16"/>
          <w:szCs w:val="16"/>
          <w:color w:val="auto"/>
        </w:rPr>
        <w:t>====================</w:t>
      </w:r>
    </w:p>
    <w:p>
      <w:pPr>
        <w:spacing w:after="0" w:line="36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6"/>
          <w:szCs w:val="16"/>
          <w:color w:val="auto"/>
        </w:rPr>
        <w:t>ESTIMATED USEFUL</w:t>
      </w:r>
    </w:p>
    <w:p>
      <w:pPr>
        <w:jc w:val="right"/>
        <w:ind w:right="180"/>
        <w:spacing w:after="0"/>
        <w:rPr>
          <w:sz w:val="20"/>
          <w:szCs w:val="20"/>
          <w:color w:val="auto"/>
        </w:rPr>
      </w:pPr>
      <w:r>
        <w:rPr>
          <w:rFonts w:ascii="Courier New" w:cs="Courier New" w:eastAsia="Courier New" w:hAnsi="Courier New"/>
          <w:sz w:val="16"/>
          <w:szCs w:val="16"/>
          <w:color w:val="auto"/>
        </w:rPr>
        <w:t>LIFE (IN YEARS)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4</w:t>
      </w:r>
    </w:p>
    <w:p>
      <w:pPr>
        <w:ind w:left="760"/>
        <w:spacing w:after="0"/>
        <w:rPr>
          <w:sz w:val="20"/>
          <w:szCs w:val="20"/>
          <w:color w:val="auto"/>
        </w:rPr>
      </w:pPr>
      <w:r>
        <w:rPr>
          <w:rFonts w:ascii="Courier New" w:cs="Courier New" w:eastAsia="Courier New" w:hAnsi="Courier New"/>
          <w:sz w:val="16"/>
          <w:szCs w:val="16"/>
          <w:color w:val="auto"/>
        </w:rPr>
        <w:t>6</w:t>
      </w:r>
    </w:p>
    <w:p>
      <w:pPr>
        <w:ind w:left="760"/>
        <w:spacing w:after="0" w:line="237" w:lineRule="auto"/>
        <w:rPr>
          <w:sz w:val="20"/>
          <w:szCs w:val="20"/>
          <w:color w:val="auto"/>
        </w:rPr>
      </w:pPr>
      <w:r>
        <w:rPr>
          <w:rFonts w:ascii="Courier New" w:cs="Courier New" w:eastAsia="Courier New" w:hAnsi="Courier New"/>
          <w:sz w:val="16"/>
          <w:szCs w:val="16"/>
          <w:color w:val="auto"/>
        </w:rPr>
        <w:t>2</w:t>
      </w:r>
    </w:p>
    <w:p>
      <w:pPr>
        <w:sectPr>
          <w:pgSz w:w="11900" w:h="16838" w:orient="portrait"/>
          <w:cols w:equalWidth="0" w:num="2">
            <w:col w:w="8744" w:space="720"/>
            <w:col w:w="1880"/>
          </w:cols>
          <w:pgMar w:left="236" w:top="654" w:right="319" w:bottom="1440" w:gutter="0" w:footer="0" w:header="0"/>
        </w:sectPr>
      </w:pPr>
    </w:p>
    <w:bookmarkStart w:id="12" w:name="page13"/>
    <w:bookmarkEnd w:id="12"/>
    <w:p>
      <w:pPr>
        <w:jc w:val="center"/>
        <w:ind w:right="2715"/>
        <w:spacing w:after="0"/>
        <w:rPr>
          <w:sz w:val="20"/>
          <w:szCs w:val="20"/>
          <w:color w:val="auto"/>
        </w:rPr>
      </w:pPr>
      <w:r>
        <w:rPr>
          <w:rFonts w:ascii="Courier New" w:cs="Courier New" w:eastAsia="Courier New" w:hAnsi="Courier New"/>
          <w:sz w:val="16"/>
          <w:szCs w:val="16"/>
          <w:color w:val="auto"/>
        </w:rPr>
        <w:t>AMDOCS LIMITED</w:t>
      </w:r>
    </w:p>
    <w:p>
      <w:pPr>
        <w:jc w:val="center"/>
        <w:ind w:right="2715"/>
        <w:spacing w:after="0"/>
        <w:rPr>
          <w:sz w:val="20"/>
          <w:szCs w:val="20"/>
          <w:color w:val="auto"/>
        </w:rPr>
      </w:pPr>
      <w:r>
        <w:rPr>
          <w:rFonts w:ascii="Courier New" w:cs="Courier New" w:eastAsia="Courier New" w:hAnsi="Courier New"/>
          <w:sz w:val="16"/>
          <w:szCs w:val="16"/>
          <w:color w:val="auto"/>
        </w:rPr>
        <w:t>NOTES TO UNAUDITED CONSOLIDATED FINANCIAL STATEMENTS</w:t>
      </w:r>
    </w:p>
    <w:p>
      <w:pPr>
        <w:spacing w:after="0" w:line="179"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79" w:lineRule="exact"/>
        <w:rPr>
          <w:sz w:val="20"/>
          <w:szCs w:val="20"/>
          <w:color w:val="auto"/>
        </w:rPr>
      </w:pPr>
    </w:p>
    <w:p>
      <w:pPr>
        <w:ind w:left="564" w:hanging="564"/>
        <w:spacing w:after="0"/>
        <w:tabs>
          <w:tab w:leader="none" w:pos="56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primarily cash and cash equivalent.</w:t>
      </w:r>
    </w:p>
    <w:p>
      <w:pPr>
        <w:spacing w:after="0" w:line="184" w:lineRule="exact"/>
        <w:rPr>
          <w:rFonts w:ascii="Courier New" w:cs="Courier New" w:eastAsia="Courier New" w:hAnsi="Courier New"/>
          <w:sz w:val="16"/>
          <w:szCs w:val="16"/>
          <w:color w:val="auto"/>
        </w:rPr>
      </w:pPr>
    </w:p>
    <w:p>
      <w:pPr>
        <w:ind w:left="564" w:right="2819" w:hanging="564"/>
        <w:spacing w:after="0" w:line="236" w:lineRule="auto"/>
        <w:tabs>
          <w:tab w:leader="none" w:pos="56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fair value assigned to customer arrangements is being amortized based on pro-rata amounts of the future discounted cash flows.</w:t>
      </w:r>
    </w:p>
    <w:p>
      <w:pPr>
        <w:spacing w:after="0" w:line="184" w:lineRule="exact"/>
        <w:rPr>
          <w:rFonts w:ascii="Courier New" w:cs="Courier New" w:eastAsia="Courier New" w:hAnsi="Courier New"/>
          <w:sz w:val="16"/>
          <w:szCs w:val="16"/>
          <w:color w:val="auto"/>
        </w:rPr>
      </w:pPr>
    </w:p>
    <w:p>
      <w:pPr>
        <w:ind w:left="564" w:right="2719" w:hanging="564"/>
        <w:spacing w:after="0" w:line="238" w:lineRule="auto"/>
        <w:tabs>
          <w:tab w:leader="none" w:pos="56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in-process research and development was written-off as of the closing date of the acquisition, in accordance with Financial Accounting Standards Board Interpretation No. 4, "Applicability of FASB Statement No. 2 to Business Combinations Accounted for by the Purchase Method." The in-process research and development had no alternative future use and had not reached technological feasibility as of the closing date of the acquisition.</w:t>
      </w:r>
    </w:p>
    <w:p>
      <w:pPr>
        <w:spacing w:after="0" w:line="179" w:lineRule="exact"/>
        <w:rPr>
          <w:rFonts w:ascii="Courier New" w:cs="Courier New" w:eastAsia="Courier New" w:hAnsi="Courier New"/>
          <w:sz w:val="16"/>
          <w:szCs w:val="16"/>
          <w:color w:val="auto"/>
        </w:rPr>
      </w:pPr>
    </w:p>
    <w:p>
      <w:pPr>
        <w:ind w:left="5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CRAMER</w:t>
      </w:r>
    </w:p>
    <w:p>
      <w:pPr>
        <w:spacing w:after="0" w:line="185" w:lineRule="exact"/>
        <w:rPr>
          <w:sz w:val="20"/>
          <w:szCs w:val="20"/>
          <w:color w:val="auto"/>
        </w:rPr>
      </w:pPr>
    </w:p>
    <w:p>
      <w:pPr>
        <w:ind w:left="4" w:right="2719" w:firstLine="563"/>
        <w:spacing w:after="0" w:line="237" w:lineRule="auto"/>
        <w:rPr>
          <w:sz w:val="20"/>
          <w:szCs w:val="20"/>
          <w:color w:val="auto"/>
        </w:rPr>
      </w:pPr>
      <w:r>
        <w:rPr>
          <w:rFonts w:ascii="Courier New" w:cs="Courier New" w:eastAsia="Courier New" w:hAnsi="Courier New"/>
          <w:sz w:val="16"/>
          <w:szCs w:val="16"/>
          <w:color w:val="auto"/>
        </w:rPr>
        <w:t>On August 14, 2006, the Company acquired all of the capital stock of Cramer Systems Group Limited, or Cramer, a privately-held leading provider of operations support systems (OSS) solutions. The Company expects that this acquisition will enable it to leverage and greatly enhance its current assets in the BSS (business support systems) and OSS market.</w:t>
      </w:r>
    </w:p>
    <w:p>
      <w:pPr>
        <w:spacing w:after="0" w:line="187" w:lineRule="exact"/>
        <w:rPr>
          <w:sz w:val="20"/>
          <w:szCs w:val="20"/>
          <w:color w:val="auto"/>
        </w:rPr>
      </w:pPr>
    </w:p>
    <w:p>
      <w:pPr>
        <w:ind w:left="4" w:right="2719" w:firstLine="563"/>
        <w:spacing w:after="0" w:line="238" w:lineRule="auto"/>
        <w:rPr>
          <w:sz w:val="20"/>
          <w:szCs w:val="20"/>
          <w:color w:val="auto"/>
        </w:rPr>
      </w:pPr>
      <w:r>
        <w:rPr>
          <w:rFonts w:ascii="Courier New" w:cs="Courier New" w:eastAsia="Courier New" w:hAnsi="Courier New"/>
          <w:sz w:val="16"/>
          <w:szCs w:val="16"/>
          <w:color w:val="auto"/>
        </w:rPr>
        <w:t>The aggregate purchase price for Cramer was $421,357, which consisted of $412,775 in cash (including cash on hand), $2,228 related to the assumption of stock options and restricted shares held by Cramer employees and $6,354 of transaction costs. The purchase price was adjusted in the first quarter of fiscal 2007 as a result of post closing adjustments which were not material. The fair value of the stock options was estimated using the Black-Scholes option pricing model and the fair value of the restricted shares was valued based on the market value of the underlying shares at the date of grant.</w:t>
      </w:r>
    </w:p>
    <w:p>
      <w:pPr>
        <w:spacing w:after="0" w:line="180" w:lineRule="exact"/>
        <w:rPr>
          <w:sz w:val="20"/>
          <w:szCs w:val="20"/>
          <w:color w:val="auto"/>
        </w:rPr>
      </w:pPr>
    </w:p>
    <w:p>
      <w:pPr>
        <w:ind w:left="564"/>
        <w:spacing w:after="0"/>
        <w:rPr>
          <w:sz w:val="20"/>
          <w:szCs w:val="20"/>
          <w:color w:val="auto"/>
        </w:rPr>
      </w:pPr>
      <w:r>
        <w:rPr>
          <w:rFonts w:ascii="Courier New" w:cs="Courier New" w:eastAsia="Courier New" w:hAnsi="Courier New"/>
          <w:sz w:val="16"/>
          <w:szCs w:val="16"/>
          <w:color w:val="auto"/>
        </w:rPr>
        <w:t>QPASS</w:t>
      </w:r>
    </w:p>
    <w:p>
      <w:pPr>
        <w:spacing w:after="0" w:line="185" w:lineRule="exact"/>
        <w:rPr>
          <w:sz w:val="20"/>
          <w:szCs w:val="20"/>
          <w:color w:val="auto"/>
        </w:rPr>
      </w:pPr>
    </w:p>
    <w:p>
      <w:pPr>
        <w:ind w:left="4" w:right="2899" w:firstLine="563"/>
        <w:spacing w:after="0" w:line="237" w:lineRule="auto"/>
        <w:rPr>
          <w:sz w:val="20"/>
          <w:szCs w:val="20"/>
          <w:color w:val="auto"/>
        </w:rPr>
      </w:pPr>
      <w:r>
        <w:rPr>
          <w:rFonts w:ascii="Courier New" w:cs="Courier New" w:eastAsia="Courier New" w:hAnsi="Courier New"/>
          <w:sz w:val="16"/>
          <w:szCs w:val="16"/>
          <w:color w:val="auto"/>
        </w:rPr>
        <w:t>On May 31, 2006, the Company acquired all of the capital stock of Qpass Inc., or Qpass, a leading provider of digital commerce software and solutions. The Company expects that this acquisition will allow it to support service providers and media companies seeking to launch and monetize digital content, and believes that this acquisition positions it as the leader in the emerging digital content market.</w:t>
      </w:r>
    </w:p>
    <w:p>
      <w:pPr>
        <w:spacing w:after="0" w:line="189" w:lineRule="exact"/>
        <w:rPr>
          <w:sz w:val="20"/>
          <w:szCs w:val="20"/>
          <w:color w:val="auto"/>
        </w:rPr>
      </w:pPr>
    </w:p>
    <w:p>
      <w:pPr>
        <w:ind w:left="4" w:right="2819" w:firstLine="563"/>
        <w:spacing w:after="0" w:line="237" w:lineRule="auto"/>
        <w:rPr>
          <w:sz w:val="20"/>
          <w:szCs w:val="20"/>
          <w:color w:val="auto"/>
        </w:rPr>
      </w:pPr>
      <w:r>
        <w:rPr>
          <w:rFonts w:ascii="Courier New" w:cs="Courier New" w:eastAsia="Courier New" w:hAnsi="Courier New"/>
          <w:sz w:val="16"/>
          <w:szCs w:val="16"/>
          <w:color w:val="auto"/>
        </w:rPr>
        <w:t>The aggregate purchase price for Qpass was $280,973, which consisted of $274,024 in cash, (including cash on hand), $2,405 related to the assumption of stock options held by Qpass employees and $4,544 of transaction costs. The fair value of the stock options was estimated using the Black-Scholes option pricing model.</w:t>
      </w:r>
    </w:p>
    <w:p>
      <w:pPr>
        <w:spacing w:after="0" w:line="182"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3"/>
          </w:cols>
          <w:pgMar w:left="236" w:top="654" w:right="1440" w:bottom="1440" w:gutter="0" w:footer="0" w:header="0"/>
        </w:sectPr>
      </w:pPr>
    </w:p>
    <w:bookmarkStart w:id="13" w:name="page14"/>
    <w:bookmarkEnd w:id="13"/>
    <w:p>
      <w:pPr>
        <w:jc w:val="center"/>
        <w:ind w:right="2719"/>
        <w:spacing w:after="0"/>
        <w:rPr>
          <w:sz w:val="20"/>
          <w:szCs w:val="20"/>
          <w:color w:val="auto"/>
        </w:rPr>
      </w:pPr>
      <w:r>
        <w:rPr>
          <w:rFonts w:ascii="Courier New" w:cs="Courier New" w:eastAsia="Courier New" w:hAnsi="Courier New"/>
          <w:sz w:val="16"/>
          <w:szCs w:val="16"/>
          <w:color w:val="auto"/>
        </w:rPr>
        <w:t>AMDOCS LIMITED</w:t>
      </w:r>
    </w:p>
    <w:p>
      <w:pPr>
        <w:jc w:val="center"/>
        <w:ind w:right="2719"/>
        <w:spacing w:after="0"/>
        <w:rPr>
          <w:sz w:val="20"/>
          <w:szCs w:val="20"/>
          <w:color w:val="auto"/>
        </w:rPr>
      </w:pPr>
      <w:r>
        <w:rPr>
          <w:rFonts w:ascii="Courier New" w:cs="Courier New" w:eastAsia="Courier New" w:hAnsi="Courier New"/>
          <w:sz w:val="16"/>
          <w:szCs w:val="16"/>
          <w:color w:val="auto"/>
        </w:rPr>
        <w:t>NOTES TO UNAUDITED CONSOLIDATED FINANCIAL STATEMENTS</w:t>
      </w:r>
    </w:p>
    <w:p>
      <w:pPr>
        <w:spacing w:after="0" w:line="17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STOCK OPTION AND INCENTIVE PLAN</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In January 1998, the Company adopted the 1998 Stock Option and Incentive Plan (the "Plan"), which provides for the grant of restricted stock awards, stock options and other equity-based awards to employees, officers, directors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In January 2006, the maximum number of Ordinary Shares authorized to be granted under the Plan was increased from 38,300 to 46,300. Awards granted under the Plan generally vest over a period of four years and stock options have a term of ten years. In the fourth quarter of fiscal 2005, the Company commenced routinely granting restricted shares and the Company's equity-based grant package may be comprised of restricted stock awards and stock options.</w:t>
      </w:r>
    </w:p>
    <w:p>
      <w:pPr>
        <w:spacing w:after="0" w:line="189"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The following table summarizes information about options to purchase the Company's Ordinary Shares, as well as changes during the six month period ended March 31, 2007:</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WEIGHTED</w:t>
            </w:r>
          </w:p>
        </w:tc>
      </w:tr>
      <w:tr>
        <w:trPr>
          <w:trHeight w:val="180"/>
        </w:trPr>
        <w:tc>
          <w:tcPr>
            <w:tcW w:w="3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2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WEIGHTED</w:t>
            </w:r>
          </w:p>
        </w:tc>
        <w:tc>
          <w:tcPr>
            <w:tcW w:w="16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AVERAGE</w:t>
            </w:r>
          </w:p>
        </w:tc>
      </w:tr>
      <w:tr>
        <w:trPr>
          <w:trHeight w:val="180"/>
        </w:trPr>
        <w:tc>
          <w:tcPr>
            <w:tcW w:w="3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2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AVERAGE</w:t>
            </w:r>
          </w:p>
        </w:tc>
        <w:tc>
          <w:tcPr>
            <w:tcW w:w="16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REMAINING</w:t>
            </w:r>
          </w:p>
        </w:tc>
      </w:tr>
      <w:tr>
        <w:trPr>
          <w:trHeight w:val="180"/>
        </w:trPr>
        <w:tc>
          <w:tcPr>
            <w:tcW w:w="3380" w:type="dxa"/>
            <w:vAlign w:val="bottom"/>
          </w:tcPr>
          <w:p>
            <w:pPr>
              <w:spacing w:after="0"/>
              <w:rPr>
                <w:sz w:val="15"/>
                <w:szCs w:val="15"/>
                <w:color w:val="auto"/>
              </w:rPr>
            </w:pPr>
          </w:p>
        </w:tc>
        <w:tc>
          <w:tcPr>
            <w:tcW w:w="17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NUMBER OF</w:t>
            </w:r>
          </w:p>
        </w:tc>
        <w:tc>
          <w:tcPr>
            <w:tcW w:w="202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EXERCISE</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CONTRACTUAL</w:t>
            </w:r>
          </w:p>
        </w:tc>
      </w:tr>
      <w:tr>
        <w:trPr>
          <w:trHeight w:val="180"/>
        </w:trPr>
        <w:tc>
          <w:tcPr>
            <w:tcW w:w="3380" w:type="dxa"/>
            <w:vAlign w:val="bottom"/>
          </w:tcPr>
          <w:p>
            <w:pPr>
              <w:spacing w:after="0"/>
              <w:rPr>
                <w:sz w:val="15"/>
                <w:szCs w:val="15"/>
                <w:color w:val="auto"/>
              </w:rPr>
            </w:pPr>
          </w:p>
        </w:tc>
        <w:tc>
          <w:tcPr>
            <w:tcW w:w="17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OPTIONS</w:t>
            </w:r>
          </w:p>
        </w:tc>
        <w:tc>
          <w:tcPr>
            <w:tcW w:w="202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PRICE</w:t>
            </w:r>
          </w:p>
        </w:tc>
        <w:tc>
          <w:tcPr>
            <w:tcW w:w="16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TERM</w:t>
            </w:r>
          </w:p>
        </w:tc>
      </w:tr>
      <w:tr>
        <w:trPr>
          <w:trHeight w:val="180"/>
        </w:trPr>
        <w:tc>
          <w:tcPr>
            <w:tcW w:w="3380" w:type="dxa"/>
            <w:vAlign w:val="bottom"/>
          </w:tcPr>
          <w:p>
            <w:pPr>
              <w:spacing w:after="0"/>
              <w:rPr>
                <w:sz w:val="15"/>
                <w:szCs w:val="15"/>
                <w:color w:val="auto"/>
              </w:rPr>
            </w:pPr>
          </w:p>
        </w:tc>
        <w:tc>
          <w:tcPr>
            <w:tcW w:w="17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361"/>
        </w:trPr>
        <w:tc>
          <w:tcPr>
            <w:tcW w:w="3380" w:type="dxa"/>
            <w:vAlign w:val="bottom"/>
          </w:tcPr>
          <w:p>
            <w:pPr>
              <w:spacing w:after="0"/>
              <w:rPr>
                <w:sz w:val="20"/>
                <w:szCs w:val="20"/>
                <w:color w:val="auto"/>
              </w:rPr>
            </w:pPr>
            <w:r>
              <w:rPr>
                <w:rFonts w:ascii="Courier New" w:cs="Courier New" w:eastAsia="Courier New" w:hAnsi="Courier New"/>
                <w:sz w:val="16"/>
                <w:szCs w:val="16"/>
                <w:color w:val="auto"/>
              </w:rPr>
              <w:t>Outstanding as of October 1, 2006</w:t>
            </w:r>
          </w:p>
        </w:tc>
        <w:tc>
          <w:tcPr>
            <w:tcW w:w="17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22,794</w:t>
            </w:r>
          </w:p>
        </w:tc>
        <w:tc>
          <w:tcPr>
            <w:tcW w:w="202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$29.02</w:t>
            </w:r>
          </w:p>
        </w:tc>
        <w:tc>
          <w:tcPr>
            <w:tcW w:w="1640" w:type="dxa"/>
            <w:vAlign w:val="bottom"/>
          </w:tcPr>
          <w:p>
            <w:pPr>
              <w:spacing w:after="0"/>
              <w:rPr>
                <w:sz w:val="24"/>
                <w:szCs w:val="24"/>
                <w:color w:val="auto"/>
              </w:rPr>
            </w:pPr>
          </w:p>
        </w:tc>
      </w:tr>
      <w:tr>
        <w:trPr>
          <w:trHeight w:val="361"/>
        </w:trPr>
        <w:tc>
          <w:tcPr>
            <w:tcW w:w="3380" w:type="dxa"/>
            <w:vAlign w:val="bottom"/>
          </w:tcPr>
          <w:p>
            <w:pPr>
              <w:spacing w:after="0"/>
              <w:rPr>
                <w:sz w:val="20"/>
                <w:szCs w:val="20"/>
                <w:color w:val="auto"/>
              </w:rPr>
            </w:pPr>
            <w:r>
              <w:rPr>
                <w:rFonts w:ascii="Courier New" w:cs="Courier New" w:eastAsia="Courier New" w:hAnsi="Courier New"/>
                <w:sz w:val="16"/>
                <w:szCs w:val="16"/>
                <w:color w:val="auto"/>
              </w:rPr>
              <w:t>Granted</w:t>
            </w:r>
          </w:p>
        </w:tc>
        <w:tc>
          <w:tcPr>
            <w:tcW w:w="17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2,332</w:t>
            </w:r>
          </w:p>
        </w:tc>
        <w:tc>
          <w:tcPr>
            <w:tcW w:w="202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35.61</w:t>
            </w:r>
          </w:p>
        </w:tc>
        <w:tc>
          <w:tcPr>
            <w:tcW w:w="1640" w:type="dxa"/>
            <w:vAlign w:val="bottom"/>
          </w:tcPr>
          <w:p>
            <w:pPr>
              <w:spacing w:after="0"/>
              <w:rPr>
                <w:sz w:val="24"/>
                <w:szCs w:val="24"/>
                <w:color w:val="auto"/>
              </w:rPr>
            </w:pPr>
          </w:p>
        </w:tc>
      </w:tr>
      <w:tr>
        <w:trPr>
          <w:trHeight w:val="180"/>
        </w:trPr>
        <w:tc>
          <w:tcPr>
            <w:tcW w:w="3380" w:type="dxa"/>
            <w:vAlign w:val="bottom"/>
          </w:tcPr>
          <w:p>
            <w:pPr>
              <w:spacing w:after="0"/>
              <w:rPr>
                <w:sz w:val="20"/>
                <w:szCs w:val="20"/>
                <w:color w:val="auto"/>
              </w:rPr>
            </w:pPr>
            <w:r>
              <w:rPr>
                <w:rFonts w:ascii="Courier New" w:cs="Courier New" w:eastAsia="Courier New" w:hAnsi="Courier New"/>
                <w:sz w:val="16"/>
                <w:szCs w:val="16"/>
                <w:color w:val="auto"/>
              </w:rPr>
              <w:t>Exercised</w:t>
            </w:r>
          </w:p>
        </w:tc>
        <w:tc>
          <w:tcPr>
            <w:tcW w:w="17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(1,474)</w:t>
            </w:r>
          </w:p>
        </w:tc>
        <w:tc>
          <w:tcPr>
            <w:tcW w:w="202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19.64</w:t>
            </w:r>
          </w:p>
        </w:tc>
        <w:tc>
          <w:tcPr>
            <w:tcW w:w="1640" w:type="dxa"/>
            <w:vAlign w:val="bottom"/>
          </w:tcPr>
          <w:p>
            <w:pPr>
              <w:spacing w:after="0"/>
              <w:rPr>
                <w:sz w:val="15"/>
                <w:szCs w:val="15"/>
                <w:color w:val="auto"/>
              </w:rPr>
            </w:pPr>
          </w:p>
        </w:tc>
      </w:tr>
      <w:tr>
        <w:trPr>
          <w:trHeight w:val="180"/>
        </w:trPr>
        <w:tc>
          <w:tcPr>
            <w:tcW w:w="3380" w:type="dxa"/>
            <w:vAlign w:val="bottom"/>
          </w:tcPr>
          <w:p>
            <w:pPr>
              <w:spacing w:after="0"/>
              <w:rPr>
                <w:sz w:val="20"/>
                <w:szCs w:val="20"/>
                <w:color w:val="auto"/>
              </w:rPr>
            </w:pPr>
            <w:r>
              <w:rPr>
                <w:rFonts w:ascii="Courier New" w:cs="Courier New" w:eastAsia="Courier New" w:hAnsi="Courier New"/>
                <w:sz w:val="16"/>
                <w:szCs w:val="16"/>
                <w:color w:val="auto"/>
              </w:rPr>
              <w:t>Forfeited</w:t>
            </w:r>
          </w:p>
        </w:tc>
        <w:tc>
          <w:tcPr>
            <w:tcW w:w="17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(566)</w:t>
            </w:r>
          </w:p>
        </w:tc>
        <w:tc>
          <w:tcPr>
            <w:tcW w:w="202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32.62</w:t>
            </w:r>
          </w:p>
        </w:tc>
        <w:tc>
          <w:tcPr>
            <w:tcW w:w="1640" w:type="dxa"/>
            <w:vAlign w:val="bottom"/>
          </w:tcPr>
          <w:p>
            <w:pPr>
              <w:spacing w:after="0"/>
              <w:rPr>
                <w:sz w:val="15"/>
                <w:szCs w:val="15"/>
                <w:color w:val="auto"/>
              </w:rPr>
            </w:pPr>
          </w:p>
        </w:tc>
      </w:tr>
      <w:tr>
        <w:trPr>
          <w:trHeight w:val="180"/>
        </w:trPr>
        <w:tc>
          <w:tcPr>
            <w:tcW w:w="3380" w:type="dxa"/>
            <w:vAlign w:val="bottom"/>
          </w:tcPr>
          <w:p>
            <w:pPr>
              <w:spacing w:after="0"/>
              <w:rPr>
                <w:sz w:val="15"/>
                <w:szCs w:val="15"/>
                <w:color w:val="auto"/>
              </w:rPr>
            </w:pPr>
          </w:p>
        </w:tc>
        <w:tc>
          <w:tcPr>
            <w:tcW w:w="17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80"/>
        </w:trPr>
        <w:tc>
          <w:tcPr>
            <w:tcW w:w="3380" w:type="dxa"/>
            <w:vAlign w:val="bottom"/>
          </w:tcPr>
          <w:p>
            <w:pPr>
              <w:spacing w:after="0"/>
              <w:rPr>
                <w:sz w:val="20"/>
                <w:szCs w:val="20"/>
                <w:color w:val="auto"/>
              </w:rPr>
            </w:pPr>
            <w:r>
              <w:rPr>
                <w:rFonts w:ascii="Courier New" w:cs="Courier New" w:eastAsia="Courier New" w:hAnsi="Courier New"/>
                <w:sz w:val="16"/>
                <w:szCs w:val="16"/>
                <w:color w:val="auto"/>
              </w:rPr>
              <w:t>Outstanding as of March 31, 2007</w:t>
            </w:r>
          </w:p>
        </w:tc>
        <w:tc>
          <w:tcPr>
            <w:tcW w:w="17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23,086</w:t>
            </w:r>
          </w:p>
        </w:tc>
        <w:tc>
          <w:tcPr>
            <w:tcW w:w="202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$30.20</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6.36</w:t>
            </w:r>
          </w:p>
        </w:tc>
      </w:tr>
      <w:tr>
        <w:trPr>
          <w:trHeight w:val="180"/>
        </w:trPr>
        <w:tc>
          <w:tcPr>
            <w:tcW w:w="3380" w:type="dxa"/>
            <w:vAlign w:val="bottom"/>
          </w:tcPr>
          <w:p>
            <w:pPr>
              <w:spacing w:after="0"/>
              <w:rPr>
                <w:sz w:val="15"/>
                <w:szCs w:val="15"/>
                <w:color w:val="auto"/>
              </w:rPr>
            </w:pPr>
          </w:p>
        </w:tc>
        <w:tc>
          <w:tcPr>
            <w:tcW w:w="17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361"/>
        </w:trPr>
        <w:tc>
          <w:tcPr>
            <w:tcW w:w="3380" w:type="dxa"/>
            <w:vAlign w:val="bottom"/>
          </w:tcPr>
          <w:p>
            <w:pPr>
              <w:spacing w:after="0"/>
              <w:rPr>
                <w:sz w:val="20"/>
                <w:szCs w:val="20"/>
                <w:color w:val="auto"/>
              </w:rPr>
            </w:pPr>
            <w:r>
              <w:rPr>
                <w:rFonts w:ascii="Courier New" w:cs="Courier New" w:eastAsia="Courier New" w:hAnsi="Courier New"/>
                <w:sz w:val="16"/>
                <w:szCs w:val="16"/>
                <w:color w:val="auto"/>
              </w:rPr>
              <w:t>Exercisable on March 31, 2007</w:t>
            </w:r>
          </w:p>
        </w:tc>
        <w:tc>
          <w:tcPr>
            <w:tcW w:w="17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13,984</w:t>
            </w:r>
          </w:p>
        </w:tc>
        <w:tc>
          <w:tcPr>
            <w:tcW w:w="202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$30.75</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4.88</w:t>
            </w:r>
          </w:p>
        </w:tc>
      </w:tr>
      <w:tr>
        <w:trPr>
          <w:trHeight w:val="180"/>
        </w:trPr>
        <w:tc>
          <w:tcPr>
            <w:tcW w:w="3380" w:type="dxa"/>
            <w:vAlign w:val="bottom"/>
          </w:tcPr>
          <w:p>
            <w:pPr>
              <w:spacing w:after="0"/>
              <w:rPr>
                <w:sz w:val="15"/>
                <w:szCs w:val="15"/>
                <w:color w:val="auto"/>
              </w:rPr>
            </w:pPr>
          </w:p>
        </w:tc>
        <w:tc>
          <w:tcPr>
            <w:tcW w:w="17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The following table summarizes information relating to awards of restricted shares, as well as changes to such awards during the six month period ended on March 31, 2007:</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3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WEIGHTED</w:t>
            </w:r>
          </w:p>
        </w:tc>
      </w:tr>
      <w:tr>
        <w:trPr>
          <w:trHeight w:val="180"/>
        </w:trPr>
        <w:tc>
          <w:tcPr>
            <w:tcW w:w="3380" w:type="dxa"/>
            <w:vAlign w:val="bottom"/>
          </w:tcPr>
          <w:p>
            <w:pPr>
              <w:spacing w:after="0"/>
              <w:rPr>
                <w:sz w:val="15"/>
                <w:szCs w:val="15"/>
                <w:color w:val="auto"/>
              </w:rPr>
            </w:pPr>
          </w:p>
        </w:tc>
        <w:tc>
          <w:tcPr>
            <w:tcW w:w="20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NUMBER OF</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AVERAGE GRANT</w:t>
            </w:r>
          </w:p>
        </w:tc>
      </w:tr>
      <w:tr>
        <w:trPr>
          <w:trHeight w:val="180"/>
        </w:trPr>
        <w:tc>
          <w:tcPr>
            <w:tcW w:w="3380" w:type="dxa"/>
            <w:vAlign w:val="bottom"/>
          </w:tcPr>
          <w:p>
            <w:pPr>
              <w:spacing w:after="0"/>
              <w:rPr>
                <w:sz w:val="15"/>
                <w:szCs w:val="15"/>
                <w:color w:val="auto"/>
              </w:rPr>
            </w:pPr>
          </w:p>
        </w:tc>
        <w:tc>
          <w:tcPr>
            <w:tcW w:w="20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SHARES</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DATE FAIR VALUE</w:t>
            </w:r>
          </w:p>
        </w:tc>
      </w:tr>
      <w:tr>
        <w:trPr>
          <w:trHeight w:val="180"/>
        </w:trPr>
        <w:tc>
          <w:tcPr>
            <w:tcW w:w="3380" w:type="dxa"/>
            <w:vAlign w:val="bottom"/>
          </w:tcPr>
          <w:p>
            <w:pPr>
              <w:spacing w:after="0"/>
              <w:rPr>
                <w:sz w:val="15"/>
                <w:szCs w:val="15"/>
                <w:color w:val="auto"/>
              </w:rPr>
            </w:pPr>
          </w:p>
        </w:tc>
        <w:tc>
          <w:tcPr>
            <w:tcW w:w="20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3380" w:type="dxa"/>
            <w:vAlign w:val="bottom"/>
          </w:tcPr>
          <w:p>
            <w:pPr>
              <w:spacing w:after="0"/>
              <w:rPr>
                <w:sz w:val="20"/>
                <w:szCs w:val="20"/>
                <w:color w:val="auto"/>
              </w:rPr>
            </w:pPr>
            <w:r>
              <w:rPr>
                <w:rFonts w:ascii="Courier New" w:cs="Courier New" w:eastAsia="Courier New" w:hAnsi="Courier New"/>
                <w:sz w:val="16"/>
                <w:szCs w:val="16"/>
                <w:color w:val="auto"/>
              </w:rPr>
              <w:t>Outstanding unvested shares as of</w:t>
            </w:r>
          </w:p>
        </w:tc>
        <w:tc>
          <w:tcPr>
            <w:tcW w:w="20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80"/>
        </w:trPr>
        <w:tc>
          <w:tcPr>
            <w:tcW w:w="3380" w:type="dxa"/>
            <w:vAlign w:val="bottom"/>
          </w:tcPr>
          <w:p>
            <w:pPr>
              <w:ind w:left="180"/>
              <w:spacing w:after="0"/>
              <w:rPr>
                <w:sz w:val="20"/>
                <w:szCs w:val="20"/>
                <w:color w:val="auto"/>
              </w:rPr>
            </w:pPr>
            <w:r>
              <w:rPr>
                <w:rFonts w:ascii="Courier New" w:cs="Courier New" w:eastAsia="Courier New" w:hAnsi="Courier New"/>
                <w:sz w:val="16"/>
                <w:szCs w:val="16"/>
                <w:color w:val="auto"/>
              </w:rPr>
              <w:t>October 1, 2006</w:t>
            </w:r>
          </w:p>
        </w:tc>
        <w:tc>
          <w:tcPr>
            <w:tcW w:w="20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780</w:t>
            </w:r>
          </w:p>
        </w:tc>
        <w:tc>
          <w:tcPr>
            <w:tcW w:w="20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$32.89</w:t>
            </w:r>
          </w:p>
        </w:tc>
      </w:tr>
      <w:tr>
        <w:trPr>
          <w:trHeight w:val="361"/>
        </w:trPr>
        <w:tc>
          <w:tcPr>
            <w:tcW w:w="3380" w:type="dxa"/>
            <w:vAlign w:val="bottom"/>
          </w:tcPr>
          <w:p>
            <w:pPr>
              <w:spacing w:after="0"/>
              <w:rPr>
                <w:sz w:val="20"/>
                <w:szCs w:val="20"/>
                <w:color w:val="auto"/>
              </w:rPr>
            </w:pPr>
            <w:r>
              <w:rPr>
                <w:rFonts w:ascii="Courier New" w:cs="Courier New" w:eastAsia="Courier New" w:hAnsi="Courier New"/>
                <w:sz w:val="16"/>
                <w:szCs w:val="16"/>
                <w:color w:val="auto"/>
              </w:rPr>
              <w:t>Granted</w:t>
            </w:r>
          </w:p>
        </w:tc>
        <w:tc>
          <w:tcPr>
            <w:tcW w:w="20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292</w:t>
            </w:r>
          </w:p>
        </w:tc>
        <w:tc>
          <w:tcPr>
            <w:tcW w:w="20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36.67</w:t>
            </w:r>
          </w:p>
        </w:tc>
      </w:tr>
      <w:tr>
        <w:trPr>
          <w:trHeight w:val="180"/>
        </w:trPr>
        <w:tc>
          <w:tcPr>
            <w:tcW w:w="3380" w:type="dxa"/>
            <w:vAlign w:val="bottom"/>
          </w:tcPr>
          <w:p>
            <w:pPr>
              <w:spacing w:after="0"/>
              <w:rPr>
                <w:sz w:val="20"/>
                <w:szCs w:val="20"/>
                <w:color w:val="auto"/>
              </w:rPr>
            </w:pPr>
            <w:r>
              <w:rPr>
                <w:rFonts w:ascii="Courier New" w:cs="Courier New" w:eastAsia="Courier New" w:hAnsi="Courier New"/>
                <w:sz w:val="16"/>
                <w:szCs w:val="16"/>
                <w:color w:val="auto"/>
              </w:rPr>
              <w:t>Vested</w:t>
            </w:r>
          </w:p>
        </w:tc>
        <w:tc>
          <w:tcPr>
            <w:tcW w:w="206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(125)</w:t>
            </w:r>
          </w:p>
        </w:tc>
        <w:tc>
          <w:tcPr>
            <w:tcW w:w="20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30.61</w:t>
            </w:r>
          </w:p>
        </w:tc>
      </w:tr>
      <w:tr>
        <w:trPr>
          <w:trHeight w:val="180"/>
        </w:trPr>
        <w:tc>
          <w:tcPr>
            <w:tcW w:w="3380" w:type="dxa"/>
            <w:vAlign w:val="bottom"/>
          </w:tcPr>
          <w:p>
            <w:pPr>
              <w:spacing w:after="0"/>
              <w:rPr>
                <w:sz w:val="20"/>
                <w:szCs w:val="20"/>
                <w:color w:val="auto"/>
              </w:rPr>
            </w:pPr>
            <w:r>
              <w:rPr>
                <w:rFonts w:ascii="Courier New" w:cs="Courier New" w:eastAsia="Courier New" w:hAnsi="Courier New"/>
                <w:sz w:val="16"/>
                <w:szCs w:val="16"/>
                <w:color w:val="auto"/>
              </w:rPr>
              <w:t>Forfeited</w:t>
            </w:r>
          </w:p>
        </w:tc>
        <w:tc>
          <w:tcPr>
            <w:tcW w:w="206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(10)</w:t>
            </w:r>
          </w:p>
        </w:tc>
        <w:tc>
          <w:tcPr>
            <w:tcW w:w="20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37.73</w:t>
            </w:r>
          </w:p>
        </w:tc>
      </w:tr>
      <w:tr>
        <w:trPr>
          <w:trHeight w:val="180"/>
        </w:trPr>
        <w:tc>
          <w:tcPr>
            <w:tcW w:w="3380" w:type="dxa"/>
            <w:vAlign w:val="bottom"/>
          </w:tcPr>
          <w:p>
            <w:pPr>
              <w:spacing w:after="0"/>
              <w:rPr>
                <w:sz w:val="15"/>
                <w:szCs w:val="15"/>
                <w:color w:val="auto"/>
              </w:rPr>
            </w:pPr>
          </w:p>
        </w:tc>
        <w:tc>
          <w:tcPr>
            <w:tcW w:w="20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3380" w:type="dxa"/>
            <w:vAlign w:val="bottom"/>
          </w:tcPr>
          <w:p>
            <w:pPr>
              <w:spacing w:after="0"/>
              <w:rPr>
                <w:sz w:val="20"/>
                <w:szCs w:val="20"/>
                <w:color w:val="auto"/>
              </w:rPr>
            </w:pPr>
            <w:r>
              <w:rPr>
                <w:rFonts w:ascii="Courier New" w:cs="Courier New" w:eastAsia="Courier New" w:hAnsi="Courier New"/>
                <w:sz w:val="16"/>
                <w:szCs w:val="16"/>
                <w:color w:val="auto"/>
              </w:rPr>
              <w:t>Outstanding unvested shares as of</w:t>
            </w:r>
          </w:p>
        </w:tc>
        <w:tc>
          <w:tcPr>
            <w:tcW w:w="206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80"/>
        </w:trPr>
        <w:tc>
          <w:tcPr>
            <w:tcW w:w="3380" w:type="dxa"/>
            <w:vAlign w:val="bottom"/>
          </w:tcPr>
          <w:p>
            <w:pPr>
              <w:ind w:left="180"/>
              <w:spacing w:after="0"/>
              <w:rPr>
                <w:sz w:val="20"/>
                <w:szCs w:val="20"/>
                <w:color w:val="auto"/>
              </w:rPr>
            </w:pPr>
            <w:r>
              <w:rPr>
                <w:rFonts w:ascii="Courier New" w:cs="Courier New" w:eastAsia="Courier New" w:hAnsi="Courier New"/>
                <w:sz w:val="16"/>
                <w:szCs w:val="16"/>
                <w:color w:val="auto"/>
              </w:rPr>
              <w:t>March 31, 2007</w:t>
            </w:r>
          </w:p>
        </w:tc>
        <w:tc>
          <w:tcPr>
            <w:tcW w:w="20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937</w:t>
            </w:r>
          </w:p>
        </w:tc>
        <w:tc>
          <w:tcPr>
            <w:tcW w:w="20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$34.32</w:t>
            </w:r>
          </w:p>
        </w:tc>
      </w:tr>
      <w:tr>
        <w:trPr>
          <w:trHeight w:val="180"/>
        </w:trPr>
        <w:tc>
          <w:tcPr>
            <w:tcW w:w="3380" w:type="dxa"/>
            <w:vAlign w:val="bottom"/>
          </w:tcPr>
          <w:p>
            <w:pPr>
              <w:spacing w:after="0"/>
              <w:rPr>
                <w:sz w:val="15"/>
                <w:szCs w:val="15"/>
                <w:color w:val="auto"/>
              </w:rPr>
            </w:pPr>
          </w:p>
        </w:tc>
        <w:tc>
          <w:tcPr>
            <w:tcW w:w="20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541"/>
        </w:trPr>
        <w:tc>
          <w:tcPr>
            <w:tcW w:w="3380" w:type="dxa"/>
            <w:vAlign w:val="bottom"/>
          </w:tcPr>
          <w:p>
            <w:pPr>
              <w:spacing w:after="0"/>
              <w:rPr>
                <w:sz w:val="24"/>
                <w:szCs w:val="24"/>
                <w:color w:val="auto"/>
              </w:rPr>
            </w:pPr>
          </w:p>
        </w:tc>
        <w:tc>
          <w:tcPr>
            <w:tcW w:w="2060" w:type="dxa"/>
            <w:vAlign w:val="bottom"/>
          </w:tcPr>
          <w:p>
            <w:pPr>
              <w:jc w:val="right"/>
              <w:ind w:right="1522"/>
              <w:spacing w:after="0"/>
              <w:rPr>
                <w:sz w:val="20"/>
                <w:szCs w:val="20"/>
                <w:color w:val="auto"/>
              </w:rPr>
            </w:pPr>
            <w:r>
              <w:rPr>
                <w:rFonts w:ascii="Courier New" w:cs="Courier New" w:eastAsia="Courier New" w:hAnsi="Courier New"/>
                <w:sz w:val="16"/>
                <w:szCs w:val="16"/>
                <w:color w:val="auto"/>
              </w:rPr>
              <w:t>13</w:t>
            </w:r>
          </w:p>
        </w:tc>
        <w:tc>
          <w:tcPr>
            <w:tcW w:w="2060" w:type="dxa"/>
            <w:vAlign w:val="bottom"/>
          </w:tcPr>
          <w:p>
            <w:pPr>
              <w:spacing w:after="0"/>
              <w:rPr>
                <w:sz w:val="24"/>
                <w:szCs w:val="24"/>
                <w:color w:val="auto"/>
              </w:rPr>
            </w:pPr>
          </w:p>
        </w:tc>
      </w:tr>
    </w:tbl>
    <w:p>
      <w:pPr>
        <w:sectPr>
          <w:pgSz w:w="11900" w:h="16838" w:orient="portrait"/>
          <w:cols w:equalWidth="0" w:num="1">
            <w:col w:w="10219"/>
          </w:cols>
          <w:pgMar w:left="240" w:top="654" w:right="1440" w:bottom="1440" w:gutter="0" w:footer="0" w:header="0"/>
        </w:sectPr>
      </w:pPr>
    </w:p>
    <w:bookmarkStart w:id="14" w:name="page15"/>
    <w:bookmarkEnd w:id="14"/>
    <w:p>
      <w:pPr>
        <w:jc w:val="center"/>
        <w:ind w:right="2715"/>
        <w:spacing w:after="0"/>
        <w:rPr>
          <w:sz w:val="20"/>
          <w:szCs w:val="20"/>
          <w:color w:val="auto"/>
        </w:rPr>
      </w:pPr>
      <w:r>
        <w:rPr>
          <w:rFonts w:ascii="Courier New" w:cs="Courier New" w:eastAsia="Courier New" w:hAnsi="Courier New"/>
          <w:sz w:val="16"/>
          <w:szCs w:val="16"/>
          <w:color w:val="auto"/>
        </w:rPr>
        <w:t>AMDOCS LIMITED</w:t>
      </w:r>
    </w:p>
    <w:p>
      <w:pPr>
        <w:jc w:val="center"/>
        <w:ind w:right="2715"/>
        <w:spacing w:after="0"/>
        <w:rPr>
          <w:sz w:val="20"/>
          <w:szCs w:val="20"/>
          <w:color w:val="auto"/>
        </w:rPr>
      </w:pPr>
      <w:r>
        <w:rPr>
          <w:rFonts w:ascii="Courier New" w:cs="Courier New" w:eastAsia="Courier New" w:hAnsi="Courier New"/>
          <w:sz w:val="16"/>
          <w:szCs w:val="16"/>
          <w:color w:val="auto"/>
        </w:rPr>
        <w:t>NOTES TO UNAUDITED CONSOLIDATED FINANCIAL STATEMENTS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85" w:lineRule="exact"/>
        <w:rPr>
          <w:sz w:val="20"/>
          <w:szCs w:val="20"/>
          <w:color w:val="auto"/>
        </w:rPr>
      </w:pPr>
    </w:p>
    <w:p>
      <w:pPr>
        <w:ind w:left="4" w:right="2719" w:firstLine="563"/>
        <w:spacing w:after="0" w:line="256" w:lineRule="auto"/>
        <w:rPr>
          <w:sz w:val="20"/>
          <w:szCs w:val="20"/>
          <w:color w:val="auto"/>
        </w:rPr>
      </w:pPr>
      <w:r>
        <w:rPr>
          <w:rFonts w:ascii="Courier New" w:cs="Courier New" w:eastAsia="Courier New" w:hAnsi="Courier New"/>
          <w:sz w:val="15"/>
          <w:szCs w:val="15"/>
          <w:color w:val="auto"/>
        </w:rPr>
        <w:t>As of March 31, 2007, there was $66,655 of unrecognized compensation expense related to unvested stock options and unvested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176" w:lineRule="exact"/>
        <w:rPr>
          <w:sz w:val="20"/>
          <w:szCs w:val="20"/>
          <w:color w:val="auto"/>
        </w:rPr>
      </w:pPr>
    </w:p>
    <w:p>
      <w:pPr>
        <w:ind w:left="4" w:right="2719" w:firstLine="563"/>
        <w:spacing w:after="0" w:line="238" w:lineRule="auto"/>
        <w:rPr>
          <w:sz w:val="20"/>
          <w:szCs w:val="20"/>
          <w:color w:val="auto"/>
        </w:rPr>
      </w:pPr>
      <w:r>
        <w:rPr>
          <w:rFonts w:ascii="Courier New" w:cs="Courier New" w:eastAsia="Courier New" w:hAnsi="Courier New"/>
          <w:sz w:val="16"/>
          <w:szCs w:val="16"/>
          <w:color w:val="auto"/>
        </w:rPr>
        <w:t>On October 1, 2005, the Company adopted FASB Statement No. 123 (revised 2004), "Share-Based Payment," a revision of SFAS No. 123 ("SFAS 123(R)"). SFAS 123(R) requires all equity-based payments to employees, including grants of employee stock options, to be recognized in the income statement based on their fair values. In March 2005, the SEC issued Staff Accounting Bulletin No. 107 ("SAB 107"), which provides supplemental implementation guidance on SFAS 123(R). The Company has applied the provisions of SAB 107 in its adoption of SFAS 123(R).</w:t>
      </w:r>
    </w:p>
    <w:p>
      <w:pPr>
        <w:spacing w:after="0" w:line="185" w:lineRule="exact"/>
        <w:rPr>
          <w:sz w:val="20"/>
          <w:szCs w:val="20"/>
          <w:color w:val="auto"/>
        </w:rPr>
      </w:pPr>
    </w:p>
    <w:p>
      <w:pPr>
        <w:ind w:left="4" w:right="2899" w:firstLine="563"/>
        <w:spacing w:after="0" w:line="236" w:lineRule="auto"/>
        <w:rPr>
          <w:sz w:val="20"/>
          <w:szCs w:val="20"/>
          <w:color w:val="auto"/>
        </w:rPr>
      </w:pPr>
      <w:r>
        <w:rPr>
          <w:rFonts w:ascii="Courier New" w:cs="Courier New" w:eastAsia="Courier New" w:hAnsi="Courier New"/>
          <w:sz w:val="16"/>
          <w:szCs w:val="16"/>
          <w:color w:val="auto"/>
        </w:rPr>
        <w:t>Employee equity-based compensation pre-tax expense under SFAS 123(R) for the three and six months ended March 31, 2007 and 2006 was as follows:</w:t>
      </w:r>
    </w:p>
    <w:p>
      <w:pPr>
        <w:spacing w:after="0" w:line="200" w:lineRule="exact"/>
        <w:rPr>
          <w:sz w:val="20"/>
          <w:szCs w:val="20"/>
          <w:color w:val="auto"/>
        </w:rPr>
      </w:pPr>
    </w:p>
    <w:p>
      <w:pPr>
        <w:spacing w:after="0" w:line="34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620" w:type="dxa"/>
            <w:vAlign w:val="bottom"/>
          </w:tcPr>
          <w:p>
            <w:pPr>
              <w:spacing w:after="0"/>
              <w:rPr>
                <w:sz w:val="15"/>
                <w:szCs w:val="15"/>
                <w:color w:val="auto"/>
              </w:rPr>
            </w:pPr>
          </w:p>
        </w:tc>
        <w:tc>
          <w:tcPr>
            <w:tcW w:w="286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THREE MONTHS ENDED</w:t>
            </w:r>
          </w:p>
        </w:tc>
        <w:tc>
          <w:tcPr>
            <w:tcW w:w="248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SIX MONTHS ENDED</w:t>
            </w:r>
          </w:p>
        </w:tc>
      </w:tr>
      <w:tr>
        <w:trPr>
          <w:trHeight w:val="180"/>
        </w:trPr>
        <w:tc>
          <w:tcPr>
            <w:tcW w:w="2620" w:type="dxa"/>
            <w:vAlign w:val="bottom"/>
          </w:tcPr>
          <w:p>
            <w:pPr>
              <w:spacing w:after="0"/>
              <w:rPr>
                <w:sz w:val="15"/>
                <w:szCs w:val="15"/>
                <w:color w:val="auto"/>
              </w:rPr>
            </w:pPr>
          </w:p>
        </w:tc>
        <w:tc>
          <w:tcPr>
            <w:tcW w:w="286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248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0"/>
        </w:trPr>
        <w:tc>
          <w:tcPr>
            <w:tcW w:w="2620" w:type="dxa"/>
            <w:vAlign w:val="bottom"/>
          </w:tcPr>
          <w:p>
            <w:pPr>
              <w:spacing w:after="0"/>
              <w:rPr>
                <w:sz w:val="15"/>
                <w:szCs w:val="15"/>
                <w:color w:val="auto"/>
              </w:rPr>
            </w:pP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MARCH 31,</w:t>
            </w: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MARCH 31,</w:t>
            </w: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MARCH 31,</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MARCH 31,</w:t>
            </w:r>
          </w:p>
        </w:tc>
      </w:tr>
      <w:tr>
        <w:trPr>
          <w:trHeight w:val="180"/>
        </w:trPr>
        <w:tc>
          <w:tcPr>
            <w:tcW w:w="2620" w:type="dxa"/>
            <w:vAlign w:val="bottom"/>
          </w:tcPr>
          <w:p>
            <w:pPr>
              <w:spacing w:after="0"/>
              <w:rPr>
                <w:sz w:val="15"/>
                <w:szCs w:val="15"/>
                <w:color w:val="auto"/>
              </w:rPr>
            </w:pP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2007</w:t>
            </w: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2006</w:t>
            </w:r>
          </w:p>
        </w:tc>
        <w:tc>
          <w:tcPr>
            <w:tcW w:w="13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2007</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2006</w:t>
            </w:r>
          </w:p>
        </w:tc>
      </w:tr>
      <w:tr>
        <w:trPr>
          <w:trHeight w:val="180"/>
        </w:trPr>
        <w:tc>
          <w:tcPr>
            <w:tcW w:w="2620" w:type="dxa"/>
            <w:vAlign w:val="bottom"/>
          </w:tcPr>
          <w:p>
            <w:pPr>
              <w:spacing w:after="0"/>
              <w:rPr>
                <w:sz w:val="15"/>
                <w:szCs w:val="15"/>
                <w:color w:val="auto"/>
              </w:rPr>
            </w:pP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361"/>
        </w:trPr>
        <w:tc>
          <w:tcPr>
            <w:tcW w:w="2620" w:type="dxa"/>
            <w:vAlign w:val="bottom"/>
          </w:tcPr>
          <w:p>
            <w:pPr>
              <w:spacing w:after="0"/>
              <w:rPr>
                <w:sz w:val="20"/>
                <w:szCs w:val="20"/>
                <w:color w:val="auto"/>
              </w:rPr>
            </w:pPr>
            <w:r>
              <w:rPr>
                <w:rFonts w:ascii="Courier New" w:cs="Courier New" w:eastAsia="Courier New" w:hAnsi="Courier New"/>
                <w:sz w:val="16"/>
                <w:szCs w:val="16"/>
                <w:color w:val="auto"/>
              </w:rPr>
              <w:t>Cost of service</w:t>
            </w:r>
          </w:p>
        </w:tc>
        <w:tc>
          <w:tcPr>
            <w:tcW w:w="15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$ 6,005</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$ 3,717</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$12,327</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$ 8,072</w:t>
            </w:r>
          </w:p>
        </w:tc>
      </w:tr>
      <w:tr>
        <w:trPr>
          <w:trHeight w:val="180"/>
        </w:trPr>
        <w:tc>
          <w:tcPr>
            <w:tcW w:w="2620" w:type="dxa"/>
            <w:vAlign w:val="bottom"/>
          </w:tcPr>
          <w:p>
            <w:pPr>
              <w:spacing w:after="0"/>
              <w:rPr>
                <w:sz w:val="20"/>
                <w:szCs w:val="20"/>
                <w:color w:val="auto"/>
              </w:rPr>
            </w:pPr>
            <w:r>
              <w:rPr>
                <w:rFonts w:ascii="Courier New" w:cs="Courier New" w:eastAsia="Courier New" w:hAnsi="Courier New"/>
                <w:sz w:val="16"/>
                <w:szCs w:val="16"/>
                <w:color w:val="auto"/>
              </w:rPr>
              <w:t>Research and development</w:t>
            </w:r>
          </w:p>
        </w:tc>
        <w:tc>
          <w:tcPr>
            <w:tcW w:w="15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1,587</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720</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3,365</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1,809</w:t>
            </w:r>
          </w:p>
        </w:tc>
      </w:tr>
      <w:tr>
        <w:trPr>
          <w:trHeight w:val="180"/>
        </w:trPr>
        <w:tc>
          <w:tcPr>
            <w:tcW w:w="2620" w:type="dxa"/>
            <w:vAlign w:val="bottom"/>
          </w:tcPr>
          <w:p>
            <w:pPr>
              <w:spacing w:after="0"/>
              <w:rPr>
                <w:sz w:val="20"/>
                <w:szCs w:val="20"/>
                <w:color w:val="auto"/>
              </w:rPr>
            </w:pPr>
            <w:r>
              <w:rPr>
                <w:rFonts w:ascii="Courier New" w:cs="Courier New" w:eastAsia="Courier New" w:hAnsi="Courier New"/>
                <w:sz w:val="16"/>
                <w:szCs w:val="16"/>
                <w:color w:val="auto"/>
              </w:rPr>
              <w:t>Selling, general and</w:t>
            </w:r>
          </w:p>
        </w:tc>
        <w:tc>
          <w:tcPr>
            <w:tcW w:w="1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2620" w:type="dxa"/>
            <w:vAlign w:val="bottom"/>
          </w:tcPr>
          <w:p>
            <w:pPr>
              <w:ind w:left="280"/>
              <w:spacing w:after="0"/>
              <w:rPr>
                <w:sz w:val="20"/>
                <w:szCs w:val="20"/>
                <w:color w:val="auto"/>
              </w:rPr>
            </w:pPr>
            <w:r>
              <w:rPr>
                <w:rFonts w:ascii="Courier New" w:cs="Courier New" w:eastAsia="Courier New" w:hAnsi="Courier New"/>
                <w:sz w:val="16"/>
                <w:szCs w:val="16"/>
                <w:color w:val="auto"/>
              </w:rPr>
              <w:t>administrative</w:t>
            </w:r>
          </w:p>
        </w:tc>
        <w:tc>
          <w:tcPr>
            <w:tcW w:w="15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4,374</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5,503</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11,599</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11,120</w:t>
            </w:r>
          </w:p>
        </w:tc>
      </w:tr>
      <w:tr>
        <w:trPr>
          <w:trHeight w:val="180"/>
        </w:trPr>
        <w:tc>
          <w:tcPr>
            <w:tcW w:w="2620" w:type="dxa"/>
            <w:vAlign w:val="bottom"/>
          </w:tcPr>
          <w:p>
            <w:pPr>
              <w:spacing w:after="0"/>
              <w:rPr>
                <w:sz w:val="15"/>
                <w:szCs w:val="15"/>
                <w:color w:val="auto"/>
              </w:rPr>
            </w:pPr>
          </w:p>
        </w:tc>
        <w:tc>
          <w:tcPr>
            <w:tcW w:w="15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262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5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$11,966</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$ 9,940</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$27,291</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$21,001</w:t>
            </w:r>
          </w:p>
        </w:tc>
      </w:tr>
    </w:tbl>
    <w:p>
      <w:pPr>
        <w:spacing w:after="0" w:line="365" w:lineRule="exact"/>
        <w:rPr>
          <w:sz w:val="20"/>
          <w:szCs w:val="20"/>
          <w:color w:val="auto"/>
        </w:rPr>
      </w:pPr>
    </w:p>
    <w:p>
      <w:pPr>
        <w:ind w:left="4" w:right="2899" w:firstLine="563"/>
        <w:spacing w:after="0" w:line="257" w:lineRule="auto"/>
        <w:rPr>
          <w:sz w:val="20"/>
          <w:szCs w:val="20"/>
          <w:color w:val="auto"/>
        </w:rPr>
      </w:pPr>
      <w:r>
        <w:rPr>
          <w:rFonts w:ascii="Courier New" w:cs="Courier New" w:eastAsia="Courier New" w:hAnsi="Courier New"/>
          <w:sz w:val="15"/>
          <w:szCs w:val="15"/>
          <w:color w:val="auto"/>
        </w:rPr>
        <w:t>The total income tax benefit recognized in the income statement for stock-based compensation (including restricted shares) for the three months ended March 31, 2007 and 2006 was $1,914 and $1,131, respectively, and for the six months ended March 31, 2007 and 2006 was $4,306 and $2,534, respectively.</w:t>
      </w:r>
    </w:p>
    <w:p>
      <w:pPr>
        <w:spacing w:after="0" w:line="174" w:lineRule="exact"/>
        <w:rPr>
          <w:sz w:val="20"/>
          <w:szCs w:val="20"/>
          <w:color w:val="auto"/>
        </w:rPr>
      </w:pPr>
    </w:p>
    <w:p>
      <w:pPr>
        <w:ind w:left="4" w:right="2899" w:firstLine="563"/>
        <w:spacing w:after="0" w:line="256" w:lineRule="auto"/>
        <w:rPr>
          <w:sz w:val="20"/>
          <w:szCs w:val="20"/>
          <w:color w:val="auto"/>
        </w:rPr>
      </w:pPr>
      <w:r>
        <w:rPr>
          <w:rFonts w:ascii="Courier New" w:cs="Courier New" w:eastAsia="Courier New" w:hAnsi="Courier New"/>
          <w:sz w:val="15"/>
          <w:szCs w:val="15"/>
          <w:color w:val="auto"/>
        </w:rPr>
        <w:t>The Company selected the Black-Scholes option pricing model as the most appropriate fair value method for its equity-based awards and recognizes compensation costs using the graded vesting attribution method. The Black-Scholes option pricing model assumptions used are noted in the following table (all in weighted averages for options granted during the period):</w:t>
      </w:r>
    </w:p>
    <w:p>
      <w:pPr>
        <w:spacing w:after="0" w:line="200" w:lineRule="exact"/>
        <w:rPr>
          <w:sz w:val="20"/>
          <w:szCs w:val="20"/>
          <w:color w:val="auto"/>
        </w:rPr>
      </w:pPr>
    </w:p>
    <w:p>
      <w:pPr>
        <w:spacing w:after="0" w:line="332"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600" w:type="dxa"/>
            <w:vAlign w:val="bottom"/>
          </w:tcPr>
          <w:p>
            <w:pPr>
              <w:spacing w:after="0"/>
              <w:rPr>
                <w:sz w:val="15"/>
                <w:szCs w:val="15"/>
                <w:color w:val="auto"/>
              </w:rPr>
            </w:pPr>
          </w:p>
        </w:tc>
        <w:tc>
          <w:tcPr>
            <w:tcW w:w="264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THREE MONTHS ENDED</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SIX MONTHS</w:t>
            </w:r>
          </w:p>
        </w:tc>
        <w:tc>
          <w:tcPr>
            <w:tcW w:w="560" w:type="dxa"/>
            <w:vAlign w:val="bottom"/>
          </w:tcPr>
          <w:p>
            <w:pPr>
              <w:ind w:left="80"/>
              <w:spacing w:after="0"/>
              <w:rPr>
                <w:sz w:val="20"/>
                <w:szCs w:val="20"/>
                <w:color w:val="auto"/>
              </w:rPr>
            </w:pPr>
            <w:r>
              <w:rPr>
                <w:rFonts w:ascii="Courier New" w:cs="Courier New" w:eastAsia="Courier New" w:hAnsi="Courier New"/>
                <w:sz w:val="16"/>
                <w:szCs w:val="16"/>
                <w:color w:val="auto"/>
                <w:w w:val="95"/>
              </w:rPr>
              <w:t>ENDED</w:t>
            </w:r>
          </w:p>
        </w:tc>
      </w:tr>
      <w:tr>
        <w:trPr>
          <w:trHeight w:val="180"/>
        </w:trPr>
        <w:tc>
          <w:tcPr>
            <w:tcW w:w="3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00" w:type="dxa"/>
            <w:vAlign w:val="bottom"/>
          </w:tcPr>
          <w:p>
            <w:pPr>
              <w:jc w:val="right"/>
              <w:ind w:right="542"/>
              <w:spacing w:after="0"/>
              <w:rPr>
                <w:sz w:val="20"/>
                <w:szCs w:val="20"/>
                <w:color w:val="auto"/>
              </w:rPr>
            </w:pPr>
            <w:r>
              <w:rPr>
                <w:rFonts w:ascii="Courier New" w:cs="Courier New" w:eastAsia="Courier New" w:hAnsi="Courier New"/>
                <w:sz w:val="16"/>
                <w:szCs w:val="16"/>
                <w:color w:val="auto"/>
                <w:w w:val="99"/>
              </w:rPr>
              <w:t>MARCH 31,</w:t>
            </w:r>
          </w:p>
        </w:tc>
        <w:tc>
          <w:tcPr>
            <w:tcW w:w="80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6"/>
                <w:szCs w:val="16"/>
                <w:color w:val="auto"/>
              </w:rPr>
              <w:t>MARCH 31,</w:t>
            </w:r>
          </w:p>
        </w:tc>
      </w:tr>
      <w:tr>
        <w:trPr>
          <w:trHeight w:val="180"/>
        </w:trPr>
        <w:tc>
          <w:tcPr>
            <w:tcW w:w="3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00" w:type="dxa"/>
            <w:vAlign w:val="bottom"/>
          </w:tcPr>
          <w:p>
            <w:pPr>
              <w:jc w:val="right"/>
              <w:ind w:right="542"/>
              <w:spacing w:after="0"/>
              <w:rPr>
                <w:sz w:val="20"/>
                <w:szCs w:val="20"/>
                <w:color w:val="auto"/>
              </w:rPr>
            </w:pPr>
            <w:r>
              <w:rPr>
                <w:rFonts w:ascii="Courier New" w:cs="Courier New" w:eastAsia="Courier New" w:hAnsi="Courier New"/>
                <w:sz w:val="16"/>
                <w:szCs w:val="16"/>
                <w:color w:val="auto"/>
                <w:w w:val="99"/>
              </w:rPr>
              <w:t>---------</w:t>
            </w:r>
          </w:p>
        </w:tc>
        <w:tc>
          <w:tcPr>
            <w:tcW w:w="80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r>
      <w:tr>
        <w:trPr>
          <w:trHeight w:val="180"/>
        </w:trPr>
        <w:tc>
          <w:tcPr>
            <w:tcW w:w="3600" w:type="dxa"/>
            <w:vAlign w:val="bottom"/>
          </w:tcPr>
          <w:p>
            <w:pPr>
              <w:spacing w:after="0"/>
              <w:rPr>
                <w:sz w:val="15"/>
                <w:szCs w:val="15"/>
                <w:color w:val="auto"/>
              </w:rPr>
            </w:pPr>
          </w:p>
        </w:tc>
        <w:tc>
          <w:tcPr>
            <w:tcW w:w="11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2007</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2006</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2007</w:t>
            </w:r>
          </w:p>
        </w:tc>
        <w:tc>
          <w:tcPr>
            <w:tcW w:w="56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Courier New" w:cs="Courier New" w:eastAsia="Courier New" w:hAnsi="Courier New"/>
                <w:sz w:val="16"/>
                <w:szCs w:val="16"/>
                <w:color w:val="auto"/>
              </w:rPr>
              <w:t>2006</w:t>
            </w:r>
          </w:p>
        </w:tc>
      </w:tr>
      <w:tr>
        <w:trPr>
          <w:trHeight w:val="180"/>
        </w:trPr>
        <w:tc>
          <w:tcPr>
            <w:tcW w:w="3600" w:type="dxa"/>
            <w:vAlign w:val="bottom"/>
          </w:tcPr>
          <w:p>
            <w:pPr>
              <w:spacing w:after="0"/>
              <w:rPr>
                <w:sz w:val="15"/>
                <w:szCs w:val="15"/>
                <w:color w:val="auto"/>
              </w:rPr>
            </w:pPr>
          </w:p>
        </w:tc>
        <w:tc>
          <w:tcPr>
            <w:tcW w:w="11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Courier New" w:cs="Courier New" w:eastAsia="Courier New" w:hAnsi="Courier New"/>
                <w:sz w:val="16"/>
                <w:szCs w:val="16"/>
                <w:color w:val="auto"/>
              </w:rPr>
              <w:t>----</w:t>
            </w:r>
          </w:p>
        </w:tc>
      </w:tr>
      <w:tr>
        <w:trPr>
          <w:trHeight w:val="361"/>
        </w:trPr>
        <w:tc>
          <w:tcPr>
            <w:tcW w:w="3600" w:type="dxa"/>
            <w:vAlign w:val="bottom"/>
          </w:tcPr>
          <w:p>
            <w:pPr>
              <w:spacing w:after="0"/>
              <w:rPr>
                <w:sz w:val="20"/>
                <w:szCs w:val="20"/>
                <w:color w:val="auto"/>
              </w:rPr>
            </w:pPr>
            <w:r>
              <w:rPr>
                <w:rFonts w:ascii="Courier New" w:cs="Courier New" w:eastAsia="Courier New" w:hAnsi="Courier New"/>
                <w:sz w:val="16"/>
                <w:szCs w:val="16"/>
                <w:color w:val="auto"/>
              </w:rPr>
              <w:t>Risk-free interest rate (1)</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4.70%</w:t>
            </w:r>
          </w:p>
        </w:tc>
        <w:tc>
          <w:tcPr>
            <w:tcW w:w="15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4.50%</w:t>
            </w:r>
          </w:p>
        </w:tc>
        <w:tc>
          <w:tcPr>
            <w:tcW w:w="136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4.61%</w:t>
            </w:r>
          </w:p>
        </w:tc>
        <w:tc>
          <w:tcPr>
            <w:tcW w:w="560" w:type="dxa"/>
            <w:vAlign w:val="bottom"/>
          </w:tcPr>
          <w:p>
            <w:pPr>
              <w:ind w:left="80"/>
              <w:spacing w:after="0"/>
              <w:rPr>
                <w:sz w:val="20"/>
                <w:szCs w:val="20"/>
                <w:color w:val="auto"/>
              </w:rPr>
            </w:pPr>
            <w:r>
              <w:rPr>
                <w:rFonts w:ascii="Courier New" w:cs="Courier New" w:eastAsia="Courier New" w:hAnsi="Courier New"/>
                <w:sz w:val="16"/>
                <w:szCs w:val="16"/>
                <w:color w:val="auto"/>
                <w:w w:val="95"/>
              </w:rPr>
              <w:t>4.47%</w:t>
            </w:r>
          </w:p>
        </w:tc>
      </w:tr>
      <w:tr>
        <w:trPr>
          <w:trHeight w:val="180"/>
        </w:trPr>
        <w:tc>
          <w:tcPr>
            <w:tcW w:w="3600" w:type="dxa"/>
            <w:vAlign w:val="bottom"/>
          </w:tcPr>
          <w:p>
            <w:pPr>
              <w:spacing w:after="0"/>
              <w:rPr>
                <w:sz w:val="20"/>
                <w:szCs w:val="20"/>
                <w:color w:val="auto"/>
              </w:rPr>
            </w:pPr>
            <w:r>
              <w:rPr>
                <w:rFonts w:ascii="Courier New" w:cs="Courier New" w:eastAsia="Courier New" w:hAnsi="Courier New"/>
                <w:sz w:val="16"/>
                <w:szCs w:val="16"/>
                <w:color w:val="auto"/>
              </w:rPr>
              <w:t>Expected life of stock options (2)</w:t>
            </w:r>
          </w:p>
        </w:tc>
        <w:tc>
          <w:tcPr>
            <w:tcW w:w="11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4.65</w:t>
            </w:r>
          </w:p>
        </w:tc>
        <w:tc>
          <w:tcPr>
            <w:tcW w:w="15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4.50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4.54</w:t>
            </w:r>
          </w:p>
        </w:tc>
        <w:tc>
          <w:tcPr>
            <w:tcW w:w="56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Courier New" w:cs="Courier New" w:eastAsia="Courier New" w:hAnsi="Courier New"/>
                <w:sz w:val="16"/>
                <w:szCs w:val="16"/>
                <w:color w:val="auto"/>
              </w:rPr>
              <w:t>4.50</w:t>
            </w:r>
          </w:p>
        </w:tc>
      </w:tr>
      <w:tr>
        <w:trPr>
          <w:trHeight w:val="180"/>
        </w:trPr>
        <w:tc>
          <w:tcPr>
            <w:tcW w:w="3600" w:type="dxa"/>
            <w:vAlign w:val="bottom"/>
          </w:tcPr>
          <w:p>
            <w:pPr>
              <w:spacing w:after="0"/>
              <w:rPr>
                <w:sz w:val="20"/>
                <w:szCs w:val="20"/>
                <w:color w:val="auto"/>
              </w:rPr>
            </w:pPr>
            <w:r>
              <w:rPr>
                <w:rFonts w:ascii="Courier New" w:cs="Courier New" w:eastAsia="Courier New" w:hAnsi="Courier New"/>
                <w:sz w:val="16"/>
                <w:szCs w:val="16"/>
                <w:color w:val="auto"/>
              </w:rPr>
              <w:t>Expected volatility (3)</w:t>
            </w:r>
          </w:p>
        </w:tc>
        <w:tc>
          <w:tcPr>
            <w:tcW w:w="11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0.31</w:t>
            </w:r>
          </w:p>
        </w:tc>
        <w:tc>
          <w:tcPr>
            <w:tcW w:w="15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0.30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0.32</w:t>
            </w:r>
          </w:p>
        </w:tc>
        <w:tc>
          <w:tcPr>
            <w:tcW w:w="56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Courier New" w:cs="Courier New" w:eastAsia="Courier New" w:hAnsi="Courier New"/>
                <w:sz w:val="16"/>
                <w:szCs w:val="16"/>
                <w:color w:val="auto"/>
              </w:rPr>
              <w:t>0.33</w:t>
            </w:r>
          </w:p>
        </w:tc>
      </w:tr>
      <w:tr>
        <w:trPr>
          <w:trHeight w:val="180"/>
        </w:trPr>
        <w:tc>
          <w:tcPr>
            <w:tcW w:w="3600" w:type="dxa"/>
            <w:vAlign w:val="bottom"/>
          </w:tcPr>
          <w:p>
            <w:pPr>
              <w:spacing w:after="0"/>
              <w:rPr>
                <w:sz w:val="20"/>
                <w:szCs w:val="20"/>
                <w:color w:val="auto"/>
              </w:rPr>
            </w:pPr>
            <w:r>
              <w:rPr>
                <w:rFonts w:ascii="Courier New" w:cs="Courier New" w:eastAsia="Courier New" w:hAnsi="Courier New"/>
                <w:sz w:val="16"/>
                <w:szCs w:val="16"/>
                <w:color w:val="auto"/>
              </w:rPr>
              <w:t>Expected dividend yield (4)</w:t>
            </w:r>
          </w:p>
        </w:tc>
        <w:tc>
          <w:tcPr>
            <w:tcW w:w="11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None</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None</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None</w:t>
            </w:r>
          </w:p>
        </w:tc>
        <w:tc>
          <w:tcPr>
            <w:tcW w:w="56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Courier New" w:cs="Courier New" w:eastAsia="Courier New" w:hAnsi="Courier New"/>
                <w:sz w:val="16"/>
                <w:szCs w:val="16"/>
                <w:color w:val="auto"/>
              </w:rPr>
              <w:t>None</w:t>
            </w:r>
          </w:p>
        </w:tc>
      </w:tr>
      <w:tr>
        <w:trPr>
          <w:trHeight w:val="361"/>
        </w:trPr>
        <w:tc>
          <w:tcPr>
            <w:tcW w:w="3600" w:type="dxa"/>
            <w:vAlign w:val="bottom"/>
          </w:tcPr>
          <w:p>
            <w:pPr>
              <w:spacing w:after="0"/>
              <w:rPr>
                <w:sz w:val="20"/>
                <w:szCs w:val="20"/>
                <w:color w:val="auto"/>
              </w:rPr>
            </w:pPr>
            <w:r>
              <w:rPr>
                <w:rFonts w:ascii="Courier New" w:cs="Courier New" w:eastAsia="Courier New" w:hAnsi="Courier New"/>
                <w:sz w:val="16"/>
                <w:szCs w:val="16"/>
                <w:color w:val="auto"/>
              </w:rPr>
              <w:t>Fair value per option</w:t>
            </w:r>
          </w:p>
        </w:tc>
        <w:tc>
          <w:tcPr>
            <w:tcW w:w="11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$12.50</w:t>
            </w:r>
          </w:p>
        </w:tc>
        <w:tc>
          <w:tcPr>
            <w:tcW w:w="15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$ 10.39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$12.74</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ind w:left="80"/>
              <w:spacing w:after="0"/>
              <w:rPr>
                <w:sz w:val="20"/>
                <w:szCs w:val="20"/>
                <w:color w:val="auto"/>
              </w:rPr>
            </w:pPr>
            <w:r>
              <w:rPr>
                <w:rFonts w:ascii="Courier New" w:cs="Courier New" w:eastAsia="Courier New" w:hAnsi="Courier New"/>
                <w:sz w:val="16"/>
                <w:szCs w:val="16"/>
                <w:color w:val="auto"/>
              </w:rPr>
              <w:t>9.96</w:t>
            </w:r>
          </w:p>
        </w:tc>
      </w:tr>
    </w:tbl>
    <w:p>
      <w:pPr>
        <w:spacing w:after="0" w:line="365" w:lineRule="exact"/>
        <w:rPr>
          <w:sz w:val="20"/>
          <w:szCs w:val="20"/>
          <w:color w:val="auto"/>
        </w:rPr>
      </w:pPr>
    </w:p>
    <w:p>
      <w:pPr>
        <w:ind w:left="564" w:right="3559" w:hanging="564"/>
        <w:spacing w:after="0" w:line="263" w:lineRule="auto"/>
        <w:tabs>
          <w:tab w:leader="none" w:pos="564"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Risk-free interest rate is based upon U.S. Treasury yield curve appropriate for the term of the Company's employee stock options.</w:t>
      </w:r>
    </w:p>
    <w:p>
      <w:pPr>
        <w:spacing w:after="0" w:line="164"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3"/>
          </w:cols>
          <w:pgMar w:left="236" w:top="654" w:right="1440" w:bottom="1440" w:gutter="0" w:footer="0" w:header="0"/>
        </w:sectPr>
      </w:pPr>
    </w:p>
    <w:bookmarkStart w:id="15" w:name="page16"/>
    <w:bookmarkEnd w:id="15"/>
    <w:p>
      <w:pPr>
        <w:jc w:val="center"/>
        <w:ind w:right="2715"/>
        <w:spacing w:after="0"/>
        <w:rPr>
          <w:sz w:val="20"/>
          <w:szCs w:val="20"/>
          <w:color w:val="auto"/>
        </w:rPr>
      </w:pPr>
      <w:r>
        <w:rPr>
          <w:rFonts w:ascii="Courier New" w:cs="Courier New" w:eastAsia="Courier New" w:hAnsi="Courier New"/>
          <w:sz w:val="16"/>
          <w:szCs w:val="16"/>
          <w:color w:val="auto"/>
        </w:rPr>
        <w:t>AMDOCS LIMITED</w:t>
      </w:r>
    </w:p>
    <w:p>
      <w:pPr>
        <w:jc w:val="center"/>
        <w:ind w:right="2715"/>
        <w:spacing w:after="0"/>
        <w:rPr>
          <w:sz w:val="20"/>
          <w:szCs w:val="20"/>
          <w:color w:val="auto"/>
        </w:rPr>
      </w:pPr>
      <w:r>
        <w:rPr>
          <w:rFonts w:ascii="Courier New" w:cs="Courier New" w:eastAsia="Courier New" w:hAnsi="Courier New"/>
          <w:sz w:val="16"/>
          <w:szCs w:val="16"/>
          <w:color w:val="auto"/>
        </w:rPr>
        <w:t>NOTES TO UNAUDITED CONSOLIDATED FINANCIAL STATEMENTS</w:t>
      </w:r>
    </w:p>
    <w:p>
      <w:pPr>
        <w:spacing w:after="0" w:line="179"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79" w:lineRule="exact"/>
        <w:rPr>
          <w:sz w:val="20"/>
          <w:szCs w:val="20"/>
          <w:color w:val="auto"/>
        </w:rPr>
      </w:pPr>
    </w:p>
    <w:p>
      <w:pPr>
        <w:ind w:left="564" w:hanging="564"/>
        <w:spacing w:after="0"/>
        <w:tabs>
          <w:tab w:leader="none" w:pos="56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Expected life of stock options is based upon historical experience.</w:t>
      </w:r>
    </w:p>
    <w:p>
      <w:pPr>
        <w:spacing w:after="0" w:line="184" w:lineRule="exact"/>
        <w:rPr>
          <w:rFonts w:ascii="Courier New" w:cs="Courier New" w:eastAsia="Courier New" w:hAnsi="Courier New"/>
          <w:sz w:val="16"/>
          <w:szCs w:val="16"/>
          <w:color w:val="auto"/>
        </w:rPr>
      </w:pPr>
    </w:p>
    <w:p>
      <w:pPr>
        <w:ind w:left="564" w:right="2719" w:hanging="564"/>
        <w:spacing w:after="0" w:line="237" w:lineRule="auto"/>
        <w:tabs>
          <w:tab w:leader="none" w:pos="56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Expected volatility is based on a combination of implied volatility of the Company's traded options and historical stock price volatility ("blended volatility").</w:t>
      </w:r>
    </w:p>
    <w:p>
      <w:pPr>
        <w:spacing w:after="0" w:line="184" w:lineRule="exact"/>
        <w:rPr>
          <w:rFonts w:ascii="Courier New" w:cs="Courier New" w:eastAsia="Courier New" w:hAnsi="Courier New"/>
          <w:sz w:val="16"/>
          <w:szCs w:val="16"/>
          <w:color w:val="auto"/>
        </w:rPr>
      </w:pPr>
    </w:p>
    <w:p>
      <w:pPr>
        <w:ind w:left="564" w:right="3279" w:hanging="564"/>
        <w:spacing w:after="0" w:line="236" w:lineRule="auto"/>
        <w:tabs>
          <w:tab w:leader="none" w:pos="56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Expected dividend yield is based on the Company's history and future expectation of dividend payouts.</w:t>
      </w:r>
    </w:p>
    <w:p>
      <w:pPr>
        <w:spacing w:after="0" w:line="185" w:lineRule="exact"/>
        <w:rPr>
          <w:sz w:val="20"/>
          <w:szCs w:val="20"/>
          <w:color w:val="auto"/>
        </w:rPr>
      </w:pPr>
    </w:p>
    <w:p>
      <w:pPr>
        <w:ind w:left="4" w:right="2819" w:firstLine="563"/>
        <w:spacing w:after="0" w:line="237" w:lineRule="auto"/>
        <w:rPr>
          <w:sz w:val="20"/>
          <w:szCs w:val="20"/>
          <w:color w:val="auto"/>
        </w:rPr>
      </w:pPr>
      <w:r>
        <w:rPr>
          <w:rFonts w:ascii="Courier New" w:cs="Courier New" w:eastAsia="Courier New" w:hAnsi="Courier New"/>
          <w:sz w:val="16"/>
          <w:szCs w:val="16"/>
          <w:color w:val="auto"/>
        </w:rPr>
        <w:t>Equity-based compensation recognized is reduced for estimated forfeitures and revised, if necessary, in subsequent periods if actual forfeitures differ from those estimates.</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9. OPERATIONAL EFFICIENCY AND COST REDUCTION PROGRAMS</w:t>
      </w:r>
    </w:p>
    <w:p>
      <w:pPr>
        <w:spacing w:after="0" w:line="185" w:lineRule="exact"/>
        <w:rPr>
          <w:sz w:val="20"/>
          <w:szCs w:val="20"/>
          <w:color w:val="auto"/>
        </w:rPr>
      </w:pPr>
    </w:p>
    <w:p>
      <w:pPr>
        <w:ind w:left="4" w:right="2819" w:firstLine="563"/>
        <w:spacing w:after="0" w:line="255" w:lineRule="auto"/>
        <w:rPr>
          <w:sz w:val="20"/>
          <w:szCs w:val="20"/>
          <w:color w:val="auto"/>
        </w:rPr>
      </w:pPr>
      <w:r>
        <w:rPr>
          <w:rFonts w:ascii="Courier New" w:cs="Courier New" w:eastAsia="Courier New" w:hAnsi="Courier New"/>
          <w:sz w:val="15"/>
          <w:szCs w:val="15"/>
          <w:color w:val="auto"/>
        </w:rPr>
        <w:t>In the quarter ended March 31, 2007, the Company commenced a series of measures designed to align its operational structure to its expected future growth and to improve efficiency. As part of this plan, the Company recorded a charge of $6,011, consisting primarily of employee separation costs in connection with the termination of the employment of software and information technology specialists and administrative professionals at various locations around the world and for facility related costs. Approximately $2,872 of the total charge had been paid in cash as of March 31, 2007. The facility related costs are expected to be paid through May 2013, and the remaining separation costs are expected to be paid during the fiscal year ending September 30, 2007.</w:t>
      </w:r>
    </w:p>
    <w:p>
      <w:pPr>
        <w:spacing w:after="0" w:line="179" w:lineRule="exact"/>
        <w:rPr>
          <w:sz w:val="20"/>
          <w:szCs w:val="20"/>
          <w:color w:val="auto"/>
        </w:rPr>
      </w:pPr>
    </w:p>
    <w:p>
      <w:pPr>
        <w:ind w:left="4" w:right="2899" w:firstLine="563"/>
        <w:spacing w:after="0" w:line="237" w:lineRule="auto"/>
        <w:rPr>
          <w:sz w:val="20"/>
          <w:szCs w:val="20"/>
          <w:color w:val="auto"/>
        </w:rPr>
      </w:pPr>
      <w:r>
        <w:rPr>
          <w:rFonts w:ascii="Courier New" w:cs="Courier New" w:eastAsia="Courier New" w:hAnsi="Courier New"/>
          <w:sz w:val="16"/>
          <w:szCs w:val="16"/>
          <w:color w:val="auto"/>
        </w:rPr>
        <w:t>Each of these expenses related to our operational efficiency and cost reduction program is included in restructuring charges and in-process research and development and other.</w:t>
      </w:r>
    </w:p>
    <w:p>
      <w:pPr>
        <w:spacing w:after="0" w:line="185" w:lineRule="exact"/>
        <w:rPr>
          <w:sz w:val="20"/>
          <w:szCs w:val="20"/>
          <w:color w:val="auto"/>
        </w:rPr>
      </w:pPr>
    </w:p>
    <w:p>
      <w:pPr>
        <w:ind w:left="4" w:right="2819" w:firstLine="563"/>
        <w:spacing w:after="0" w:line="236" w:lineRule="auto"/>
        <w:rPr>
          <w:sz w:val="20"/>
          <w:szCs w:val="20"/>
          <w:color w:val="auto"/>
        </w:rPr>
      </w:pPr>
      <w:r>
        <w:rPr>
          <w:rFonts w:ascii="Courier New" w:cs="Courier New" w:eastAsia="Courier New" w:hAnsi="Courier New"/>
          <w:sz w:val="16"/>
          <w:szCs w:val="16"/>
          <w:color w:val="auto"/>
        </w:rPr>
        <w:t>The restructuring accrual for this cost reduction program is comprised of the following as of March 31, 2007:</w:t>
      </w:r>
    </w:p>
    <w:p>
      <w:pPr>
        <w:spacing w:after="0" w:line="200" w:lineRule="exact"/>
        <w:rPr>
          <w:sz w:val="20"/>
          <w:szCs w:val="20"/>
          <w:color w:val="auto"/>
        </w:rPr>
      </w:pPr>
    </w:p>
    <w:p>
      <w:pPr>
        <w:spacing w:after="0" w:line="340"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EMPLOYEE</w:t>
      </w:r>
    </w:p>
    <w:p>
      <w:pPr>
        <w:jc w:val="center"/>
        <w:ind w:right="2715"/>
        <w:spacing w:after="0"/>
        <w:rPr>
          <w:sz w:val="20"/>
          <w:szCs w:val="20"/>
          <w:color w:val="auto"/>
        </w:rPr>
      </w:pPr>
      <w:r>
        <w:rPr>
          <w:rFonts w:ascii="Courier New" w:cs="Courier New" w:eastAsia="Courier New" w:hAnsi="Courier New"/>
          <w:sz w:val="16"/>
          <w:szCs w:val="16"/>
          <w:color w:val="auto"/>
        </w:rPr>
        <w:t>SEPARATION</w:t>
      </w:r>
    </w:p>
    <w:p>
      <w:pPr>
        <w:sectPr>
          <w:pgSz w:w="11900" w:h="16838" w:orient="portrait"/>
          <w:cols w:equalWidth="0" w:num="1">
            <w:col w:w="10223"/>
          </w:cols>
          <w:pgMar w:left="236" w:top="654" w:right="1440" w:bottom="1440" w:gutter="0" w:footer="0" w:header="0"/>
        </w:sectPr>
      </w:pPr>
    </w:p>
    <w:p>
      <w:pPr>
        <w:spacing w:after="0" w:line="3" w:lineRule="exact"/>
        <w:rPr>
          <w:sz w:val="20"/>
          <w:szCs w:val="20"/>
          <w:color w:val="auto"/>
        </w:rPr>
      </w:pPr>
    </w:p>
    <w:p>
      <w:pPr>
        <w:ind w:left="3564"/>
        <w:spacing w:after="0"/>
        <w:rPr>
          <w:sz w:val="20"/>
          <w:szCs w:val="20"/>
          <w:color w:val="auto"/>
        </w:rPr>
      </w:pPr>
      <w:r>
        <w:rPr>
          <w:rFonts w:ascii="Courier New" w:cs="Courier New" w:eastAsia="Courier New" w:hAnsi="Courier New"/>
          <w:sz w:val="15"/>
          <w:szCs w:val="15"/>
          <w:color w:val="auto"/>
        </w:rPr>
        <w:t>COSTS</w:t>
      </w:r>
    </w:p>
    <w:p>
      <w:pPr>
        <w:spacing w:after="0" w:line="10" w:lineRule="exact"/>
        <w:rPr>
          <w:sz w:val="20"/>
          <w:szCs w:val="20"/>
          <w:color w:val="auto"/>
        </w:rPr>
      </w:pPr>
    </w:p>
    <w:p>
      <w:pPr>
        <w:ind w:left="3564"/>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FACILITIES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6"/>
          <w:szCs w:val="16"/>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sectPr>
          <w:pgSz w:w="11900" w:h="16838" w:orient="portrait"/>
          <w:cols w:equalWidth="0" w:num="3">
            <w:col w:w="4344" w:space="720"/>
            <w:col w:w="1060" w:space="720"/>
            <w:col w:w="3379"/>
          </w:cols>
          <w:pgMar w:left="236" w:top="654" w:right="1440" w:bottom="1440"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Balance as of January 1,</w:t>
      </w:r>
    </w:p>
    <w:p>
      <w:pPr>
        <w:sectPr>
          <w:pgSz w:w="11900" w:h="16838" w:orient="portrait"/>
          <w:cols w:equalWidth="0" w:num="1">
            <w:col w:w="10223"/>
          </w:cols>
          <w:pgMar w:left="236" w:top="654" w:right="1440" w:bottom="1440" w:gutter="0" w:footer="0" w:header="0"/>
          <w:type w:val="continuous"/>
        </w:sectPr>
      </w:pPr>
    </w:p>
    <w:p>
      <w:pPr>
        <w:spacing w:after="0" w:line="10" w:lineRule="exact"/>
        <w:rPr>
          <w:sz w:val="20"/>
          <w:szCs w:val="20"/>
          <w:color w:val="auto"/>
        </w:rPr>
      </w:pPr>
    </w:p>
    <w:p>
      <w:pPr>
        <w:ind w:left="284"/>
        <w:spacing w:after="0"/>
        <w:rPr>
          <w:sz w:val="20"/>
          <w:szCs w:val="20"/>
          <w:color w:val="auto"/>
        </w:rPr>
      </w:pPr>
      <w:r>
        <w:rPr>
          <w:rFonts w:ascii="Courier New" w:cs="Courier New" w:eastAsia="Courier New" w:hAnsi="Courier New"/>
          <w:sz w:val="15"/>
          <w:szCs w:val="15"/>
          <w:color w:val="auto"/>
        </w:rPr>
        <w:t>2007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32" w:lineRule="exact"/>
        <w:rPr>
          <w:sz w:val="20"/>
          <w:szCs w:val="20"/>
          <w:color w:val="auto"/>
        </w:rPr>
      </w:pPr>
    </w:p>
    <w:p>
      <w:pPr>
        <w:sectPr>
          <w:pgSz w:w="11900" w:h="16838" w:orient="portrait"/>
          <w:cols w:equalWidth="0" w:num="7">
            <w:col w:w="2464" w:space="720"/>
            <w:col w:w="100" w:space="560"/>
            <w:col w:w="500" w:space="720"/>
            <w:col w:w="100" w:space="560"/>
            <w:col w:w="220" w:space="720"/>
            <w:col w:w="80" w:space="580"/>
            <w:col w:w="2899"/>
          </w:cols>
          <w:pgMar w:left="236" w:top="654" w:right="1440" w:bottom="1440"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Charge in second quarter of</w:t>
      </w:r>
    </w:p>
    <w:p>
      <w:pPr>
        <w:sectPr>
          <w:pgSz w:w="11900" w:h="16838" w:orient="portrait"/>
          <w:cols w:equalWidth="0" w:num="1">
            <w:col w:w="10223"/>
          </w:cols>
          <w:pgMar w:left="236" w:top="654" w:right="1440" w:bottom="1440" w:gutter="0" w:footer="0" w:header="0"/>
          <w:type w:val="continuous"/>
        </w:sectPr>
      </w:pPr>
    </w:p>
    <w:p>
      <w:pPr>
        <w:spacing w:after="0" w:line="5" w:lineRule="exact"/>
        <w:rPr>
          <w:sz w:val="20"/>
          <w:szCs w:val="20"/>
          <w:color w:val="auto"/>
        </w:rPr>
      </w:pPr>
    </w:p>
    <w:p>
      <w:pPr>
        <w:ind w:left="284"/>
        <w:spacing w:after="0"/>
        <w:rPr>
          <w:sz w:val="20"/>
          <w:szCs w:val="20"/>
          <w:color w:val="auto"/>
        </w:rPr>
      </w:pPr>
      <w:r>
        <w:rPr>
          <w:rFonts w:ascii="Courier New" w:cs="Courier New" w:eastAsia="Courier New" w:hAnsi="Courier New"/>
          <w:sz w:val="16"/>
          <w:szCs w:val="16"/>
          <w:color w:val="auto"/>
        </w:rPr>
        <w:t>fiscal 2007</w:t>
      </w:r>
    </w:p>
    <w:p>
      <w:pPr>
        <w:ind w:left="384"/>
        <w:spacing w:after="0"/>
        <w:rPr>
          <w:sz w:val="20"/>
          <w:szCs w:val="20"/>
          <w:color w:val="auto"/>
        </w:rPr>
      </w:pPr>
      <w:r>
        <w:rPr>
          <w:rFonts w:ascii="Courier New" w:cs="Courier New" w:eastAsia="Courier New" w:hAnsi="Courier New"/>
          <w:sz w:val="16"/>
          <w:szCs w:val="16"/>
          <w:color w:val="auto"/>
        </w:rPr>
        <w:t>Cash payments</w:t>
      </w:r>
    </w:p>
    <w:p>
      <w:pPr>
        <w:ind w:left="384"/>
        <w:spacing w:after="0" w:line="237" w:lineRule="auto"/>
        <w:rPr>
          <w:sz w:val="20"/>
          <w:szCs w:val="20"/>
          <w:color w:val="auto"/>
        </w:rPr>
      </w:pPr>
      <w:r>
        <w:rPr>
          <w:rFonts w:ascii="Courier New" w:cs="Courier New" w:eastAsia="Courier New" w:hAnsi="Courier New"/>
          <w:sz w:val="16"/>
          <w:szCs w:val="16"/>
          <w:color w:val="auto"/>
        </w:rPr>
        <w:t>Non-cash</w:t>
      </w:r>
    </w:p>
    <w:p>
      <w:pPr>
        <w:spacing w:after="0" w:line="18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Balance as of March 31, 2007</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6"/>
          <w:szCs w:val="16"/>
          <w:color w:val="auto"/>
        </w:rPr>
        <w:t>4,935</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(2,872)</w:t>
      </w:r>
    </w:p>
    <w:p>
      <w:pPr>
        <w:spacing w:after="0" w:line="10"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(86)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tabs>
          <w:tab w:leader="none" w:pos="260" w:val="left"/>
        </w:tabs>
        <w:rPr>
          <w:sz w:val="20"/>
          <w:szCs w:val="20"/>
          <w:color w:val="auto"/>
        </w:rPr>
      </w:pPr>
      <w:r>
        <w:rPr>
          <w:rFonts w:ascii="Courier New" w:cs="Courier New" w:eastAsia="Courier New" w:hAnsi="Courier New"/>
          <w:sz w:val="16"/>
          <w:szCs w:val="16"/>
          <w:color w:val="auto"/>
        </w:rPr>
        <w:t>$</w:t>
        <w:tab/>
        <w:t>1,977</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6"/>
          <w:szCs w:val="16"/>
          <w:color w:val="auto"/>
        </w:rPr>
        <w:t>1,076</w:t>
      </w:r>
    </w:p>
    <w:p>
      <w:pPr>
        <w:ind w:left="6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(48)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tabs>
          <w:tab w:leader="none" w:pos="260" w:val="left"/>
        </w:tabs>
        <w:rPr>
          <w:sz w:val="20"/>
          <w:szCs w:val="20"/>
          <w:color w:val="auto"/>
        </w:rPr>
      </w:pPr>
      <w:r>
        <w:rPr>
          <w:rFonts w:ascii="Courier New" w:cs="Courier New" w:eastAsia="Courier New" w:hAnsi="Courier New"/>
          <w:sz w:val="16"/>
          <w:szCs w:val="16"/>
          <w:color w:val="auto"/>
        </w:rPr>
        <w:t>$</w:t>
        <w:tab/>
        <w:t>1,028</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6"/>
          <w:szCs w:val="16"/>
          <w:color w:val="auto"/>
        </w:rPr>
        <w:t>6,011</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(2,872)</w:t>
      </w:r>
    </w:p>
    <w:p>
      <w:pPr>
        <w:spacing w:after="0" w:line="10"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(134)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tabs>
          <w:tab w:leader="none" w:pos="260" w:val="left"/>
        </w:tabs>
        <w:rPr>
          <w:sz w:val="20"/>
          <w:szCs w:val="20"/>
          <w:color w:val="auto"/>
        </w:rPr>
      </w:pPr>
      <w:r>
        <w:rPr>
          <w:rFonts w:ascii="Courier New" w:cs="Courier New" w:eastAsia="Courier New" w:hAnsi="Courier New"/>
          <w:sz w:val="16"/>
          <w:szCs w:val="16"/>
          <w:color w:val="auto"/>
        </w:rPr>
        <w:t>$</w:t>
        <w:tab/>
        <w:t>3,005</w:t>
      </w:r>
    </w:p>
    <w:p>
      <w:pPr>
        <w:spacing w:after="0" w:line="200" w:lineRule="exact"/>
        <w:rPr>
          <w:sz w:val="20"/>
          <w:szCs w:val="20"/>
          <w:color w:val="auto"/>
        </w:rPr>
      </w:pPr>
    </w:p>
    <w:p>
      <w:pPr>
        <w:sectPr>
          <w:pgSz w:w="11900" w:h="16838" w:orient="portrait"/>
          <w:cols w:equalWidth="0" w:num="4">
            <w:col w:w="2624" w:space="560"/>
            <w:col w:w="1160" w:space="720"/>
            <w:col w:w="880" w:space="720"/>
            <w:col w:w="3559"/>
          </w:cols>
          <w:pgMar w:left="236" w:top="654" w:right="1440" w:bottom="1440" w:gutter="0" w:footer="0" w:header="0"/>
          <w:type w:val="continuous"/>
        </w:sectPr>
      </w:pPr>
    </w:p>
    <w:p>
      <w:pPr>
        <w:spacing w:after="0" w:line="164" w:lineRule="exact"/>
        <w:rPr>
          <w:sz w:val="20"/>
          <w:szCs w:val="20"/>
          <w:color w:val="auto"/>
        </w:rPr>
      </w:pPr>
    </w:p>
    <w:p>
      <w:pPr>
        <w:ind w:left="4" w:right="2819" w:firstLine="563"/>
        <w:spacing w:after="0" w:line="238" w:lineRule="auto"/>
        <w:rPr>
          <w:sz w:val="20"/>
          <w:szCs w:val="20"/>
          <w:color w:val="auto"/>
        </w:rPr>
      </w:pPr>
      <w:r>
        <w:rPr>
          <w:rFonts w:ascii="Courier New" w:cs="Courier New" w:eastAsia="Courier New" w:hAnsi="Courier New"/>
          <w:sz w:val="16"/>
          <w:szCs w:val="16"/>
          <w:color w:val="auto"/>
        </w:rPr>
        <w:t>In connection with the acquisition of DST Innovis, Inc. and DST Interactive, Inc ("DST Innovis") in fiscal 2005, the Company commenced integration activities with respect to the DST Innovis business based on a plan to exit specific research and development activities and to terminate employees associated with these activities. The liabilities associated with this plan, which were recorded as part of the purchase accounting, are presented in the following table:</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3"/>
          </w:cols>
          <w:pgMar w:left="236" w:top="654" w:right="1440" w:bottom="1440" w:gutter="0" w:footer="0" w:header="0"/>
          <w:type w:val="continuous"/>
        </w:sectPr>
      </w:pPr>
    </w:p>
    <w:bookmarkStart w:id="16" w:name="page17"/>
    <w:bookmarkEnd w:id="16"/>
    <w:p>
      <w:pPr>
        <w:jc w:val="center"/>
        <w:ind w:right="2715"/>
        <w:spacing w:after="0"/>
        <w:rPr>
          <w:sz w:val="20"/>
          <w:szCs w:val="20"/>
          <w:color w:val="auto"/>
        </w:rPr>
      </w:pPr>
      <w:r>
        <w:rPr>
          <w:rFonts w:ascii="Courier New" w:cs="Courier New" w:eastAsia="Courier New" w:hAnsi="Courier New"/>
          <w:sz w:val="16"/>
          <w:szCs w:val="16"/>
          <w:color w:val="auto"/>
        </w:rPr>
        <w:t>AMDOCS LIMITED</w:t>
      </w:r>
    </w:p>
    <w:p>
      <w:pPr>
        <w:jc w:val="center"/>
        <w:ind w:right="2715"/>
        <w:spacing w:after="0"/>
        <w:rPr>
          <w:sz w:val="20"/>
          <w:szCs w:val="20"/>
          <w:color w:val="auto"/>
        </w:rPr>
      </w:pPr>
      <w:r>
        <w:rPr>
          <w:rFonts w:ascii="Courier New" w:cs="Courier New" w:eastAsia="Courier New" w:hAnsi="Courier New"/>
          <w:sz w:val="16"/>
          <w:szCs w:val="16"/>
          <w:color w:val="auto"/>
        </w:rPr>
        <w:t>NOTES TO UNAUDITED CONSOLIDATED FINANCIAL STATEMENTS</w:t>
      </w:r>
    </w:p>
    <w:p>
      <w:pPr>
        <w:spacing w:after="0" w:line="179"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200" w:lineRule="exact"/>
        <w:rPr>
          <w:sz w:val="20"/>
          <w:szCs w:val="20"/>
          <w:color w:val="auto"/>
        </w:rPr>
      </w:pPr>
    </w:p>
    <w:p>
      <w:pPr>
        <w:spacing w:after="0" w:line="34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140" w:type="dxa"/>
            <w:vAlign w:val="bottom"/>
          </w:tcPr>
          <w:p>
            <w:pPr>
              <w:spacing w:after="0"/>
              <w:rPr>
                <w:sz w:val="15"/>
                <w:szCs w:val="15"/>
                <w:color w:val="auto"/>
              </w:rPr>
            </w:pPr>
          </w:p>
        </w:tc>
        <w:tc>
          <w:tcPr>
            <w:tcW w:w="17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CONTRACTUAL</w:t>
            </w: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3140" w:type="dxa"/>
            <w:vAlign w:val="bottom"/>
          </w:tcPr>
          <w:p>
            <w:pPr>
              <w:spacing w:after="0"/>
              <w:rPr>
                <w:sz w:val="15"/>
                <w:szCs w:val="15"/>
                <w:color w:val="auto"/>
              </w:rPr>
            </w:pPr>
          </w:p>
        </w:tc>
        <w:tc>
          <w:tcPr>
            <w:tcW w:w="17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OBLIGATIONS</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OTHER</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TOTAL</w:t>
            </w:r>
          </w:p>
        </w:tc>
      </w:tr>
      <w:tr>
        <w:trPr>
          <w:trHeight w:val="180"/>
        </w:trPr>
        <w:tc>
          <w:tcPr>
            <w:tcW w:w="3140" w:type="dxa"/>
            <w:vAlign w:val="bottom"/>
          </w:tcPr>
          <w:p>
            <w:pPr>
              <w:spacing w:after="0"/>
              <w:rPr>
                <w:sz w:val="15"/>
                <w:szCs w:val="15"/>
                <w:color w:val="auto"/>
              </w:rPr>
            </w:pPr>
          </w:p>
        </w:tc>
        <w:tc>
          <w:tcPr>
            <w:tcW w:w="17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361"/>
        </w:trPr>
        <w:tc>
          <w:tcPr>
            <w:tcW w:w="3140" w:type="dxa"/>
            <w:vAlign w:val="bottom"/>
          </w:tcPr>
          <w:p>
            <w:pPr>
              <w:spacing w:after="0"/>
              <w:rPr>
                <w:sz w:val="20"/>
                <w:szCs w:val="20"/>
                <w:color w:val="auto"/>
              </w:rPr>
            </w:pPr>
            <w:r>
              <w:rPr>
                <w:rFonts w:ascii="Courier New" w:cs="Courier New" w:eastAsia="Courier New" w:hAnsi="Courier New"/>
                <w:sz w:val="16"/>
                <w:szCs w:val="16"/>
                <w:color w:val="auto"/>
              </w:rPr>
              <w:t>Balance as of October 1, 2006</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6,875</w:t>
            </w:r>
          </w:p>
        </w:tc>
        <w:tc>
          <w:tcPr>
            <w:tcW w:w="12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$ 112</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$ 6,987</w:t>
            </w:r>
          </w:p>
        </w:tc>
      </w:tr>
      <w:tr>
        <w:trPr>
          <w:trHeight w:val="180"/>
        </w:trPr>
        <w:tc>
          <w:tcPr>
            <w:tcW w:w="3140" w:type="dxa"/>
            <w:vAlign w:val="bottom"/>
          </w:tcPr>
          <w:p>
            <w:pPr>
              <w:spacing w:after="0"/>
              <w:rPr>
                <w:sz w:val="20"/>
                <w:szCs w:val="20"/>
                <w:color w:val="auto"/>
              </w:rPr>
            </w:pPr>
            <w:r>
              <w:rPr>
                <w:rFonts w:ascii="Courier New" w:cs="Courier New" w:eastAsia="Courier New" w:hAnsi="Courier New"/>
                <w:sz w:val="16"/>
                <w:szCs w:val="16"/>
                <w:color w:val="auto"/>
              </w:rPr>
              <w:t>Cash payments</w:t>
            </w:r>
          </w:p>
        </w:tc>
        <w:tc>
          <w:tcPr>
            <w:tcW w:w="660" w:type="dxa"/>
            <w:vAlign w:val="bottom"/>
          </w:tcPr>
          <w:p>
            <w:pPr>
              <w:spacing w:after="0"/>
              <w:rPr>
                <w:sz w:val="15"/>
                <w:szCs w:val="15"/>
                <w:color w:val="auto"/>
              </w:rPr>
            </w:pP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(1,228)</w:t>
            </w:r>
          </w:p>
        </w:tc>
        <w:tc>
          <w:tcPr>
            <w:tcW w:w="12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(1,228)</w:t>
            </w:r>
          </w:p>
        </w:tc>
      </w:tr>
      <w:tr>
        <w:trPr>
          <w:trHeight w:val="180"/>
        </w:trPr>
        <w:tc>
          <w:tcPr>
            <w:tcW w:w="3140" w:type="dxa"/>
            <w:vAlign w:val="bottom"/>
          </w:tcPr>
          <w:p>
            <w:pPr>
              <w:spacing w:after="0"/>
              <w:rPr>
                <w:sz w:val="15"/>
                <w:szCs w:val="15"/>
                <w:color w:val="auto"/>
              </w:rPr>
            </w:pPr>
          </w:p>
        </w:tc>
        <w:tc>
          <w:tcPr>
            <w:tcW w:w="174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140" w:type="dxa"/>
            <w:vAlign w:val="bottom"/>
          </w:tcPr>
          <w:p>
            <w:pPr>
              <w:spacing w:after="0"/>
              <w:rPr>
                <w:sz w:val="20"/>
                <w:szCs w:val="20"/>
                <w:color w:val="auto"/>
              </w:rPr>
            </w:pPr>
            <w:r>
              <w:rPr>
                <w:rFonts w:ascii="Courier New" w:cs="Courier New" w:eastAsia="Courier New" w:hAnsi="Courier New"/>
                <w:sz w:val="16"/>
                <w:szCs w:val="16"/>
                <w:color w:val="auto"/>
              </w:rPr>
              <w:t>Balance as of March 31, 2007</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5,647</w:t>
            </w:r>
          </w:p>
        </w:tc>
        <w:tc>
          <w:tcPr>
            <w:tcW w:w="12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$ 112</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$ 5,759</w:t>
            </w:r>
          </w:p>
        </w:tc>
      </w:tr>
      <w:tr>
        <w:trPr>
          <w:trHeight w:val="180"/>
        </w:trPr>
        <w:tc>
          <w:tcPr>
            <w:tcW w:w="3140" w:type="dxa"/>
            <w:vAlign w:val="bottom"/>
          </w:tcPr>
          <w:p>
            <w:pPr>
              <w:spacing w:after="0"/>
              <w:rPr>
                <w:sz w:val="15"/>
                <w:szCs w:val="15"/>
                <w:color w:val="auto"/>
              </w:rPr>
            </w:pPr>
          </w:p>
        </w:tc>
        <w:tc>
          <w:tcPr>
            <w:tcW w:w="174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left="564" w:right="8059" w:hanging="564"/>
        <w:spacing w:after="0" w:line="509" w:lineRule="auto"/>
        <w:tabs>
          <w:tab w:leader="none" w:pos="37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 Legal Proceedings</w:t>
      </w:r>
    </w:p>
    <w:p>
      <w:pPr>
        <w:spacing w:after="0" w:line="1" w:lineRule="exact"/>
        <w:rPr>
          <w:sz w:val="20"/>
          <w:szCs w:val="20"/>
          <w:color w:val="auto"/>
        </w:rPr>
      </w:pPr>
    </w:p>
    <w:p>
      <w:pPr>
        <w:ind w:left="4" w:right="2719" w:firstLine="563"/>
        <w:spacing w:after="0" w:line="237" w:lineRule="auto"/>
        <w:rPr>
          <w:sz w:val="20"/>
          <w:szCs w:val="20"/>
          <w:color w:val="auto"/>
        </w:rPr>
      </w:pPr>
      <w:r>
        <w:rPr>
          <w:rFonts w:ascii="Courier New" w:cs="Courier New" w:eastAsia="Courier New" w:hAnsi="Courier New"/>
          <w:sz w:val="16"/>
          <w:szCs w:val="16"/>
          <w:color w:val="auto"/>
        </w:rPr>
        <w:t>The Company is involved in various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187" w:lineRule="exact"/>
        <w:rPr>
          <w:sz w:val="20"/>
          <w:szCs w:val="20"/>
          <w:color w:val="auto"/>
        </w:rPr>
      </w:pPr>
    </w:p>
    <w:p>
      <w:pPr>
        <w:ind w:left="4" w:right="2719" w:firstLine="563"/>
        <w:spacing w:after="0" w:line="237" w:lineRule="auto"/>
        <w:rPr>
          <w:sz w:val="20"/>
          <w:szCs w:val="20"/>
          <w:color w:val="auto"/>
        </w:rPr>
      </w:pPr>
      <w:r>
        <w:rPr>
          <w:rFonts w:ascii="Courier New" w:cs="Courier New" w:eastAsia="Courier New" w:hAnsi="Courier New"/>
          <w:sz w:val="16"/>
          <w:szCs w:val="16"/>
          <w:color w:val="auto"/>
        </w:rPr>
        <w:t>The Company generally sells its products with a limited warranty for a period of 90 days. The Company's policy is to account for warranty costs, if needed, based on historical trends in product failure. Based on the Company's experience, only minimal warranty services have been required and, as a result, the Company did not accrue any amounts for product warranty liability during the six months ended March 31, 2007 and 2006.</w:t>
      </w:r>
    </w:p>
    <w:p>
      <w:pPr>
        <w:spacing w:after="0" w:line="189" w:lineRule="exact"/>
        <w:rPr>
          <w:sz w:val="20"/>
          <w:szCs w:val="20"/>
          <w:color w:val="auto"/>
        </w:rPr>
      </w:pPr>
    </w:p>
    <w:p>
      <w:pPr>
        <w:ind w:left="4" w:right="2719" w:firstLine="563"/>
        <w:spacing w:after="0" w:line="237" w:lineRule="auto"/>
        <w:rPr>
          <w:sz w:val="20"/>
          <w:szCs w:val="20"/>
          <w:color w:val="auto"/>
        </w:rPr>
      </w:pPr>
      <w:r>
        <w:rPr>
          <w:rFonts w:ascii="Courier New" w:cs="Courier New" w:eastAsia="Courier New" w:hAnsi="Courier New"/>
          <w:sz w:val="16"/>
          <w:szCs w:val="16"/>
          <w:color w:val="auto"/>
        </w:rPr>
        <w:t>The Company generally indemnifies its customers against claims of intellectual property infringement made by third parties arising from the use of the Company's software. To date, the Company has incurred only minimal costs as a result of such obligations and has not accrued any liabilities related to such indemnification in its consolidated financial statements.</w:t>
      </w:r>
    </w:p>
    <w:p>
      <w:pPr>
        <w:spacing w:after="0" w:line="182"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3"/>
          </w:cols>
          <w:pgMar w:left="236" w:top="654" w:right="1440" w:bottom="1440" w:gutter="0" w:footer="0" w:header="0"/>
        </w:sectPr>
      </w:pPr>
    </w:p>
    <w:bookmarkStart w:id="17" w:name="page18"/>
    <w:bookmarkEnd w:id="17"/>
    <w:p>
      <w:pPr>
        <w:spacing w:after="0"/>
        <w:tabs>
          <w:tab w:leader="none" w:pos="82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OPERATING AND FINANCIAL REVIEW AND PROSPECTS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 LOOKING STATEMENTS</w:t>
      </w:r>
    </w:p>
    <w:p>
      <w:pPr>
        <w:spacing w:after="0" w:line="185"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178"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2006 that we filed with the United States Securities and Exchange Commission ("SEC").</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54"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OVERVIEW OF BUSINESS AND TREND INFORMATION</w:t>
      </w:r>
    </w:p>
    <w:p>
      <w:pPr>
        <w:spacing w:after="0" w:line="18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Amdocs is a leading provider of software and services for communications service providers. Our market focus is primarily tier one and tier two companies in the communications industry, including leading wireline and wireless telecommunications, broadband cable and satellite companies.</w:t>
      </w:r>
    </w:p>
    <w:p>
      <w:pPr>
        <w:spacing w:after="0" w:line="186"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We develop, implement and manage software and services associated with the business support systems and operational support systems that enable service providers to deliver a better customer experience, by, for example, introducing products quickly, understanding their customers more deeply, processing orders efficiently and solving problems productively. We refer to these systems as Customer Experience Systems.</w:t>
      </w:r>
    </w:p>
    <w:p>
      <w:pPr>
        <w:spacing w:after="0" w:line="189" w:lineRule="exact"/>
        <w:rPr>
          <w:sz w:val="20"/>
          <w:szCs w:val="20"/>
          <w:color w:val="auto"/>
        </w:rPr>
      </w:pPr>
    </w:p>
    <w:p>
      <w:pPr>
        <w:ind w:right="2819" w:firstLine="563"/>
        <w:spacing w:after="0" w:line="256" w:lineRule="auto"/>
        <w:rPr>
          <w:sz w:val="20"/>
          <w:szCs w:val="20"/>
          <w:color w:val="auto"/>
        </w:rPr>
      </w:pPr>
      <w:r>
        <w:rPr>
          <w:rFonts w:ascii="Courier New" w:cs="Courier New" w:eastAsia="Courier New" w:hAnsi="Courier New"/>
          <w:sz w:val="15"/>
          <w:szCs w:val="15"/>
          <w:color w:val="auto"/>
        </w:rPr>
        <w:t>We believe the demand for our Customer Experience Systems is primarily driven by the need of communications service providers to transform their systems in order to deliver a better, differentiated customer experience and to introduce new products faster. Although the pace at which service providers are embarking on transformation projects at the beginning of the year was not as we expected, we continue to regard these projects as a long term industry trend that will continue to drive the demand for our Customer Experience Systems.</w:t>
      </w:r>
    </w:p>
    <w:p>
      <w:pPr>
        <w:spacing w:after="0" w:line="174"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In fiscal 2006, we acquired Qpass Inc. and Cramer Systems Group Limited - which we refer to as Qpass and Cramer - to further enhance our portfolio of product offerings, provide a complete end-to-end offering (combined business support and operations support systems, or BSS/OSS) and meet the growing demand for the delivery of next-generation services. During the second quarter of fiscal 2007 we acquired SigValue Technologies, Inc. ("SigValue") which we believe will expand our offering for fast growing emerging markets, where the customer base is predominantly comprised of mobile pre-paid subscribers. As part of our strategy, we may continue to pursue acquisitions and other initiatives in order to offer new products or services or otherwise enhance our market position or strategic strengths.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OFFERINGS</w:t>
      </w:r>
    </w:p>
    <w:p>
      <w:pPr>
        <w:spacing w:after="0" w:line="17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Amdocs' Customer Experience Systems offerings consist of:</w:t>
      </w:r>
    </w:p>
    <w:p>
      <w:pPr>
        <w:spacing w:after="0" w:line="185" w:lineRule="exact"/>
        <w:rPr>
          <w:sz w:val="20"/>
          <w:szCs w:val="20"/>
          <w:color w:val="auto"/>
        </w:rPr>
      </w:pPr>
    </w:p>
    <w:p>
      <w:pPr>
        <w:ind w:left="1120" w:right="2719" w:hanging="561"/>
        <w:spacing w:after="0" w:line="238" w:lineRule="auto"/>
        <w:tabs>
          <w:tab w:leader="none" w:pos="11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complete, modular portfolio of software across BSS and OSS including revenue management (billing, mediation and partner settlement), customer management (ordering, customer relationship management, or CRM, and self-service), service and resource management (planning, fulfillment and customer-centric assurance) and digital commerce management (content revenue management). In the past, we referred to these systems as ICM Enabling Systems.</w:t>
      </w:r>
    </w:p>
    <w:p>
      <w:pPr>
        <w:spacing w:after="0" w:line="184" w:lineRule="exact"/>
        <w:rPr>
          <w:rFonts w:ascii="Courier New" w:cs="Courier New" w:eastAsia="Courier New" w:hAnsi="Courier New"/>
          <w:sz w:val="16"/>
          <w:szCs w:val="16"/>
          <w:color w:val="auto"/>
        </w:rPr>
      </w:pPr>
    </w:p>
    <w:p>
      <w:pPr>
        <w:ind w:left="1120" w:right="2719" w:hanging="561"/>
        <w:spacing w:after="0" w:line="238" w:lineRule="auto"/>
        <w:tabs>
          <w:tab w:leader="none" w:pos="11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comprehensive line of services, from strategy to execution. Because our customers' projects are complex and require systems support expertise, we also provide information technology, or IT, services, including extensive consulting, business strategy, system implementation, training, integration, modification, ongoing support, enhancement and maintenance services. In addition, we offer Managed Services, which include services such as system modernization and consolidation, the operation of data centers, ongoing support, maintenance services, system modification, the provision of rating and billing services and communications facility management services.</w:t>
      </w:r>
    </w:p>
    <w:p>
      <w:pPr>
        <w:spacing w:after="0" w:line="187"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We have designed our Customer Experience Systems to meet the mission-critical needs of leading communications service providers throughout the entire customer lifecycle. We support different lines of business, including wireline, wireless, cable and satellite, and a wide range of communications services, including voice, video, data, IP, broadband, content, electronic and mobile commerce. We also support</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54" w:right="1440" w:bottom="1440" w:gutter="0" w:footer="0" w:header="0"/>
        </w:sectPr>
      </w:pPr>
    </w:p>
    <w:bookmarkStart w:id="19" w:name="page20"/>
    <w:bookmarkEnd w:id="19"/>
    <w:p>
      <w:pPr>
        <w:ind w:left="4" w:right="2819"/>
        <w:spacing w:after="0" w:line="237" w:lineRule="auto"/>
        <w:rPr>
          <w:sz w:val="20"/>
          <w:szCs w:val="20"/>
          <w:color w:val="auto"/>
        </w:rPr>
      </w:pPr>
      <w:r>
        <w:rPr>
          <w:rFonts w:ascii="Courier New" w:cs="Courier New" w:eastAsia="Courier New" w:hAnsi="Courier New"/>
          <w:sz w:val="16"/>
          <w:szCs w:val="16"/>
          <w:color w:val="auto"/>
        </w:rPr>
        <w:t>companies that offer multiple service packages, commonly referred to as bundled or convergent service packages. In addition, we are also leveraging our experience by working with service providers in the financial services sector, because some of the challenges faced by companies in this sector are similar to those encountered by communications service providers.</w:t>
      </w:r>
    </w:p>
    <w:p>
      <w:pPr>
        <w:spacing w:after="0" w:line="187" w:lineRule="exact"/>
        <w:rPr>
          <w:sz w:val="20"/>
          <w:szCs w:val="20"/>
          <w:color w:val="auto"/>
        </w:rPr>
      </w:pPr>
    </w:p>
    <w:p>
      <w:pPr>
        <w:ind w:left="4" w:right="2719" w:firstLine="563"/>
        <w:spacing w:after="0" w:line="237" w:lineRule="auto"/>
        <w:rPr>
          <w:sz w:val="20"/>
          <w:szCs w:val="20"/>
          <w:color w:val="auto"/>
        </w:rPr>
      </w:pPr>
      <w:r>
        <w:rPr>
          <w:rFonts w:ascii="Courier New" w:cs="Courier New" w:eastAsia="Courier New" w:hAnsi="Courier New"/>
          <w:sz w:val="16"/>
          <w:szCs w:val="16"/>
          <w:color w:val="auto"/>
        </w:rPr>
        <w:t>We also offer a full range of directory sales and publishing systems and related line of services, which we refer to as Directory Systems, for publishers of both traditional printed yellow page and white page directories and electronic Internet directories.</w:t>
      </w:r>
    </w:p>
    <w:p>
      <w:pPr>
        <w:spacing w:after="0" w:line="186" w:lineRule="exact"/>
        <w:rPr>
          <w:sz w:val="20"/>
          <w:szCs w:val="20"/>
          <w:color w:val="auto"/>
        </w:rPr>
      </w:pPr>
    </w:p>
    <w:p>
      <w:pPr>
        <w:ind w:left="4" w:right="2899" w:firstLine="563"/>
        <w:spacing w:after="0" w:line="257" w:lineRule="auto"/>
        <w:rPr>
          <w:sz w:val="20"/>
          <w:szCs w:val="20"/>
          <w:color w:val="auto"/>
        </w:rPr>
      </w:pPr>
      <w:r>
        <w:rPr>
          <w:rFonts w:ascii="Courier New" w:cs="Courier New" w:eastAsia="Courier New" w:hAnsi="Courier New"/>
          <w:sz w:val="15"/>
          <w:szCs w:val="15"/>
          <w:color w:val="auto"/>
        </w:rPr>
        <w:t>We conduct our business globally, and, as a result we are subject to the effects of global economic conditions and, in particular, market conditions in the communications industry. We maintain development facilities in Canada, China, Cyprus, India, Ireland, Israel and the United States.</w:t>
      </w:r>
    </w:p>
    <w:p>
      <w:pPr>
        <w:spacing w:after="0" w:line="174" w:lineRule="exact"/>
        <w:rPr>
          <w:sz w:val="20"/>
          <w:szCs w:val="20"/>
          <w:color w:val="auto"/>
        </w:rPr>
      </w:pPr>
    </w:p>
    <w:p>
      <w:pPr>
        <w:ind w:left="4" w:right="2999" w:firstLine="563"/>
        <w:spacing w:after="0" w:line="236" w:lineRule="auto"/>
        <w:rPr>
          <w:sz w:val="20"/>
          <w:szCs w:val="20"/>
          <w:color w:val="auto"/>
        </w:rPr>
      </w:pPr>
      <w:r>
        <w:rPr>
          <w:rFonts w:ascii="Courier New" w:cs="Courier New" w:eastAsia="Courier New" w:hAnsi="Courier New"/>
          <w:sz w:val="16"/>
          <w:szCs w:val="16"/>
          <w:color w:val="auto"/>
        </w:rPr>
        <w:t>We believe that demand for our Customer Experience Systems is primarily driven by the following key factors:</w:t>
      </w:r>
    </w:p>
    <w:p>
      <w:pPr>
        <w:spacing w:after="0" w:line="180" w:lineRule="exact"/>
        <w:rPr>
          <w:sz w:val="20"/>
          <w:szCs w:val="20"/>
          <w:color w:val="auto"/>
        </w:rPr>
      </w:pPr>
    </w:p>
    <w:p>
      <w:pPr>
        <w:ind w:left="184" w:hanging="184"/>
        <w:spacing w:after="0"/>
        <w:tabs>
          <w:tab w:leader="none" w:pos="18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Industry transformation, including:</w:t>
      </w:r>
    </w:p>
    <w:p>
      <w:pPr>
        <w:spacing w:after="0" w:line="179" w:lineRule="exact"/>
        <w:rPr>
          <w:rFonts w:ascii="Courier New" w:cs="Courier New" w:eastAsia="Courier New" w:hAnsi="Courier New"/>
          <w:sz w:val="16"/>
          <w:szCs w:val="16"/>
          <w:color w:val="auto"/>
        </w:rPr>
      </w:pPr>
    </w:p>
    <w:p>
      <w:pPr>
        <w:ind w:left="1684" w:hanging="558"/>
        <w:spacing w:after="0"/>
        <w:tabs>
          <w:tab w:leader="none" w:pos="1684"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global use of communications and content services,</w:t>
      </w:r>
    </w:p>
    <w:p>
      <w:pPr>
        <w:spacing w:after="0" w:line="179" w:lineRule="exact"/>
        <w:rPr>
          <w:rFonts w:ascii="Courier New" w:cs="Courier New" w:eastAsia="Courier New" w:hAnsi="Courier New"/>
          <w:sz w:val="16"/>
          <w:szCs w:val="16"/>
          <w:color w:val="auto"/>
        </w:rPr>
      </w:pPr>
    </w:p>
    <w:p>
      <w:pPr>
        <w:ind w:left="1684" w:hanging="558"/>
        <w:spacing w:after="0"/>
        <w:tabs>
          <w:tab w:leader="none" w:pos="1684"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in digital and mobile commerce,</w:t>
      </w:r>
    </w:p>
    <w:p>
      <w:pPr>
        <w:spacing w:after="0" w:line="184" w:lineRule="exact"/>
        <w:rPr>
          <w:rFonts w:ascii="Courier New" w:cs="Courier New" w:eastAsia="Courier New" w:hAnsi="Courier New"/>
          <w:sz w:val="16"/>
          <w:szCs w:val="16"/>
          <w:color w:val="auto"/>
        </w:rPr>
      </w:pPr>
    </w:p>
    <w:p>
      <w:pPr>
        <w:ind w:left="1684" w:hanging="558"/>
        <w:spacing w:after="0"/>
        <w:tabs>
          <w:tab w:leader="none" w:pos="1684"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ongoing consolidation within the communications industry, and</w:t>
      </w:r>
    </w:p>
    <w:p>
      <w:pPr>
        <w:spacing w:after="0" w:line="190" w:lineRule="exact"/>
        <w:rPr>
          <w:rFonts w:ascii="Courier New" w:cs="Courier New" w:eastAsia="Courier New" w:hAnsi="Courier New"/>
          <w:sz w:val="15"/>
          <w:szCs w:val="15"/>
          <w:color w:val="auto"/>
        </w:rPr>
      </w:pPr>
    </w:p>
    <w:p>
      <w:pPr>
        <w:ind w:left="1684" w:right="2899" w:hanging="558"/>
        <w:spacing w:after="0" w:line="236" w:lineRule="auto"/>
        <w:tabs>
          <w:tab w:leader="none" w:pos="1684"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convergence of communications, broadband cable and satellite industries.</w:t>
      </w:r>
    </w:p>
    <w:p>
      <w:pPr>
        <w:spacing w:after="0" w:line="179"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Technology advances, such as:</w:t>
      </w:r>
    </w:p>
    <w:p>
      <w:pPr>
        <w:spacing w:after="0" w:line="184" w:lineRule="exact"/>
        <w:rPr>
          <w:rFonts w:ascii="Courier New" w:cs="Courier New" w:eastAsia="Courier New" w:hAnsi="Courier New"/>
          <w:sz w:val="16"/>
          <w:szCs w:val="16"/>
          <w:color w:val="auto"/>
        </w:rPr>
      </w:pPr>
    </w:p>
    <w:p>
      <w:pPr>
        <w:ind w:left="1684" w:right="3379" w:hanging="558"/>
        <w:spacing w:after="0" w:line="257" w:lineRule="auto"/>
        <w:tabs>
          <w:tab w:leader="none" w:pos="1684"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emergence of new communications products and services, especially video, broadband, data and content services, including IP-based services, such as Internet Protocol Television (IPTV) and Voice over IP (VoIP),</w:t>
      </w:r>
    </w:p>
    <w:p>
      <w:pPr>
        <w:spacing w:after="0" w:line="174" w:lineRule="exact"/>
        <w:rPr>
          <w:rFonts w:ascii="Courier New" w:cs="Courier New" w:eastAsia="Courier New" w:hAnsi="Courier New"/>
          <w:sz w:val="15"/>
          <w:szCs w:val="15"/>
          <w:color w:val="auto"/>
        </w:rPr>
      </w:pPr>
    </w:p>
    <w:p>
      <w:pPr>
        <w:ind w:left="1684" w:right="2999" w:hanging="558"/>
        <w:spacing w:after="0" w:line="237" w:lineRule="auto"/>
        <w:tabs>
          <w:tab w:leader="none" w:pos="1684"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evolution to next generation networks such as IP Multimedia Subsystem (IMS), that enable truly converged services offerings like fixed-mobile convergence, and</w:t>
      </w:r>
    </w:p>
    <w:p>
      <w:pPr>
        <w:spacing w:after="0" w:line="184" w:lineRule="exact"/>
        <w:rPr>
          <w:rFonts w:ascii="Courier New" w:cs="Courier New" w:eastAsia="Courier New" w:hAnsi="Courier New"/>
          <w:sz w:val="16"/>
          <w:szCs w:val="16"/>
          <w:color w:val="auto"/>
        </w:rPr>
      </w:pPr>
    </w:p>
    <w:p>
      <w:pPr>
        <w:ind w:left="1684" w:right="2719" w:hanging="558"/>
        <w:spacing w:after="0" w:line="237" w:lineRule="auto"/>
        <w:tabs>
          <w:tab w:leader="none" w:pos="1684"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technological changes, such as the introduction of 3G wireless technology, next-generation content systems and WiFi- and WiMax- based access technologies.</w:t>
      </w:r>
    </w:p>
    <w:p>
      <w:pPr>
        <w:spacing w:after="0" w:line="179"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Customer focus, such as:</w:t>
      </w:r>
    </w:p>
    <w:p>
      <w:pPr>
        <w:spacing w:after="0" w:line="184" w:lineRule="exact"/>
        <w:rPr>
          <w:rFonts w:ascii="Courier New" w:cs="Courier New" w:eastAsia="Courier New" w:hAnsi="Courier New"/>
          <w:sz w:val="16"/>
          <w:szCs w:val="16"/>
          <w:color w:val="auto"/>
        </w:rPr>
      </w:pPr>
    </w:p>
    <w:p>
      <w:pPr>
        <w:ind w:left="1684" w:right="2719" w:hanging="558"/>
        <w:spacing w:after="0" w:line="236" w:lineRule="auto"/>
        <w:tabs>
          <w:tab w:leader="none" w:pos="1684"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desire of service providers to focus on their customers in order to build profitable customer relationships,</w:t>
      </w:r>
    </w:p>
    <w:p>
      <w:pPr>
        <w:spacing w:after="0" w:line="184" w:lineRule="exact"/>
        <w:rPr>
          <w:rFonts w:ascii="Courier New" w:cs="Courier New" w:eastAsia="Courier New" w:hAnsi="Courier New"/>
          <w:sz w:val="16"/>
          <w:szCs w:val="16"/>
          <w:color w:val="auto"/>
        </w:rPr>
      </w:pPr>
    </w:p>
    <w:p>
      <w:pPr>
        <w:ind w:left="1684" w:right="3099" w:hanging="558"/>
        <w:spacing w:after="0" w:line="237" w:lineRule="auto"/>
        <w:tabs>
          <w:tab w:leader="none" w:pos="1684"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"authority shift" toward the consumer, with customers demanding new, innovative services that can be accessed anytime and anywhere, as well as higher levels of customer service, and</w:t>
      </w:r>
    </w:p>
    <w:p>
      <w:pPr>
        <w:spacing w:after="0" w:line="185" w:lineRule="exact"/>
        <w:rPr>
          <w:rFonts w:ascii="Courier New" w:cs="Courier New" w:eastAsia="Courier New" w:hAnsi="Courier New"/>
          <w:sz w:val="16"/>
          <w:szCs w:val="16"/>
          <w:color w:val="auto"/>
        </w:rPr>
      </w:pPr>
    </w:p>
    <w:p>
      <w:pPr>
        <w:ind w:left="1684" w:right="2819" w:hanging="558"/>
        <w:spacing w:after="0" w:line="263" w:lineRule="auto"/>
        <w:tabs>
          <w:tab w:leader="none" w:pos="1684"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need for service providers to differentiate themselves by creating a unique and mutually valuable customer experience.</w:t>
      </w:r>
    </w:p>
    <w:p>
      <w:pPr>
        <w:spacing w:after="0" w:line="16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The need for operational efficiency, including :</w:t>
      </w:r>
    </w:p>
    <w:p>
      <w:pPr>
        <w:spacing w:after="0" w:line="179" w:lineRule="exact"/>
        <w:rPr>
          <w:rFonts w:ascii="Courier New" w:cs="Courier New" w:eastAsia="Courier New" w:hAnsi="Courier New"/>
          <w:sz w:val="16"/>
          <w:szCs w:val="16"/>
          <w:color w:val="auto"/>
        </w:rPr>
      </w:pPr>
    </w:p>
    <w:p>
      <w:pPr>
        <w:ind w:left="1684" w:hanging="558"/>
        <w:spacing w:after="0"/>
        <w:tabs>
          <w:tab w:leader="none" w:pos="1684"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shift from in-house management to vendor solutions,</w:t>
      </w:r>
    </w:p>
    <w:p>
      <w:pPr>
        <w:spacing w:after="0" w:line="184" w:lineRule="exact"/>
        <w:rPr>
          <w:rFonts w:ascii="Courier New" w:cs="Courier New" w:eastAsia="Courier New" w:hAnsi="Courier New"/>
          <w:sz w:val="16"/>
          <w:szCs w:val="16"/>
          <w:color w:val="auto"/>
        </w:rPr>
      </w:pPr>
    </w:p>
    <w:p>
      <w:pPr>
        <w:ind w:left="1684" w:right="2819" w:hanging="558"/>
        <w:spacing w:after="0" w:line="237" w:lineRule="auto"/>
        <w:tabs>
          <w:tab w:leader="none" w:pos="1684"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needs of service providers to reduce costs and lower total cost of ownership while retaining high value customers in a highly competitive environment,</w:t>
      </w:r>
    </w:p>
    <w:p>
      <w:pPr>
        <w:spacing w:after="0" w:line="184" w:lineRule="exact"/>
        <w:rPr>
          <w:rFonts w:ascii="Courier New" w:cs="Courier New" w:eastAsia="Courier New" w:hAnsi="Courier New"/>
          <w:sz w:val="16"/>
          <w:szCs w:val="16"/>
          <w:color w:val="auto"/>
        </w:rPr>
      </w:pPr>
    </w:p>
    <w:p>
      <w:pPr>
        <w:ind w:left="1684" w:right="2719" w:hanging="558"/>
        <w:spacing w:after="0" w:line="237" w:lineRule="auto"/>
        <w:tabs>
          <w:tab w:leader="none" w:pos="1684"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automating and integrating business processes that span across business support systems (BSS) and operations support systems (OSS), and</w:t>
      </w:r>
    </w:p>
    <w:p>
      <w:pPr>
        <w:spacing w:after="0" w:line="184" w:lineRule="exact"/>
        <w:rPr>
          <w:rFonts w:ascii="Courier New" w:cs="Courier New" w:eastAsia="Courier New" w:hAnsi="Courier New"/>
          <w:sz w:val="16"/>
          <w:szCs w:val="16"/>
          <w:color w:val="auto"/>
        </w:rPr>
      </w:pPr>
    </w:p>
    <w:p>
      <w:pPr>
        <w:ind w:left="1684" w:right="2719" w:hanging="558"/>
        <w:spacing w:after="0" w:line="259" w:lineRule="auto"/>
        <w:tabs>
          <w:tab w:leader="none" w:pos="1684"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OSS transformation projects, designed to transform fragmented legacy OSS systems that can make it difficult to introduce new services in a timely and cost-effective manner.</w:t>
      </w:r>
    </w:p>
    <w:p>
      <w:pPr>
        <w:spacing w:after="0" w:line="166" w:lineRule="exact"/>
        <w:rPr>
          <w:sz w:val="20"/>
          <w:szCs w:val="20"/>
          <w:color w:val="auto"/>
        </w:rPr>
      </w:pPr>
    </w:p>
    <w:p>
      <w:pPr>
        <w:ind w:left="564"/>
        <w:spacing w:after="0"/>
        <w:rPr>
          <w:sz w:val="20"/>
          <w:szCs w:val="20"/>
          <w:color w:val="auto"/>
        </w:rPr>
      </w:pPr>
      <w:r>
        <w:rPr>
          <w:rFonts w:ascii="Courier New" w:cs="Courier New" w:eastAsia="Courier New" w:hAnsi="Courier New"/>
          <w:sz w:val="16"/>
          <w:szCs w:val="16"/>
          <w:color w:val="auto"/>
        </w:rPr>
        <w:t>We derive our revenue principally from:</w:t>
      </w:r>
    </w:p>
    <w:p>
      <w:pPr>
        <w:spacing w:after="0" w:line="185" w:lineRule="exact"/>
        <w:rPr>
          <w:sz w:val="20"/>
          <w:szCs w:val="20"/>
          <w:color w:val="auto"/>
        </w:rPr>
      </w:pPr>
    </w:p>
    <w:p>
      <w:pPr>
        <w:ind w:left="564" w:right="2819" w:hanging="564"/>
        <w:spacing w:after="0" w:line="236" w:lineRule="auto"/>
        <w:tabs>
          <w:tab w:leader="none" w:pos="18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initial sales of licenses to use our products and related services, including modification, implementation and integration services,</w:t>
      </w:r>
    </w:p>
    <w:p>
      <w:pPr>
        <w:spacing w:after="0" w:line="179"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providing Managed Services and other related IT services, and</w:t>
      </w:r>
    </w:p>
    <w:p>
      <w:pPr>
        <w:spacing w:after="0" w:line="179"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23"/>
          </w:cols>
          <w:pgMar w:left="236" w:top="659" w:right="1440" w:bottom="828" w:gutter="0" w:footer="0" w:header="0"/>
        </w:sectPr>
      </w:pPr>
    </w:p>
    <w:bookmarkStart w:id="20" w:name="page21"/>
    <w:bookmarkEnd w:id="20"/>
    <w:p>
      <w:pPr>
        <w:ind w:left="564" w:right="3099" w:hanging="564"/>
        <w:spacing w:after="0" w:line="237" w:lineRule="auto"/>
        <w:tabs>
          <w:tab w:leader="none" w:pos="18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-recurring revenue from ongoing support, maintenance and enhancements provided to our customers, and from incremental license fees resulting from increases in a customer's business volume.</w:t>
      </w:r>
    </w:p>
    <w:p>
      <w:pPr>
        <w:spacing w:after="0" w:line="185" w:lineRule="exact"/>
        <w:rPr>
          <w:sz w:val="20"/>
          <w:szCs w:val="20"/>
          <w:color w:val="auto"/>
        </w:rPr>
      </w:pPr>
    </w:p>
    <w:p>
      <w:pPr>
        <w:ind w:left="4" w:right="2719" w:firstLine="563"/>
        <w:spacing w:after="0" w:line="255" w:lineRule="auto"/>
        <w:rPr>
          <w:sz w:val="20"/>
          <w:szCs w:val="20"/>
          <w:color w:val="auto"/>
        </w:rPr>
      </w:pPr>
      <w:r>
        <w:rPr>
          <w:rFonts w:ascii="Courier New" w:cs="Courier New" w:eastAsia="Courier New" w:hAnsi="Courier New"/>
          <w:sz w:val="15"/>
          <w:szCs w:val="15"/>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As a result, we generally recognize combined license and service revenue over the course of these long-term projects, using the percentage of completion method of accounting. Initial license fee revenue is recognized as work is performed, using the percentage of completion method of accounting. Subsequent license fee revenue is recognized upon completion of specified conditions in each contract, based on a customer's subscriber or transaction volume or other measurements when greater than the level specified in the contract for the initial license fee.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or as services are provided. In Managed Services contracts, we typically recognize revenue from the operation of a customer's system either ratably over the service period or as services are performed. Revenue from ongoing support services is recognized as work is performed. Revenue from third-party hardware sales is recognized upon delivery and installation, and revenue from third-party software sales is recognized upon delivery. Maintenance revenue is recognized ratably over the term of the maintenance agreement. 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356" w:lineRule="exact"/>
        <w:rPr>
          <w:sz w:val="20"/>
          <w:szCs w:val="20"/>
          <w:color w:val="auto"/>
        </w:rPr>
      </w:pPr>
    </w:p>
    <w:p>
      <w:pPr>
        <w:ind w:left="4" w:right="2819" w:firstLine="563"/>
        <w:spacing w:after="0" w:line="238" w:lineRule="auto"/>
        <w:rPr>
          <w:sz w:val="20"/>
          <w:szCs w:val="20"/>
          <w:color w:val="auto"/>
        </w:rPr>
      </w:pPr>
      <w:r>
        <w:rPr>
          <w:rFonts w:ascii="Courier New" w:cs="Courier New" w:eastAsia="Courier New" w:hAnsi="Courier New"/>
          <w:sz w:val="16"/>
          <w:szCs w:val="16"/>
          <w:color w:val="auto"/>
        </w:rPr>
        <w:t>Revenue from Managed Services arrangements (from the sale of Customer Experience Systems and Directory Systems) is included in both license and service revenue. Managed Services projects are a significant part of our business, accounting for approximately 40% and 35% of our total revenue in the six months ended March 31, 2007 and 2006, respectively, and generating substantial, long-term revenue streams, cash flow and operating income. In the initial period of our Managed Services projects, we generally invest in modernization and consolidation of the customer's systems. Invoices are usually structured on a periodic fixed or unit charge basis. As a result, Managed Services projects can be less profitable in the initial period. Margins tend to improve over time as we benefit from the operational efficiencies provided by system modernization and consolidation.</w:t>
      </w:r>
    </w:p>
    <w:p>
      <w:pPr>
        <w:spacing w:after="0" w:line="183"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OPERATIONAL EFFICIENCY AND COST REDUCTION PROGRAM</w:t>
      </w:r>
    </w:p>
    <w:p>
      <w:pPr>
        <w:spacing w:after="0" w:line="185" w:lineRule="exact"/>
        <w:rPr>
          <w:sz w:val="20"/>
          <w:szCs w:val="20"/>
          <w:color w:val="auto"/>
        </w:rPr>
      </w:pPr>
    </w:p>
    <w:p>
      <w:pPr>
        <w:ind w:left="4" w:right="2719" w:firstLine="563"/>
        <w:spacing w:after="0" w:line="238" w:lineRule="auto"/>
        <w:rPr>
          <w:sz w:val="20"/>
          <w:szCs w:val="20"/>
          <w:color w:val="auto"/>
        </w:rPr>
      </w:pPr>
      <w:r>
        <w:rPr>
          <w:rFonts w:ascii="Courier New" w:cs="Courier New" w:eastAsia="Courier New" w:hAnsi="Courier New"/>
          <w:sz w:val="16"/>
          <w:szCs w:val="16"/>
          <w:color w:val="auto"/>
        </w:rPr>
        <w:t>In the quarter ended March 31, 2007, we commenced a series of measures designed to align our operational structure to our expected future growth and to improve efficiency. As part of this plan, we recorded a charge of $6.0 million, consisting primarily of employee separation costs in connection with the termination of the employment of software and information technology specialists and administrative professionals at various locations around the world and for rent obligations.</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RECENT EVENTS</w:t>
      </w:r>
    </w:p>
    <w:p>
      <w:pPr>
        <w:spacing w:after="0" w:line="185" w:lineRule="exact"/>
        <w:rPr>
          <w:sz w:val="20"/>
          <w:szCs w:val="20"/>
          <w:color w:val="auto"/>
        </w:rPr>
      </w:pPr>
    </w:p>
    <w:p>
      <w:pPr>
        <w:ind w:left="4" w:right="2719" w:firstLine="563"/>
        <w:spacing w:after="0" w:line="237" w:lineRule="auto"/>
        <w:rPr>
          <w:sz w:val="20"/>
          <w:szCs w:val="20"/>
          <w:color w:val="auto"/>
        </w:rPr>
      </w:pPr>
      <w:r>
        <w:rPr>
          <w:rFonts w:ascii="Courier New" w:cs="Courier New" w:eastAsia="Courier New" w:hAnsi="Courier New"/>
          <w:sz w:val="16"/>
          <w:szCs w:val="16"/>
          <w:color w:val="auto"/>
        </w:rPr>
        <w:t>Effective April 1, 2007, we entered into an agreement to provide AT&amp;T with operational and tier one support services in support of an AT&amp;T billing platform beginning in May 2007. In April 2007, we also entered into an agreement to provide AT&amp;T with application management services in support of AT&amp;T's ordering and wholesale platforms, including software maintenance and development, testing and production support.</w:t>
      </w:r>
    </w:p>
    <w:p>
      <w:pPr>
        <w:spacing w:after="0" w:line="184"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3"/>
          </w:cols>
          <w:pgMar w:left="236" w:top="659"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6"/>
          <w:szCs w:val="16"/>
          <w:color w:val="auto"/>
        </w:rPr>
        <w:t>RECENT ACCOUNTING STANDARDS</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In February 2007, the Financial Accounting Standards Board ("FASB") issued Statement No. 159 "The Fair Value Option for Financial Assets and Financial Liabilities" including an amendment of FASB Statement No. 115 ("SFAS 159"), which allows an entity the irrevocable option to elect fair value for the initial and subsequent measurement for certain financial assets and liabilities under an instrument-by-instrument election. If the fair value option is elected for an instrument, subsequent changes in fair value for that instrument will be recognized in earnings. SFAS 159 also establishes additional disclosure requirements and is effective for fiscal years beginning after November 15, 2007, with early adoption permitted provided that the entity also adopts Statement No. 157, "Fair Value Measurements" ("SFAS 157"). We are currently evaluating the effect that the application of SFAS 159 will have on our consolidated results of operations and financial condition.</w:t>
      </w:r>
    </w:p>
    <w:p>
      <w:pPr>
        <w:spacing w:after="0" w:line="189" w:lineRule="exact"/>
        <w:rPr>
          <w:sz w:val="20"/>
          <w:szCs w:val="20"/>
          <w:color w:val="auto"/>
        </w:rPr>
      </w:pPr>
    </w:p>
    <w:p>
      <w:pPr>
        <w:ind w:right="2819" w:firstLine="563"/>
        <w:spacing w:after="0" w:line="256" w:lineRule="auto"/>
        <w:rPr>
          <w:sz w:val="20"/>
          <w:szCs w:val="20"/>
          <w:color w:val="auto"/>
        </w:rPr>
      </w:pPr>
      <w:r>
        <w:rPr>
          <w:rFonts w:ascii="Courier New" w:cs="Courier New" w:eastAsia="Courier New" w:hAnsi="Courier New"/>
          <w:sz w:val="15"/>
          <w:szCs w:val="15"/>
          <w:color w:val="auto"/>
        </w:rPr>
        <w:t>In September 2006, the FASB issued SFAS 157. SFAS 157 defines fair value, establishes a framework for measuring fair value in generally accepted accounting principles, and expands disclosures about fair value measurements. SFAS 157 applies under other accounting pronouncements that require or permit fair value measurements. SFAS 157 will be effective for fiscal years beginning after November 15, 2007, and interim periods within those fiscal years. We are currently evaluating the effect that the application of SFAS 157 will have on our consolidated results of operations and financial condition.</w:t>
      </w:r>
    </w:p>
    <w:p>
      <w:pPr>
        <w:spacing w:after="0" w:line="173"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In September 2006, the SEC issued Staff Accounting Bulletin No. 108, "Financial Statements - Considering the Effects of Prior Year Misstatements when Quantifying Misstatements in Current Year Financial Statements" ("SAB 108"). SAB 108 requires companies to quantify the impact of all correcting misstatements, including both the carryover and reversing effects of prior year misstatements, on the current year financial statements. SAB 108 is effective for fiscal years ending after November 15, 2006. We applied the provisions of SAB 108 in the first quarter of fiscal 2007 and there was no impact to the consolidated financial statements.</w:t>
      </w:r>
    </w:p>
    <w:p>
      <w:pPr>
        <w:spacing w:after="0" w:line="186"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In June 2006, the FASB issued Interpretation No. 48, "Accounting for Uncertainty in Income Taxes," An Interpretation of SFAS No. 109, ("FIN 48"). FIN 48 clarifies the accounting for uncertainty in income taxes recognized in an enterprise's financial statements in accordance with SFAS No. 109, Accounting for Income Taxes. FIN 48 also prescribes a recognition threshold and measurement attribute for the financial statement recognition and measurement of a tax position taken or expected to be taken in a tax return that results in a tax benefit. Additionally, FIN 48 provides guidance on de-recognition, income statement classification of interest and penalties, accounting in interim periods, disclosure, and transition. This interpretation is effective for fiscal years beginning after December 15, 2006. We are currently evaluating the effect that the application of FIN 48 will have on our consolidated results of operations and financial condition.</w:t>
      </w:r>
    </w:p>
    <w:p>
      <w:pPr>
        <w:spacing w:after="0" w:line="189"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In February 2006, the FASB issued SFAS No. 155, "Accounting for Certain Hybrid Financial Instruments," an amendment of FASB Statement No. 133 and 140 ("SFAS 155"), which permits fair value measurement for any hybrid financial instrument that contains an embedded derivative that otherwise, would require bifurcation, with changes in fair value recognized in earnings. The fair-value election will eliminate the need to separately recognize certain derivatives embedded in hybrid financial instruments under FASB Statement No. 133, Accounting for Derivative Instruments and Hedging Activities. In January 2007, the FASB issued Statement 133 Implementation Issue No. B40 "Application of Paragraph 13(b) to Securitized Interests in Prepayable Financial Assets", which provides a possibility of an exemption from bifurcation analysis in paragraph 13(b) of Statement 133 for certain securitized interests in prepayable financial assets. We applied the provisions of SFAS 155 and Statement 133 Implementation Issue No. B40 in the first quarter of fiscal 2007 and there was no impact to the consolidated financial statements.</w:t>
      </w: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54"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RESULTS OF OPERATIONS</w:t>
      </w:r>
    </w:p>
    <w:p>
      <w:pPr>
        <w:spacing w:after="0" w:line="185" w:lineRule="exact"/>
        <w:rPr>
          <w:sz w:val="20"/>
          <w:szCs w:val="20"/>
          <w:color w:val="auto"/>
        </w:rPr>
      </w:pPr>
    </w:p>
    <w:p>
      <w:pPr>
        <w:ind w:right="2999" w:firstLine="563"/>
        <w:spacing w:after="0" w:line="237" w:lineRule="auto"/>
        <w:rPr>
          <w:sz w:val="20"/>
          <w:szCs w:val="20"/>
          <w:color w:val="auto"/>
        </w:rPr>
      </w:pPr>
      <w:r>
        <w:rPr>
          <w:rFonts w:ascii="Courier New" w:cs="Courier New" w:eastAsia="Courier New" w:hAnsi="Courier New"/>
          <w:sz w:val="16"/>
          <w:szCs w:val="16"/>
          <w:color w:val="auto"/>
        </w:rPr>
        <w:t>The following table sets forth for the three and six months ended March 31, 2007 and 2006 certain items in our consolidated statements of income reflected as a percentage of total revenue: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00" w:type="dxa"/>
            <w:vAlign w:val="bottom"/>
          </w:tcPr>
          <w:p>
            <w:pPr>
              <w:spacing w:after="0"/>
              <w:rPr>
                <w:sz w:val="15"/>
                <w:szCs w:val="15"/>
                <w:color w:val="auto"/>
              </w:rPr>
            </w:pPr>
          </w:p>
        </w:tc>
        <w:tc>
          <w:tcPr>
            <w:tcW w:w="29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THREE MONTHS ENDED</w:t>
            </w:r>
          </w:p>
        </w:tc>
        <w:tc>
          <w:tcPr>
            <w:tcW w:w="23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SIX MONTHS ENDED</w:t>
            </w:r>
          </w:p>
        </w:tc>
      </w:tr>
      <w:tr>
        <w:trPr>
          <w:trHeight w:val="180"/>
        </w:trPr>
        <w:tc>
          <w:tcPr>
            <w:tcW w:w="36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0" w:type="dxa"/>
            <w:vAlign w:val="bottom"/>
          </w:tcPr>
          <w:p>
            <w:pPr>
              <w:jc w:val="right"/>
              <w:ind w:right="662"/>
              <w:spacing w:after="0"/>
              <w:rPr>
                <w:sz w:val="20"/>
                <w:szCs w:val="20"/>
                <w:color w:val="auto"/>
              </w:rPr>
            </w:pPr>
            <w:r>
              <w:rPr>
                <w:rFonts w:ascii="Courier New" w:cs="Courier New" w:eastAsia="Courier New" w:hAnsi="Courier New"/>
                <w:sz w:val="16"/>
                <w:szCs w:val="16"/>
                <w:color w:val="auto"/>
                <w:w w:val="97"/>
              </w:rPr>
              <w:t>MARCH 31,</w:t>
            </w:r>
          </w:p>
        </w:tc>
        <w:tc>
          <w:tcPr>
            <w:tcW w:w="234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MARCH 31,</w:t>
            </w:r>
          </w:p>
        </w:tc>
      </w:tr>
      <w:tr>
        <w:trPr>
          <w:trHeight w:val="180"/>
        </w:trPr>
        <w:tc>
          <w:tcPr>
            <w:tcW w:w="3600" w:type="dxa"/>
            <w:vAlign w:val="bottom"/>
          </w:tcPr>
          <w:p>
            <w:pPr>
              <w:spacing w:after="0"/>
              <w:rPr>
                <w:sz w:val="15"/>
                <w:szCs w:val="15"/>
                <w:color w:val="auto"/>
              </w:rPr>
            </w:pPr>
          </w:p>
        </w:tc>
        <w:tc>
          <w:tcPr>
            <w:tcW w:w="29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600" w:type="dxa"/>
            <w:vAlign w:val="bottom"/>
          </w:tcPr>
          <w:p>
            <w:pPr>
              <w:spacing w:after="0"/>
              <w:rPr>
                <w:sz w:val="15"/>
                <w:szCs w:val="15"/>
                <w:color w:val="auto"/>
              </w:rPr>
            </w:pP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2007</w:t>
            </w:r>
          </w:p>
        </w:tc>
        <w:tc>
          <w:tcPr>
            <w:tcW w:w="16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2006</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2007</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2006</w:t>
            </w:r>
          </w:p>
        </w:tc>
      </w:tr>
      <w:tr>
        <w:trPr>
          <w:trHeight w:val="180"/>
        </w:trPr>
        <w:tc>
          <w:tcPr>
            <w:tcW w:w="36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360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0"/>
        </w:trPr>
        <w:tc>
          <w:tcPr>
            <w:tcW w:w="3600" w:type="dxa"/>
            <w:vAlign w:val="bottom"/>
          </w:tcPr>
          <w:p>
            <w:pPr>
              <w:jc w:val="right"/>
              <w:spacing w:after="0"/>
              <w:rPr>
                <w:sz w:val="20"/>
                <w:szCs w:val="20"/>
                <w:color w:val="auto"/>
              </w:rPr>
            </w:pPr>
            <w:r>
              <w:rPr>
                <w:rFonts w:ascii="Courier New" w:cs="Courier New" w:eastAsia="Courier New" w:hAnsi="Courier New"/>
                <w:sz w:val="16"/>
                <w:szCs w:val="16"/>
                <w:color w:val="auto"/>
              </w:rPr>
              <w:t>License ............................</w:t>
            </w:r>
          </w:p>
        </w:tc>
        <w:tc>
          <w:tcPr>
            <w:tcW w:w="13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5.3%</w:t>
            </w:r>
          </w:p>
        </w:tc>
        <w:tc>
          <w:tcPr>
            <w:tcW w:w="16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5.0%</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5.0%</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5.2%</w:t>
            </w:r>
          </w:p>
        </w:tc>
      </w:tr>
      <w:tr>
        <w:trPr>
          <w:trHeight w:val="180"/>
        </w:trPr>
        <w:tc>
          <w:tcPr>
            <w:tcW w:w="3600" w:type="dxa"/>
            <w:vAlign w:val="bottom"/>
          </w:tcPr>
          <w:p>
            <w:pPr>
              <w:jc w:val="right"/>
              <w:spacing w:after="0"/>
              <w:rPr>
                <w:sz w:val="20"/>
                <w:szCs w:val="20"/>
                <w:color w:val="auto"/>
              </w:rPr>
            </w:pPr>
            <w:r>
              <w:rPr>
                <w:rFonts w:ascii="Courier New" w:cs="Courier New" w:eastAsia="Courier New" w:hAnsi="Courier New"/>
                <w:sz w:val="16"/>
                <w:szCs w:val="16"/>
                <w:color w:val="auto"/>
              </w:rPr>
              <w:t>Service ............................</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94.7</w:t>
            </w:r>
          </w:p>
        </w:tc>
        <w:tc>
          <w:tcPr>
            <w:tcW w:w="16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95.0</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95.0</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94.8</w:t>
            </w:r>
          </w:p>
        </w:tc>
      </w:tr>
      <w:tr>
        <w:trPr>
          <w:trHeight w:val="180"/>
        </w:trPr>
        <w:tc>
          <w:tcPr>
            <w:tcW w:w="3600" w:type="dxa"/>
            <w:vAlign w:val="bottom"/>
          </w:tcPr>
          <w:p>
            <w:pPr>
              <w:spacing w:after="0"/>
              <w:rPr>
                <w:sz w:val="15"/>
                <w:szCs w:val="15"/>
                <w:color w:val="auto"/>
              </w:rPr>
            </w:pP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600" w:type="dxa"/>
            <w:vAlign w:val="bottom"/>
          </w:tcPr>
          <w:p>
            <w:pPr>
              <w:spacing w:after="0"/>
              <w:rPr>
                <w:sz w:val="15"/>
                <w:szCs w:val="15"/>
                <w:color w:val="auto"/>
              </w:rPr>
            </w:pP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100.0</w:t>
            </w:r>
          </w:p>
        </w:tc>
        <w:tc>
          <w:tcPr>
            <w:tcW w:w="16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100.0</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100.0</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100.0</w:t>
            </w:r>
          </w:p>
        </w:tc>
      </w:tr>
      <w:tr>
        <w:trPr>
          <w:trHeight w:val="180"/>
        </w:trPr>
        <w:tc>
          <w:tcPr>
            <w:tcW w:w="3600" w:type="dxa"/>
            <w:vAlign w:val="bottom"/>
          </w:tcPr>
          <w:p>
            <w:pPr>
              <w:spacing w:after="0"/>
              <w:rPr>
                <w:sz w:val="15"/>
                <w:szCs w:val="15"/>
                <w:color w:val="auto"/>
              </w:rPr>
            </w:pP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60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3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3600" w:type="dxa"/>
            <w:vAlign w:val="bottom"/>
          </w:tcPr>
          <w:p>
            <w:pPr>
              <w:jc w:val="right"/>
              <w:spacing w:after="0"/>
              <w:rPr>
                <w:sz w:val="20"/>
                <w:szCs w:val="20"/>
                <w:color w:val="auto"/>
              </w:rPr>
            </w:pPr>
            <w:r>
              <w:rPr>
                <w:rFonts w:ascii="Courier New" w:cs="Courier New" w:eastAsia="Courier New" w:hAnsi="Courier New"/>
                <w:sz w:val="16"/>
                <w:szCs w:val="16"/>
                <w:color w:val="auto"/>
              </w:rPr>
              <w:t>Cost of license ....................</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0.1</w:t>
            </w:r>
          </w:p>
        </w:tc>
        <w:tc>
          <w:tcPr>
            <w:tcW w:w="16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0.1</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0.1</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0.2</w:t>
            </w:r>
          </w:p>
        </w:tc>
      </w:tr>
      <w:tr>
        <w:trPr>
          <w:trHeight w:val="180"/>
        </w:trPr>
        <w:tc>
          <w:tcPr>
            <w:tcW w:w="3600" w:type="dxa"/>
            <w:vAlign w:val="bottom"/>
          </w:tcPr>
          <w:p>
            <w:pPr>
              <w:jc w:val="right"/>
              <w:spacing w:after="0"/>
              <w:rPr>
                <w:sz w:val="20"/>
                <w:szCs w:val="20"/>
                <w:color w:val="auto"/>
              </w:rPr>
            </w:pPr>
            <w:r>
              <w:rPr>
                <w:rFonts w:ascii="Courier New" w:cs="Courier New" w:eastAsia="Courier New" w:hAnsi="Courier New"/>
                <w:sz w:val="16"/>
                <w:szCs w:val="16"/>
                <w:color w:val="auto"/>
              </w:rPr>
              <w:t>Cost of service ....................</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63.3</w:t>
            </w:r>
          </w:p>
        </w:tc>
        <w:tc>
          <w:tcPr>
            <w:tcW w:w="16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64.6</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63.1</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64.2</w:t>
            </w:r>
          </w:p>
        </w:tc>
      </w:tr>
      <w:tr>
        <w:trPr>
          <w:trHeight w:val="180"/>
        </w:trPr>
        <w:tc>
          <w:tcPr>
            <w:tcW w:w="3600" w:type="dxa"/>
            <w:vAlign w:val="bottom"/>
          </w:tcPr>
          <w:p>
            <w:pPr>
              <w:jc w:val="right"/>
              <w:spacing w:after="0"/>
              <w:rPr>
                <w:sz w:val="20"/>
                <w:szCs w:val="20"/>
                <w:color w:val="auto"/>
              </w:rPr>
            </w:pPr>
            <w:r>
              <w:rPr>
                <w:rFonts w:ascii="Courier New" w:cs="Courier New" w:eastAsia="Courier New" w:hAnsi="Courier New"/>
                <w:sz w:val="16"/>
                <w:szCs w:val="16"/>
                <w:color w:val="auto"/>
              </w:rPr>
              <w:t>Research and development ...........</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8.2</w:t>
            </w:r>
          </w:p>
        </w:tc>
        <w:tc>
          <w:tcPr>
            <w:tcW w:w="16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7.0</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8.5</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7.1</w:t>
            </w:r>
          </w:p>
        </w:tc>
      </w:tr>
      <w:tr>
        <w:trPr>
          <w:trHeight w:val="180"/>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Selling, general and</w:t>
            </w:r>
          </w:p>
        </w:tc>
        <w:tc>
          <w:tcPr>
            <w:tcW w:w="13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3600" w:type="dxa"/>
            <w:vAlign w:val="bottom"/>
          </w:tcPr>
          <w:p>
            <w:pPr>
              <w:jc w:val="right"/>
              <w:spacing w:after="0"/>
              <w:rPr>
                <w:sz w:val="20"/>
                <w:szCs w:val="20"/>
                <w:color w:val="auto"/>
              </w:rPr>
            </w:pPr>
            <w:r>
              <w:rPr>
                <w:rFonts w:ascii="Courier New" w:cs="Courier New" w:eastAsia="Courier New" w:hAnsi="Courier New"/>
                <w:sz w:val="16"/>
                <w:szCs w:val="16"/>
                <w:color w:val="auto"/>
              </w:rPr>
              <w:t>administrative ...................</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12.9</w:t>
            </w:r>
          </w:p>
        </w:tc>
        <w:tc>
          <w:tcPr>
            <w:tcW w:w="16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12.3</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12.9</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12.8</w:t>
            </w:r>
          </w:p>
        </w:tc>
      </w:tr>
      <w:tr>
        <w:trPr>
          <w:trHeight w:val="180"/>
        </w:trPr>
        <w:tc>
          <w:tcPr>
            <w:tcW w:w="3600" w:type="dxa"/>
            <w:vAlign w:val="bottom"/>
          </w:tcPr>
          <w:p>
            <w:pPr>
              <w:jc w:val="right"/>
              <w:spacing w:after="0"/>
              <w:rPr>
                <w:sz w:val="20"/>
                <w:szCs w:val="20"/>
                <w:color w:val="auto"/>
              </w:rPr>
            </w:pPr>
            <w:r>
              <w:rPr>
                <w:rFonts w:ascii="Courier New" w:cs="Courier New" w:eastAsia="Courier New" w:hAnsi="Courier New"/>
                <w:sz w:val="16"/>
                <w:szCs w:val="16"/>
                <w:color w:val="auto"/>
              </w:rPr>
              <w:t>Amortization of purchased intangible</w:t>
            </w:r>
          </w:p>
        </w:tc>
        <w:tc>
          <w:tcPr>
            <w:tcW w:w="13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3600" w:type="dxa"/>
            <w:vAlign w:val="bottom"/>
          </w:tcPr>
          <w:p>
            <w:pPr>
              <w:jc w:val="right"/>
              <w:spacing w:after="0"/>
              <w:rPr>
                <w:sz w:val="20"/>
                <w:szCs w:val="20"/>
                <w:color w:val="auto"/>
              </w:rPr>
            </w:pPr>
            <w:r>
              <w:rPr>
                <w:rFonts w:ascii="Courier New" w:cs="Courier New" w:eastAsia="Courier New" w:hAnsi="Courier New"/>
                <w:sz w:val="16"/>
                <w:szCs w:val="16"/>
                <w:color w:val="auto"/>
              </w:rPr>
              <w:t>assets ...........................</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2.7</w:t>
            </w:r>
          </w:p>
        </w:tc>
        <w:tc>
          <w:tcPr>
            <w:tcW w:w="16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1.2</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2.6</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w:t>
            </w:r>
          </w:p>
        </w:tc>
      </w:tr>
      <w:tr>
        <w:trPr>
          <w:trHeight w:val="180"/>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Restructuring charges, in-process</w:t>
            </w:r>
          </w:p>
        </w:tc>
        <w:tc>
          <w:tcPr>
            <w:tcW w:w="13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3600" w:type="dxa"/>
            <w:vAlign w:val="bottom"/>
          </w:tcPr>
          <w:p>
            <w:pPr>
              <w:jc w:val="right"/>
              <w:spacing w:after="0"/>
              <w:rPr>
                <w:sz w:val="20"/>
                <w:szCs w:val="20"/>
                <w:color w:val="auto"/>
              </w:rPr>
            </w:pPr>
            <w:r>
              <w:rPr>
                <w:rFonts w:ascii="Courier New" w:cs="Courier New" w:eastAsia="Courier New" w:hAnsi="Courier New"/>
                <w:sz w:val="16"/>
                <w:szCs w:val="16"/>
                <w:color w:val="auto"/>
              </w:rPr>
              <w:t>research and development and other</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0.9</w:t>
            </w:r>
          </w:p>
        </w:tc>
        <w:tc>
          <w:tcPr>
            <w:tcW w:w="16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0.5</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600" w:type="dxa"/>
            <w:vAlign w:val="bottom"/>
          </w:tcPr>
          <w:p>
            <w:pPr>
              <w:spacing w:after="0"/>
              <w:rPr>
                <w:sz w:val="15"/>
                <w:szCs w:val="15"/>
                <w:color w:val="auto"/>
              </w:rPr>
            </w:pP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600" w:type="dxa"/>
            <w:vAlign w:val="bottom"/>
          </w:tcPr>
          <w:p>
            <w:pPr>
              <w:spacing w:after="0"/>
              <w:rPr>
                <w:sz w:val="15"/>
                <w:szCs w:val="15"/>
                <w:color w:val="auto"/>
              </w:rPr>
            </w:pP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88.1</w:t>
            </w:r>
          </w:p>
        </w:tc>
        <w:tc>
          <w:tcPr>
            <w:tcW w:w="16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85.2</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87.7</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85.6</w:t>
            </w:r>
          </w:p>
        </w:tc>
      </w:tr>
      <w:tr>
        <w:trPr>
          <w:trHeight w:val="180"/>
        </w:trPr>
        <w:tc>
          <w:tcPr>
            <w:tcW w:w="3600" w:type="dxa"/>
            <w:vAlign w:val="bottom"/>
          </w:tcPr>
          <w:p>
            <w:pPr>
              <w:spacing w:after="0"/>
              <w:rPr>
                <w:sz w:val="15"/>
                <w:szCs w:val="15"/>
                <w:color w:val="auto"/>
              </w:rPr>
            </w:pP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600" w:type="dxa"/>
            <w:vAlign w:val="bottom"/>
          </w:tcPr>
          <w:p>
            <w:pPr>
              <w:jc w:val="right"/>
              <w:spacing w:after="0"/>
              <w:rPr>
                <w:sz w:val="20"/>
                <w:szCs w:val="20"/>
                <w:color w:val="auto"/>
              </w:rPr>
            </w:pPr>
            <w:r>
              <w:rPr>
                <w:rFonts w:ascii="Courier New" w:cs="Courier New" w:eastAsia="Courier New" w:hAnsi="Courier New"/>
                <w:sz w:val="16"/>
                <w:szCs w:val="16"/>
                <w:color w:val="auto"/>
                <w:w w:val="97"/>
              </w:rPr>
              <w:t>Operating income .....................</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11.9</w:t>
            </w:r>
          </w:p>
        </w:tc>
        <w:tc>
          <w:tcPr>
            <w:tcW w:w="16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14.8</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12.3</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14.4</w:t>
            </w:r>
          </w:p>
        </w:tc>
      </w:tr>
      <w:tr>
        <w:trPr>
          <w:trHeight w:val="180"/>
        </w:trPr>
        <w:tc>
          <w:tcPr>
            <w:tcW w:w="3600" w:type="dxa"/>
            <w:vAlign w:val="bottom"/>
          </w:tcPr>
          <w:p>
            <w:pPr>
              <w:jc w:val="right"/>
              <w:spacing w:after="0"/>
              <w:rPr>
                <w:sz w:val="20"/>
                <w:szCs w:val="20"/>
                <w:color w:val="auto"/>
              </w:rPr>
            </w:pPr>
            <w:r>
              <w:rPr>
                <w:rFonts w:ascii="Courier New" w:cs="Courier New" w:eastAsia="Courier New" w:hAnsi="Courier New"/>
                <w:sz w:val="16"/>
                <w:szCs w:val="16"/>
                <w:color w:val="auto"/>
                <w:w w:val="97"/>
              </w:rPr>
              <w:t>Interest income and other, net .......</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w:t>
            </w:r>
          </w:p>
        </w:tc>
        <w:tc>
          <w:tcPr>
            <w:tcW w:w="16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1.7</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1.6</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w:t>
            </w:r>
          </w:p>
        </w:tc>
      </w:tr>
      <w:tr>
        <w:trPr>
          <w:trHeight w:val="180"/>
        </w:trPr>
        <w:tc>
          <w:tcPr>
            <w:tcW w:w="3600" w:type="dxa"/>
            <w:vAlign w:val="bottom"/>
          </w:tcPr>
          <w:p>
            <w:pPr>
              <w:spacing w:after="0"/>
              <w:rPr>
                <w:sz w:val="15"/>
                <w:szCs w:val="15"/>
                <w:color w:val="auto"/>
              </w:rPr>
            </w:pP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600" w:type="dxa"/>
            <w:vAlign w:val="bottom"/>
          </w:tcPr>
          <w:p>
            <w:pPr>
              <w:jc w:val="right"/>
              <w:spacing w:after="0"/>
              <w:rPr>
                <w:sz w:val="20"/>
                <w:szCs w:val="20"/>
                <w:color w:val="auto"/>
              </w:rPr>
            </w:pPr>
            <w:r>
              <w:rPr>
                <w:rFonts w:ascii="Courier New" w:cs="Courier New" w:eastAsia="Courier New" w:hAnsi="Courier New"/>
                <w:sz w:val="16"/>
                <w:szCs w:val="16"/>
                <w:color w:val="auto"/>
                <w:w w:val="97"/>
              </w:rPr>
              <w:t>Income before income taxes ...........</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13.4</w:t>
            </w:r>
          </w:p>
        </w:tc>
        <w:tc>
          <w:tcPr>
            <w:tcW w:w="16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16.5</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13.9</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16.0</w:t>
            </w:r>
          </w:p>
        </w:tc>
      </w:tr>
      <w:tr>
        <w:trPr>
          <w:trHeight w:val="180"/>
        </w:trPr>
        <w:tc>
          <w:tcPr>
            <w:tcW w:w="3600" w:type="dxa"/>
            <w:vAlign w:val="bottom"/>
          </w:tcPr>
          <w:p>
            <w:pPr>
              <w:jc w:val="right"/>
              <w:spacing w:after="0"/>
              <w:rPr>
                <w:sz w:val="20"/>
                <w:szCs w:val="20"/>
                <w:color w:val="auto"/>
              </w:rPr>
            </w:pPr>
            <w:r>
              <w:rPr>
                <w:rFonts w:ascii="Courier New" w:cs="Courier New" w:eastAsia="Courier New" w:hAnsi="Courier New"/>
                <w:sz w:val="16"/>
                <w:szCs w:val="16"/>
                <w:color w:val="auto"/>
                <w:w w:val="97"/>
              </w:rPr>
              <w:t>Income taxes .........................</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w:t>
            </w:r>
          </w:p>
        </w:tc>
        <w:tc>
          <w:tcPr>
            <w:tcW w:w="16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2.9</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1.0</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w:t>
            </w:r>
          </w:p>
        </w:tc>
      </w:tr>
      <w:tr>
        <w:trPr>
          <w:trHeight w:val="180"/>
        </w:trPr>
        <w:tc>
          <w:tcPr>
            <w:tcW w:w="3600" w:type="dxa"/>
            <w:vAlign w:val="bottom"/>
          </w:tcPr>
          <w:p>
            <w:pPr>
              <w:spacing w:after="0"/>
              <w:rPr>
                <w:sz w:val="15"/>
                <w:szCs w:val="15"/>
                <w:color w:val="auto"/>
              </w:rPr>
            </w:pP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600" w:type="dxa"/>
            <w:vAlign w:val="bottom"/>
          </w:tcPr>
          <w:p>
            <w:pPr>
              <w:jc w:val="right"/>
              <w:spacing w:after="0"/>
              <w:rPr>
                <w:sz w:val="20"/>
                <w:szCs w:val="20"/>
                <w:color w:val="auto"/>
              </w:rPr>
            </w:pPr>
            <w:r>
              <w:rPr>
                <w:rFonts w:ascii="Courier New" w:cs="Courier New" w:eastAsia="Courier New" w:hAnsi="Courier New"/>
                <w:sz w:val="16"/>
                <w:szCs w:val="16"/>
                <w:color w:val="auto"/>
                <w:w w:val="97"/>
              </w:rPr>
              <w:t>Net income ...........................</w:t>
            </w:r>
          </w:p>
        </w:tc>
        <w:tc>
          <w:tcPr>
            <w:tcW w:w="13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12.3%</w:t>
            </w:r>
          </w:p>
        </w:tc>
        <w:tc>
          <w:tcPr>
            <w:tcW w:w="16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13.6%</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12.9%</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13.2%</w:t>
            </w:r>
          </w:p>
        </w:tc>
      </w:tr>
      <w:tr>
        <w:trPr>
          <w:trHeight w:val="180"/>
        </w:trPr>
        <w:tc>
          <w:tcPr>
            <w:tcW w:w="3600" w:type="dxa"/>
            <w:vAlign w:val="bottom"/>
          </w:tcPr>
          <w:p>
            <w:pPr>
              <w:spacing w:after="0"/>
              <w:rPr>
                <w:sz w:val="15"/>
                <w:szCs w:val="15"/>
                <w:color w:val="auto"/>
              </w:rPr>
            </w:pP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541"/>
        </w:trPr>
        <w:tc>
          <w:tcPr>
            <w:tcW w:w="3600" w:type="dxa"/>
            <w:vAlign w:val="bottom"/>
          </w:tcPr>
          <w:p>
            <w:pPr>
              <w:spacing w:after="0"/>
              <w:rPr>
                <w:sz w:val="24"/>
                <w:szCs w:val="24"/>
                <w:color w:val="auto"/>
              </w:rPr>
            </w:pPr>
          </w:p>
        </w:tc>
        <w:tc>
          <w:tcPr>
            <w:tcW w:w="136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22</w:t>
            </w:r>
          </w:p>
        </w:tc>
        <w:tc>
          <w:tcPr>
            <w:tcW w:w="1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19"/>
          </w:cols>
          <w:pgMar w:left="240" w:top="654" w:right="1440" w:bottom="1440" w:gutter="0" w:footer="0" w:header="0"/>
        </w:sectPr>
      </w:pPr>
    </w:p>
    <w:bookmarkStart w:id="23" w:name="page24"/>
    <w:bookmarkEnd w:id="23"/>
    <w:p>
      <w:pPr>
        <w:ind w:left="560"/>
        <w:spacing w:after="0"/>
        <w:rPr>
          <w:sz w:val="20"/>
          <w:szCs w:val="20"/>
          <w:color w:val="auto"/>
        </w:rPr>
      </w:pPr>
      <w:r>
        <w:rPr>
          <w:rFonts w:ascii="Courier New" w:cs="Courier New" w:eastAsia="Courier New" w:hAnsi="Courier New"/>
          <w:sz w:val="16"/>
          <w:szCs w:val="16"/>
          <w:color w:val="auto"/>
        </w:rPr>
        <w:t>SIX MONTHS ENDED MARCH 31, 2007 AND 2006</w:t>
      </w:r>
    </w:p>
    <w:p>
      <w:pPr>
        <w:spacing w:after="0" w:line="185" w:lineRule="exact"/>
        <w:rPr>
          <w:sz w:val="20"/>
          <w:szCs w:val="20"/>
          <w:color w:val="auto"/>
        </w:rPr>
      </w:pPr>
    </w:p>
    <w:p>
      <w:pPr>
        <w:ind w:right="2899" w:firstLine="563"/>
        <w:spacing w:after="0" w:line="237" w:lineRule="auto"/>
        <w:rPr>
          <w:sz w:val="20"/>
          <w:szCs w:val="20"/>
          <w:color w:val="auto"/>
        </w:rPr>
      </w:pPr>
      <w:r>
        <w:rPr>
          <w:rFonts w:ascii="Courier New" w:cs="Courier New" w:eastAsia="Courier New" w:hAnsi="Courier New"/>
          <w:sz w:val="16"/>
          <w:szCs w:val="16"/>
          <w:color w:val="auto"/>
        </w:rPr>
        <w:t>The following is a tabular presentation of our results of operations for the six months ended March 31, 2007 compared to the six months ended March 31, 2006. Following the table is a discussion and analysis of our business and results of operations for the mentioned periods.</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SIX</w:t>
            </w:r>
          </w:p>
        </w:tc>
        <w:tc>
          <w:tcPr>
            <w:tcW w:w="14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w w:val="98"/>
              </w:rPr>
              <w:t>MONTHS ENDED</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3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4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w w:val="99"/>
              </w:rPr>
              <w:t>MARCH 31,</w:t>
            </w:r>
          </w:p>
        </w:tc>
        <w:tc>
          <w:tcPr>
            <w:tcW w:w="100" w:type="dxa"/>
            <w:vAlign w:val="bottom"/>
          </w:tcPr>
          <w:p>
            <w:pPr>
              <w:spacing w:after="0"/>
              <w:rPr>
                <w:sz w:val="15"/>
                <w:szCs w:val="15"/>
                <w:color w:val="auto"/>
              </w:rPr>
            </w:pPr>
          </w:p>
        </w:tc>
        <w:tc>
          <w:tcPr>
            <w:tcW w:w="19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6"/>
              </w:rPr>
              <w:t>INCREASE (DECREASE)</w:t>
            </w:r>
          </w:p>
        </w:tc>
      </w:tr>
      <w:tr>
        <w:trPr>
          <w:trHeight w:val="180"/>
        </w:trPr>
        <w:tc>
          <w:tcPr>
            <w:tcW w:w="388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0"/>
              </w:rPr>
              <w:t>-----------------------</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8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3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2007</w:t>
            </w:r>
          </w:p>
        </w:tc>
        <w:tc>
          <w:tcPr>
            <w:tcW w:w="32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2006</w:t>
            </w:r>
          </w:p>
        </w:tc>
        <w:tc>
          <w:tcPr>
            <w:tcW w:w="100" w:type="dxa"/>
            <w:vAlign w:val="bottom"/>
          </w:tcPr>
          <w:p>
            <w:pPr>
              <w:spacing w:after="0"/>
              <w:rPr>
                <w:sz w:val="15"/>
                <w:szCs w:val="15"/>
                <w:color w:val="auto"/>
              </w:rPr>
            </w:pP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AMOUNT</w:t>
            </w:r>
          </w:p>
        </w:tc>
        <w:tc>
          <w:tcPr>
            <w:tcW w:w="9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r>
      <w:tr>
        <w:trPr>
          <w:trHeight w:val="180"/>
        </w:trPr>
        <w:tc>
          <w:tcPr>
            <w:tcW w:w="388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w w:val="95"/>
              </w:rPr>
              <w:t>----------</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3880" w:type="dxa"/>
            <w:vAlign w:val="bottom"/>
          </w:tcPr>
          <w:p>
            <w:pPr>
              <w:spacing w:after="0"/>
              <w:rPr>
                <w:sz w:val="15"/>
                <w:szCs w:val="15"/>
                <w:color w:val="auto"/>
              </w:rPr>
            </w:pPr>
          </w:p>
        </w:tc>
        <w:tc>
          <w:tcPr>
            <w:tcW w:w="3760" w:type="dxa"/>
            <w:vAlign w:val="bottom"/>
            <w:gridSpan w:val="6"/>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5"/>
                <w:szCs w:val="15"/>
                <w:color w:val="auto"/>
              </w:rPr>
            </w:pPr>
          </w:p>
        </w:tc>
      </w:tr>
      <w:tr>
        <w:trPr>
          <w:trHeight w:val="361"/>
        </w:trPr>
        <w:tc>
          <w:tcPr>
            <w:tcW w:w="388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0"/>
        </w:trPr>
        <w:tc>
          <w:tcPr>
            <w:tcW w:w="3880" w:type="dxa"/>
            <w:vAlign w:val="bottom"/>
          </w:tcPr>
          <w:p>
            <w:pPr>
              <w:ind w:left="280"/>
              <w:spacing w:after="0"/>
              <w:rPr>
                <w:sz w:val="20"/>
                <w:szCs w:val="20"/>
                <w:color w:val="auto"/>
              </w:rPr>
            </w:pPr>
            <w:r>
              <w:rPr>
                <w:rFonts w:ascii="Courier New" w:cs="Courier New" w:eastAsia="Courier New" w:hAnsi="Courier New"/>
                <w:sz w:val="16"/>
                <w:szCs w:val="16"/>
                <w:color w:val="auto"/>
              </w:rPr>
              <w:t>License .............................</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69,270</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61,952</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7,318</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11.8%</w:t>
            </w:r>
          </w:p>
        </w:tc>
      </w:tr>
      <w:tr>
        <w:trPr>
          <w:trHeight w:val="180"/>
        </w:trPr>
        <w:tc>
          <w:tcPr>
            <w:tcW w:w="3880" w:type="dxa"/>
            <w:vAlign w:val="bottom"/>
          </w:tcPr>
          <w:p>
            <w:pPr>
              <w:ind w:left="280"/>
              <w:spacing w:after="0"/>
              <w:rPr>
                <w:sz w:val="20"/>
                <w:szCs w:val="20"/>
                <w:color w:val="auto"/>
              </w:rPr>
            </w:pPr>
            <w:r>
              <w:rPr>
                <w:rFonts w:ascii="Courier New" w:cs="Courier New" w:eastAsia="Courier New" w:hAnsi="Courier New"/>
                <w:sz w:val="16"/>
                <w:szCs w:val="16"/>
                <w:color w:val="auto"/>
              </w:rPr>
              <w:t>Service .............................</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4"/>
              </w:rPr>
              <w:t>1,328,123</w:t>
            </w:r>
          </w:p>
        </w:tc>
        <w:tc>
          <w:tcPr>
            <w:tcW w:w="32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4"/>
              </w:rPr>
              <w:t>1,126,205</w:t>
            </w:r>
          </w:p>
        </w:tc>
        <w:tc>
          <w:tcPr>
            <w:tcW w:w="10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201,918</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17.9</w:t>
            </w:r>
          </w:p>
        </w:tc>
      </w:tr>
      <w:tr>
        <w:trPr>
          <w:trHeight w:val="180"/>
        </w:trPr>
        <w:tc>
          <w:tcPr>
            <w:tcW w:w="3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4"/>
              </w:rPr>
              <w:t>1,397,393</w:t>
            </w:r>
          </w:p>
        </w:tc>
        <w:tc>
          <w:tcPr>
            <w:tcW w:w="32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4"/>
              </w:rPr>
              <w:t>1,188,157</w:t>
            </w:r>
          </w:p>
        </w:tc>
        <w:tc>
          <w:tcPr>
            <w:tcW w:w="10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209,236</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17.6</w:t>
            </w:r>
          </w:p>
        </w:tc>
      </w:tr>
      <w:tr>
        <w:trPr>
          <w:trHeight w:val="180"/>
        </w:trPr>
        <w:tc>
          <w:tcPr>
            <w:tcW w:w="388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3880" w:type="dxa"/>
            <w:vAlign w:val="bottom"/>
          </w:tcPr>
          <w:p>
            <w:pPr>
              <w:ind w:left="280"/>
              <w:spacing w:after="0"/>
              <w:rPr>
                <w:sz w:val="20"/>
                <w:szCs w:val="20"/>
                <w:color w:val="auto"/>
              </w:rPr>
            </w:pPr>
            <w:r>
              <w:rPr>
                <w:rFonts w:ascii="Courier New" w:cs="Courier New" w:eastAsia="Courier New" w:hAnsi="Courier New"/>
                <w:sz w:val="16"/>
                <w:szCs w:val="16"/>
                <w:color w:val="auto"/>
              </w:rPr>
              <w:t>Cost of license .....................</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2,085</w:t>
            </w:r>
          </w:p>
        </w:tc>
        <w:tc>
          <w:tcPr>
            <w:tcW w:w="32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1,978</w:t>
            </w:r>
          </w:p>
        </w:tc>
        <w:tc>
          <w:tcPr>
            <w:tcW w:w="10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107</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5.4</w:t>
            </w:r>
          </w:p>
        </w:tc>
      </w:tr>
      <w:tr>
        <w:trPr>
          <w:trHeight w:val="180"/>
        </w:trPr>
        <w:tc>
          <w:tcPr>
            <w:tcW w:w="3880" w:type="dxa"/>
            <w:vAlign w:val="bottom"/>
          </w:tcPr>
          <w:p>
            <w:pPr>
              <w:ind w:left="280"/>
              <w:spacing w:after="0"/>
              <w:rPr>
                <w:sz w:val="20"/>
                <w:szCs w:val="20"/>
                <w:color w:val="auto"/>
              </w:rPr>
            </w:pPr>
            <w:r>
              <w:rPr>
                <w:rFonts w:ascii="Courier New" w:cs="Courier New" w:eastAsia="Courier New" w:hAnsi="Courier New"/>
                <w:sz w:val="16"/>
                <w:szCs w:val="16"/>
                <w:color w:val="auto"/>
              </w:rPr>
              <w:t>Cost of service .....................</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881,981</w:t>
            </w:r>
          </w:p>
        </w:tc>
        <w:tc>
          <w:tcPr>
            <w:tcW w:w="32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762,384</w:t>
            </w:r>
          </w:p>
        </w:tc>
        <w:tc>
          <w:tcPr>
            <w:tcW w:w="10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119,597</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15.7</w:t>
            </w:r>
          </w:p>
        </w:tc>
      </w:tr>
      <w:tr>
        <w:trPr>
          <w:trHeight w:val="180"/>
        </w:trPr>
        <w:tc>
          <w:tcPr>
            <w:tcW w:w="3880" w:type="dxa"/>
            <w:vAlign w:val="bottom"/>
          </w:tcPr>
          <w:p>
            <w:pPr>
              <w:ind w:left="280"/>
              <w:spacing w:after="0"/>
              <w:rPr>
                <w:sz w:val="20"/>
                <w:szCs w:val="20"/>
                <w:color w:val="auto"/>
              </w:rPr>
            </w:pPr>
            <w:r>
              <w:rPr>
                <w:rFonts w:ascii="Courier New" w:cs="Courier New" w:eastAsia="Courier New" w:hAnsi="Courier New"/>
                <w:sz w:val="16"/>
                <w:szCs w:val="16"/>
                <w:color w:val="auto"/>
              </w:rPr>
              <w:t>Research and development ............</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118,202</w:t>
            </w:r>
          </w:p>
        </w:tc>
        <w:tc>
          <w:tcPr>
            <w:tcW w:w="32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84,937</w:t>
            </w:r>
          </w:p>
        </w:tc>
        <w:tc>
          <w:tcPr>
            <w:tcW w:w="10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33,265</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39.2</w:t>
            </w:r>
          </w:p>
        </w:tc>
      </w:tr>
      <w:tr>
        <w:trPr>
          <w:trHeight w:val="180"/>
        </w:trPr>
        <w:tc>
          <w:tcPr>
            <w:tcW w:w="3880" w:type="dxa"/>
            <w:vAlign w:val="bottom"/>
          </w:tcPr>
          <w:p>
            <w:pPr>
              <w:ind w:left="280"/>
              <w:spacing w:after="0"/>
              <w:rPr>
                <w:sz w:val="20"/>
                <w:szCs w:val="20"/>
                <w:color w:val="auto"/>
              </w:rPr>
            </w:pPr>
            <w:r>
              <w:rPr>
                <w:rFonts w:ascii="Courier New" w:cs="Courier New" w:eastAsia="Courier New" w:hAnsi="Courier New"/>
                <w:sz w:val="16"/>
                <w:szCs w:val="16"/>
                <w:color w:val="auto"/>
              </w:rPr>
              <w:t>Selling, general and administrative</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3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180,450</w:t>
            </w:r>
          </w:p>
        </w:tc>
        <w:tc>
          <w:tcPr>
            <w:tcW w:w="32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152,349</w:t>
            </w:r>
          </w:p>
        </w:tc>
        <w:tc>
          <w:tcPr>
            <w:tcW w:w="10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28,101</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18.4</w:t>
            </w:r>
          </w:p>
        </w:tc>
      </w:tr>
      <w:tr>
        <w:trPr>
          <w:trHeight w:val="180"/>
        </w:trPr>
        <w:tc>
          <w:tcPr>
            <w:tcW w:w="3880" w:type="dxa"/>
            <w:vAlign w:val="bottom"/>
          </w:tcPr>
          <w:p>
            <w:pPr>
              <w:ind w:left="280"/>
              <w:spacing w:after="0"/>
              <w:rPr>
                <w:sz w:val="20"/>
                <w:szCs w:val="20"/>
                <w:color w:val="auto"/>
              </w:rPr>
            </w:pPr>
            <w:r>
              <w:rPr>
                <w:rFonts w:ascii="Courier New" w:cs="Courier New" w:eastAsia="Courier New" w:hAnsi="Courier New"/>
                <w:sz w:val="16"/>
                <w:szCs w:val="16"/>
                <w:color w:val="auto"/>
              </w:rPr>
              <w:t>Amortization of purchased intangible</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3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assets ...........................</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36,610</w:t>
            </w:r>
          </w:p>
        </w:tc>
        <w:tc>
          <w:tcPr>
            <w:tcW w:w="32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15,041</w:t>
            </w:r>
          </w:p>
        </w:tc>
        <w:tc>
          <w:tcPr>
            <w:tcW w:w="10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21,569</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143.4</w:t>
            </w:r>
          </w:p>
        </w:tc>
      </w:tr>
      <w:tr>
        <w:trPr>
          <w:trHeight w:val="180"/>
        </w:trPr>
        <w:tc>
          <w:tcPr>
            <w:tcW w:w="3880" w:type="dxa"/>
            <w:vAlign w:val="bottom"/>
          </w:tcPr>
          <w:p>
            <w:pPr>
              <w:ind w:left="280"/>
              <w:spacing w:after="0"/>
              <w:rPr>
                <w:sz w:val="20"/>
                <w:szCs w:val="20"/>
                <w:color w:val="auto"/>
              </w:rPr>
            </w:pPr>
            <w:r>
              <w:rPr>
                <w:rFonts w:ascii="Courier New" w:cs="Courier New" w:eastAsia="Courier New" w:hAnsi="Courier New"/>
                <w:sz w:val="16"/>
                <w:szCs w:val="16"/>
                <w:color w:val="auto"/>
              </w:rPr>
              <w:t>Restructuring charges, in-process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3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research and development and other</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6,761</w:t>
            </w:r>
          </w:p>
        </w:tc>
        <w:tc>
          <w:tcPr>
            <w:tcW w:w="32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6,761</w:t>
            </w:r>
          </w:p>
        </w:tc>
        <w:tc>
          <w:tcPr>
            <w:tcW w:w="9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388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w w:val="95"/>
              </w:rPr>
              <w:t>----------</w:t>
            </w:r>
          </w:p>
        </w:tc>
        <w:tc>
          <w:tcPr>
            <w:tcW w:w="900" w:type="dxa"/>
            <w:vAlign w:val="bottom"/>
          </w:tcPr>
          <w:p>
            <w:pPr>
              <w:spacing w:after="0"/>
              <w:rPr>
                <w:sz w:val="15"/>
                <w:szCs w:val="15"/>
                <w:color w:val="auto"/>
              </w:rPr>
            </w:pPr>
          </w:p>
        </w:tc>
      </w:tr>
      <w:tr>
        <w:trPr>
          <w:trHeight w:val="180"/>
        </w:trPr>
        <w:tc>
          <w:tcPr>
            <w:tcW w:w="3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4"/>
              </w:rPr>
              <w:t>1,226,089</w:t>
            </w:r>
          </w:p>
        </w:tc>
        <w:tc>
          <w:tcPr>
            <w:tcW w:w="32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4"/>
              </w:rPr>
              <w:t>1,016,689</w:t>
            </w:r>
          </w:p>
        </w:tc>
        <w:tc>
          <w:tcPr>
            <w:tcW w:w="10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209,400</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20.6</w:t>
            </w:r>
          </w:p>
        </w:tc>
      </w:tr>
      <w:tr>
        <w:trPr>
          <w:trHeight w:val="180"/>
        </w:trPr>
        <w:tc>
          <w:tcPr>
            <w:tcW w:w="388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w w:val="95"/>
              </w:rPr>
              <w:t>----------</w:t>
            </w:r>
          </w:p>
        </w:tc>
        <w:tc>
          <w:tcPr>
            <w:tcW w:w="900" w:type="dxa"/>
            <w:vAlign w:val="bottom"/>
          </w:tcPr>
          <w:p>
            <w:pPr>
              <w:spacing w:after="0"/>
              <w:rPr>
                <w:sz w:val="15"/>
                <w:szCs w:val="15"/>
                <w:color w:val="auto"/>
              </w:rPr>
            </w:pPr>
          </w:p>
        </w:tc>
      </w:tr>
      <w:tr>
        <w:trPr>
          <w:trHeight w:val="361"/>
        </w:trPr>
        <w:tc>
          <w:tcPr>
            <w:tcW w:w="38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Operating income .......................</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171,304</w:t>
            </w:r>
          </w:p>
        </w:tc>
        <w:tc>
          <w:tcPr>
            <w:tcW w:w="320" w:type="dxa"/>
            <w:vAlign w:val="bottom"/>
          </w:tcPr>
          <w:p>
            <w:pPr>
              <w:spacing w:after="0"/>
              <w:rPr>
                <w:sz w:val="24"/>
                <w:szCs w:val="24"/>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171,468</w:t>
            </w:r>
          </w:p>
        </w:tc>
        <w:tc>
          <w:tcPr>
            <w:tcW w:w="100" w:type="dxa"/>
            <w:vAlign w:val="bottom"/>
          </w:tcPr>
          <w:p>
            <w:pPr>
              <w:spacing w:after="0"/>
              <w:rPr>
                <w:sz w:val="24"/>
                <w:szCs w:val="24"/>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(164)</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r>
      <w:tr>
        <w:trPr>
          <w:trHeight w:val="180"/>
        </w:trPr>
        <w:tc>
          <w:tcPr>
            <w:tcW w:w="38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Interest income and other, net .........</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22,638</w:t>
            </w:r>
          </w:p>
        </w:tc>
        <w:tc>
          <w:tcPr>
            <w:tcW w:w="32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18,721</w:t>
            </w:r>
          </w:p>
        </w:tc>
        <w:tc>
          <w:tcPr>
            <w:tcW w:w="10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3,917</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20.9</w:t>
            </w:r>
          </w:p>
        </w:tc>
      </w:tr>
      <w:tr>
        <w:trPr>
          <w:trHeight w:val="180"/>
        </w:trPr>
        <w:tc>
          <w:tcPr>
            <w:tcW w:w="388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w w:val="95"/>
              </w:rPr>
              <w:t>----------</w:t>
            </w:r>
          </w:p>
        </w:tc>
        <w:tc>
          <w:tcPr>
            <w:tcW w:w="900" w:type="dxa"/>
            <w:vAlign w:val="bottom"/>
          </w:tcPr>
          <w:p>
            <w:pPr>
              <w:spacing w:after="0"/>
              <w:rPr>
                <w:sz w:val="15"/>
                <w:szCs w:val="15"/>
                <w:color w:val="auto"/>
              </w:rPr>
            </w:pPr>
          </w:p>
        </w:tc>
      </w:tr>
      <w:tr>
        <w:trPr>
          <w:trHeight w:val="180"/>
        </w:trPr>
        <w:tc>
          <w:tcPr>
            <w:tcW w:w="38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Income before income taxes .............</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193,942</w:t>
            </w:r>
          </w:p>
        </w:tc>
        <w:tc>
          <w:tcPr>
            <w:tcW w:w="32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190,189</w:t>
            </w:r>
          </w:p>
        </w:tc>
        <w:tc>
          <w:tcPr>
            <w:tcW w:w="10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3,753</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w:t>
            </w:r>
          </w:p>
        </w:tc>
      </w:tr>
      <w:tr>
        <w:trPr>
          <w:trHeight w:val="180"/>
        </w:trPr>
        <w:tc>
          <w:tcPr>
            <w:tcW w:w="38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Income taxes ...........................</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13,429</w:t>
            </w:r>
          </w:p>
        </w:tc>
        <w:tc>
          <w:tcPr>
            <w:tcW w:w="32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33,093</w:t>
            </w:r>
          </w:p>
        </w:tc>
        <w:tc>
          <w:tcPr>
            <w:tcW w:w="10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(19,664)</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(59.4)</w:t>
            </w:r>
          </w:p>
        </w:tc>
      </w:tr>
      <w:tr>
        <w:trPr>
          <w:trHeight w:val="180"/>
        </w:trPr>
        <w:tc>
          <w:tcPr>
            <w:tcW w:w="388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w w:val="95"/>
              </w:rPr>
              <w:t>----------</w:t>
            </w:r>
          </w:p>
        </w:tc>
        <w:tc>
          <w:tcPr>
            <w:tcW w:w="900" w:type="dxa"/>
            <w:vAlign w:val="bottom"/>
          </w:tcPr>
          <w:p>
            <w:pPr>
              <w:spacing w:after="0"/>
              <w:rPr>
                <w:sz w:val="15"/>
                <w:szCs w:val="15"/>
                <w:color w:val="auto"/>
              </w:rPr>
            </w:pPr>
          </w:p>
        </w:tc>
      </w:tr>
      <w:tr>
        <w:trPr>
          <w:trHeight w:val="180"/>
        </w:trPr>
        <w:tc>
          <w:tcPr>
            <w:tcW w:w="38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Net income .............................</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180,513</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157,096</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23,417</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14.9%</w:t>
            </w:r>
          </w:p>
        </w:tc>
      </w:tr>
      <w:tr>
        <w:trPr>
          <w:trHeight w:val="180"/>
        </w:trPr>
        <w:tc>
          <w:tcPr>
            <w:tcW w:w="388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w w:val="95"/>
              </w:rPr>
              <w:t>==========</w:t>
            </w:r>
          </w:p>
        </w:tc>
        <w:tc>
          <w:tcPr>
            <w:tcW w:w="900" w:type="dxa"/>
            <w:vAlign w:val="bottom"/>
          </w:tcPr>
          <w:p>
            <w:pPr>
              <w:spacing w:after="0"/>
              <w:rPr>
                <w:sz w:val="15"/>
                <w:szCs w:val="15"/>
                <w:color w:val="auto"/>
              </w:rPr>
            </w:pPr>
          </w:p>
        </w:tc>
      </w:tr>
    </w:tbl>
    <w:p>
      <w:pPr>
        <w:spacing w:after="0" w:line="36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REVENUE. Total revenue increased by $209.2 million, or 17.6%, in the six months ended March 31, 2007 to $1,397.4 million from $1,188.2 million in the six months ended March 31, 2006. Approximately 48% of the increase was attributable to revenue contributed by acquisitions made during fiscal 2006 and 2007, and the remainder was primarily attributable to additional revenue from consolidation and transformation projects for tier one customers.</w:t>
      </w:r>
    </w:p>
    <w:p>
      <w:pPr>
        <w:spacing w:after="0" w:line="189" w:lineRule="exact"/>
        <w:rPr>
          <w:sz w:val="20"/>
          <w:szCs w:val="20"/>
          <w:color w:val="auto"/>
        </w:rPr>
      </w:pPr>
    </w:p>
    <w:p>
      <w:pPr>
        <w:ind w:right="2819" w:firstLine="563"/>
        <w:spacing w:after="0" w:line="238" w:lineRule="auto"/>
        <w:rPr>
          <w:sz w:val="20"/>
          <w:szCs w:val="20"/>
          <w:color w:val="auto"/>
        </w:rPr>
      </w:pPr>
      <w:r>
        <w:rPr>
          <w:rFonts w:ascii="Courier New" w:cs="Courier New" w:eastAsia="Courier New" w:hAnsi="Courier New"/>
          <w:sz w:val="16"/>
          <w:szCs w:val="16"/>
          <w:color w:val="auto"/>
        </w:rPr>
        <w:t>License and service revenue attributable to the sale of Customer Experience Systems was $1,256.9 million in the six months ended March 31, 2007, an increase of $206.2 million, or 19.6%, over the six months ended March 31, 2006. Approximately 48% of the increase was attributable to revenue contributed by acquisitions made during fiscal 2006 and 2007, and the remainder was primarily attributable to additional revenue from consolidation and transformation projects for tier one customers. License and service revenue resulted from the sale of Customer Experience Systems represented 89.9% and 88.4% of our total revenue in the six months ended March 31, 2007 and 2006, respectively. We believe the demand for our Customer Experience Systems is primarily driven by the need of communications service providers to transform their systems in order to deliver a better, differentiated customer experience and to introduce new products faster. Although the pace at which service providers are embarking on transformation projects at the beginning of the year was not as we expected, we continue to regard these projects as a long term industry trend that will continue to drive the demand for our Customer Experience Systems.</w:t>
      </w:r>
    </w:p>
    <w:p>
      <w:pPr>
        <w:spacing w:after="0" w:line="18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54" w:right="1440" w:bottom="1440" w:gutter="0" w:footer="0" w:header="0"/>
        </w:sectPr>
      </w:pPr>
    </w:p>
    <w:bookmarkStart w:id="24" w:name="page25"/>
    <w:bookmarkEnd w:id="24"/>
    <w:p>
      <w:pPr>
        <w:ind w:right="2819" w:firstLine="563"/>
        <w:spacing w:after="0" w:line="238" w:lineRule="auto"/>
        <w:rPr>
          <w:sz w:val="20"/>
          <w:szCs w:val="20"/>
          <w:color w:val="auto"/>
        </w:rPr>
      </w:pPr>
      <w:r>
        <w:rPr>
          <w:rFonts w:ascii="Courier New" w:cs="Courier New" w:eastAsia="Courier New" w:hAnsi="Courier New"/>
          <w:sz w:val="16"/>
          <w:szCs w:val="16"/>
          <w:color w:val="auto"/>
        </w:rPr>
        <w:t>License and service revenue from the sale of Directory Systems was $140.5 million in the six months ended March 31, 2007, an increase of $3.0 million, or 2.2%, over the six months ended March 31, 2006. The increase in Directory Systems revenue in the six months ended March 31, 2007 was primarily attributable to increase in revenue from customers in Europe. License and service revenue from the sale of Directory Systems represented 10.1% and 11.6% of our total revenue in the six months ended March 31, 2007 and 2006, respectively. We believe that we are a leading provider of Directory Systems in most of the markets we serve. We expect that our revenue from Directory Systems in absolute amount will increase in fiscal 2007.</w:t>
      </w:r>
    </w:p>
    <w:p>
      <w:pPr>
        <w:spacing w:after="0" w:line="187"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In the six months ended March 31, 2007, revenue from customers in North America, Europe and the rest of the world accounted for 67.5%, 22.5% and 10.0%, respectively, of total revenue compared to 71.4%, 20.2% and 8.4%, respectively, in the six months ended March 31, 2006. Revenue from customers in North America increased in absolute amounts, but the increase was less than the 17.6% increase in our total revenue which resulted in a decrease in revenue from customers in North America as a percentage of total revenue. Approximately 62% of the increase in revenue from customers in Europe, in absolute amount, was attributable to revenues contributed by acquisitions made during fiscal 2006 and 2007, and the remainder was primarily attributable to projects for tier one customers. The increase in revenue from customers in the rest of the world in the six months ended March 31, 2007 was attributable primarily to revenue contributed in Asia Pacific and to revenue contributed by an acquisitions made during fiscal 2006 and 2007.</w:t>
      </w:r>
    </w:p>
    <w:p>
      <w:pPr>
        <w:spacing w:after="0" w:line="189"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six months ended March 31, 2007, cost of license as a percentage of license revenue was 3.0%, compared to 3.2% in the six months ended March 31, 2006.</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COST OF SERVICE. Cost of service consists primarily of costs associated with providing services to customers, including compensation expense, warranty expense and costs of third-party products. The increase in cost of service in the six months ended March 31, 2007 was $119.6 million or 15.7%, which is less than the increase in our total revenue in the six months ended March 31, 2007. The increase in cost of service in the six months ended March 31, 2007 in absolute amount was attributable to cost of service expense related to our fiscal 2006 acquisitions as well as to expense relating to our core business which grew at a lower percentage than revenue. As a percentage of revenue, cost of service was 63.1% in the six months ended March 31, 2007, compared to 64.2% in the six months ended March 31, 2006. Our cost of service and gross margin may vary depending on the types and geographic locations of projects that we undertake.</w:t>
      </w:r>
    </w:p>
    <w:p>
      <w:pPr>
        <w:spacing w:after="0" w:line="189"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RESEARCH AND DEVELOPMENT. Research and development expense is primarily comprised of compensation expense. Research and development expense increased by $33.3 million, or 39.2%, in the six months ended March 31, 2007 to $118.2 million from $84.9 million in the six months ended March 31, 2006. Research and development expense increased as a percentage of revenue from 7.1% in the six months ended March 31, 2006 to 8.5% in the six months ended March 31, 2007. The increase in research and development expense was attributable mainly to research and development activities related to our fiscal 2006 acquisitions, as well as to an increase in research and development efforts to support our growth strategy.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189" w:lineRule="exact"/>
        <w:rPr>
          <w:sz w:val="20"/>
          <w:szCs w:val="20"/>
          <w:color w:val="auto"/>
        </w:rPr>
      </w:pPr>
    </w:p>
    <w:p>
      <w:pPr>
        <w:ind w:right="2819" w:firstLine="563"/>
        <w:spacing w:after="0" w:line="256"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increased by $28.1 million, or 18.4%, in the six months ended March 31, 2007 to $180.4 million, from $152.3 million in the six months ended March 31, 2006. Selling, general and administrative expense is primarily comprised of compensation expense. The increase in selling, general and administrative expense in absolute amount is attributable to selling, general and administrative expense related to our fiscal 2006 acquisitions. Selling,</w:t>
      </w:r>
    </w:p>
    <w:p>
      <w:pPr>
        <w:spacing w:after="0" w:line="16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59" w:right="1440" w:bottom="1440" w:gutter="0" w:footer="0" w:header="0"/>
        </w:sectPr>
      </w:pPr>
    </w:p>
    <w:bookmarkStart w:id="25" w:name="page26"/>
    <w:bookmarkEnd w:id="25"/>
    <w:p>
      <w:pPr>
        <w:ind w:right="2999"/>
        <w:spacing w:after="0" w:line="237" w:lineRule="auto"/>
        <w:rPr>
          <w:sz w:val="20"/>
          <w:szCs w:val="20"/>
          <w:color w:val="auto"/>
        </w:rPr>
      </w:pPr>
      <w:r>
        <w:rPr>
          <w:rFonts w:ascii="Courier New" w:cs="Courier New" w:eastAsia="Courier New" w:hAnsi="Courier New"/>
          <w:sz w:val="16"/>
          <w:szCs w:val="16"/>
          <w:color w:val="auto"/>
        </w:rPr>
        <w:t>general and administrative expense relating to our core business decreased in absolute amount in the six months ended March 31, 2007 compared to the six months ended March 31, 2006.</w:t>
      </w:r>
    </w:p>
    <w:p>
      <w:pPr>
        <w:spacing w:after="0" w:line="185" w:lineRule="exact"/>
        <w:rPr>
          <w:sz w:val="20"/>
          <w:szCs w:val="20"/>
          <w:color w:val="auto"/>
        </w:rPr>
      </w:pPr>
    </w:p>
    <w:p>
      <w:pPr>
        <w:ind w:right="2899" w:firstLine="563"/>
        <w:spacing w:after="0" w:line="237" w:lineRule="auto"/>
        <w:rPr>
          <w:sz w:val="20"/>
          <w:szCs w:val="20"/>
          <w:color w:val="auto"/>
        </w:rPr>
      </w:pPr>
      <w:r>
        <w:rPr>
          <w:rFonts w:ascii="Courier New" w:cs="Courier New" w:eastAsia="Courier New" w:hAnsi="Courier New"/>
          <w:sz w:val="16"/>
          <w:szCs w:val="16"/>
          <w:color w:val="auto"/>
        </w:rPr>
        <w:t>AMORTIZATION OF PURCHASED INTANGIBLE ASSETS. Amortization of purchased intangible assets in the six months ended March 31, 2007 was $36.6 million, compared to $15.0 million in the six months ended March 31, 2006. The increase in amortization of purchased intangible assets was due to purchased intangible assets acquired in our fiscal 2006 and 2007 acquisitions.</w:t>
      </w:r>
    </w:p>
    <w:p>
      <w:pPr>
        <w:spacing w:after="0" w:line="187" w:lineRule="exact"/>
        <w:rPr>
          <w:sz w:val="20"/>
          <w:szCs w:val="20"/>
          <w:color w:val="auto"/>
        </w:rPr>
      </w:pPr>
    </w:p>
    <w:p>
      <w:pPr>
        <w:ind w:right="2819" w:firstLine="563"/>
        <w:spacing w:after="0" w:line="256" w:lineRule="auto"/>
        <w:rPr>
          <w:sz w:val="20"/>
          <w:szCs w:val="20"/>
          <w:color w:val="auto"/>
        </w:rPr>
      </w:pPr>
      <w:r>
        <w:rPr>
          <w:rFonts w:ascii="Courier New" w:cs="Courier New" w:eastAsia="Courier New" w:hAnsi="Courier New"/>
          <w:sz w:val="15"/>
          <w:szCs w:val="15"/>
          <w:color w:val="auto"/>
        </w:rPr>
        <w:t>RESTRUCTURING CHARGES AND IN-PROCESS RESEARCH AND DEVELOPMENT AND OTHER. Restructuring charges, in-process research and development and other in the six months ended March 31, 2007 consisted of a $6.0 million restructuring charge related to our restructuring plan in the second quarter of fiscal 2007, and a charge of $2.7 million for the write-off of purchased in-process research and development related to our acquisition of SigValue, offset by the cumulative effect of our 14% share in SigValue's pre-acquisition results of $1.9 million.</w:t>
      </w:r>
    </w:p>
    <w:p>
      <w:pPr>
        <w:spacing w:after="0" w:line="174"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OPERATING INCOME. Operating income slightly decreased by $0.2 million, or 0.1%, in the six months ended March 31, 2007, to $171.3 million, or 12.3% of revenue, from $171.5 million, or 14.4% of revenue, in the six months ended March 31, 2006. The decrease in operating income as a percentage of revenue was attributable to a 20.6% increase in operating expense which grew at a greater rate than the 17.6% increase in revenue during the six months ended March 31, 2007. The increase in operating expense as a percentage of revenue is primarily attributable to the increases in amortization of purchased intangible assets, restructuring charges, in-process research and development and other and to operating expense related to our fiscal 2006 acquisitions, partially offset by a decrease in our ongoing operating expenses as a percentage of revenue.</w:t>
      </w:r>
    </w:p>
    <w:p>
      <w:pPr>
        <w:spacing w:after="0" w:line="179" w:lineRule="exact"/>
        <w:rPr>
          <w:sz w:val="20"/>
          <w:szCs w:val="20"/>
          <w:color w:val="auto"/>
        </w:rPr>
      </w:pPr>
    </w:p>
    <w:p>
      <w:pPr>
        <w:ind w:right="2899" w:firstLine="563"/>
        <w:spacing w:after="0" w:line="237" w:lineRule="auto"/>
        <w:rPr>
          <w:sz w:val="20"/>
          <w:szCs w:val="20"/>
          <w:color w:val="auto"/>
        </w:rPr>
      </w:pPr>
      <w:r>
        <w:rPr>
          <w:rFonts w:ascii="Courier New" w:cs="Courier New" w:eastAsia="Courier New" w:hAnsi="Courier New"/>
          <w:sz w:val="16"/>
          <w:szCs w:val="16"/>
          <w:color w:val="auto"/>
        </w:rPr>
        <w:t>INTEREST INCOME AND OTHER, NET. Interest income and other, net increased by $3.9 million in the six months ended March 31, 2007 to $22.6 million from $18.7 million in the six months ended March 31, 2006. The increase in interest income and other, net, is primarily attributable to the impact of foreign exchange benefits.</w:t>
      </w:r>
    </w:p>
    <w:p>
      <w:pPr>
        <w:spacing w:after="0" w:line="187"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INCOME TAXES. Income taxes for the six months ended March 31, 2007 were $13.4 million on pretax income of $193.9 million, resulting in an effective tax rate of 6.9% compared to 17.4% in the six months ended March 31, 2006. Of the reduction in our effective tax rate, 5.0% was attributable to release of tax reserves as a result of the resolution of a prior year tax audit, as well as changes in the Company's tax reserves made during six months ended March 31, 2007, in the ordinary course of business, approximately 5.2% was attributable to the net effect of acquisition-related costs (which include amortization of purchased intangible assets, in-process research and development and other), restructuring charges and equity-based compensation expense and the remaining difference was primarily attributable to the geographical distribution of earnings from global operations. Our effective tax rate for fiscal year 2007 is expected to be between 8% and 12% on an annualized basis compared to 14.8% in fiscal year 2006. Our effective tax rate may fluctuate between quarters as a result of discrete items that may affect a specific quarter as well as changes in the Company's tax reserves in the ordinary course of business.</w:t>
      </w:r>
    </w:p>
    <w:p>
      <w:pPr>
        <w:spacing w:after="0" w:line="178"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NET INCOME. Net income was $180.5 million in the six months ended March 31, 2007, compared to net income of $157.1 million in the six months ended March 31, 2006. The increase in net income is attributable to the decrease of our effective tax rate in the six months ended March 31, 2007 as well as to the increase in interest income and other, net.</w:t>
      </w:r>
    </w:p>
    <w:p>
      <w:pPr>
        <w:spacing w:after="0" w:line="187"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DILUTED EARNINGS PER SHARE. Diluted earnings per share increased by $0.08, or 10.8%, in the six months ended March 31, 2007 to $0.82 from $0.74 in the six months ended March 31, 2006. The increase in diluted earnings per share resulted from the increase in net income partially offset by the increase in diluted weighted average number of shares outstanding.</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59" w:right="1440" w:bottom="1440" w:gutter="0" w:footer="0" w:header="0"/>
        </w:sectPr>
      </w:pPr>
    </w:p>
    <w:bookmarkStart w:id="26" w:name="page27"/>
    <w:bookmarkEnd w:id="26"/>
    <w:p>
      <w:pPr>
        <w:ind w:left="560"/>
        <w:spacing w:after="0"/>
        <w:rPr>
          <w:sz w:val="20"/>
          <w:szCs w:val="20"/>
          <w:color w:val="auto"/>
        </w:rPr>
      </w:pPr>
      <w:r>
        <w:rPr>
          <w:rFonts w:ascii="Courier New" w:cs="Courier New" w:eastAsia="Courier New" w:hAnsi="Courier New"/>
          <w:sz w:val="16"/>
          <w:szCs w:val="16"/>
          <w:color w:val="auto"/>
        </w:rPr>
        <w:t>THREE MONTHS ENDED MARCH 31, 2007 AND 2006</w:t>
      </w:r>
    </w:p>
    <w:p>
      <w:pPr>
        <w:spacing w:after="0" w:line="185" w:lineRule="exact"/>
        <w:rPr>
          <w:sz w:val="20"/>
          <w:szCs w:val="20"/>
          <w:color w:val="auto"/>
        </w:rPr>
      </w:pPr>
    </w:p>
    <w:p>
      <w:pPr>
        <w:jc w:val="both"/>
        <w:ind w:right="2899" w:firstLine="563"/>
        <w:spacing w:after="0" w:line="237" w:lineRule="auto"/>
        <w:rPr>
          <w:sz w:val="20"/>
          <w:szCs w:val="20"/>
          <w:color w:val="auto"/>
        </w:rPr>
      </w:pPr>
      <w:r>
        <w:rPr>
          <w:rFonts w:ascii="Courier New" w:cs="Courier New" w:eastAsia="Courier New" w:hAnsi="Courier New"/>
          <w:sz w:val="16"/>
          <w:szCs w:val="16"/>
          <w:color w:val="auto"/>
        </w:rPr>
        <w:t>The following is a tabular presentation of our results of operations for the three months ended March 31, 2007 compared to the three months ended March 31, 2006. Following the table is a discussion and analysis of our business and results of operations for such periods.</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gridSpan w:val="3"/>
          </w:tcPr>
          <w:p>
            <w:pPr>
              <w:jc w:val="right"/>
              <w:ind w:right="342"/>
              <w:spacing w:after="0"/>
              <w:rPr>
                <w:sz w:val="20"/>
                <w:szCs w:val="20"/>
                <w:color w:val="auto"/>
              </w:rPr>
            </w:pPr>
            <w:r>
              <w:rPr>
                <w:rFonts w:ascii="Courier New" w:cs="Courier New" w:eastAsia="Courier New" w:hAnsi="Courier New"/>
                <w:sz w:val="16"/>
                <w:szCs w:val="16"/>
                <w:color w:val="auto"/>
                <w:w w:val="97"/>
              </w:rPr>
              <w:t>THREE MONTHS ENDED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3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gridSpan w:val="3"/>
          </w:tcPr>
          <w:p>
            <w:pPr>
              <w:jc w:val="right"/>
              <w:ind w:right="622"/>
              <w:spacing w:after="0"/>
              <w:rPr>
                <w:sz w:val="20"/>
                <w:szCs w:val="20"/>
                <w:color w:val="auto"/>
              </w:rPr>
            </w:pPr>
            <w:r>
              <w:rPr>
                <w:rFonts w:ascii="Courier New" w:cs="Courier New" w:eastAsia="Courier New" w:hAnsi="Courier New"/>
                <w:sz w:val="16"/>
                <w:szCs w:val="16"/>
                <w:color w:val="auto"/>
              </w:rPr>
              <w:t>MARCH 31,</w:t>
            </w:r>
          </w:p>
        </w:tc>
        <w:tc>
          <w:tcPr>
            <w:tcW w:w="20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INCREASE (DECREASE)</w:t>
            </w:r>
          </w:p>
        </w:tc>
      </w:tr>
      <w:tr>
        <w:trPr>
          <w:trHeight w:val="180"/>
        </w:trPr>
        <w:tc>
          <w:tcPr>
            <w:tcW w:w="35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w:t>
            </w: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2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w w:val="98"/>
              </w:rPr>
              <w:t>--------------------</w:t>
            </w:r>
          </w:p>
        </w:tc>
      </w:tr>
      <w:tr>
        <w:trPr>
          <w:trHeight w:val="180"/>
        </w:trPr>
        <w:tc>
          <w:tcPr>
            <w:tcW w:w="3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2007</w:t>
            </w:r>
          </w:p>
        </w:tc>
        <w:tc>
          <w:tcPr>
            <w:tcW w:w="420" w:type="dxa"/>
            <w:vAlign w:val="bottom"/>
          </w:tcPr>
          <w:p>
            <w:pPr>
              <w:spacing w:after="0"/>
              <w:rPr>
                <w:sz w:val="15"/>
                <w:szCs w:val="15"/>
                <w:color w:val="auto"/>
              </w:rPr>
            </w:pPr>
          </w:p>
        </w:tc>
        <w:tc>
          <w:tcPr>
            <w:tcW w:w="9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2006</w:t>
            </w:r>
          </w:p>
        </w:tc>
        <w:tc>
          <w:tcPr>
            <w:tcW w:w="140" w:type="dxa"/>
            <w:vAlign w:val="bottom"/>
          </w:tcPr>
          <w:p>
            <w:pPr>
              <w:spacing w:after="0"/>
              <w:rPr>
                <w:sz w:val="15"/>
                <w:szCs w:val="15"/>
                <w:color w:val="auto"/>
              </w:rPr>
            </w:pP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3"/>
              </w:rPr>
              <w:t>AMOUNT</w:t>
            </w:r>
          </w:p>
        </w:tc>
        <w:tc>
          <w:tcPr>
            <w:tcW w:w="8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35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w w:val="99"/>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(in thousands)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3520" w:type="dxa"/>
            <w:vAlign w:val="bottom"/>
          </w:tcPr>
          <w:p>
            <w:pPr>
              <w:spacing w:after="0"/>
              <w:rPr>
                <w:sz w:val="15"/>
                <w:szCs w:val="15"/>
                <w:color w:val="auto"/>
              </w:rPr>
            </w:pPr>
          </w:p>
        </w:tc>
        <w:tc>
          <w:tcPr>
            <w:tcW w:w="3560" w:type="dxa"/>
            <w:vAlign w:val="bottom"/>
            <w:gridSpan w:val="6"/>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r>
      <w:tr>
        <w:trPr>
          <w:trHeight w:val="361"/>
        </w:trPr>
        <w:tc>
          <w:tcPr>
            <w:tcW w:w="352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0"/>
        </w:trPr>
        <w:tc>
          <w:tcPr>
            <w:tcW w:w="35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License .........................</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37,526</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30,291</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7,235</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23.9%</w:t>
            </w:r>
          </w:p>
        </w:tc>
      </w:tr>
      <w:tr>
        <w:trPr>
          <w:trHeight w:val="180"/>
        </w:trPr>
        <w:tc>
          <w:tcPr>
            <w:tcW w:w="35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Service .........................</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668,835</w:t>
            </w:r>
          </w:p>
        </w:tc>
        <w:tc>
          <w:tcPr>
            <w:tcW w:w="420" w:type="dxa"/>
            <w:vAlign w:val="bottom"/>
          </w:tcPr>
          <w:p>
            <w:pPr>
              <w:spacing w:after="0"/>
              <w:rPr>
                <w:sz w:val="15"/>
                <w:szCs w:val="15"/>
                <w:color w:val="auto"/>
              </w:rPr>
            </w:pP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570,838</w:t>
            </w:r>
          </w:p>
        </w:tc>
        <w:tc>
          <w:tcPr>
            <w:tcW w:w="140" w:type="dxa"/>
            <w:vAlign w:val="bottom"/>
          </w:tcPr>
          <w:p>
            <w:pPr>
              <w:spacing w:after="0"/>
              <w:rPr>
                <w:sz w:val="15"/>
                <w:szCs w:val="15"/>
                <w:color w:val="auto"/>
              </w:rPr>
            </w:pP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97,997</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17.2</w:t>
            </w:r>
          </w:p>
        </w:tc>
      </w:tr>
      <w:tr>
        <w:trPr>
          <w:trHeight w:val="180"/>
        </w:trPr>
        <w:tc>
          <w:tcPr>
            <w:tcW w:w="35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w w:val="99"/>
              </w:rPr>
              <w:t>---------</w:t>
            </w:r>
          </w:p>
        </w:tc>
        <w:tc>
          <w:tcPr>
            <w:tcW w:w="800" w:type="dxa"/>
            <w:vAlign w:val="bottom"/>
          </w:tcPr>
          <w:p>
            <w:pPr>
              <w:spacing w:after="0"/>
              <w:rPr>
                <w:sz w:val="15"/>
                <w:szCs w:val="15"/>
                <w:color w:val="auto"/>
              </w:rPr>
            </w:pPr>
          </w:p>
        </w:tc>
      </w:tr>
      <w:tr>
        <w:trPr>
          <w:trHeight w:val="180"/>
        </w:trPr>
        <w:tc>
          <w:tcPr>
            <w:tcW w:w="3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706,361</w:t>
            </w:r>
          </w:p>
        </w:tc>
        <w:tc>
          <w:tcPr>
            <w:tcW w:w="420" w:type="dxa"/>
            <w:vAlign w:val="bottom"/>
          </w:tcPr>
          <w:p>
            <w:pPr>
              <w:spacing w:after="0"/>
              <w:rPr>
                <w:sz w:val="15"/>
                <w:szCs w:val="15"/>
                <w:color w:val="auto"/>
              </w:rPr>
            </w:pP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601,129</w:t>
            </w:r>
          </w:p>
        </w:tc>
        <w:tc>
          <w:tcPr>
            <w:tcW w:w="140" w:type="dxa"/>
            <w:vAlign w:val="bottom"/>
          </w:tcPr>
          <w:p>
            <w:pPr>
              <w:spacing w:after="0"/>
              <w:rPr>
                <w:sz w:val="15"/>
                <w:szCs w:val="15"/>
                <w:color w:val="auto"/>
              </w:rPr>
            </w:pP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105,232</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17.5</w:t>
            </w:r>
          </w:p>
        </w:tc>
      </w:tr>
      <w:tr>
        <w:trPr>
          <w:trHeight w:val="180"/>
        </w:trPr>
        <w:tc>
          <w:tcPr>
            <w:tcW w:w="35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w w:val="99"/>
              </w:rPr>
              <w:t>---------</w:t>
            </w:r>
          </w:p>
        </w:tc>
        <w:tc>
          <w:tcPr>
            <w:tcW w:w="800" w:type="dxa"/>
            <w:vAlign w:val="bottom"/>
          </w:tcPr>
          <w:p>
            <w:pPr>
              <w:spacing w:after="0"/>
              <w:rPr>
                <w:sz w:val="15"/>
                <w:szCs w:val="15"/>
                <w:color w:val="auto"/>
              </w:rPr>
            </w:pPr>
          </w:p>
        </w:tc>
      </w:tr>
      <w:tr>
        <w:trPr>
          <w:trHeight w:val="180"/>
        </w:trPr>
        <w:tc>
          <w:tcPr>
            <w:tcW w:w="352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35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Cost of license .................</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1,016</w:t>
            </w:r>
          </w:p>
        </w:tc>
        <w:tc>
          <w:tcPr>
            <w:tcW w:w="420" w:type="dxa"/>
            <w:vAlign w:val="bottom"/>
          </w:tcPr>
          <w:p>
            <w:pPr>
              <w:spacing w:after="0"/>
              <w:rPr>
                <w:sz w:val="15"/>
                <w:szCs w:val="15"/>
                <w:color w:val="auto"/>
              </w:rPr>
            </w:pP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916</w:t>
            </w:r>
          </w:p>
        </w:tc>
        <w:tc>
          <w:tcPr>
            <w:tcW w:w="140" w:type="dxa"/>
            <w:vAlign w:val="bottom"/>
          </w:tcPr>
          <w:p>
            <w:pPr>
              <w:spacing w:after="0"/>
              <w:rPr>
                <w:sz w:val="15"/>
                <w:szCs w:val="15"/>
                <w:color w:val="auto"/>
              </w:rPr>
            </w:pP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100</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10.9</w:t>
            </w:r>
          </w:p>
        </w:tc>
      </w:tr>
      <w:tr>
        <w:trPr>
          <w:trHeight w:val="180"/>
        </w:trPr>
        <w:tc>
          <w:tcPr>
            <w:tcW w:w="35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Cost of service .................</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446,860</w:t>
            </w:r>
          </w:p>
        </w:tc>
        <w:tc>
          <w:tcPr>
            <w:tcW w:w="420" w:type="dxa"/>
            <w:vAlign w:val="bottom"/>
          </w:tcPr>
          <w:p>
            <w:pPr>
              <w:spacing w:after="0"/>
              <w:rPr>
                <w:sz w:val="15"/>
                <w:szCs w:val="15"/>
                <w:color w:val="auto"/>
              </w:rPr>
            </w:pP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388,333</w:t>
            </w:r>
          </w:p>
        </w:tc>
        <w:tc>
          <w:tcPr>
            <w:tcW w:w="140" w:type="dxa"/>
            <w:vAlign w:val="bottom"/>
          </w:tcPr>
          <w:p>
            <w:pPr>
              <w:spacing w:after="0"/>
              <w:rPr>
                <w:sz w:val="15"/>
                <w:szCs w:val="15"/>
                <w:color w:val="auto"/>
              </w:rPr>
            </w:pP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58,527</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15.1</w:t>
            </w:r>
          </w:p>
        </w:tc>
      </w:tr>
      <w:tr>
        <w:trPr>
          <w:trHeight w:val="180"/>
        </w:trPr>
        <w:tc>
          <w:tcPr>
            <w:tcW w:w="35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Research and development ........</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57,734</w:t>
            </w:r>
          </w:p>
        </w:tc>
        <w:tc>
          <w:tcPr>
            <w:tcW w:w="420" w:type="dxa"/>
            <w:vAlign w:val="bottom"/>
          </w:tcPr>
          <w:p>
            <w:pPr>
              <w:spacing w:after="0"/>
              <w:rPr>
                <w:sz w:val="15"/>
                <w:szCs w:val="15"/>
                <w:color w:val="auto"/>
              </w:rPr>
            </w:pP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41,823</w:t>
            </w:r>
          </w:p>
        </w:tc>
        <w:tc>
          <w:tcPr>
            <w:tcW w:w="140" w:type="dxa"/>
            <w:vAlign w:val="bottom"/>
          </w:tcPr>
          <w:p>
            <w:pPr>
              <w:spacing w:after="0"/>
              <w:rPr>
                <w:sz w:val="15"/>
                <w:szCs w:val="15"/>
                <w:color w:val="auto"/>
              </w:rPr>
            </w:pP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15,911</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38.0</w:t>
            </w:r>
          </w:p>
        </w:tc>
      </w:tr>
      <w:tr>
        <w:trPr>
          <w:trHeight w:val="180"/>
        </w:trPr>
        <w:tc>
          <w:tcPr>
            <w:tcW w:w="3520" w:type="dxa"/>
            <w:vAlign w:val="bottom"/>
          </w:tcPr>
          <w:p>
            <w:pPr>
              <w:ind w:left="280"/>
              <w:spacing w:after="0"/>
              <w:rPr>
                <w:sz w:val="20"/>
                <w:szCs w:val="20"/>
                <w:color w:val="auto"/>
              </w:rPr>
            </w:pPr>
            <w:r>
              <w:rPr>
                <w:rFonts w:ascii="Courier New" w:cs="Courier New" w:eastAsia="Courier New" w:hAnsi="Courier New"/>
                <w:sz w:val="16"/>
                <w:szCs w:val="16"/>
                <w:color w:val="auto"/>
              </w:rPr>
              <w:t>Selling, general and</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35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administrative ...............</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91,280</w:t>
            </w:r>
          </w:p>
        </w:tc>
        <w:tc>
          <w:tcPr>
            <w:tcW w:w="420" w:type="dxa"/>
            <w:vAlign w:val="bottom"/>
          </w:tcPr>
          <w:p>
            <w:pPr>
              <w:spacing w:after="0"/>
              <w:rPr>
                <w:sz w:val="15"/>
                <w:szCs w:val="15"/>
                <w:color w:val="auto"/>
              </w:rPr>
            </w:pP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73,799</w:t>
            </w:r>
          </w:p>
        </w:tc>
        <w:tc>
          <w:tcPr>
            <w:tcW w:w="140" w:type="dxa"/>
            <w:vAlign w:val="bottom"/>
          </w:tcPr>
          <w:p>
            <w:pPr>
              <w:spacing w:after="0"/>
              <w:rPr>
                <w:sz w:val="15"/>
                <w:szCs w:val="15"/>
                <w:color w:val="auto"/>
              </w:rPr>
            </w:pP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17,481</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23.7</w:t>
            </w:r>
          </w:p>
        </w:tc>
      </w:tr>
      <w:tr>
        <w:trPr>
          <w:trHeight w:val="180"/>
        </w:trPr>
        <w:tc>
          <w:tcPr>
            <w:tcW w:w="3520" w:type="dxa"/>
            <w:vAlign w:val="bottom"/>
          </w:tcPr>
          <w:p>
            <w:pPr>
              <w:ind w:left="280"/>
              <w:spacing w:after="0"/>
              <w:rPr>
                <w:sz w:val="20"/>
                <w:szCs w:val="20"/>
                <w:color w:val="auto"/>
              </w:rPr>
            </w:pPr>
            <w:r>
              <w:rPr>
                <w:rFonts w:ascii="Courier New" w:cs="Courier New" w:eastAsia="Courier New" w:hAnsi="Courier New"/>
                <w:sz w:val="16"/>
                <w:szCs w:val="16"/>
                <w:color w:val="auto"/>
              </w:rPr>
              <w:t>Amortization of purchased</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35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intangible assets ............</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18,912</w:t>
            </w:r>
          </w:p>
        </w:tc>
        <w:tc>
          <w:tcPr>
            <w:tcW w:w="420" w:type="dxa"/>
            <w:vAlign w:val="bottom"/>
          </w:tcPr>
          <w:p>
            <w:pPr>
              <w:spacing w:after="0"/>
              <w:rPr>
                <w:sz w:val="15"/>
                <w:szCs w:val="15"/>
                <w:color w:val="auto"/>
              </w:rPr>
            </w:pP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7,469</w:t>
            </w:r>
          </w:p>
        </w:tc>
        <w:tc>
          <w:tcPr>
            <w:tcW w:w="140" w:type="dxa"/>
            <w:vAlign w:val="bottom"/>
          </w:tcPr>
          <w:p>
            <w:pPr>
              <w:spacing w:after="0"/>
              <w:rPr>
                <w:sz w:val="15"/>
                <w:szCs w:val="15"/>
                <w:color w:val="auto"/>
              </w:rPr>
            </w:pP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11,443</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153.2</w:t>
            </w:r>
          </w:p>
        </w:tc>
      </w:tr>
      <w:tr>
        <w:trPr>
          <w:trHeight w:val="180"/>
        </w:trPr>
        <w:tc>
          <w:tcPr>
            <w:tcW w:w="35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Restructuring charges, in-process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35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research and development and</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35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other ........................</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6,761</w:t>
            </w:r>
          </w:p>
        </w:tc>
        <w:tc>
          <w:tcPr>
            <w:tcW w:w="420" w:type="dxa"/>
            <w:vAlign w:val="bottom"/>
          </w:tcPr>
          <w:p>
            <w:pPr>
              <w:spacing w:after="0"/>
              <w:rPr>
                <w:sz w:val="15"/>
                <w:szCs w:val="15"/>
                <w:color w:val="auto"/>
              </w:rPr>
            </w:pP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6,761</w:t>
            </w:r>
          </w:p>
        </w:tc>
        <w:tc>
          <w:tcPr>
            <w:tcW w:w="8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35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w w:val="99"/>
              </w:rPr>
              <w:t>---------</w:t>
            </w:r>
          </w:p>
        </w:tc>
        <w:tc>
          <w:tcPr>
            <w:tcW w:w="800" w:type="dxa"/>
            <w:vAlign w:val="bottom"/>
          </w:tcPr>
          <w:p>
            <w:pPr>
              <w:spacing w:after="0"/>
              <w:rPr>
                <w:sz w:val="15"/>
                <w:szCs w:val="15"/>
                <w:color w:val="auto"/>
              </w:rPr>
            </w:pPr>
          </w:p>
        </w:tc>
      </w:tr>
      <w:tr>
        <w:trPr>
          <w:trHeight w:val="180"/>
        </w:trPr>
        <w:tc>
          <w:tcPr>
            <w:tcW w:w="3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622,563</w:t>
            </w:r>
          </w:p>
        </w:tc>
        <w:tc>
          <w:tcPr>
            <w:tcW w:w="420" w:type="dxa"/>
            <w:vAlign w:val="bottom"/>
          </w:tcPr>
          <w:p>
            <w:pPr>
              <w:spacing w:after="0"/>
              <w:rPr>
                <w:sz w:val="15"/>
                <w:szCs w:val="15"/>
                <w:color w:val="auto"/>
              </w:rPr>
            </w:pP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512,340</w:t>
            </w:r>
          </w:p>
        </w:tc>
        <w:tc>
          <w:tcPr>
            <w:tcW w:w="140" w:type="dxa"/>
            <w:vAlign w:val="bottom"/>
          </w:tcPr>
          <w:p>
            <w:pPr>
              <w:spacing w:after="0"/>
              <w:rPr>
                <w:sz w:val="15"/>
                <w:szCs w:val="15"/>
                <w:color w:val="auto"/>
              </w:rPr>
            </w:pP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110,223</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21.5</w:t>
            </w:r>
          </w:p>
        </w:tc>
      </w:tr>
      <w:tr>
        <w:trPr>
          <w:trHeight w:val="180"/>
        </w:trPr>
        <w:tc>
          <w:tcPr>
            <w:tcW w:w="35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w w:val="99"/>
              </w:rPr>
              <w:t>---------</w:t>
            </w:r>
          </w:p>
        </w:tc>
        <w:tc>
          <w:tcPr>
            <w:tcW w:w="800" w:type="dxa"/>
            <w:vAlign w:val="bottom"/>
          </w:tcPr>
          <w:p>
            <w:pPr>
              <w:spacing w:after="0"/>
              <w:rPr>
                <w:sz w:val="15"/>
                <w:szCs w:val="15"/>
                <w:color w:val="auto"/>
              </w:rPr>
            </w:pPr>
          </w:p>
        </w:tc>
      </w:tr>
      <w:tr>
        <w:trPr>
          <w:trHeight w:val="361"/>
        </w:trPr>
        <w:tc>
          <w:tcPr>
            <w:tcW w:w="35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Operating income ...................</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83,798</w:t>
            </w:r>
          </w:p>
        </w:tc>
        <w:tc>
          <w:tcPr>
            <w:tcW w:w="420" w:type="dxa"/>
            <w:vAlign w:val="bottom"/>
          </w:tcPr>
          <w:p>
            <w:pPr>
              <w:spacing w:after="0"/>
              <w:rPr>
                <w:sz w:val="24"/>
                <w:szCs w:val="24"/>
                <w:color w:val="auto"/>
              </w:rPr>
            </w:pP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88,789</w:t>
            </w:r>
          </w:p>
        </w:tc>
        <w:tc>
          <w:tcPr>
            <w:tcW w:w="140" w:type="dxa"/>
            <w:vAlign w:val="bottom"/>
          </w:tcPr>
          <w:p>
            <w:pPr>
              <w:spacing w:after="0"/>
              <w:rPr>
                <w:sz w:val="24"/>
                <w:szCs w:val="24"/>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(4,991)</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180"/>
        </w:trPr>
        <w:tc>
          <w:tcPr>
            <w:tcW w:w="35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Interest income and other, net .....</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10,899</w:t>
            </w:r>
          </w:p>
        </w:tc>
        <w:tc>
          <w:tcPr>
            <w:tcW w:w="420" w:type="dxa"/>
            <w:vAlign w:val="bottom"/>
          </w:tcPr>
          <w:p>
            <w:pPr>
              <w:spacing w:after="0"/>
              <w:rPr>
                <w:sz w:val="15"/>
                <w:szCs w:val="15"/>
                <w:color w:val="auto"/>
              </w:rPr>
            </w:pP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10,307</w:t>
            </w:r>
          </w:p>
        </w:tc>
        <w:tc>
          <w:tcPr>
            <w:tcW w:w="140" w:type="dxa"/>
            <w:vAlign w:val="bottom"/>
          </w:tcPr>
          <w:p>
            <w:pPr>
              <w:spacing w:after="0"/>
              <w:rPr>
                <w:sz w:val="15"/>
                <w:szCs w:val="15"/>
                <w:color w:val="auto"/>
              </w:rPr>
            </w:pP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592</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5.7</w:t>
            </w:r>
          </w:p>
        </w:tc>
      </w:tr>
      <w:tr>
        <w:trPr>
          <w:trHeight w:val="180"/>
        </w:trPr>
        <w:tc>
          <w:tcPr>
            <w:tcW w:w="35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w w:val="99"/>
              </w:rPr>
              <w:t>---------</w:t>
            </w:r>
          </w:p>
        </w:tc>
        <w:tc>
          <w:tcPr>
            <w:tcW w:w="800" w:type="dxa"/>
            <w:vAlign w:val="bottom"/>
          </w:tcPr>
          <w:p>
            <w:pPr>
              <w:spacing w:after="0"/>
              <w:rPr>
                <w:sz w:val="15"/>
                <w:szCs w:val="15"/>
                <w:color w:val="auto"/>
              </w:rPr>
            </w:pPr>
          </w:p>
        </w:tc>
      </w:tr>
      <w:tr>
        <w:trPr>
          <w:trHeight w:val="180"/>
        </w:trPr>
        <w:tc>
          <w:tcPr>
            <w:tcW w:w="35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Income before income taxes .........</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94,697</w:t>
            </w:r>
          </w:p>
        </w:tc>
        <w:tc>
          <w:tcPr>
            <w:tcW w:w="420" w:type="dxa"/>
            <w:vAlign w:val="bottom"/>
          </w:tcPr>
          <w:p>
            <w:pPr>
              <w:spacing w:after="0"/>
              <w:rPr>
                <w:sz w:val="15"/>
                <w:szCs w:val="15"/>
                <w:color w:val="auto"/>
              </w:rPr>
            </w:pP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99,096</w:t>
            </w:r>
          </w:p>
        </w:tc>
        <w:tc>
          <w:tcPr>
            <w:tcW w:w="14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(4,399)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r>
      <w:tr>
        <w:trPr>
          <w:trHeight w:val="180"/>
        </w:trPr>
        <w:tc>
          <w:tcPr>
            <w:tcW w:w="35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Income taxes .......................</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7,526</w:t>
            </w:r>
          </w:p>
        </w:tc>
        <w:tc>
          <w:tcPr>
            <w:tcW w:w="420" w:type="dxa"/>
            <w:vAlign w:val="bottom"/>
          </w:tcPr>
          <w:p>
            <w:pPr>
              <w:spacing w:after="0"/>
              <w:rPr>
                <w:sz w:val="15"/>
                <w:szCs w:val="15"/>
                <w:color w:val="auto"/>
              </w:rPr>
            </w:pP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17,334</w:t>
            </w:r>
          </w:p>
        </w:tc>
        <w:tc>
          <w:tcPr>
            <w:tcW w:w="14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(9,808)</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(56.6)</w:t>
            </w:r>
          </w:p>
        </w:tc>
      </w:tr>
      <w:tr>
        <w:trPr>
          <w:trHeight w:val="180"/>
        </w:trPr>
        <w:tc>
          <w:tcPr>
            <w:tcW w:w="35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w w:val="99"/>
              </w:rPr>
              <w:t>---------</w:t>
            </w:r>
          </w:p>
        </w:tc>
        <w:tc>
          <w:tcPr>
            <w:tcW w:w="800" w:type="dxa"/>
            <w:vAlign w:val="bottom"/>
          </w:tcPr>
          <w:p>
            <w:pPr>
              <w:spacing w:after="0"/>
              <w:rPr>
                <w:sz w:val="15"/>
                <w:szCs w:val="15"/>
                <w:color w:val="auto"/>
              </w:rPr>
            </w:pPr>
          </w:p>
        </w:tc>
      </w:tr>
      <w:tr>
        <w:trPr>
          <w:trHeight w:val="180"/>
        </w:trPr>
        <w:tc>
          <w:tcPr>
            <w:tcW w:w="35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Net income .........................</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87,171</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81,762</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5,409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r>
      <w:tr>
        <w:trPr>
          <w:trHeight w:val="180"/>
        </w:trPr>
        <w:tc>
          <w:tcPr>
            <w:tcW w:w="35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w w:val="99"/>
              </w:rPr>
              <w:t>=========</w:t>
            </w:r>
          </w:p>
        </w:tc>
        <w:tc>
          <w:tcPr>
            <w:tcW w:w="800" w:type="dxa"/>
            <w:vAlign w:val="bottom"/>
          </w:tcPr>
          <w:p>
            <w:pPr>
              <w:spacing w:after="0"/>
              <w:rPr>
                <w:sz w:val="15"/>
                <w:szCs w:val="15"/>
                <w:color w:val="auto"/>
              </w:rPr>
            </w:pPr>
          </w:p>
        </w:tc>
      </w:tr>
    </w:tbl>
    <w:p>
      <w:pPr>
        <w:spacing w:after="0" w:line="36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REVENUE. Total revenue increased by $105.2 million, or 17.5%, in the three months ended March 31, 2007 to $706.4 million from $601.1 million in the three months ended March 31, 2006. Approximately 49% of the increase was attributable to revenue contributed by acquisitions made during fiscal 2006 and 2007, and the remainder was primarily attributable to additional revenue from consolidation and transformation projects for tier one customers.</w:t>
      </w:r>
    </w:p>
    <w:p>
      <w:pPr>
        <w:spacing w:after="0" w:line="189" w:lineRule="exact"/>
        <w:rPr>
          <w:sz w:val="20"/>
          <w:szCs w:val="20"/>
          <w:color w:val="auto"/>
        </w:rPr>
      </w:pPr>
    </w:p>
    <w:p>
      <w:pPr>
        <w:ind w:right="2819" w:firstLine="563"/>
        <w:spacing w:after="0" w:line="254" w:lineRule="auto"/>
        <w:rPr>
          <w:sz w:val="20"/>
          <w:szCs w:val="20"/>
          <w:color w:val="auto"/>
        </w:rPr>
      </w:pPr>
      <w:r>
        <w:rPr>
          <w:rFonts w:ascii="Courier New" w:cs="Courier New" w:eastAsia="Courier New" w:hAnsi="Courier New"/>
          <w:sz w:val="15"/>
          <w:szCs w:val="15"/>
          <w:color w:val="auto"/>
        </w:rPr>
        <w:t>License and service revenue attributable to the sale of Customer Experience Systems was $637.5 million in the three months ended March 31, 2007, an increase of $105.7 million, or 19.9%, over the three months ended March 31, 2006. Approximately 49% of the increase was attributable to revenue contributed by acquisitions made during fiscal 2006 and 2007, and the remainder was primarily attributable to additional revenue from consolidation and transformation projects for tier one customers. License and service revenue resulted from the sale of Customer Experience Systems represented 90.2% and</w:t>
      </w:r>
    </w:p>
    <w:p>
      <w:pPr>
        <w:spacing w:after="0" w:line="4"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88.5% of our total revenue in the three months ended March 31, 2007 and 2006, respectively. We believe the demand for our Customer Experience Systems is primarily driven by the need of communications service providers to transform their systems in order to deliver a better, differentiated customer experience and to introduce new products faster. Although the pace at which service providers are embarking on transformation projects at the beginning of the year was not as we expected, we continue to regard these projects as a long term industry trend that will continue to drive the demand for our Customer Experience Systems.</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54" w:right="1440" w:bottom="1440" w:gutter="0" w:footer="0" w:header="0"/>
        </w:sectPr>
      </w:pPr>
    </w:p>
    <w:bookmarkStart w:id="27" w:name="page28"/>
    <w:bookmarkEnd w:id="27"/>
    <w:p>
      <w:pPr>
        <w:ind w:right="2819" w:firstLine="563"/>
        <w:spacing w:after="0" w:line="238" w:lineRule="auto"/>
        <w:rPr>
          <w:sz w:val="20"/>
          <w:szCs w:val="20"/>
          <w:color w:val="auto"/>
        </w:rPr>
      </w:pPr>
      <w:r>
        <w:rPr>
          <w:rFonts w:ascii="Courier New" w:cs="Courier New" w:eastAsia="Courier New" w:hAnsi="Courier New"/>
          <w:sz w:val="16"/>
          <w:szCs w:val="16"/>
          <w:color w:val="auto"/>
        </w:rPr>
        <w:t>License and service revenue attributable to the sale of Directory Systems was $68.9 million in the three months ended March 31, 2007, compared to $69.3 million in the three months ended March 31, 2006. License and service revenue from the sale of Directory Systems represented 9.8% and 11.5% of our total revenue in the three months ended March 31, 2007 and 2006, respectively. We believe that we are a leading provider of Directory Systems in most of the markets we serve. We expect that our revenue from Directory Systems in absolute amount will increase slightly in fiscal 2007.</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In the three months ended March 31, 2007, revenue from customers in North America, Europe and the rest of the world accounted for 66.5%, 23.0% and 10.5%, respectively, of total revenue compared to 69.8%, 22.0% and 8.2%, respectively, in the three months ended March 31, 2006. Revenue from customers in North America increased in absolute amounts, but the increase was less than the 17.5% increase in our total revenue which resulted in a decrease in revenue from customers in North America as a percentage of total revenue. Approximately 71.7% of the increase in revenue from customers in Europe, in absolute amount, was attributable to revenues contributed by acquisitions made during fiscal 2006 and 2007, and the remainder was primarily attributable to projects for tier one customers. The increase in revenue from customers in the rest of the world in the three months ended March 31, 2007 was attributable primarily to revenue contributed in Asia Pacific and to revenues contributed by acquisitions made during fiscal 2006 and 2007.</w:t>
      </w:r>
    </w:p>
    <w:p>
      <w:pPr>
        <w:spacing w:after="0" w:line="189"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three months ended March 31, 2007 and 2006, cost of license as a percentage of license revenue was 2.7% and 3.0%.</w:t>
      </w:r>
    </w:p>
    <w:p>
      <w:pPr>
        <w:spacing w:after="0" w:line="185"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COST OF SERVICE. Cost of service consists primarily of costs associated with providing services to customers, including compensation expense, warranty expense and costs of third-party products. The increase in cost of service in the three months ended March 31, 2007 was 15.1%, which is less than the increase in our total revenue in the three months ended March 31, 2007. The increase in cost of service in the three months ended March 31, 2007 in absolute amount was attributable to cost of service expense related to our fiscal 2006 acquisitions as well as to expense relating to our core business, which grew at a lower percentage than revenue. As a percentage of revenue, cost of service was 63.3% in the three months ended March 31, 2007, compared to 64.6% in the three months ended March 31, 2006. Our cost of service and gross margin may vary depending on the types and geographic locations of projects that we undertake.</w:t>
      </w:r>
    </w:p>
    <w:p>
      <w:pPr>
        <w:spacing w:after="0" w:line="178"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RESEARCH AND DEVELOPMENT. Research and development expense is primarily comprised of compensation expense. Research and development expense increased by $15.9 million, or 38.0%, in the three months ended March 31, 2007 to $57.7 million from $41.8 million in the three months ended March 31, 2006. Research and development expense increased as a percentage of revenue from 7.0% in the three months ended March 31, 2006 to 8.2% in the three months ended March 31, 2007. The increase in research and development expense was attributable mainly to research and development activities related to our fiscal 2006 acquisitions, as well as to an increase in research and development efforts to support our growth strategy.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189"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SELLING, GENERAL AND ADMINISTRATIVE. Selling, general and administrative expense increased by $17.5 million, or 23.7%, in the three months ended March 31, 2007 to $91.3 million, from $73.8 million in the three months ended March 31, 2006. Selling, general and administrative expense is primarily comprised of compensation expense. The increase in selling, general and administrative expense in absolute amount is attributable to selling, general and administrative expense related to our fiscal 2006 acquisitions. Selling, general and administrative expense relating to our core business decreased as a percentage of revenue.</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59" w:right="1440" w:bottom="1440" w:gutter="0" w:footer="0" w:header="0"/>
        </w:sectPr>
      </w:pPr>
    </w:p>
    <w:bookmarkStart w:id="28" w:name="page29"/>
    <w:bookmarkEnd w:id="28"/>
    <w:p>
      <w:pPr>
        <w:ind w:right="2819" w:firstLine="563"/>
        <w:spacing w:after="0" w:line="237" w:lineRule="auto"/>
        <w:rPr>
          <w:sz w:val="20"/>
          <w:szCs w:val="20"/>
          <w:color w:val="auto"/>
        </w:rPr>
      </w:pPr>
      <w:r>
        <w:rPr>
          <w:rFonts w:ascii="Courier New" w:cs="Courier New" w:eastAsia="Courier New" w:hAnsi="Courier New"/>
          <w:sz w:val="16"/>
          <w:szCs w:val="16"/>
          <w:color w:val="auto"/>
        </w:rPr>
        <w:t>AMORTIZATION OF PURCHASED INTANGIBLE ASSETS. Amortization of purchased intangible assets in the three months ended March 31, 2007 was $18.9 million, compared to $7.5 million in the three months ended March 31, 2006. The increase in amortization of purchased intangible assets was due to purchased intangible assets acquired in our fiscal 2006 and 2007 acquisitions.</w:t>
      </w:r>
    </w:p>
    <w:p>
      <w:pPr>
        <w:spacing w:after="0" w:line="187" w:lineRule="exact"/>
        <w:rPr>
          <w:sz w:val="20"/>
          <w:szCs w:val="20"/>
          <w:color w:val="auto"/>
        </w:rPr>
      </w:pPr>
    </w:p>
    <w:p>
      <w:pPr>
        <w:ind w:right="2719" w:firstLine="563"/>
        <w:spacing w:after="0" w:line="256" w:lineRule="auto"/>
        <w:rPr>
          <w:sz w:val="20"/>
          <w:szCs w:val="20"/>
          <w:color w:val="auto"/>
        </w:rPr>
      </w:pPr>
      <w:r>
        <w:rPr>
          <w:rFonts w:ascii="Courier New" w:cs="Courier New" w:eastAsia="Courier New" w:hAnsi="Courier New"/>
          <w:sz w:val="15"/>
          <w:szCs w:val="15"/>
          <w:color w:val="auto"/>
        </w:rPr>
        <w:t>RESTRUCTURING CHARGES, IN-PROCESS RESEARCH AND DEVELOPMENT AND OTHER. Restructuring charges, in-process research and development and other in the three months ended March 31, 2007 consisted of a $6.0 million restructuring charge related to our restructuring plan in the second quarter of fiscal 2007, and a charge of $2.7 million for the write-off of purchased in-process research and development related to our acquisition of SigValue, offset by the cumulative effect of our 14% share in SigValue's pre-acquisition results of $1.9 million.</w:t>
      </w:r>
    </w:p>
    <w:p>
      <w:pPr>
        <w:spacing w:after="0" w:line="174" w:lineRule="exact"/>
        <w:rPr>
          <w:sz w:val="20"/>
          <w:szCs w:val="20"/>
          <w:color w:val="auto"/>
        </w:rPr>
      </w:pPr>
    </w:p>
    <w:p>
      <w:pPr>
        <w:ind w:right="2819" w:firstLine="563"/>
        <w:spacing w:after="0" w:line="238" w:lineRule="auto"/>
        <w:rPr>
          <w:sz w:val="20"/>
          <w:szCs w:val="20"/>
          <w:color w:val="auto"/>
        </w:rPr>
      </w:pPr>
      <w:r>
        <w:rPr>
          <w:rFonts w:ascii="Courier New" w:cs="Courier New" w:eastAsia="Courier New" w:hAnsi="Courier New"/>
          <w:sz w:val="16"/>
          <w:szCs w:val="16"/>
          <w:color w:val="auto"/>
        </w:rPr>
        <w:t>OPERATING INCOME. Operating income decreased by $5.0 million, or 5.6%, in the three months ended March 31, 2007, to $83.8 million, or 11.9% of revenue, from $88.8 million, or 14.8% of revenue, in the three months ended March 31, 2006. The decrease in operating income was attributable to a 21.5% increase in operating expense which grew at a greater rate than the 17.5% increase in revenue during the three months ended March 31, 2007. The increase in operating expense as a percentage of revenue is primarily attributable to the increase in amortization of purchased intangible assets, restructuring charges, in-process research and development and other and to operating expense related to our fiscal 2006 acquisitions, partially offset by a decrease in our ongoing operating expenses as a percentage of revenue.</w:t>
      </w:r>
    </w:p>
    <w:p>
      <w:pPr>
        <w:spacing w:after="0" w:line="187" w:lineRule="exact"/>
        <w:rPr>
          <w:sz w:val="20"/>
          <w:szCs w:val="20"/>
          <w:color w:val="auto"/>
        </w:rPr>
      </w:pPr>
    </w:p>
    <w:p>
      <w:pPr>
        <w:jc w:val="both"/>
        <w:ind w:right="2899" w:firstLine="563"/>
        <w:spacing w:after="0" w:line="237" w:lineRule="auto"/>
        <w:rPr>
          <w:sz w:val="20"/>
          <w:szCs w:val="20"/>
          <w:color w:val="auto"/>
        </w:rPr>
      </w:pPr>
      <w:r>
        <w:rPr>
          <w:rFonts w:ascii="Courier New" w:cs="Courier New" w:eastAsia="Courier New" w:hAnsi="Courier New"/>
          <w:sz w:val="16"/>
          <w:szCs w:val="16"/>
          <w:color w:val="auto"/>
        </w:rPr>
        <w:t>INTEREST INCOME AND OTHER, NET. Interest income and other, net increased by $0.6 million in the three months ended March 31, 2007 to $10.9 million from $10.3 million in the three months ended March 31, 2006.</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INCOME TAXES. Income taxes for the three months ended March 31, 2007 were $7.5 million on pretax income of $94.7 million, resulting in an effective tax rate of 7.9% compared to 17.5% in the three months ended March 31, 2006. Of the reduction in our effective tax rate, 5.6% was attributable to the net effect of acquisition-related costs (which include amortization of purchased intangible assets, in-process research and development and other), restructuring charges and equity-based compensation expense and the remaining difference was primarily attributable to the geographical distribution of earnings from global operations. Our effective tax rate for fiscal year 2007 is expected to be between 8% and 12% on an annualized basis compared to 14.8% in fiscal year 2006. Our effective tax rate may fluctuate between quarters as a result of discrete items that may affect a specific quarter as well as changes in the Company's tax reserves in the ordinary course of business.</w:t>
      </w:r>
    </w:p>
    <w:p>
      <w:pPr>
        <w:spacing w:after="0" w:line="189"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NET INCOME. Net income was $87.2 million in the three months ended March 31, 2007, compared to net income of $81.8 million in the three months ended March 31, 2006. The increase in net income is attributable to the decrease of our effective tax rate in the three months ended March 31, 2007 partially offset by the decrease in our operating income.</w:t>
      </w:r>
    </w:p>
    <w:p>
      <w:pPr>
        <w:spacing w:after="0" w:line="187"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DILUTED EARNINGS PER SHARE. Diluted earnings per share increased by $0.02, or 5.3%, in the three months ended March 31, 2007 to $0.40 from $0.38 in the three months ended March 31, 2006. The increase in diluted earnings per share resulted from the increase in net income.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Cash, cash equivalents and short-term interest-bearing investments totaled $1,039.4 million as of March 31, 2007, compared to $979.4 million as of September 30, 2006. The increase is mainly attributable to positive cash flows from operations of $190.3 million, proceeds from employee stock options exercised of $29.0 million, partially offset by $84.9 million of capital expenditures and $77.6 million in net cash paid for acquisitions. Net cash provided by operating activities amounted to $190.3 million and $181.4 million for the six months ended March 31, 2007 and 2006, respectively.</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59" w:right="1440" w:bottom="1440" w:gutter="0" w:footer="0" w:header="0"/>
        </w:sectPr>
      </w:pPr>
    </w:p>
    <w:bookmarkStart w:id="29" w:name="page30"/>
    <w:bookmarkEnd w:id="29"/>
    <w:p>
      <w:pPr>
        <w:ind w:right="2719" w:firstLine="563"/>
        <w:spacing w:after="0" w:line="257" w:lineRule="auto"/>
        <w:rPr>
          <w:sz w:val="20"/>
          <w:szCs w:val="20"/>
          <w:color w:val="auto"/>
        </w:rPr>
      </w:pPr>
      <w:r>
        <w:rPr>
          <w:rFonts w:ascii="Courier New" w:cs="Courier New" w:eastAsia="Courier New" w:hAnsi="Courier New"/>
          <w:sz w:val="15"/>
          <w:szCs w:val="15"/>
          <w:color w:val="auto"/>
        </w:rPr>
        <w:t>Our policy is to retain substantial cash balances in order to support the growth of the Company. We believe that our current cash balances, cash generated from operations and our current lines of credit will provide sufficient resources to meet our operational needs for at least the next fiscal year.</w:t>
      </w:r>
    </w:p>
    <w:p>
      <w:pPr>
        <w:spacing w:after="0" w:line="174"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As of March 31, 2007, $450.0 million and $0.2 million aggregate principal amount of our 0.50% Convertible Senior Notes due 2024 and 2% Convertible Notes due 2008 were outstanding, respectively. As of March 31, 2007, we had available short-term general revolving lines of credit totaling $31.0 million, none of which was outstanding, and outstanding letters of credit and bank guarantees from various banks totaling $11.1 million. As of March 31, 2007, we had outstanding short term loans totalling $1.8 million secured by specified pledges and guaranties.</w:t>
      </w:r>
    </w:p>
    <w:p>
      <w:pPr>
        <w:spacing w:after="0" w:line="18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We have contractual obligations for our convertible notes, financing arrangements and non-cancelable operating leases that were summarized in a table of contractual obligations in our Annual Report on Form 20-F for fiscal 2006. Since September 30, 2006, there have been no material changes in contractual obligations outside the ordinary course of our business.</w:t>
      </w:r>
    </w:p>
    <w:p>
      <w:pPr>
        <w:spacing w:after="0" w:line="187" w:lineRule="exact"/>
        <w:rPr>
          <w:sz w:val="20"/>
          <w:szCs w:val="20"/>
          <w:color w:val="auto"/>
        </w:rPr>
      </w:pPr>
    </w:p>
    <w:p>
      <w:pPr>
        <w:ind w:right="2819" w:firstLine="563"/>
        <w:spacing w:after="0" w:line="238" w:lineRule="auto"/>
        <w:rPr>
          <w:sz w:val="20"/>
          <w:szCs w:val="20"/>
          <w:color w:val="auto"/>
        </w:rPr>
      </w:pPr>
      <w:r>
        <w:rPr>
          <w:rFonts w:ascii="Courier New" w:cs="Courier New" w:eastAsia="Courier New" w:hAnsi="Courier New"/>
          <w:sz w:val="16"/>
          <w:szCs w:val="16"/>
          <w:color w:val="auto"/>
        </w:rPr>
        <w:t>Our capital expenditures were approximately $84.9 million in the six months ended March 31, 2007. Approximately 60% of these expenditures consisted of purchases of computer equipment, and the remainder primarily to leasehold improvements. The capital expenditures in the six months ended March 31, 2007 were mainly attributable to invetsments in our operating facilities and our development centers around the world. We funded our capital expenditures principally from operating cash flows. We do not anticipate any changes to this policy in the foreseeable future.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CURRENCY FLUCTUATIONS</w:t>
      </w:r>
    </w:p>
    <w:p>
      <w:pPr>
        <w:spacing w:after="0" w:line="185" w:lineRule="exact"/>
        <w:rPr>
          <w:sz w:val="20"/>
          <w:szCs w:val="20"/>
          <w:color w:val="auto"/>
        </w:rPr>
      </w:pPr>
    </w:p>
    <w:p>
      <w:pPr>
        <w:ind w:right="2719" w:firstLine="563"/>
        <w:spacing w:after="0" w:line="256" w:lineRule="auto"/>
        <w:rPr>
          <w:sz w:val="20"/>
          <w:szCs w:val="20"/>
          <w:color w:val="auto"/>
        </w:rPr>
      </w:pPr>
      <w:r>
        <w:rPr>
          <w:rFonts w:ascii="Courier New" w:cs="Courier New" w:eastAsia="Courier New" w:hAnsi="Courier New"/>
          <w:sz w:val="15"/>
          <w:szCs w:val="15"/>
          <w:color w:val="auto"/>
        </w:rPr>
        <w:t>We manage our foreign subsidiaries as integral direct components of our operations. The U.S. dollar is our functional currency. According to the salient economic factors indicated in SFAS No.52, "Foreign Currency Translation", our cash flow, sale price, sales market, expense, financing and intercompany transactions and arrangement indicators are predominately denominated in the U.S. dollar. The operations of our foreign subsidiaries provide the same type of services with the same type of expenditure throughout the Amdocs group.</w:t>
      </w:r>
    </w:p>
    <w:p>
      <w:pPr>
        <w:spacing w:after="0" w:line="174"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During the three and six months ended March 31, 2007 and 2006, approximately 70% to 80% of our revenue and approximately 50% to 60% of our operating expenses were in U.S. dollars or linked to the U.S. dollar. As a result of long-term contracts in currencies other than the U.S. dollar and more customers seeking contracts that are denominated in currencies such as the Euro, the percentage of our revenue and operating expenses in U.S. dollar or linked to the U.S. dollar may decrease slightly over time. Historically, the effect of fluctuations in currency exchange rates on our consolidated operations was not material. As more of our customers seek contracts that are denominated in currencies other than the U.S. dollar, our exposure to fluctuations in currency exchange rates could increase. In managing our foreign exchange risk, we enter from time to time into various foreign exchange hedging contracts and options.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17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59"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6"/>
          <w:szCs w:val="16"/>
          <w:color w:val="auto"/>
        </w:rPr>
        <w:t>PART II OTHER INFORMATION</w:t>
      </w:r>
    </w:p>
    <w:p>
      <w:pPr>
        <w:spacing w:after="0" w:line="185" w:lineRule="exact"/>
        <w:rPr>
          <w:sz w:val="20"/>
          <w:szCs w:val="20"/>
          <w:color w:val="auto"/>
        </w:rPr>
      </w:pPr>
    </w:p>
    <w:p>
      <w:pPr>
        <w:ind w:left="660" w:right="3099" w:hanging="656"/>
        <w:spacing w:after="0" w:line="236" w:lineRule="auto"/>
        <w:rPr>
          <w:sz w:val="20"/>
          <w:szCs w:val="20"/>
          <w:color w:val="auto"/>
        </w:rPr>
      </w:pPr>
      <w:r>
        <w:rPr>
          <w:rFonts w:ascii="Courier New" w:cs="Courier New" w:eastAsia="Courier New" w:hAnsi="Courier New"/>
          <w:sz w:val="16"/>
          <w:szCs w:val="16"/>
          <w:color w:val="auto"/>
        </w:rPr>
        <w:t>ITEM 1.CHANGES IN SECURITIES, USE OF PROCEEDS AND ISSUER PURCHASES OF EQUITY SECURITIES.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54" w:right="1440" w:bottom="1440" w:gutter="0" w:footer="0" w:header="0"/>
        </w:sectPr>
      </w:pPr>
    </w:p>
    <w:bookmarkStart w:id="31" w:name="page32"/>
    <w:bookmarkEnd w:id="31"/>
    <w:p>
      <w:pPr>
        <w:ind w:left="4"/>
        <w:spacing w:after="0"/>
        <w:rPr>
          <w:sz w:val="20"/>
          <w:szCs w:val="20"/>
          <w:color w:val="auto"/>
        </w:rPr>
      </w:pPr>
      <w:r>
        <w:rPr>
          <w:rFonts w:ascii="Courier New" w:cs="Courier New" w:eastAsia="Courier New" w:hAnsi="Courier New"/>
          <w:sz w:val="16"/>
          <w:szCs w:val="16"/>
          <w:color w:val="auto"/>
        </w:rPr>
        <w:t>ITEM 2. REPORTS ON FORM 6-K</w:t>
      </w:r>
    </w:p>
    <w:p>
      <w:pPr>
        <w:spacing w:after="0" w:line="179" w:lineRule="exact"/>
        <w:rPr>
          <w:sz w:val="20"/>
          <w:szCs w:val="20"/>
          <w:color w:val="auto"/>
        </w:rPr>
      </w:pPr>
    </w:p>
    <w:p>
      <w:pPr>
        <w:ind w:left="564" w:hanging="564"/>
        <w:spacing w:after="0"/>
        <w:tabs>
          <w:tab w:leader="none" w:pos="56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6-K</w:t>
      </w:r>
    </w:p>
    <w:p>
      <w:pPr>
        <w:spacing w:after="0" w:line="184" w:lineRule="exact"/>
        <w:rPr>
          <w:rFonts w:ascii="Courier New" w:cs="Courier New" w:eastAsia="Courier New" w:hAnsi="Courier New"/>
          <w:sz w:val="16"/>
          <w:szCs w:val="16"/>
          <w:color w:val="auto"/>
        </w:rPr>
      </w:pPr>
    </w:p>
    <w:p>
      <w:pPr>
        <w:ind w:left="564" w:right="299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furnished or filed the following reports on Form 6-K during the three months ended March 31, 2007:</w:t>
      </w:r>
    </w:p>
    <w:p>
      <w:pPr>
        <w:spacing w:after="0" w:line="179" w:lineRule="exact"/>
        <w:rPr>
          <w:rFonts w:ascii="Courier New" w:cs="Courier New" w:eastAsia="Courier New" w:hAnsi="Courier New"/>
          <w:sz w:val="16"/>
          <w:szCs w:val="16"/>
          <w:color w:val="auto"/>
        </w:rPr>
      </w:pPr>
    </w:p>
    <w:p>
      <w:pPr>
        <w:ind w:left="1124" w:hanging="561"/>
        <w:spacing w:after="0"/>
        <w:tabs>
          <w:tab w:leader="none" w:pos="1124"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6-K dated February 6, 2007.</w:t>
      </w:r>
    </w:p>
    <w:p>
      <w:pPr>
        <w:spacing w:after="0" w:line="179" w:lineRule="exact"/>
        <w:rPr>
          <w:rFonts w:ascii="Courier New" w:cs="Courier New" w:eastAsia="Courier New" w:hAnsi="Courier New"/>
          <w:sz w:val="16"/>
          <w:szCs w:val="16"/>
          <w:color w:val="auto"/>
        </w:rPr>
      </w:pPr>
    </w:p>
    <w:p>
      <w:pPr>
        <w:ind w:left="1124" w:hanging="561"/>
        <w:spacing w:after="0"/>
        <w:tabs>
          <w:tab w:leader="none" w:pos="1124"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6-K dated January 18, 2007.</w:t>
      </w:r>
    </w:p>
    <w:p>
      <w:pPr>
        <w:spacing w:after="0" w:line="179" w:lineRule="exact"/>
        <w:rPr>
          <w:rFonts w:ascii="Courier New" w:cs="Courier New" w:eastAsia="Courier New" w:hAnsi="Courier New"/>
          <w:sz w:val="16"/>
          <w:szCs w:val="16"/>
          <w:color w:val="auto"/>
        </w:rPr>
      </w:pPr>
    </w:p>
    <w:p>
      <w:pPr>
        <w:ind w:left="1124" w:hanging="561"/>
        <w:spacing w:after="0"/>
        <w:tabs>
          <w:tab w:leader="none" w:pos="1124"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6-K dated January 10, 2007.</w:t>
      </w:r>
    </w:p>
    <w:p>
      <w:pPr>
        <w:spacing w:after="0" w:line="179"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23"/>
          </w:cols>
          <w:pgMar w:left="236" w:top="654" w:right="1440" w:bottom="1440" w:gutter="0" w:footer="0" w:header="0"/>
        </w:sectPr>
      </w:pPr>
    </w:p>
    <w:bookmarkStart w:id="32" w:name="page33"/>
    <w:bookmarkEnd w:id="32"/>
    <w:p>
      <w:pPr>
        <w:ind w:left="3280"/>
        <w:spacing w:after="0"/>
        <w:rPr>
          <w:sz w:val="20"/>
          <w:szCs w:val="20"/>
          <w:color w:val="auto"/>
        </w:rPr>
      </w:pPr>
      <w:r>
        <w:rPr>
          <w:rFonts w:ascii="Courier New" w:cs="Courier New" w:eastAsia="Courier New" w:hAnsi="Courier New"/>
          <w:sz w:val="16"/>
          <w:szCs w:val="16"/>
          <w:color w:val="auto"/>
        </w:rPr>
        <w:t>SIGNATURES</w:t>
      </w:r>
    </w:p>
    <w:p>
      <w:pPr>
        <w:spacing w:after="0" w:line="185" w:lineRule="exact"/>
        <w:rPr>
          <w:sz w:val="20"/>
          <w:szCs w:val="20"/>
          <w:color w:val="auto"/>
        </w:rPr>
      </w:pPr>
    </w:p>
    <w:p>
      <w:pPr>
        <w:jc w:val="both"/>
        <w:ind w:right="3479"/>
        <w:spacing w:after="0" w:line="23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AMDOCS LIMITED</w:t>
      </w:r>
    </w:p>
    <w:p>
      <w:pPr>
        <w:spacing w:after="0" w:line="17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/s/ Thomas G. O'Brien</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Thomas G. O'Brien</w:t>
      </w:r>
    </w:p>
    <w:p>
      <w:pPr>
        <w:ind w:left="3840"/>
        <w:spacing w:after="0"/>
        <w:rPr>
          <w:sz w:val="20"/>
          <w:szCs w:val="20"/>
          <w:color w:val="auto"/>
        </w:rPr>
      </w:pPr>
      <w:r>
        <w:rPr>
          <w:rFonts w:ascii="Courier New" w:cs="Courier New" w:eastAsia="Courier New" w:hAnsi="Courier New"/>
          <w:sz w:val="16"/>
          <w:szCs w:val="16"/>
          <w:color w:val="auto"/>
        </w:rPr>
        <w:t>Treasurer and Secretary</w:t>
      </w:r>
    </w:p>
    <w:p>
      <w:pPr>
        <w:ind w:left="3840"/>
        <w:spacing w:after="0" w:line="237" w:lineRule="auto"/>
        <w:rPr>
          <w:sz w:val="20"/>
          <w:szCs w:val="20"/>
          <w:color w:val="auto"/>
        </w:rPr>
      </w:pPr>
      <w:r>
        <w:rPr>
          <w:rFonts w:ascii="Courier New" w:cs="Courier New" w:eastAsia="Courier New" w:hAnsi="Courier New"/>
          <w:sz w:val="16"/>
          <w:szCs w:val="16"/>
          <w:color w:val="auto"/>
        </w:rPr>
        <w:t>Authorized U.S. Representative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11, 2007</w:t>
      </w:r>
    </w:p>
    <w:sectPr>
      <w:pgSz w:w="11900" w:h="16838" w:orient="portrait"/>
      <w:cols w:equalWidth="0" w:num="1">
        <w:col w:w="10219"/>
      </w:cols>
      <w:pgMar w:left="240" w:top="8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decimal"/>
      <w:start w:val="2"/>
    </w:lvl>
  </w:abstractNum>
  <w:abstractNum w:abstractNumId="2">
    <w:nsid w:val="4DB127F8"/>
    <w:multiLevelType w:val="hybridMultilevel"/>
    <w:lvl w:ilvl="0">
      <w:lvlJc w:val="left"/>
      <w:lvlText w:val="%1."/>
      <w:numFmt w:val="decimal"/>
      <w:start w:val="3"/>
    </w:lvl>
  </w:abstractNum>
  <w:abstractNum w:abstractNumId="3">
    <w:nsid w:val="216231B"/>
    <w:multiLevelType w:val="hybridMultilevel"/>
    <w:lvl w:ilvl="0">
      <w:lvlJc w:val="left"/>
      <w:lvlText w:val="%1."/>
      <w:numFmt w:val="decimal"/>
      <w:start w:val="4"/>
    </w:lvl>
  </w:abstractNum>
  <w:abstractNum w:abstractNumId="4">
    <w:nsid w:val="1F16E9E8"/>
    <w:multiLevelType w:val="hybridMultilevel"/>
    <w:lvl w:ilvl="0">
      <w:lvlJc w:val="left"/>
      <w:lvlText w:val="%1."/>
      <w:numFmt w:val="decimal"/>
      <w:start w:val="5"/>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6"/>
    </w:lvl>
  </w:abstractNum>
  <w:abstractNum w:abstractNumId="7">
    <w:nsid w:val="140E0F76"/>
    <w:multiLevelType w:val="hybridMultilevel"/>
    <w:lvl w:ilvl="0">
      <w:lvlJc w:val="left"/>
      <w:lvlText w:val="%1."/>
      <w:numFmt w:val="decimal"/>
      <w:start w:val="7"/>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2"/>
    </w:lvl>
  </w:abstractNum>
  <w:abstractNum w:abstractNumId="11">
    <w:nsid w:val="7FDCC233"/>
    <w:multiLevelType w:val="hybridMultilevel"/>
    <w:lvl w:ilvl="0">
      <w:lvlJc w:val="left"/>
      <w:lvlText w:val="%1."/>
      <w:numFmt w:val="decimal"/>
      <w:start w:val="10"/>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lvl w:ilvl="1">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2019-12-14T21:11:56Z</dcterms:created>
  <dcterms:modified xsi:type="dcterms:W3CDTF">2019-12-14T21:11:56Z</dcterms:modified>
</cp:coreProperties>
</file>