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0"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6-K</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30"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46"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For the Quarter Ended December 31, 2003</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Commission File Number 1-14840</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30"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Inc.</w:t>
      </w:r>
    </w:p>
    <w:p>
      <w:pPr>
        <w:spacing w:after="0" w:line="30"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4" w:lineRule="exact"/>
        <w:rPr>
          <w:sz w:val="24"/>
          <w:szCs w:val="24"/>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8" w:lineRule="exact"/>
        <w:rPr>
          <w:sz w:val="24"/>
          <w:szCs w:val="24"/>
          <w:color w:val="auto"/>
        </w:rPr>
      </w:pPr>
    </w:p>
    <w:p>
      <w:pPr>
        <w:ind w:left="1160"/>
        <w:spacing w:after="0"/>
        <w:tabs>
          <w:tab w:leader="none" w:pos="354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5"/>
          <w:szCs w:val="15"/>
          <w:color w:val="auto"/>
        </w:rPr>
        <w:t>FORM 40-F [ ]</w:t>
      </w:r>
    </w:p>
    <w:p>
      <w:pPr>
        <w:spacing w:after="0" w:line="174" w:lineRule="exact"/>
        <w:rPr>
          <w:sz w:val="24"/>
          <w:szCs w:val="24"/>
          <w:color w:val="auto"/>
        </w:rPr>
      </w:pPr>
    </w:p>
    <w:p>
      <w:pPr>
        <w:ind w:right="3079"/>
        <w:spacing w:after="0" w:line="331"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 w:lineRule="exact"/>
        <w:rPr>
          <w:sz w:val="24"/>
          <w:szCs w:val="24"/>
          <w:color w:val="auto"/>
        </w:rPr>
      </w:pPr>
    </w:p>
    <w:p>
      <w:pPr>
        <w:ind w:left="1780"/>
        <w:spacing w:after="0"/>
        <w:tabs>
          <w:tab w:leader="none" w:pos="4080" w:val="left"/>
        </w:tabs>
        <w:rPr>
          <w:sz w:val="20"/>
          <w:szCs w:val="20"/>
          <w:color w:val="auto"/>
        </w:rPr>
      </w:pPr>
      <w:r>
        <w:rPr>
          <w:rFonts w:ascii="Courier New" w:cs="Courier New" w:eastAsia="Courier New" w:hAnsi="Courier New"/>
          <w:sz w:val="15"/>
          <w:szCs w:val="15"/>
          <w:color w:val="auto"/>
        </w:rPr>
        <w:t>YES [ ]</w:t>
      </w:r>
      <w:r>
        <w:rPr>
          <w:sz w:val="20"/>
          <w:szCs w:val="20"/>
          <w:color w:val="auto"/>
        </w:rPr>
        <w:tab/>
      </w:r>
      <w:r>
        <w:rPr>
          <w:rFonts w:ascii="Courier New" w:cs="Courier New" w:eastAsia="Courier New" w:hAnsi="Courier New"/>
          <w:sz w:val="14"/>
          <w:szCs w:val="14"/>
          <w:color w:val="auto"/>
        </w:rPr>
        <w:t>NO [X]</w:t>
      </w:r>
    </w:p>
    <w:p>
      <w:pPr>
        <w:sectPr>
          <w:pgSz w:w="11900" w:h="16838" w:orient="portrait"/>
          <w:cols w:equalWidth="0" w:num="1">
            <w:col w:w="10219"/>
          </w:cols>
          <w:pgMar w:left="240" w:top="549" w:right="1440" w:bottom="1440" w:gutter="0" w:footer="0" w:header="0"/>
        </w:sectPr>
      </w:pPr>
    </w:p>
    <w:bookmarkStart w:id="1" w:name="page2"/>
    <w:bookmarkEnd w:id="1"/>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6-K</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 THE QUARTER ENDED DECEMBER 31, 2003</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31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Item 1. Financial Statements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Consolidated Statement of Changes in Shareholders' Equity</w:t>
      </w:r>
    </w:p>
    <w:p>
      <w:pPr>
        <w:spacing w:after="0" w:line="185"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ind w:left="880" w:right="3779" w:firstLine="894"/>
        <w:spacing w:after="0" w:line="520" w:lineRule="auto"/>
        <w:rPr>
          <w:sz w:val="20"/>
          <w:szCs w:val="20"/>
          <w:color w:val="auto"/>
        </w:rPr>
      </w:pPr>
      <w:r>
        <w:rPr>
          <w:rFonts w:ascii="Courier New" w:cs="Courier New" w:eastAsia="Courier New" w:hAnsi="Courier New"/>
          <w:sz w:val="14"/>
          <w:szCs w:val="14"/>
          <w:color w:val="auto"/>
        </w:rPr>
        <w:t>Notes to Unaudited Consolidated Financial Statements Item 2. Operating and Financial Review and Prospects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4" w:lineRule="exact"/>
        <w:rPr>
          <w:sz w:val="20"/>
          <w:szCs w:val="20"/>
          <w:color w:val="auto"/>
        </w:rPr>
      </w:pPr>
    </w:p>
    <w:p>
      <w:pPr>
        <w:ind w:left="880" w:right="4059"/>
        <w:spacing w:after="0" w:line="485" w:lineRule="auto"/>
        <w:rPr>
          <w:sz w:val="20"/>
          <w:szCs w:val="20"/>
          <w:color w:val="auto"/>
        </w:rPr>
      </w:pPr>
      <w:r>
        <w:rPr>
          <w:rFonts w:ascii="Courier New" w:cs="Courier New" w:eastAsia="Courier New" w:hAnsi="Courier New"/>
          <w:sz w:val="15"/>
          <w:szCs w:val="15"/>
          <w:color w:val="auto"/>
        </w:rPr>
        <w:t>Item 1. Submission of Matters to a Vote of Security Holders Item 2. Reports on Form 6-K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0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30"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00" w:type="dxa"/>
            <w:vAlign w:val="bottom"/>
          </w:tcPr>
          <w:p>
            <w:pPr>
              <w:ind w:left="1960"/>
              <w:spacing w:after="0"/>
              <w:rPr>
                <w:sz w:val="20"/>
                <w:szCs w:val="20"/>
                <w:color w:val="auto"/>
              </w:rPr>
            </w:pPr>
            <w:r>
              <w:rPr>
                <w:rFonts w:ascii="Courier New" w:cs="Courier New" w:eastAsia="Courier New" w:hAnsi="Courier New"/>
                <w:sz w:val="15"/>
                <w:szCs w:val="15"/>
                <w:color w:val="auto"/>
              </w:rPr>
              <w:t>(in thousands, except per share data)</w:t>
            </w: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7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OF</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500" w:type="dxa"/>
            <w:vAlign w:val="bottom"/>
          </w:tcPr>
          <w:p>
            <w:pPr>
              <w:spacing w:after="0"/>
              <w:rPr>
                <w:sz w:val="14"/>
                <w:szCs w:val="14"/>
                <w:color w:val="auto"/>
              </w:rPr>
            </w:pPr>
          </w:p>
        </w:tc>
        <w:tc>
          <w:tcPr>
            <w:tcW w:w="3040" w:type="dxa"/>
            <w:vAlign w:val="bottom"/>
            <w:gridSpan w:val="4"/>
          </w:tcPr>
          <w:p>
            <w:pPr>
              <w:ind w:left="2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7500" w:type="dxa"/>
            <w:vAlign w:val="bottom"/>
          </w:tcPr>
          <w:p>
            <w:pPr>
              <w:spacing w:after="0"/>
              <w:rPr>
                <w:sz w:val="14"/>
                <w:szCs w:val="14"/>
                <w:color w:val="auto"/>
              </w:rPr>
            </w:pP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2"/>
        </w:trPr>
        <w:tc>
          <w:tcPr>
            <w:tcW w:w="7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72"/>
        </w:trPr>
        <w:tc>
          <w:tcPr>
            <w:tcW w:w="7500" w:type="dxa"/>
            <w:vAlign w:val="bottom"/>
          </w:tcPr>
          <w:p>
            <w:pPr>
              <w:spacing w:after="0"/>
              <w:rPr>
                <w:sz w:val="14"/>
                <w:szCs w:val="14"/>
                <w:color w:val="auto"/>
              </w:rPr>
            </w:pPr>
          </w:p>
        </w:tc>
        <w:tc>
          <w:tcPr>
            <w:tcW w:w="18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7500" w:type="dxa"/>
            <w:vAlign w:val="bottom"/>
          </w:tcPr>
          <w:p>
            <w:pPr>
              <w:spacing w:after="0"/>
              <w:rPr>
                <w:sz w:val="21"/>
                <w:szCs w:val="21"/>
                <w:color w:val="auto"/>
              </w:rPr>
            </w:pP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552,213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847,600</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676,529</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443,292</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210,022</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198,274</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82,453</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60,868</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74,274</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85,902</w:t>
            </w:r>
          </w:p>
        </w:tc>
        <w:tc>
          <w:tcPr>
            <w:tcW w:w="0" w:type="dxa"/>
            <w:vAlign w:val="bottom"/>
          </w:tcPr>
          <w:p>
            <w:pPr>
              <w:spacing w:after="0"/>
              <w:rPr>
                <w:sz w:val="1"/>
                <w:szCs w:val="1"/>
                <w:color w:val="auto"/>
              </w:rPr>
            </w:pPr>
          </w:p>
        </w:tc>
      </w:tr>
      <w:tr>
        <w:trPr>
          <w:trHeight w:val="172"/>
        </w:trPr>
        <w:tc>
          <w:tcPr>
            <w:tcW w:w="750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current assets</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750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1,595,491</w:t>
            </w:r>
          </w:p>
        </w:tc>
        <w:tc>
          <w:tcPr>
            <w:tcW w:w="30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1,635,936</w:t>
            </w:r>
          </w:p>
        </w:tc>
        <w:tc>
          <w:tcPr>
            <w:tcW w:w="0" w:type="dxa"/>
            <w:vAlign w:val="bottom"/>
          </w:tcPr>
          <w:p>
            <w:pPr>
              <w:spacing w:after="0"/>
              <w:rPr>
                <w:sz w:val="1"/>
                <w:szCs w:val="1"/>
                <w:color w:val="auto"/>
              </w:rPr>
            </w:pPr>
          </w:p>
        </w:tc>
      </w:tr>
      <w:tr>
        <w:trPr>
          <w:trHeight w:val="264"/>
        </w:trPr>
        <w:tc>
          <w:tcPr>
            <w:tcW w:w="75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400" w:type="dxa"/>
            <w:vAlign w:val="bottom"/>
          </w:tcPr>
          <w:p>
            <w:pPr>
              <w:spacing w:after="0"/>
              <w:rPr>
                <w:sz w:val="22"/>
                <w:szCs w:val="22"/>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188,675</w:t>
            </w:r>
          </w:p>
        </w:tc>
        <w:tc>
          <w:tcPr>
            <w:tcW w:w="300" w:type="dxa"/>
            <w:vAlign w:val="bottom"/>
          </w:tcPr>
          <w:p>
            <w:pPr>
              <w:spacing w:after="0"/>
              <w:rPr>
                <w:sz w:val="22"/>
                <w:szCs w:val="22"/>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203,467</w:t>
            </w:r>
          </w:p>
        </w:tc>
        <w:tc>
          <w:tcPr>
            <w:tcW w:w="0" w:type="dxa"/>
            <w:vAlign w:val="bottom"/>
          </w:tcPr>
          <w:p>
            <w:pPr>
              <w:spacing w:after="0"/>
              <w:rPr>
                <w:sz w:val="1"/>
                <w:szCs w:val="1"/>
                <w:color w:val="auto"/>
              </w:rPr>
            </w:pPr>
          </w:p>
        </w:tc>
      </w:tr>
      <w:tr>
        <w:trPr>
          <w:trHeight w:val="172"/>
        </w:trPr>
        <w:tc>
          <w:tcPr>
            <w:tcW w:w="75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104,063</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105,943</w:t>
            </w:r>
          </w:p>
        </w:tc>
        <w:tc>
          <w:tcPr>
            <w:tcW w:w="0" w:type="dxa"/>
            <w:vAlign w:val="bottom"/>
          </w:tcPr>
          <w:p>
            <w:pPr>
              <w:spacing w:after="0"/>
              <w:rPr>
                <w:sz w:val="1"/>
                <w:szCs w:val="1"/>
                <w:color w:val="auto"/>
              </w:rPr>
            </w:pPr>
          </w:p>
        </w:tc>
      </w:tr>
      <w:tr>
        <w:trPr>
          <w:trHeight w:val="172"/>
        </w:trPr>
        <w:tc>
          <w:tcPr>
            <w:tcW w:w="750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850,388</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855,975</w:t>
            </w:r>
          </w:p>
        </w:tc>
        <w:tc>
          <w:tcPr>
            <w:tcW w:w="0" w:type="dxa"/>
            <w:vAlign w:val="bottom"/>
          </w:tcPr>
          <w:p>
            <w:pPr>
              <w:spacing w:after="0"/>
              <w:rPr>
                <w:sz w:val="1"/>
                <w:szCs w:val="1"/>
                <w:color w:val="auto"/>
              </w:rPr>
            </w:pPr>
          </w:p>
        </w:tc>
      </w:tr>
      <w:tr>
        <w:trPr>
          <w:trHeight w:val="172"/>
        </w:trPr>
        <w:tc>
          <w:tcPr>
            <w:tcW w:w="75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87,434</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76,196</w:t>
            </w:r>
          </w:p>
        </w:tc>
        <w:tc>
          <w:tcPr>
            <w:tcW w:w="0" w:type="dxa"/>
            <w:vAlign w:val="bottom"/>
          </w:tcPr>
          <w:p>
            <w:pPr>
              <w:spacing w:after="0"/>
              <w:rPr>
                <w:sz w:val="1"/>
                <w:szCs w:val="1"/>
                <w:color w:val="auto"/>
              </w:rPr>
            </w:pPr>
          </w:p>
        </w:tc>
      </w:tr>
      <w:tr>
        <w:trPr>
          <w:trHeight w:val="172"/>
        </w:trPr>
        <w:tc>
          <w:tcPr>
            <w:tcW w:w="750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assets</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500" w:type="dxa"/>
            <w:vAlign w:val="bottom"/>
            <w:vMerge w:val="continue"/>
          </w:tcPr>
          <w:p>
            <w:pPr>
              <w:spacing w:after="0"/>
              <w:rPr>
                <w:sz w:val="14"/>
                <w:szCs w:val="14"/>
                <w:color w:val="auto"/>
              </w:rPr>
            </w:pP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$ 2,826,051</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$ 2,877,517</w:t>
            </w:r>
          </w:p>
        </w:tc>
        <w:tc>
          <w:tcPr>
            <w:tcW w:w="0" w:type="dxa"/>
            <w:vAlign w:val="bottom"/>
          </w:tcPr>
          <w:p>
            <w:pPr>
              <w:spacing w:after="0"/>
              <w:rPr>
                <w:sz w:val="1"/>
                <w:szCs w:val="1"/>
                <w:color w:val="auto"/>
              </w:rPr>
            </w:pPr>
          </w:p>
        </w:tc>
      </w:tr>
      <w:tr>
        <w:trPr>
          <w:trHeight w:val="252"/>
        </w:trPr>
        <w:tc>
          <w:tcPr>
            <w:tcW w:w="7500" w:type="dxa"/>
            <w:vAlign w:val="bottom"/>
          </w:tcPr>
          <w:p>
            <w:pPr>
              <w:spacing w:after="0"/>
              <w:rPr>
                <w:sz w:val="21"/>
                <w:szCs w:val="21"/>
                <w:color w:val="auto"/>
              </w:rPr>
            </w:pP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5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77,116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101,116</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130,571</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123,223</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122,201</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106,857</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Convertible notes</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395,454</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400,454</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financing arrangement</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2,366</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2,179</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182,925</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174,616</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26,640</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27,140</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150,274</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133,002</w:t>
            </w:r>
          </w:p>
        </w:tc>
        <w:tc>
          <w:tcPr>
            <w:tcW w:w="0" w:type="dxa"/>
            <w:vAlign w:val="bottom"/>
          </w:tcPr>
          <w:p>
            <w:pPr>
              <w:spacing w:after="0"/>
              <w:rPr>
                <w:sz w:val="1"/>
                <w:szCs w:val="1"/>
                <w:color w:val="auto"/>
              </w:rPr>
            </w:pPr>
          </w:p>
        </w:tc>
      </w:tr>
      <w:tr>
        <w:trPr>
          <w:trHeight w:val="172"/>
        </w:trPr>
        <w:tc>
          <w:tcPr>
            <w:tcW w:w="750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750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1,087,547</w:t>
            </w:r>
          </w:p>
        </w:tc>
        <w:tc>
          <w:tcPr>
            <w:tcW w:w="30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1,068,587</w:t>
            </w:r>
          </w:p>
        </w:tc>
        <w:tc>
          <w:tcPr>
            <w:tcW w:w="0" w:type="dxa"/>
            <w:vAlign w:val="bottom"/>
          </w:tcPr>
          <w:p>
            <w:pPr>
              <w:spacing w:after="0"/>
              <w:rPr>
                <w:sz w:val="1"/>
                <w:szCs w:val="1"/>
                <w:color w:val="auto"/>
              </w:rPr>
            </w:pPr>
          </w:p>
        </w:tc>
      </w:tr>
      <w:tr>
        <w:trPr>
          <w:trHeight w:val="264"/>
        </w:trPr>
        <w:tc>
          <w:tcPr>
            <w:tcW w:w="75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22"/>
                <w:szCs w:val="22"/>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46,521</w:t>
            </w:r>
          </w:p>
        </w:tc>
        <w:tc>
          <w:tcPr>
            <w:tcW w:w="300" w:type="dxa"/>
            <w:vAlign w:val="bottom"/>
          </w:tcPr>
          <w:p>
            <w:pPr>
              <w:spacing w:after="0"/>
              <w:rPr>
                <w:sz w:val="22"/>
                <w:szCs w:val="22"/>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44,835</w:t>
            </w:r>
          </w:p>
        </w:tc>
        <w:tc>
          <w:tcPr>
            <w:tcW w:w="0" w:type="dxa"/>
            <w:vAlign w:val="bottom"/>
          </w:tcPr>
          <w:p>
            <w:pPr>
              <w:spacing w:after="0"/>
              <w:rPr>
                <w:sz w:val="1"/>
                <w:szCs w:val="1"/>
                <w:color w:val="auto"/>
              </w:rPr>
            </w:pPr>
          </w:p>
        </w:tc>
      </w:tr>
      <w:tr>
        <w:trPr>
          <w:trHeight w:val="172"/>
        </w:trPr>
        <w:tc>
          <w:tcPr>
            <w:tcW w:w="750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168,448</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172,495</w:t>
            </w:r>
          </w:p>
        </w:tc>
        <w:tc>
          <w:tcPr>
            <w:tcW w:w="0" w:type="dxa"/>
            <w:vAlign w:val="bottom"/>
          </w:tcPr>
          <w:p>
            <w:pPr>
              <w:spacing w:after="0"/>
              <w:rPr>
                <w:sz w:val="1"/>
                <w:szCs w:val="1"/>
                <w:color w:val="auto"/>
              </w:rPr>
            </w:pPr>
          </w:p>
        </w:tc>
      </w:tr>
      <w:tr>
        <w:trPr>
          <w:trHeight w:val="172"/>
        </w:trPr>
        <w:tc>
          <w:tcPr>
            <w:tcW w:w="750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liabilities</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1,302,516</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1,285,917</w:t>
            </w:r>
          </w:p>
        </w:tc>
        <w:tc>
          <w:tcPr>
            <w:tcW w:w="0" w:type="dxa"/>
            <w:vAlign w:val="bottom"/>
          </w:tcPr>
          <w:p>
            <w:pPr>
              <w:spacing w:after="0"/>
              <w:rPr>
                <w:sz w:val="1"/>
                <w:szCs w:val="1"/>
                <w:color w:val="auto"/>
              </w:rPr>
            </w:pPr>
          </w:p>
        </w:tc>
      </w:tr>
      <w:tr>
        <w:trPr>
          <w:trHeight w:val="252"/>
        </w:trPr>
        <w:tc>
          <w:tcPr>
            <w:tcW w:w="7500" w:type="dxa"/>
            <w:vAlign w:val="bottom"/>
            <w:vMerge w:val="restart"/>
          </w:tcPr>
          <w:p>
            <w:pPr>
              <w:spacing w:after="0"/>
              <w:rPr>
                <w:sz w:val="20"/>
                <w:szCs w:val="20"/>
                <w:color w:val="auto"/>
              </w:rPr>
            </w:pPr>
            <w:r>
              <w:rPr>
                <w:rFonts w:ascii="Courier New" w:cs="Courier New" w:eastAsia="Courier New" w:hAnsi="Courier New"/>
                <w:sz w:val="15"/>
                <w:szCs w:val="15"/>
                <w:color w:val="auto"/>
              </w:rPr>
              <w:t>Shareholders' equity:</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75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shares;(pound)0.01 par value; 0 shares</w:t>
            </w:r>
          </w:p>
        </w:tc>
        <w:tc>
          <w:tcPr>
            <w:tcW w:w="400" w:type="dxa"/>
            <w:vAlign w:val="bottom"/>
          </w:tcPr>
          <w:p>
            <w:pPr>
              <w:spacing w:after="0"/>
              <w:rPr>
                <w:sz w:val="14"/>
                <w:szCs w:val="14"/>
                <w:color w:val="auto"/>
              </w:rPr>
            </w:pPr>
          </w:p>
        </w:tc>
        <w:tc>
          <w:tcPr>
            <w:tcW w:w="14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w:t>
            </w:r>
          </w:p>
        </w:tc>
        <w:tc>
          <w:tcPr>
            <w:tcW w:w="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shares;(pound)0.01 par value; 224,318 and</w:t>
            </w:r>
          </w:p>
        </w:tc>
        <w:tc>
          <w:tcPr>
            <w:tcW w:w="400" w:type="dxa"/>
            <w:vAlign w:val="bottom"/>
          </w:tcPr>
          <w:p>
            <w:pPr>
              <w:spacing w:after="0"/>
              <w:rPr>
                <w:sz w:val="14"/>
                <w:szCs w:val="14"/>
                <w:color w:val="auto"/>
              </w:rPr>
            </w:pPr>
          </w:p>
        </w:tc>
        <w:tc>
          <w:tcPr>
            <w:tcW w:w="14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3,589</w:t>
            </w:r>
          </w:p>
        </w:tc>
        <w:tc>
          <w:tcPr>
            <w:tcW w:w="300" w:type="dxa"/>
            <w:vAlign w:val="bottom"/>
          </w:tcPr>
          <w:p>
            <w:pPr>
              <w:spacing w:after="0"/>
              <w:rPr>
                <w:sz w:val="14"/>
                <w:szCs w:val="14"/>
                <w:color w:val="auto"/>
              </w:rPr>
            </w:pPr>
          </w:p>
        </w:tc>
        <w:tc>
          <w:tcPr>
            <w:tcW w:w="9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3,580</w:t>
            </w:r>
          </w:p>
        </w:tc>
        <w:tc>
          <w:tcPr>
            <w:tcW w:w="0" w:type="dxa"/>
            <w:vAlign w:val="bottom"/>
          </w:tcPr>
          <w:p>
            <w:pPr>
              <w:spacing w:after="0"/>
              <w:rPr>
                <w:sz w:val="1"/>
                <w:szCs w:val="1"/>
                <w:color w:val="auto"/>
              </w:rPr>
            </w:pPr>
          </w:p>
        </w:tc>
      </w:tr>
      <w:tr>
        <w:trPr>
          <w:trHeight w:val="172"/>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223,790 issued and 211,596 and 216,058 outstanding, respectively</w:t>
            </w:r>
          </w:p>
        </w:tc>
        <w:tc>
          <w:tcPr>
            <w:tcW w:w="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1,827,471</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1,820,956</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- 12,722 and 7,732 Ordinary Shares, respectively</w:t>
            </w:r>
          </w:p>
        </w:tc>
        <w:tc>
          <w:tcPr>
            <w:tcW w:w="400" w:type="dxa"/>
            <w:vAlign w:val="bottom"/>
          </w:tcPr>
          <w:p>
            <w:pPr>
              <w:spacing w:after="0"/>
              <w:rPr>
                <w:sz w:val="14"/>
                <w:szCs w:val="14"/>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(233,274)</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w:t>
            </w: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51</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3,715</w:t>
            </w:r>
          </w:p>
        </w:tc>
        <w:tc>
          <w:tcPr>
            <w:tcW w:w="0" w:type="dxa"/>
            <w:vAlign w:val="bottom"/>
          </w:tcPr>
          <w:p>
            <w:pPr>
              <w:spacing w:after="0"/>
              <w:rPr>
                <w:sz w:val="1"/>
                <w:szCs w:val="1"/>
                <w:color w:val="auto"/>
              </w:rPr>
            </w:pPr>
          </w:p>
        </w:tc>
      </w:tr>
      <w:tr>
        <w:trPr>
          <w:trHeight w:val="172"/>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400" w:type="dxa"/>
            <w:vAlign w:val="bottom"/>
          </w:tcPr>
          <w:p>
            <w:pPr>
              <w:spacing w:after="0"/>
              <w:rPr>
                <w:sz w:val="14"/>
                <w:szCs w:val="14"/>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(74,302)</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(127,370)</w:t>
            </w:r>
          </w:p>
        </w:tc>
        <w:tc>
          <w:tcPr>
            <w:tcW w:w="0" w:type="dxa"/>
            <w:vAlign w:val="bottom"/>
          </w:tcPr>
          <w:p>
            <w:pPr>
              <w:spacing w:after="0"/>
              <w:rPr>
                <w:sz w:val="1"/>
                <w:szCs w:val="1"/>
                <w:color w:val="auto"/>
              </w:rPr>
            </w:pPr>
          </w:p>
        </w:tc>
      </w:tr>
      <w:tr>
        <w:trPr>
          <w:trHeight w:val="172"/>
        </w:trPr>
        <w:tc>
          <w:tcPr>
            <w:tcW w:w="750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shareholders' equity</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1,523,535</w:t>
            </w:r>
          </w:p>
        </w:tc>
        <w:tc>
          <w:tcPr>
            <w:tcW w:w="3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1,591,600</w:t>
            </w:r>
          </w:p>
        </w:tc>
        <w:tc>
          <w:tcPr>
            <w:tcW w:w="0" w:type="dxa"/>
            <w:vAlign w:val="bottom"/>
          </w:tcPr>
          <w:p>
            <w:pPr>
              <w:spacing w:after="0"/>
              <w:rPr>
                <w:sz w:val="1"/>
                <w:szCs w:val="1"/>
                <w:color w:val="auto"/>
              </w:rPr>
            </w:pPr>
          </w:p>
        </w:tc>
      </w:tr>
      <w:tr>
        <w:trPr>
          <w:trHeight w:val="172"/>
        </w:trPr>
        <w:tc>
          <w:tcPr>
            <w:tcW w:w="750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500" w:type="dxa"/>
            <w:vAlign w:val="bottom"/>
            <w:vMerge w:val="continue"/>
          </w:tcPr>
          <w:p>
            <w:pPr>
              <w:spacing w:after="0"/>
              <w:rPr>
                <w:sz w:val="14"/>
                <w:szCs w:val="14"/>
                <w:color w:val="auto"/>
              </w:rPr>
            </w:pP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$ 2,826,051</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$ 2,877,517</w:t>
            </w:r>
          </w:p>
        </w:tc>
        <w:tc>
          <w:tcPr>
            <w:tcW w:w="0" w:type="dxa"/>
            <w:vAlign w:val="bottom"/>
          </w:tcPr>
          <w:p>
            <w:pPr>
              <w:spacing w:after="0"/>
              <w:rPr>
                <w:sz w:val="1"/>
                <w:szCs w:val="1"/>
                <w:color w:val="auto"/>
              </w:rPr>
            </w:pPr>
          </w:p>
        </w:tc>
      </w:tr>
      <w:tr>
        <w:trPr>
          <w:trHeight w:val="252"/>
        </w:trPr>
        <w:tc>
          <w:tcPr>
            <w:tcW w:w="7500" w:type="dxa"/>
            <w:vAlign w:val="bottom"/>
          </w:tcPr>
          <w:p>
            <w:pPr>
              <w:spacing w:after="0"/>
              <w:rPr>
                <w:sz w:val="21"/>
                <w:szCs w:val="21"/>
                <w:color w:val="auto"/>
              </w:rPr>
            </w:pP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0"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statements.</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40"/>
          </w:cols>
          <w:pgMar w:left="240" w:top="607" w:right="1119" w:bottom="1440" w:gutter="0" w:footer="0" w:header="0"/>
        </w:sectPr>
      </w:pPr>
    </w:p>
    <w:bookmarkStart w:id="3" w:name="page4"/>
    <w:bookmarkEnd w:id="3"/>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3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3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2003</w:t>
            </w:r>
          </w:p>
        </w:tc>
        <w:tc>
          <w:tcPr>
            <w:tcW w:w="58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8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16,621</w:t>
            </w: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20,526</w:t>
            </w:r>
          </w:p>
        </w:tc>
        <w:tc>
          <w:tcPr>
            <w:tcW w:w="0" w:type="dxa"/>
            <w:vAlign w:val="bottom"/>
          </w:tcPr>
          <w:p>
            <w:pPr>
              <w:spacing w:after="0"/>
              <w:rPr>
                <w:sz w:val="1"/>
                <w:szCs w:val="1"/>
                <w:color w:val="auto"/>
              </w:rPr>
            </w:pP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License (*)</w:t>
            </w: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Service (*)</w:t>
            </w: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411,674</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318,860</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980" w:type="dxa"/>
            <w:vAlign w:val="bottom"/>
          </w:tcPr>
          <w:p>
            <w:pPr>
              <w:ind w:left="620"/>
              <w:spacing w:after="0"/>
              <w:rPr>
                <w:sz w:val="20"/>
                <w:szCs w:val="20"/>
                <w:color w:val="auto"/>
              </w:rPr>
            </w:pPr>
            <w:r>
              <w:rPr>
                <w:rFonts w:ascii="Courier New" w:cs="Courier New" w:eastAsia="Courier New" w:hAnsi="Courier New"/>
                <w:sz w:val="7"/>
                <w:szCs w:val="7"/>
                <w:color w:val="auto"/>
                <w:w w:val="73"/>
              </w:rPr>
              <w:t>-----------</w:t>
            </w: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5"/>
              </w:rPr>
              <w:t>428,295</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339,386</w:t>
            </w:r>
          </w:p>
        </w:tc>
        <w:tc>
          <w:tcPr>
            <w:tcW w:w="0" w:type="dxa"/>
            <w:vAlign w:val="bottom"/>
          </w:tcPr>
          <w:p>
            <w:pPr>
              <w:spacing w:after="0"/>
              <w:rPr>
                <w:sz w:val="1"/>
                <w:szCs w:val="1"/>
                <w:color w:val="auto"/>
              </w:rPr>
            </w:pPr>
          </w:p>
        </w:tc>
      </w:tr>
      <w:tr>
        <w:trPr>
          <w:trHeight w:val="25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3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1,132</w:t>
            </w:r>
          </w:p>
        </w:tc>
        <w:tc>
          <w:tcPr>
            <w:tcW w:w="5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1,136</w:t>
            </w:r>
          </w:p>
        </w:tc>
        <w:tc>
          <w:tcPr>
            <w:tcW w:w="0" w:type="dxa"/>
            <w:vAlign w:val="bottom"/>
          </w:tcPr>
          <w:p>
            <w:pPr>
              <w:spacing w:after="0"/>
              <w:rPr>
                <w:sz w:val="1"/>
                <w:szCs w:val="1"/>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Cost of license</w:t>
            </w:r>
          </w:p>
        </w:tc>
        <w:tc>
          <w:tcPr>
            <w:tcW w:w="9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Cost of service</w:t>
            </w: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272,103</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203,986</w:t>
            </w:r>
          </w:p>
        </w:tc>
        <w:tc>
          <w:tcPr>
            <w:tcW w:w="0" w:type="dxa"/>
            <w:vAlign w:val="bottom"/>
          </w:tcPr>
          <w:p>
            <w:pPr>
              <w:spacing w:after="0"/>
              <w:rPr>
                <w:sz w:val="1"/>
                <w:szCs w:val="1"/>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Research and development</w:t>
            </w: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30,498</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29,619</w:t>
            </w:r>
          </w:p>
        </w:tc>
        <w:tc>
          <w:tcPr>
            <w:tcW w:w="0" w:type="dxa"/>
            <w:vAlign w:val="bottom"/>
          </w:tcPr>
          <w:p>
            <w:pPr>
              <w:spacing w:after="0"/>
              <w:rPr>
                <w:sz w:val="1"/>
                <w:szCs w:val="1"/>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52,497</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51,580</w:t>
            </w:r>
          </w:p>
        </w:tc>
        <w:tc>
          <w:tcPr>
            <w:tcW w:w="0" w:type="dxa"/>
            <w:vAlign w:val="bottom"/>
          </w:tcPr>
          <w:p>
            <w:pPr>
              <w:spacing w:after="0"/>
              <w:rPr>
                <w:sz w:val="1"/>
                <w:szCs w:val="1"/>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5,096</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5,154</w:t>
            </w:r>
          </w:p>
        </w:tc>
        <w:tc>
          <w:tcPr>
            <w:tcW w:w="0" w:type="dxa"/>
            <w:vAlign w:val="bottom"/>
          </w:tcPr>
          <w:p>
            <w:pPr>
              <w:spacing w:after="0"/>
              <w:rPr>
                <w:sz w:val="1"/>
                <w:szCs w:val="1"/>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Restructuring charges</w:t>
            </w: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9,956</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980" w:type="dxa"/>
            <w:vAlign w:val="bottom"/>
          </w:tcPr>
          <w:p>
            <w:pPr>
              <w:ind w:left="620"/>
              <w:spacing w:after="0"/>
              <w:rPr>
                <w:sz w:val="20"/>
                <w:szCs w:val="20"/>
                <w:color w:val="auto"/>
              </w:rPr>
            </w:pPr>
            <w:r>
              <w:rPr>
                <w:rFonts w:ascii="Courier New" w:cs="Courier New" w:eastAsia="Courier New" w:hAnsi="Courier New"/>
                <w:sz w:val="7"/>
                <w:szCs w:val="7"/>
                <w:color w:val="auto"/>
                <w:w w:val="73"/>
              </w:rPr>
              <w:t>-----------</w:t>
            </w: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5"/>
              </w:rPr>
              <w:t>361,326</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301,431</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80" w:type="dxa"/>
            <w:vAlign w:val="bottom"/>
          </w:tcPr>
          <w:p>
            <w:pPr>
              <w:spacing w:after="0"/>
              <w:rPr>
                <w:sz w:val="22"/>
                <w:szCs w:val="22"/>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66,969</w:t>
            </w:r>
          </w:p>
        </w:tc>
        <w:tc>
          <w:tcPr>
            <w:tcW w:w="5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37,955</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1,067</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4,977</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980" w:type="dxa"/>
            <w:vAlign w:val="bottom"/>
          </w:tcPr>
          <w:p>
            <w:pPr>
              <w:ind w:left="620"/>
              <w:spacing w:after="0"/>
              <w:rPr>
                <w:sz w:val="20"/>
                <w:szCs w:val="20"/>
                <w:color w:val="auto"/>
              </w:rPr>
            </w:pPr>
            <w:r>
              <w:rPr>
                <w:rFonts w:ascii="Courier New" w:cs="Courier New" w:eastAsia="Courier New" w:hAnsi="Courier New"/>
                <w:sz w:val="7"/>
                <w:szCs w:val="7"/>
                <w:color w:val="auto"/>
                <w:w w:val="73"/>
              </w:rPr>
              <w:t>-----------</w:t>
            </w: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68,036</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42,932</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14,968</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10,733</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vMerge w:val="restart"/>
          </w:tcPr>
          <w:p>
            <w:pPr>
              <w:ind w:left="6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53,068</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32,199</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9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0.25</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9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215,106</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215,626</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220,594</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217,139</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08"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4.</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0"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statements.</w:t>
      </w:r>
    </w:p>
    <w:p>
      <w:pPr>
        <w:spacing w:after="0" w:line="1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07" w:right="1440" w:bottom="1440" w:gutter="0" w:footer="0" w:header="0"/>
        </w:sectPr>
      </w:pPr>
    </w:p>
    <w:bookmarkStart w:id="4" w:name="page5"/>
    <w:bookmarkEnd w:id="4"/>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00" w:type="dxa"/>
            <w:vAlign w:val="bottom"/>
          </w:tcPr>
          <w:p>
            <w:pPr>
              <w:spacing w:after="0"/>
              <w:rPr>
                <w:sz w:val="21"/>
                <w:szCs w:val="21"/>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900" w:type="dxa"/>
            <w:vAlign w:val="bottom"/>
          </w:tcPr>
          <w:p>
            <w:pPr>
              <w:spacing w:after="0"/>
              <w:rPr>
                <w:sz w:val="24"/>
                <w:szCs w:val="24"/>
                <w:color w:val="auto"/>
              </w:rPr>
            </w:pPr>
          </w:p>
        </w:tc>
        <w:tc>
          <w:tcPr>
            <w:tcW w:w="228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Ordinary Shares</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Additional</w:t>
            </w:r>
          </w:p>
        </w:tc>
        <w:tc>
          <w:tcPr>
            <w:tcW w:w="10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420" w:type="dxa"/>
            <w:vAlign w:val="bottom"/>
          </w:tcPr>
          <w:p>
            <w:pPr>
              <w:spacing w:after="0"/>
              <w:rPr>
                <w:sz w:val="24"/>
                <w:szCs w:val="24"/>
                <w:color w:val="auto"/>
              </w:rPr>
            </w:pPr>
          </w:p>
        </w:tc>
        <w:tc>
          <w:tcPr>
            <w:tcW w:w="138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Treasury</w:t>
            </w:r>
          </w:p>
        </w:tc>
        <w:tc>
          <w:tcPr>
            <w:tcW w:w="360" w:type="dxa"/>
            <w:vAlign w:val="bottom"/>
          </w:tcPr>
          <w:p>
            <w:pPr>
              <w:spacing w:after="0"/>
              <w:rPr>
                <w:sz w:val="14"/>
                <w:szCs w:val="14"/>
                <w:color w:val="auto"/>
              </w:rPr>
            </w:pPr>
          </w:p>
        </w:tc>
        <w:tc>
          <w:tcPr>
            <w:tcW w:w="10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7"/>
              </w:rPr>
              <w:t>Other</w:t>
            </w:r>
          </w:p>
        </w:tc>
        <w:tc>
          <w:tcPr>
            <w:tcW w:w="14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Accumulated</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2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Paid-in</w:t>
            </w:r>
          </w:p>
        </w:tc>
        <w:tc>
          <w:tcPr>
            <w:tcW w:w="1060" w:type="dxa"/>
            <w:vAlign w:val="bottom"/>
            <w:vMerge w:val="continue"/>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420" w:type="dxa"/>
            <w:vAlign w:val="bottom"/>
            <w:vMerge w:val="continue"/>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Capital</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Stock</w:t>
            </w: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Income (Loss)</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Deficit</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BALANCE AS OF SEPTEMBER 30, 2003</w:t>
            </w: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216,058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$ 3,580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$1,820,956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$(109,281)</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3,715</w:t>
            </w:r>
          </w:p>
        </w:tc>
        <w:tc>
          <w:tcPr>
            <w:tcW w:w="14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$(127,370)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$ 1,591,600</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53,068</w:t>
            </w:r>
          </w:p>
        </w:tc>
        <w:tc>
          <w:tcPr>
            <w:tcW w:w="1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53,068</w:t>
            </w:r>
          </w:p>
        </w:tc>
        <w:tc>
          <w:tcPr>
            <w:tcW w:w="0" w:type="dxa"/>
            <w:vAlign w:val="bottom"/>
          </w:tcPr>
          <w:p>
            <w:pPr>
              <w:spacing w:after="0"/>
              <w:rPr>
                <w:sz w:val="1"/>
                <w:szCs w:val="1"/>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 foreign</w:t>
            </w: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currency hedging contracts,</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(3,199)</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(3,199)</w:t>
            </w: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net of $(1,091) tax</w:t>
            </w:r>
          </w:p>
        </w:tc>
        <w:tc>
          <w:tcPr>
            <w:tcW w:w="14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 cash</w:t>
            </w: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equivalents and short-term</w:t>
            </w: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interest-bearing</w:t>
            </w: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investments, net of $(133)</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(465)</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(465)</w:t>
            </w: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tax</w:t>
            </w:r>
          </w:p>
        </w:tc>
        <w:tc>
          <w:tcPr>
            <w:tcW w:w="14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49,404</w:t>
            </w: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Employee stock options exercised</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528</w:t>
            </w:r>
          </w:p>
        </w:tc>
        <w:tc>
          <w:tcPr>
            <w:tcW w:w="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4,837</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4,846</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Tax benefit of stock options</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1,672</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1,672</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4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Repurchase of ordinary shares</w:t>
            </w:r>
          </w:p>
        </w:tc>
        <w:tc>
          <w:tcPr>
            <w:tcW w:w="14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(4,990)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(123,993)</w:t>
            </w:r>
          </w:p>
        </w:tc>
        <w:tc>
          <w:tcPr>
            <w:tcW w:w="3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(123,993)</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Expense related to vesting of</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6</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 options</w:t>
            </w:r>
          </w:p>
        </w:tc>
        <w:tc>
          <w:tcPr>
            <w:tcW w:w="14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AS OF DECEMBER 31, 2003</w:t>
            </w: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211,596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$ 3,589</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$1,827,471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$(233,274)</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51</w:t>
            </w:r>
          </w:p>
        </w:tc>
        <w:tc>
          <w:tcPr>
            <w:tcW w:w="14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(74,302)</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$ 1,523,535</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4460"/>
        <w:spacing w:after="0" w:line="272" w:lineRule="auto"/>
        <w:rPr>
          <w:sz w:val="20"/>
          <w:szCs w:val="20"/>
          <w:color w:val="auto"/>
        </w:rPr>
      </w:pPr>
      <w:r>
        <w:rPr>
          <w:rFonts w:ascii="Courier New" w:cs="Courier New" w:eastAsia="Courier New" w:hAnsi="Courier New"/>
          <w:sz w:val="15"/>
          <w:szCs w:val="15"/>
          <w:color w:val="auto"/>
        </w:rPr>
        <w:t>As of December 31, 2003 and September 30, 2003, accumulated other comprehensive income (loss) is comprised of unrealized gain on derivatives, net of tax, of $484 and $3,683, respectively, and unrealized (loss) gain on cash equivalents and short-term interest-bearing investments, net of tax, of $(433) and $32, respectively.</w:t>
      </w:r>
    </w:p>
    <w:p>
      <w:pPr>
        <w:spacing w:after="0" w:line="69"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0"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statements.</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779" w:right="139" w:bottom="1440" w:gutter="0" w:footer="0" w:header="0"/>
        </w:sectPr>
      </w:pPr>
    </w:p>
    <w:bookmarkStart w:id="5" w:name="page6"/>
    <w:bookmarkEnd w:id="5"/>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0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5400" w:type="dxa"/>
            <w:vAlign w:val="bottom"/>
          </w:tcPr>
          <w:p>
            <w:pPr>
              <w:spacing w:after="0"/>
              <w:rPr>
                <w:sz w:val="24"/>
                <w:szCs w:val="24"/>
                <w:color w:val="auto"/>
              </w:rPr>
            </w:pPr>
          </w:p>
        </w:tc>
        <w:tc>
          <w:tcPr>
            <w:tcW w:w="354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THREE MONTHS ENDED DECEMBER 31,</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14"/>
                <w:szCs w:val="14"/>
                <w:color w:val="auto"/>
              </w:rPr>
            </w:pPr>
          </w:p>
        </w:tc>
        <w:tc>
          <w:tcPr>
            <w:tcW w:w="35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2003</w:t>
            </w:r>
          </w:p>
        </w:tc>
        <w:tc>
          <w:tcPr>
            <w:tcW w:w="64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5400" w:type="dxa"/>
            <w:vAlign w:val="bottom"/>
          </w:tcPr>
          <w:p>
            <w:pPr>
              <w:spacing w:after="0"/>
              <w:rPr>
                <w:sz w:val="21"/>
                <w:szCs w:val="21"/>
                <w:color w:val="auto"/>
              </w:rPr>
            </w:pP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68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53,068</w:t>
            </w: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32,199</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680" w:type="dxa"/>
            <w:vAlign w:val="bottom"/>
          </w:tcPr>
          <w:p>
            <w:pPr>
              <w:spacing w:after="0"/>
              <w:rPr>
                <w:sz w:val="14"/>
                <w:szCs w:val="14"/>
                <w:color w:val="auto"/>
              </w:rPr>
            </w:pPr>
          </w:p>
        </w:tc>
        <w:tc>
          <w:tcPr>
            <w:tcW w:w="12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25,402</w:t>
            </w:r>
          </w:p>
        </w:tc>
        <w:tc>
          <w:tcPr>
            <w:tcW w:w="640" w:type="dxa"/>
            <w:vAlign w:val="bottom"/>
          </w:tcPr>
          <w:p>
            <w:pPr>
              <w:spacing w:after="0"/>
              <w:rPr>
                <w:sz w:val="14"/>
                <w:szCs w:val="14"/>
                <w:color w:val="auto"/>
              </w:rPr>
            </w:pP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24,018</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(Gain) loss on sale of equipment</w:t>
            </w: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Gain on repurchase of convertible notes</w:t>
            </w: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(4,542)</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(2,188)</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6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1,672</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Realized (gain) loss from short-term</w:t>
            </w:r>
          </w:p>
        </w:tc>
        <w:tc>
          <w:tcPr>
            <w:tcW w:w="680" w:type="dxa"/>
            <w:vAlign w:val="bottom"/>
          </w:tcPr>
          <w:p>
            <w:pPr>
              <w:spacing w:after="0"/>
              <w:rPr>
                <w:sz w:val="14"/>
                <w:szCs w:val="14"/>
                <w:color w:val="auto"/>
              </w:rPr>
            </w:pPr>
          </w:p>
        </w:tc>
        <w:tc>
          <w:tcPr>
            <w:tcW w:w="12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(388)</w:t>
            </w:r>
          </w:p>
        </w:tc>
        <w:tc>
          <w:tcPr>
            <w:tcW w:w="640" w:type="dxa"/>
            <w:vAlign w:val="bottom"/>
          </w:tcPr>
          <w:p>
            <w:pPr>
              <w:spacing w:after="0"/>
              <w:rPr>
                <w:sz w:val="14"/>
                <w:szCs w:val="14"/>
                <w:color w:val="auto"/>
              </w:rPr>
            </w:pP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779</w:t>
            </w:r>
          </w:p>
        </w:tc>
        <w:tc>
          <w:tcPr>
            <w:tcW w:w="0" w:type="dxa"/>
            <w:vAlign w:val="bottom"/>
          </w:tcPr>
          <w:p>
            <w:pPr>
              <w:spacing w:after="0"/>
              <w:rPr>
                <w:sz w:val="1"/>
                <w:szCs w:val="1"/>
                <w:color w:val="auto"/>
              </w:rPr>
            </w:pPr>
          </w:p>
        </w:tc>
      </w:tr>
      <w:tr>
        <w:trPr>
          <w:trHeight w:val="172"/>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interest-bearing investments</w:t>
            </w:r>
          </w:p>
        </w:tc>
        <w:tc>
          <w:tcPr>
            <w:tcW w:w="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680" w:type="dxa"/>
            <w:vAlign w:val="bottom"/>
          </w:tcPr>
          <w:p>
            <w:pPr>
              <w:spacing w:after="0"/>
              <w:rPr>
                <w:sz w:val="14"/>
                <w:szCs w:val="14"/>
                <w:color w:val="auto"/>
              </w:rPr>
            </w:pPr>
          </w:p>
        </w:tc>
        <w:tc>
          <w:tcPr>
            <w:tcW w:w="12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(11,747)</w:t>
            </w:r>
          </w:p>
        </w:tc>
        <w:tc>
          <w:tcPr>
            <w:tcW w:w="640" w:type="dxa"/>
            <w:vAlign w:val="bottom"/>
          </w:tcPr>
          <w:p>
            <w:pPr>
              <w:spacing w:after="0"/>
              <w:rPr>
                <w:sz w:val="14"/>
                <w:szCs w:val="14"/>
                <w:color w:val="auto"/>
              </w:rPr>
            </w:pP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55,532</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6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10,515</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(21,356)</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(12,059)</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(2,477)</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6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3,202</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(5,591)</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6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8,309</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6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5,066</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2,659</w:t>
            </w:r>
          </w:p>
        </w:tc>
        <w:tc>
          <w:tcPr>
            <w:tcW w:w="0" w:type="dxa"/>
            <w:vAlign w:val="bottom"/>
          </w:tcPr>
          <w:p>
            <w:pPr>
              <w:spacing w:after="0"/>
              <w:rPr>
                <w:sz w:val="1"/>
                <w:szCs w:val="1"/>
                <w:color w:val="auto"/>
              </w:rPr>
            </w:pPr>
          </w:p>
        </w:tc>
      </w:tr>
      <w:tr>
        <w:trPr>
          <w:trHeight w:val="17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6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4,211</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949</w:t>
            </w:r>
          </w:p>
        </w:tc>
        <w:tc>
          <w:tcPr>
            <w:tcW w:w="0" w:type="dxa"/>
            <w:vAlign w:val="bottom"/>
          </w:tcPr>
          <w:p>
            <w:pPr>
              <w:spacing w:after="0"/>
              <w:rPr>
                <w:sz w:val="1"/>
                <w:szCs w:val="1"/>
                <w:color w:val="auto"/>
              </w:rPr>
            </w:pPr>
          </w:p>
        </w:tc>
      </w:tr>
      <w:tr>
        <w:trPr>
          <w:trHeight w:val="172"/>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82,651</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85,027</w:t>
            </w:r>
          </w:p>
        </w:tc>
        <w:tc>
          <w:tcPr>
            <w:tcW w:w="0" w:type="dxa"/>
            <w:vAlign w:val="bottom"/>
          </w:tcPr>
          <w:p>
            <w:pPr>
              <w:spacing w:after="0"/>
              <w:rPr>
                <w:sz w:val="1"/>
                <w:szCs w:val="1"/>
                <w:color w:val="auto"/>
              </w:rPr>
            </w:pPr>
          </w:p>
        </w:tc>
      </w:tr>
      <w:tr>
        <w:trPr>
          <w:trHeight w:val="252"/>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680" w:type="dxa"/>
            <w:vAlign w:val="bottom"/>
          </w:tcPr>
          <w:p>
            <w:pPr>
              <w:spacing w:after="0"/>
              <w:rPr>
                <w:sz w:val="14"/>
                <w:szCs w:val="14"/>
                <w:color w:val="auto"/>
              </w:rPr>
            </w:pPr>
          </w:p>
        </w:tc>
        <w:tc>
          <w:tcPr>
            <w:tcW w:w="12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220</w:t>
            </w:r>
          </w:p>
        </w:tc>
        <w:tc>
          <w:tcPr>
            <w:tcW w:w="640" w:type="dxa"/>
            <w:vAlign w:val="bottom"/>
          </w:tcPr>
          <w:p>
            <w:pPr>
              <w:spacing w:after="0"/>
              <w:rPr>
                <w:sz w:val="14"/>
                <w:szCs w:val="14"/>
                <w:color w:val="auto"/>
              </w:rPr>
            </w:pP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496</w:t>
            </w:r>
          </w:p>
        </w:tc>
        <w:tc>
          <w:tcPr>
            <w:tcW w:w="0" w:type="dxa"/>
            <w:vAlign w:val="bottom"/>
          </w:tcPr>
          <w:p>
            <w:pPr>
              <w:spacing w:after="0"/>
              <w:rPr>
                <w:sz w:val="1"/>
                <w:szCs w:val="1"/>
                <w:color w:val="auto"/>
              </w:rPr>
            </w:pPr>
          </w:p>
        </w:tc>
      </w:tr>
      <w:tr>
        <w:trPr>
          <w:trHeight w:val="172"/>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680" w:type="dxa"/>
            <w:vAlign w:val="bottom"/>
          </w:tcPr>
          <w:p>
            <w:pPr>
              <w:spacing w:after="0"/>
              <w:rPr>
                <w:sz w:val="14"/>
                <w:szCs w:val="14"/>
                <w:color w:val="auto"/>
              </w:rPr>
            </w:pPr>
          </w:p>
        </w:tc>
        <w:tc>
          <w:tcPr>
            <w:tcW w:w="12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(14,049)</w:t>
            </w:r>
          </w:p>
        </w:tc>
        <w:tc>
          <w:tcPr>
            <w:tcW w:w="6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(13,251)</w:t>
            </w:r>
          </w:p>
        </w:tc>
        <w:tc>
          <w:tcPr>
            <w:tcW w:w="0" w:type="dxa"/>
            <w:vAlign w:val="bottom"/>
          </w:tcPr>
          <w:p>
            <w:pPr>
              <w:spacing w:after="0"/>
              <w:rPr>
                <w:sz w:val="1"/>
                <w:szCs w:val="1"/>
                <w:color w:val="auto"/>
              </w:rPr>
            </w:pPr>
          </w:p>
        </w:tc>
      </w:tr>
      <w:tr>
        <w:trPr>
          <w:trHeight w:val="172"/>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improvements and other</w:t>
            </w:r>
          </w:p>
        </w:tc>
        <w:tc>
          <w:tcPr>
            <w:tcW w:w="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interest-bearing</w:t>
            </w:r>
          </w:p>
        </w:tc>
        <w:tc>
          <w:tcPr>
            <w:tcW w:w="680" w:type="dxa"/>
            <w:vAlign w:val="bottom"/>
          </w:tcPr>
          <w:p>
            <w:pPr>
              <w:spacing w:after="0"/>
              <w:rPr>
                <w:sz w:val="14"/>
                <w:szCs w:val="14"/>
                <w:color w:val="auto"/>
              </w:rPr>
            </w:pPr>
          </w:p>
        </w:tc>
        <w:tc>
          <w:tcPr>
            <w:tcW w:w="12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311,995</w:t>
            </w:r>
          </w:p>
        </w:tc>
        <w:tc>
          <w:tcPr>
            <w:tcW w:w="640" w:type="dxa"/>
            <w:vAlign w:val="bottom"/>
          </w:tcPr>
          <w:p>
            <w:pPr>
              <w:spacing w:after="0"/>
              <w:rPr>
                <w:sz w:val="14"/>
                <w:szCs w:val="14"/>
                <w:color w:val="auto"/>
              </w:rPr>
            </w:pP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182,790</w:t>
            </w:r>
          </w:p>
        </w:tc>
        <w:tc>
          <w:tcPr>
            <w:tcW w:w="0" w:type="dxa"/>
            <w:vAlign w:val="bottom"/>
          </w:tcPr>
          <w:p>
            <w:pPr>
              <w:spacing w:after="0"/>
              <w:rPr>
                <w:sz w:val="1"/>
                <w:szCs w:val="1"/>
                <w:color w:val="auto"/>
              </w:rPr>
            </w:pPr>
          </w:p>
        </w:tc>
      </w:tr>
      <w:tr>
        <w:trPr>
          <w:trHeight w:val="172"/>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(545,442)</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(158,171)</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Reimbursement of cash in acquisition</w:t>
            </w:r>
          </w:p>
        </w:tc>
        <w:tc>
          <w:tcPr>
            <w:tcW w:w="6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11,111</w:t>
            </w:r>
          </w:p>
        </w:tc>
        <w:tc>
          <w:tcPr>
            <w:tcW w:w="0" w:type="dxa"/>
            <w:vAlign w:val="bottom"/>
          </w:tcPr>
          <w:p>
            <w:pPr>
              <w:spacing w:after="0"/>
              <w:rPr>
                <w:sz w:val="1"/>
                <w:szCs w:val="1"/>
                <w:color w:val="auto"/>
              </w:rPr>
            </w:pPr>
          </w:p>
        </w:tc>
      </w:tr>
      <w:tr>
        <w:trPr>
          <w:trHeight w:val="172"/>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provided by investing activities</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(247,276)</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22,975</w:t>
            </w:r>
          </w:p>
        </w:tc>
        <w:tc>
          <w:tcPr>
            <w:tcW w:w="0" w:type="dxa"/>
            <w:vAlign w:val="bottom"/>
          </w:tcPr>
          <w:p>
            <w:pPr>
              <w:spacing w:after="0"/>
              <w:rPr>
                <w:sz w:val="1"/>
                <w:szCs w:val="1"/>
                <w:color w:val="auto"/>
              </w:rPr>
            </w:pPr>
          </w:p>
        </w:tc>
      </w:tr>
      <w:tr>
        <w:trPr>
          <w:trHeight w:val="252"/>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680" w:type="dxa"/>
            <w:vAlign w:val="bottom"/>
          </w:tcPr>
          <w:p>
            <w:pPr>
              <w:spacing w:after="0"/>
              <w:rPr>
                <w:sz w:val="22"/>
                <w:szCs w:val="22"/>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4,846</w:t>
            </w:r>
          </w:p>
        </w:tc>
        <w:tc>
          <w:tcPr>
            <w:tcW w:w="640" w:type="dxa"/>
            <w:vAlign w:val="bottom"/>
          </w:tcPr>
          <w:p>
            <w:pPr>
              <w:spacing w:after="0"/>
              <w:rPr>
                <w:sz w:val="22"/>
                <w:szCs w:val="22"/>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607</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Repurchase of ordinary shares</w:t>
            </w: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(123,993)</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Repurchase of convertible notes</w:t>
            </w: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(4,987)</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Principal payments under financing arrangement</w:t>
            </w: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(546)</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(6,082)</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(2,995)</w:t>
            </w:r>
          </w:p>
        </w:tc>
        <w:tc>
          <w:tcPr>
            <w:tcW w:w="0" w:type="dxa"/>
            <w:vAlign w:val="bottom"/>
          </w:tcPr>
          <w:p>
            <w:pPr>
              <w:spacing w:after="0"/>
              <w:rPr>
                <w:sz w:val="1"/>
                <w:szCs w:val="1"/>
                <w:color w:val="auto"/>
              </w:rPr>
            </w:pPr>
          </w:p>
        </w:tc>
      </w:tr>
      <w:tr>
        <w:trPr>
          <w:trHeight w:val="172"/>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(130,762)</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(2,388)</w:t>
            </w:r>
          </w:p>
        </w:tc>
        <w:tc>
          <w:tcPr>
            <w:tcW w:w="0" w:type="dxa"/>
            <w:vAlign w:val="bottom"/>
          </w:tcPr>
          <w:p>
            <w:pPr>
              <w:spacing w:after="0"/>
              <w:rPr>
                <w:sz w:val="1"/>
                <w:szCs w:val="1"/>
                <w:color w:val="auto"/>
              </w:rPr>
            </w:pPr>
          </w:p>
        </w:tc>
      </w:tr>
      <w:tr>
        <w:trPr>
          <w:trHeight w:val="172"/>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(295,387)</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105,614</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6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847,600</w:t>
            </w:r>
          </w:p>
        </w:tc>
        <w:tc>
          <w:tcPr>
            <w:tcW w:w="6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466,655</w:t>
            </w:r>
          </w:p>
        </w:tc>
        <w:tc>
          <w:tcPr>
            <w:tcW w:w="0" w:type="dxa"/>
            <w:vAlign w:val="bottom"/>
          </w:tcPr>
          <w:p>
            <w:pPr>
              <w:spacing w:after="0"/>
              <w:rPr>
                <w:sz w:val="1"/>
                <w:szCs w:val="1"/>
                <w:color w:val="auto"/>
              </w:rPr>
            </w:pPr>
          </w:p>
        </w:tc>
      </w:tr>
      <w:tr>
        <w:trPr>
          <w:trHeight w:val="172"/>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vMerge w:val="continue"/>
          </w:tcPr>
          <w:p>
            <w:pPr>
              <w:spacing w:after="0"/>
              <w:rPr>
                <w:sz w:val="14"/>
                <w:szCs w:val="14"/>
                <w:color w:val="auto"/>
              </w:rPr>
            </w:pPr>
          </w:p>
        </w:tc>
        <w:tc>
          <w:tcPr>
            <w:tcW w:w="6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552,213</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572,269</w:t>
            </w:r>
          </w:p>
        </w:tc>
        <w:tc>
          <w:tcPr>
            <w:tcW w:w="0" w:type="dxa"/>
            <w:vAlign w:val="bottom"/>
          </w:tcPr>
          <w:p>
            <w:pPr>
              <w:spacing w:after="0"/>
              <w:rPr>
                <w:sz w:val="1"/>
                <w:szCs w:val="1"/>
                <w:color w:val="auto"/>
              </w:rPr>
            </w:pPr>
          </w:p>
        </w:tc>
      </w:tr>
      <w:tr>
        <w:trPr>
          <w:trHeight w:val="252"/>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6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9,125</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10,195</w:t>
            </w:r>
          </w:p>
        </w:tc>
        <w:tc>
          <w:tcPr>
            <w:tcW w:w="0" w:type="dxa"/>
            <w:vAlign w:val="bottom"/>
          </w:tcPr>
          <w:p>
            <w:pPr>
              <w:spacing w:after="0"/>
              <w:rPr>
                <w:sz w:val="1"/>
                <w:szCs w:val="1"/>
                <w:color w:val="auto"/>
              </w:rPr>
            </w:pPr>
          </w:p>
        </w:tc>
      </w:tr>
      <w:tr>
        <w:trPr>
          <w:trHeight w:val="252"/>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680" w:type="dxa"/>
            <w:vAlign w:val="bottom"/>
          </w:tcPr>
          <w:p>
            <w:pPr>
              <w:spacing w:after="0"/>
              <w:rPr>
                <w:sz w:val="21"/>
                <w:szCs w:val="21"/>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4,575</w:t>
            </w:r>
          </w:p>
        </w:tc>
        <w:tc>
          <w:tcPr>
            <w:tcW w:w="640" w:type="dxa"/>
            <w:vAlign w:val="bottom"/>
          </w:tcPr>
          <w:p>
            <w:pPr>
              <w:spacing w:after="0"/>
              <w:rPr>
                <w:sz w:val="21"/>
                <w:szCs w:val="21"/>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5,044</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7" w:right="1440" w:bottom="1440" w:gutter="0" w:footer="0" w:header="0"/>
        </w:sectPr>
      </w:pPr>
    </w:p>
    <w:bookmarkStart w:id="6" w:name="page7"/>
    <w:bookmarkEnd w:id="6"/>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08" w:hanging="808"/>
        <w:spacing w:after="0"/>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8" w:right="3159" w:firstLine="805"/>
        <w:spacing w:after="0" w:line="262"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supports, operates and provides Managed Services for information system solutions primarily to leading communications companies throughout the world.</w:t>
      </w:r>
    </w:p>
    <w:p>
      <w:pPr>
        <w:spacing w:after="0" w:line="78" w:lineRule="exact"/>
        <w:rPr>
          <w:sz w:val="20"/>
          <w:szCs w:val="20"/>
          <w:color w:val="auto"/>
        </w:rPr>
      </w:pPr>
    </w:p>
    <w:p>
      <w:pPr>
        <w:ind w:left="8" w:right="3079" w:firstLine="805"/>
        <w:spacing w:after="0" w:line="266"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74" w:lineRule="exact"/>
        <w:rPr>
          <w:sz w:val="20"/>
          <w:szCs w:val="20"/>
          <w:color w:val="auto"/>
        </w:rPr>
      </w:pPr>
    </w:p>
    <w:p>
      <w:pPr>
        <w:ind w:left="8" w:right="3079" w:firstLine="805"/>
        <w:spacing w:after="0" w:line="266"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4" w:lineRule="exact"/>
        <w:rPr>
          <w:sz w:val="20"/>
          <w:szCs w:val="20"/>
          <w:color w:val="auto"/>
        </w:rPr>
      </w:pPr>
    </w:p>
    <w:p>
      <w:pPr>
        <w:ind w:left="8" w:right="3159" w:firstLine="805"/>
        <w:spacing w:after="0" w:line="280"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68" w:lineRule="exact"/>
        <w:rPr>
          <w:sz w:val="20"/>
          <w:szCs w:val="20"/>
          <w:color w:val="auto"/>
        </w:rPr>
      </w:pPr>
    </w:p>
    <w:p>
      <w:pPr>
        <w:ind w:left="808" w:right="5939" w:hanging="808"/>
        <w:spacing w:after="0" w:line="520" w:lineRule="auto"/>
        <w:tabs>
          <w:tab w:leader="none" w:pos="80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spacing w:after="0" w:line="1" w:lineRule="exact"/>
        <w:rPr>
          <w:sz w:val="20"/>
          <w:szCs w:val="20"/>
          <w:color w:val="auto"/>
        </w:rPr>
      </w:pPr>
    </w:p>
    <w:p>
      <w:pPr>
        <w:ind w:left="8" w:right="3079" w:firstLine="805"/>
        <w:spacing w:after="0" w:line="254" w:lineRule="auto"/>
        <w:rPr>
          <w:sz w:val="20"/>
          <w:szCs w:val="20"/>
          <w:color w:val="auto"/>
        </w:rPr>
      </w:pPr>
      <w:r>
        <w:rPr>
          <w:rFonts w:ascii="Courier New" w:cs="Courier New" w:eastAsia="Courier New" w:hAnsi="Courier New"/>
          <w:sz w:val="15"/>
          <w:szCs w:val="15"/>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employee stock-based compensation cost is reflected in net income for the three months ended December 31, 2003 and 2002, as all options granted were at an exercise price equal to the market value of the underlying shares at the grant date.</w:t>
      </w:r>
    </w:p>
    <w:p>
      <w:pPr>
        <w:spacing w:after="0" w:line="86" w:lineRule="exact"/>
        <w:rPr>
          <w:sz w:val="20"/>
          <w:szCs w:val="20"/>
          <w:color w:val="auto"/>
        </w:rPr>
      </w:pPr>
    </w:p>
    <w:p>
      <w:pPr>
        <w:ind w:left="8" w:right="3079" w:firstLine="805"/>
        <w:spacing w:after="0" w:line="251" w:lineRule="auto"/>
        <w:rPr>
          <w:sz w:val="20"/>
          <w:szCs w:val="20"/>
          <w:color w:val="auto"/>
        </w:rPr>
      </w:pPr>
      <w:r>
        <w:rPr>
          <w:rFonts w:ascii="Courier New" w:cs="Courier New" w:eastAsia="Courier New" w:hAnsi="Courier New"/>
          <w:sz w:val="15"/>
          <w:szCs w:val="15"/>
          <w:color w:val="auto"/>
        </w:rPr>
        <w:t>As presented below, the Company determined net income (loss) and earnings (loss)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8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07" w:right="1440" w:bottom="1440" w:gutter="0" w:footer="0" w:header="0"/>
        </w:sectPr>
      </w:pPr>
    </w:p>
    <w:bookmarkStart w:id="7" w:name="page8"/>
    <w:bookmarkEnd w:id="7"/>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jc w:val="both"/>
        <w:ind w:left="8" w:right="3339" w:firstLine="805"/>
        <w:spacing w:after="0" w:line="301" w:lineRule="auto"/>
        <w:rPr>
          <w:sz w:val="20"/>
          <w:szCs w:val="20"/>
          <w:color w:val="auto"/>
        </w:rPr>
      </w:pPr>
      <w:r>
        <w:rPr>
          <w:rFonts w:ascii="Courier New" w:cs="Courier New" w:eastAsia="Courier New" w:hAnsi="Courier New"/>
          <w:sz w:val="15"/>
          <w:szCs w:val="15"/>
          <w:color w:val="auto"/>
        </w:rPr>
        <w:t>The fair value of options granted was estimated at the date of grant using the Black-Scholes pricing model with the following assumptions for the presented periods (all in weighted averages):</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31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3120" w:type="dxa"/>
            <w:vAlign w:val="bottom"/>
          </w:tcPr>
          <w:p>
            <w:pPr>
              <w:spacing w:after="0"/>
              <w:rPr>
                <w:sz w:val="14"/>
                <w:szCs w:val="14"/>
                <w:color w:val="auto"/>
              </w:rPr>
            </w:pPr>
          </w:p>
        </w:tc>
        <w:tc>
          <w:tcPr>
            <w:tcW w:w="31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3120" w:type="dxa"/>
            <w:vAlign w:val="bottom"/>
          </w:tcPr>
          <w:p>
            <w:pPr>
              <w:spacing w:after="0"/>
              <w:rPr>
                <w:sz w:val="14"/>
                <w:szCs w:val="14"/>
                <w:color w:val="auto"/>
              </w:rPr>
            </w:pPr>
          </w:p>
        </w:tc>
        <w:tc>
          <w:tcPr>
            <w:tcW w:w="3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9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2003</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2002</w:t>
            </w:r>
          </w:p>
        </w:tc>
      </w:tr>
      <w:tr>
        <w:trPr>
          <w:trHeight w:val="252"/>
        </w:trPr>
        <w:tc>
          <w:tcPr>
            <w:tcW w:w="3120" w:type="dxa"/>
            <w:vAlign w:val="bottom"/>
          </w:tcPr>
          <w:p>
            <w:pPr>
              <w:spacing w:after="0"/>
              <w:rPr>
                <w:sz w:val="21"/>
                <w:szCs w:val="21"/>
                <w:color w:val="auto"/>
              </w:rPr>
            </w:pPr>
          </w:p>
        </w:tc>
        <w:tc>
          <w:tcPr>
            <w:tcW w:w="1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264"/>
        </w:trPr>
        <w:tc>
          <w:tcPr>
            <w:tcW w:w="31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3.00</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2.93</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0.435</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0.604</w:t>
            </w:r>
          </w:p>
        </w:tc>
      </w:tr>
      <w:tr>
        <w:trPr>
          <w:trHeight w:val="252"/>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None</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Fair value per option</w:t>
            </w: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6.854</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3.125</w:t>
            </w:r>
          </w:p>
        </w:tc>
      </w:tr>
    </w:tbl>
    <w:p>
      <w:pPr>
        <w:spacing w:after="0" w:line="264" w:lineRule="exact"/>
        <w:rPr>
          <w:sz w:val="20"/>
          <w:szCs w:val="20"/>
          <w:color w:val="auto"/>
        </w:rPr>
      </w:pPr>
    </w:p>
    <w:p>
      <w:pPr>
        <w:ind w:left="8" w:right="3259" w:firstLine="805"/>
        <w:spacing w:after="0" w:line="359" w:lineRule="auto"/>
        <w:rPr>
          <w:sz w:val="20"/>
          <w:szCs w:val="20"/>
          <w:color w:val="auto"/>
        </w:rPr>
      </w:pPr>
      <w:r>
        <w:rPr>
          <w:rFonts w:ascii="Courier New" w:cs="Courier New" w:eastAsia="Courier New" w:hAnsi="Courier New"/>
          <w:sz w:val="15"/>
          <w:szCs w:val="15"/>
          <w:color w:val="auto"/>
        </w:rPr>
        <w:t>The following table sets forth the pro forma effect on net income and earnings per share for the three months ended December 31, 2003 and 2002:</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2003</w:t>
            </w:r>
          </w:p>
        </w:tc>
        <w:tc>
          <w:tcPr>
            <w:tcW w:w="640" w:type="dxa"/>
            <w:vAlign w:val="bottom"/>
          </w:tcPr>
          <w:p>
            <w:pPr>
              <w:spacing w:after="0"/>
              <w:rPr>
                <w:sz w:val="14"/>
                <w:szCs w:val="14"/>
                <w:color w:val="auto"/>
              </w:rPr>
            </w:pP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3340" w:type="dxa"/>
            <w:vAlign w:val="bottom"/>
          </w:tcPr>
          <w:p>
            <w:pPr>
              <w:spacing w:after="0"/>
              <w:rPr>
                <w:sz w:val="21"/>
                <w:szCs w:val="21"/>
                <w:color w:val="auto"/>
              </w:rPr>
            </w:pP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53,068</w:t>
            </w:r>
          </w:p>
        </w:tc>
        <w:tc>
          <w:tcPr>
            <w:tcW w:w="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32,199</w:t>
            </w:r>
          </w:p>
        </w:tc>
        <w:tc>
          <w:tcPr>
            <w:tcW w:w="0" w:type="dxa"/>
            <w:vAlign w:val="bottom"/>
          </w:tcPr>
          <w:p>
            <w:pPr>
              <w:spacing w:after="0"/>
              <w:rPr>
                <w:sz w:val="1"/>
                <w:szCs w:val="1"/>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tcPr>
          <w:p>
            <w:pPr>
              <w:ind w:left="520"/>
              <w:spacing w:after="0"/>
              <w:rPr>
                <w:sz w:val="20"/>
                <w:szCs w:val="20"/>
                <w:color w:val="auto"/>
              </w:rPr>
            </w:pPr>
            <w:r>
              <w:rPr>
                <w:rFonts w:ascii="Courier New" w:cs="Courier New" w:eastAsia="Courier New" w:hAnsi="Courier New"/>
                <w:sz w:val="15"/>
                <w:szCs w:val="15"/>
                <w:color w:val="auto"/>
              </w:rPr>
              <w:t>compensation expense</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tcPr>
          <w:p>
            <w:pPr>
              <w:ind w:left="520"/>
              <w:spacing w:after="0"/>
              <w:rPr>
                <w:sz w:val="20"/>
                <w:szCs w:val="20"/>
                <w:color w:val="auto"/>
              </w:rPr>
            </w:pPr>
            <w:r>
              <w:rPr>
                <w:rFonts w:ascii="Courier New" w:cs="Courier New" w:eastAsia="Courier New" w:hAnsi="Courier New"/>
                <w:sz w:val="15"/>
                <w:szCs w:val="15"/>
                <w:color w:val="auto"/>
              </w:rPr>
              <w:t>determined under fair value</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tcPr>
          <w:p>
            <w:pPr>
              <w:ind w:left="520"/>
              <w:spacing w:after="0"/>
              <w:rPr>
                <w:sz w:val="20"/>
                <w:szCs w:val="20"/>
                <w:color w:val="auto"/>
              </w:rPr>
            </w:pPr>
            <w:r>
              <w:rPr>
                <w:rFonts w:ascii="Courier New" w:cs="Courier New" w:eastAsia="Courier New" w:hAnsi="Courier New"/>
                <w:sz w:val="15"/>
                <w:szCs w:val="15"/>
                <w:color w:val="auto"/>
              </w:rPr>
              <w:t>method for all awards, net</w:t>
            </w:r>
          </w:p>
        </w:tc>
        <w:tc>
          <w:tcPr>
            <w:tcW w:w="640" w:type="dxa"/>
            <w:vAlign w:val="bottom"/>
          </w:tcPr>
          <w:p>
            <w:pPr>
              <w:spacing w:after="0"/>
              <w:rPr>
                <w:sz w:val="14"/>
                <w:szCs w:val="14"/>
                <w:color w:val="auto"/>
              </w:rPr>
            </w:pPr>
          </w:p>
        </w:tc>
        <w:tc>
          <w:tcPr>
            <w:tcW w:w="10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6,707</w:t>
            </w:r>
          </w:p>
        </w:tc>
        <w:tc>
          <w:tcPr>
            <w:tcW w:w="6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12,935</w:t>
            </w:r>
          </w:p>
        </w:tc>
        <w:tc>
          <w:tcPr>
            <w:tcW w:w="0" w:type="dxa"/>
            <w:vAlign w:val="bottom"/>
          </w:tcPr>
          <w:p>
            <w:pPr>
              <w:spacing w:after="0"/>
              <w:rPr>
                <w:sz w:val="1"/>
                <w:szCs w:val="1"/>
                <w:color w:val="auto"/>
              </w:rPr>
            </w:pPr>
          </w:p>
        </w:tc>
      </w:tr>
      <w:tr>
        <w:trPr>
          <w:trHeight w:val="172"/>
        </w:trPr>
        <w:tc>
          <w:tcPr>
            <w:tcW w:w="3340" w:type="dxa"/>
            <w:vAlign w:val="bottom"/>
          </w:tcPr>
          <w:p>
            <w:pPr>
              <w:ind w:left="520"/>
              <w:spacing w:after="0"/>
              <w:rPr>
                <w:sz w:val="20"/>
                <w:szCs w:val="20"/>
                <w:color w:val="auto"/>
              </w:rPr>
            </w:pPr>
            <w:r>
              <w:rPr>
                <w:rFonts w:ascii="Courier New" w:cs="Courier New" w:eastAsia="Courier New" w:hAnsi="Courier New"/>
                <w:sz w:val="15"/>
                <w:szCs w:val="15"/>
                <w:color w:val="auto"/>
              </w:rPr>
              <w:t>of related tax effects</w:t>
            </w:r>
          </w:p>
        </w:tc>
        <w:tc>
          <w:tcPr>
            <w:tcW w:w="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net income</w:t>
            </w: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340" w:type="dxa"/>
            <w:vAlign w:val="bottom"/>
            <w:vMerge w:val="continue"/>
          </w:tcPr>
          <w:p>
            <w:pPr>
              <w:spacing w:after="0"/>
              <w:rPr>
                <w:sz w:val="14"/>
                <w:szCs w:val="1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46,361</w:t>
            </w:r>
          </w:p>
        </w:tc>
        <w:tc>
          <w:tcPr>
            <w:tcW w:w="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19,264</w:t>
            </w:r>
          </w:p>
        </w:tc>
        <w:tc>
          <w:tcPr>
            <w:tcW w:w="0" w:type="dxa"/>
            <w:vAlign w:val="bottom"/>
          </w:tcPr>
          <w:p>
            <w:pPr>
              <w:spacing w:after="0"/>
              <w:rPr>
                <w:sz w:val="1"/>
                <w:szCs w:val="1"/>
                <w:color w:val="auto"/>
              </w:rPr>
            </w:pPr>
          </w:p>
        </w:tc>
      </w:tr>
      <w:tr>
        <w:trPr>
          <w:trHeight w:val="252"/>
        </w:trPr>
        <w:tc>
          <w:tcPr>
            <w:tcW w:w="334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340" w:type="dxa"/>
            <w:vAlign w:val="bottom"/>
            <w:vMerge w:val="continue"/>
          </w:tcPr>
          <w:p>
            <w:pPr>
              <w:spacing w:after="0"/>
              <w:rPr>
                <w:sz w:val="7"/>
                <w:szCs w:val="7"/>
                <w:color w:val="auto"/>
              </w:rPr>
            </w:pP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0.25</w:t>
            </w:r>
          </w:p>
        </w:tc>
        <w:tc>
          <w:tcPr>
            <w:tcW w:w="6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72"/>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As reported</w:t>
            </w:r>
          </w:p>
        </w:tc>
        <w:tc>
          <w:tcPr>
            <w:tcW w:w="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Pro forma</w:t>
            </w: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340" w:type="dxa"/>
            <w:vAlign w:val="bottom"/>
            <w:vMerge w:val="continue"/>
          </w:tcPr>
          <w:p>
            <w:pPr>
              <w:spacing w:after="0"/>
              <w:rPr>
                <w:sz w:val="14"/>
                <w:szCs w:val="1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0.22</w:t>
            </w:r>
          </w:p>
        </w:tc>
        <w:tc>
          <w:tcPr>
            <w:tcW w:w="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2"/>
        </w:trPr>
        <w:tc>
          <w:tcPr>
            <w:tcW w:w="334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340" w:type="dxa"/>
            <w:vAlign w:val="bottom"/>
            <w:vMerge w:val="continue"/>
          </w:tcPr>
          <w:p>
            <w:pPr>
              <w:spacing w:after="0"/>
              <w:rPr>
                <w:sz w:val="7"/>
                <w:szCs w:val="7"/>
                <w:color w:val="auto"/>
              </w:rPr>
            </w:pPr>
          </w:p>
        </w:tc>
        <w:tc>
          <w:tcPr>
            <w:tcW w:w="6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0.24</w:t>
            </w:r>
          </w:p>
        </w:tc>
        <w:tc>
          <w:tcPr>
            <w:tcW w:w="6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72"/>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As reported</w:t>
            </w:r>
          </w:p>
        </w:tc>
        <w:tc>
          <w:tcPr>
            <w:tcW w:w="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Pro forma</w:t>
            </w: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340" w:type="dxa"/>
            <w:vAlign w:val="bottom"/>
            <w:vMerge w:val="continue"/>
          </w:tcPr>
          <w:p>
            <w:pPr>
              <w:spacing w:after="0"/>
              <w:rPr>
                <w:sz w:val="14"/>
                <w:szCs w:val="1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0.21</w:t>
            </w:r>
          </w:p>
        </w:tc>
        <w:tc>
          <w:tcPr>
            <w:tcW w:w="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2"/>
        </w:trPr>
        <w:tc>
          <w:tcPr>
            <w:tcW w:w="3340" w:type="dxa"/>
            <w:vAlign w:val="bottom"/>
          </w:tcPr>
          <w:p>
            <w:pPr>
              <w:spacing w:after="0"/>
              <w:rPr>
                <w:sz w:val="21"/>
                <w:szCs w:val="21"/>
                <w:color w:val="auto"/>
              </w:rPr>
            </w:pP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08" w:hanging="808"/>
        <w:spacing w:after="0"/>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Non-Software Elements in an Arrangement Containing Software</w:t>
      </w:r>
    </w:p>
    <w:p>
      <w:pPr>
        <w:spacing w:after="0" w:line="174" w:lineRule="exact"/>
        <w:rPr>
          <w:sz w:val="20"/>
          <w:szCs w:val="20"/>
          <w:color w:val="auto"/>
        </w:rPr>
      </w:pPr>
    </w:p>
    <w:p>
      <w:pPr>
        <w:ind w:left="8" w:right="3079" w:firstLine="805"/>
        <w:spacing w:after="0" w:line="252" w:lineRule="auto"/>
        <w:rPr>
          <w:sz w:val="20"/>
          <w:szCs w:val="20"/>
          <w:color w:val="auto"/>
        </w:rPr>
      </w:pPr>
      <w:r>
        <w:rPr>
          <w:rFonts w:ascii="Courier New" w:cs="Courier New" w:eastAsia="Courier New" w:hAnsi="Courier New"/>
          <w:sz w:val="15"/>
          <w:szCs w:val="15"/>
          <w:color w:val="auto"/>
        </w:rPr>
        <w:t>In July 2003, the Emerging Issues Task Force ("EITF") reached a consensus on EITF Issue No. 03-05, "Applicability of AICPA Statement of Position 97-2, Software Revenue Recognition, to Non-Software Deliverables in an Arrangement Containing More-Than Incidental Software" ("Issue 03-05"). Issue</w:t>
      </w:r>
    </w:p>
    <w:p>
      <w:pPr>
        <w:spacing w:after="0" w:line="2" w:lineRule="exact"/>
        <w:rPr>
          <w:sz w:val="20"/>
          <w:szCs w:val="20"/>
          <w:color w:val="auto"/>
        </w:rPr>
      </w:pPr>
    </w:p>
    <w:p>
      <w:pPr>
        <w:ind w:left="8" w:right="3079"/>
        <w:spacing w:after="0" w:line="248" w:lineRule="auto"/>
        <w:rPr>
          <w:sz w:val="20"/>
          <w:szCs w:val="20"/>
          <w:color w:val="auto"/>
        </w:rPr>
      </w:pPr>
      <w:r>
        <w:rPr>
          <w:rFonts w:ascii="Courier New" w:cs="Courier New" w:eastAsia="Courier New" w:hAnsi="Courier New"/>
          <w:sz w:val="15"/>
          <w:szCs w:val="15"/>
          <w:color w:val="auto"/>
        </w:rPr>
        <w:t>03-05 addresses whether non-software deliverables (e.g., non-software related equipment or services) included in an arrangement that contains software that is more than incidental to the products or services as a whole are included within the scope of Statement of Position 97-2, "Software Revenue Recognition". Software-related elements include software products, upgrades/enhancements, post-contract customer support and services, as well as any non-software deliverables for which a software deliverable is essential to its functionality. Under Issue 03-05, in an arrangement that includes software, computer hardware that will contain the software, and additional unrelated equipment, if the software is essential to the functionality of the hardware, the hardware would be considered software-related and, therefore, included within the scope of SOP 97-2. Issue 03-05 is effective for arrangements entered into in the first reporting period (annual or interim) beginning after August 13, 2003. The Company adopted Issue 03-05 on October 1, 2003. Issue 03-05 currently has no effect on the Company's consolidated financial position and results of operations.</w:t>
      </w:r>
    </w:p>
    <w:p>
      <w:pPr>
        <w:spacing w:after="0" w:line="8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07" w:right="1440" w:bottom="1440" w:gutter="0" w:footer="0" w:header="0"/>
        </w:sectPr>
      </w:pPr>
    </w:p>
    <w:bookmarkStart w:id="8" w:name="page9"/>
    <w:bookmarkEnd w:id="8"/>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4" w:lineRule="exact"/>
        <w:rPr>
          <w:sz w:val="20"/>
          <w:szCs w:val="20"/>
          <w:color w:val="auto"/>
        </w:rPr>
      </w:pPr>
    </w:p>
    <w:p>
      <w:pPr>
        <w:ind w:left="8" w:right="3159" w:firstLine="805"/>
        <w:spacing w:after="0" w:line="272" w:lineRule="auto"/>
        <w:rPr>
          <w:sz w:val="20"/>
          <w:szCs w:val="20"/>
          <w:color w:val="auto"/>
        </w:rPr>
      </w:pPr>
      <w:r>
        <w:rPr>
          <w:rFonts w:ascii="Courier New" w:cs="Courier New" w:eastAsia="Courier New" w:hAnsi="Courier New"/>
          <w:sz w:val="15"/>
          <w:szCs w:val="15"/>
          <w:color w:val="auto"/>
        </w:rPr>
        <w:t>The Company had licensed software and provided computer systems integration and related services to Certen Inc. ("Certen") prior to its acquisition by the Company in July 2003 (see Note 10). The following related party revenue is included in the statement of income for the three months ended December 31, 2002:</w:t>
      </w:r>
    </w:p>
    <w:p>
      <w:pPr>
        <w:spacing w:after="0" w:line="200" w:lineRule="exact"/>
        <w:rPr>
          <w:sz w:val="20"/>
          <w:szCs w:val="20"/>
          <w:color w:val="auto"/>
        </w:rPr>
      </w:pPr>
    </w:p>
    <w:p>
      <w:pPr>
        <w:spacing w:after="0" w:line="2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2,052</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Service</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25,046</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439" w:firstLine="805"/>
        <w:spacing w:after="0" w:line="359" w:lineRule="auto"/>
        <w:rPr>
          <w:sz w:val="20"/>
          <w:szCs w:val="20"/>
          <w:color w:val="auto"/>
        </w:rPr>
      </w:pPr>
      <w:r>
        <w:rPr>
          <w:rFonts w:ascii="Courier New" w:cs="Courier New" w:eastAsia="Courier New" w:hAnsi="Courier New"/>
          <w:sz w:val="15"/>
          <w:szCs w:val="15"/>
          <w:color w:val="auto"/>
        </w:rPr>
        <w:t>The following related party expense is included in the statement of income for the three months ended December 31, 2002:</w:t>
      </w:r>
    </w:p>
    <w:p>
      <w:pPr>
        <w:spacing w:after="0" w:line="8" w:lineRule="exact"/>
        <w:rPr>
          <w:sz w:val="20"/>
          <w:szCs w:val="20"/>
          <w:color w:val="auto"/>
        </w:rPr>
      </w:pPr>
    </w:p>
    <w:p>
      <w:pPr>
        <w:ind w:left="808"/>
        <w:spacing w:after="0"/>
        <w:tabs>
          <w:tab w:leader="none" w:pos="4908" w:val="left"/>
          <w:tab w:leader="none" w:pos="5428" w:val="left"/>
        </w:tabs>
        <w:rPr>
          <w:sz w:val="20"/>
          <w:szCs w:val="20"/>
          <w:color w:val="auto"/>
        </w:rPr>
      </w:pPr>
      <w:r>
        <w:rPr>
          <w:rFonts w:ascii="Courier New" w:cs="Courier New" w:eastAsia="Courier New" w:hAnsi="Courier New"/>
          <w:sz w:val="15"/>
          <w:szCs w:val="15"/>
          <w:color w:val="auto"/>
        </w:rPr>
        <w:t>Interest income and other, net (1)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639</w:t>
      </w:r>
    </w:p>
    <w:p>
      <w:pPr>
        <w:spacing w:after="0" w:line="174" w:lineRule="exact"/>
        <w:rPr>
          <w:sz w:val="20"/>
          <w:szCs w:val="20"/>
          <w:color w:val="auto"/>
        </w:rPr>
      </w:pPr>
    </w:p>
    <w:p>
      <w:pPr>
        <w:ind w:left="1608" w:right="3519" w:hanging="803"/>
        <w:spacing w:after="0" w:line="301" w:lineRule="auto"/>
        <w:tabs>
          <w:tab w:leader="none" w:pos="160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net of hedging, on the convertible debentures of Certen. Absent hedging, this amount would be $1,009.</w:t>
      </w:r>
    </w:p>
    <w:p>
      <w:pPr>
        <w:spacing w:after="0" w:line="48"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OF</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3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DECEMBER 31,</w:t>
            </w:r>
          </w:p>
        </w:tc>
        <w:tc>
          <w:tcPr>
            <w:tcW w:w="5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SEPTEMBER 30,</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2003</w:t>
            </w:r>
          </w:p>
        </w:tc>
        <w:tc>
          <w:tcPr>
            <w:tcW w:w="5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2"/>
        </w:trPr>
        <w:tc>
          <w:tcPr>
            <w:tcW w:w="3080" w:type="dxa"/>
            <w:vAlign w:val="bottom"/>
          </w:tcPr>
          <w:p>
            <w:pPr>
              <w:spacing w:after="0"/>
              <w:rPr>
                <w:sz w:val="21"/>
                <w:szCs w:val="21"/>
                <w:color w:val="auto"/>
              </w:rPr>
            </w:pPr>
          </w:p>
        </w:tc>
        <w:tc>
          <w:tcPr>
            <w:tcW w:w="22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Accounts receivable - billed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200,518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200,220</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Accounts receivable - unbilled</w:t>
            </w:r>
          </w:p>
        </w:tc>
        <w:tc>
          <w:tcPr>
            <w:tcW w:w="102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26,038</w:t>
            </w:r>
          </w:p>
        </w:tc>
        <w:tc>
          <w:tcPr>
            <w:tcW w:w="5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16,072</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10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(16,534)</w:t>
            </w:r>
          </w:p>
        </w:tc>
        <w:tc>
          <w:tcPr>
            <w:tcW w:w="5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(18,018)</w:t>
            </w:r>
          </w:p>
        </w:tc>
        <w:tc>
          <w:tcPr>
            <w:tcW w:w="0" w:type="dxa"/>
            <w:vAlign w:val="bottom"/>
          </w:tcPr>
          <w:p>
            <w:pPr>
              <w:spacing w:after="0"/>
              <w:rPr>
                <w:sz w:val="1"/>
                <w:szCs w:val="1"/>
                <w:color w:val="auto"/>
              </w:rPr>
            </w:pPr>
          </w:p>
        </w:tc>
      </w:tr>
      <w:tr>
        <w:trPr>
          <w:trHeight w:val="172"/>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Accounts receivable, net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29"/>
                <w:szCs w:val="29"/>
                <w:color w:val="auto"/>
                <w:w w:val="77"/>
                <w:vertAlign w:val="subscript"/>
              </w:rPr>
              <w:t>$</w:t>
            </w:r>
            <w:r>
              <w:rPr>
                <w:rFonts w:ascii="Courier New" w:cs="Courier New" w:eastAsia="Courier New" w:hAnsi="Courier New"/>
                <w:sz w:val="15"/>
                <w:szCs w:val="15"/>
                <w:color w:val="auto"/>
                <w:w w:val="77"/>
              </w:rPr>
              <w:t>-------------</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210,022</w:t>
            </w:r>
          </w:p>
        </w:tc>
        <w:tc>
          <w:tcPr>
            <w:tcW w:w="17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198,274</w:t>
            </w:r>
          </w:p>
        </w:tc>
        <w:tc>
          <w:tcPr>
            <w:tcW w:w="0" w:type="dxa"/>
            <w:vAlign w:val="bottom"/>
          </w:tcPr>
          <w:p>
            <w:pPr>
              <w:spacing w:after="0"/>
              <w:rPr>
                <w:sz w:val="1"/>
                <w:szCs w:val="1"/>
                <w:color w:val="auto"/>
              </w:rPr>
            </w:pPr>
          </w:p>
        </w:tc>
      </w:tr>
      <w:tr>
        <w:trPr>
          <w:trHeight w:val="252"/>
        </w:trPr>
        <w:tc>
          <w:tcPr>
            <w:tcW w:w="3080" w:type="dxa"/>
            <w:vAlign w:val="bottom"/>
          </w:tcPr>
          <w:p>
            <w:pPr>
              <w:spacing w:after="0"/>
              <w:rPr>
                <w:sz w:val="21"/>
                <w:szCs w:val="21"/>
                <w:color w:val="auto"/>
              </w:rPr>
            </w:pPr>
          </w:p>
        </w:tc>
        <w:tc>
          <w:tcPr>
            <w:tcW w:w="22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3080" w:type="dxa"/>
            <w:vAlign w:val="bottom"/>
          </w:tcPr>
          <w:p>
            <w:pPr>
              <w:spacing w:after="0"/>
              <w:rPr>
                <w:sz w:val="24"/>
                <w:szCs w:val="24"/>
                <w:color w:val="auto"/>
              </w:rPr>
            </w:pP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7"/>
          </w:cols>
          <w:pgMar w:left="232" w:top="607" w:right="1440" w:bottom="1440" w:gutter="0" w:footer="0" w:header="0"/>
        </w:sectPr>
      </w:pPr>
    </w:p>
    <w:bookmarkStart w:id="9" w:name="page10"/>
    <w:bookmarkEnd w:id="9"/>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08" w:hanging="808"/>
        <w:spacing w:after="0"/>
        <w:tabs>
          <w:tab w:leader="none" w:pos="80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left="8" w:right="3159" w:firstLine="805"/>
        <w:spacing w:after="0" w:line="281"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64" w:lineRule="exact"/>
        <w:rPr>
          <w:sz w:val="20"/>
          <w:szCs w:val="20"/>
          <w:color w:val="auto"/>
        </w:rPr>
      </w:pPr>
    </w:p>
    <w:p>
      <w:pPr>
        <w:ind w:left="8" w:right="3339" w:firstLine="805"/>
        <w:spacing w:after="0" w:line="359"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6"/>
              </w:rPr>
              <w:t>DECEMBER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26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2002</w:t>
            </w:r>
          </w:p>
        </w:tc>
        <w:tc>
          <w:tcPr>
            <w:tcW w:w="0" w:type="dxa"/>
            <w:vAlign w:val="bottom"/>
          </w:tcPr>
          <w:p>
            <w:pPr>
              <w:spacing w:after="0"/>
              <w:rPr>
                <w:sz w:val="1"/>
                <w:szCs w:val="1"/>
                <w:color w:val="auto"/>
              </w:rPr>
            </w:pPr>
          </w:p>
        </w:tc>
      </w:tr>
      <w:tr>
        <w:trPr>
          <w:trHeight w:val="252"/>
        </w:trPr>
        <w:tc>
          <w:tcPr>
            <w:tcW w:w="4020" w:type="dxa"/>
            <w:vAlign w:val="bottom"/>
          </w:tcPr>
          <w:p>
            <w:pPr>
              <w:spacing w:after="0"/>
              <w:rPr>
                <w:sz w:val="21"/>
                <w:szCs w:val="21"/>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53,068</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32,199</w:t>
            </w:r>
          </w:p>
        </w:tc>
        <w:tc>
          <w:tcPr>
            <w:tcW w:w="0" w:type="dxa"/>
            <w:vAlign w:val="bottom"/>
          </w:tcPr>
          <w:p>
            <w:pPr>
              <w:spacing w:after="0"/>
              <w:rPr>
                <w:sz w:val="1"/>
                <w:szCs w:val="1"/>
                <w:color w:val="auto"/>
              </w:rPr>
            </w:pP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 income on foreign</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currency hedging contracts, net of</w:t>
            </w:r>
          </w:p>
        </w:tc>
        <w:tc>
          <w:tcPr>
            <w:tcW w:w="6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(3,199)</w:t>
            </w:r>
          </w:p>
        </w:tc>
        <w:tc>
          <w:tcPr>
            <w:tcW w:w="400" w:type="dxa"/>
            <w:vAlign w:val="bottom"/>
          </w:tcPr>
          <w:p>
            <w:pPr>
              <w:spacing w:after="0"/>
              <w:rPr>
                <w:sz w:val="14"/>
                <w:szCs w:val="14"/>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5,468</w:t>
            </w:r>
          </w:p>
        </w:tc>
        <w:tc>
          <w:tcPr>
            <w:tcW w:w="0" w:type="dxa"/>
            <w:vAlign w:val="bottom"/>
          </w:tcPr>
          <w:p>
            <w:pPr>
              <w:spacing w:after="0"/>
              <w:rPr>
                <w:sz w:val="1"/>
                <w:szCs w:val="1"/>
                <w:color w:val="auto"/>
              </w:rPr>
            </w:pPr>
          </w:p>
        </w:tc>
      </w:tr>
      <w:tr>
        <w:trPr>
          <w:trHeight w:val="172"/>
        </w:trPr>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tax</w:t>
            </w:r>
          </w:p>
        </w:tc>
        <w:tc>
          <w:tcPr>
            <w:tcW w:w="6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 on short-term</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interest-bearing investments, net of</w:t>
            </w:r>
          </w:p>
        </w:tc>
        <w:tc>
          <w:tcPr>
            <w:tcW w:w="6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(465)</w:t>
            </w:r>
          </w:p>
        </w:tc>
        <w:tc>
          <w:tcPr>
            <w:tcW w:w="4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72"/>
        </w:trPr>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tax</w:t>
            </w:r>
          </w:p>
        </w:tc>
        <w:tc>
          <w:tcPr>
            <w:tcW w:w="6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620" w:type="dxa"/>
            <w:vAlign w:val="bottom"/>
            <w:vMerge w:val="restart"/>
          </w:tcPr>
          <w:p>
            <w:pPr>
              <w:ind w:left="2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49,404</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0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37,561</w:t>
            </w:r>
          </w:p>
        </w:tc>
        <w:tc>
          <w:tcPr>
            <w:tcW w:w="0" w:type="dxa"/>
            <w:vAlign w:val="bottom"/>
          </w:tcPr>
          <w:p>
            <w:pPr>
              <w:spacing w:after="0"/>
              <w:rPr>
                <w:sz w:val="1"/>
                <w:szCs w:val="1"/>
                <w:color w:val="auto"/>
              </w:rPr>
            </w:pPr>
          </w:p>
        </w:tc>
      </w:tr>
      <w:tr>
        <w:trPr>
          <w:trHeight w:val="252"/>
        </w:trPr>
        <w:tc>
          <w:tcPr>
            <w:tcW w:w="4020" w:type="dxa"/>
            <w:vAlign w:val="bottom"/>
          </w:tcPr>
          <w:p>
            <w:pPr>
              <w:spacing w:after="0"/>
              <w:rPr>
                <w:sz w:val="21"/>
                <w:szCs w:val="21"/>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08" w:hanging="808"/>
        <w:spacing w:after="0"/>
        <w:tabs>
          <w:tab w:leader="none" w:pos="8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DECEMBER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43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5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2002</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3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240" w:type="dxa"/>
            <w:vAlign w:val="bottom"/>
          </w:tcPr>
          <w:p>
            <w:pPr>
              <w:ind w:left="17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19,510</w:t>
            </w:r>
          </w:p>
        </w:tc>
        <w:tc>
          <w:tcPr>
            <w:tcW w:w="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12,921</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2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(4,542)</w:t>
            </w:r>
          </w:p>
        </w:tc>
        <w:tc>
          <w:tcPr>
            <w:tcW w:w="5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(2,188)</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2240" w:type="dxa"/>
            <w:vAlign w:val="bottom"/>
            <w:vMerge w:val="restart"/>
          </w:tcPr>
          <w:p>
            <w:pPr>
              <w:ind w:left="1780"/>
              <w:spacing w:after="0"/>
              <w:rPr>
                <w:sz w:val="20"/>
                <w:szCs w:val="20"/>
                <w:color w:val="auto"/>
              </w:rPr>
            </w:pPr>
            <w:r>
              <w:rPr>
                <w:rFonts w:ascii="Courier New" w:cs="Courier New" w:eastAsia="Courier New" w:hAnsi="Courier New"/>
                <w:sz w:val="11"/>
                <w:szCs w:val="11"/>
                <w:color w:val="auto"/>
                <w:w w:val="70"/>
                <w:vertAlign w:val="subscript"/>
              </w:rPr>
              <w:t>$</w:t>
            </w:r>
            <w:r>
              <w:rPr>
                <w:rFonts w:ascii="Courier New" w:cs="Courier New" w:eastAsia="Courier New" w:hAnsi="Courier New"/>
                <w:sz w:val="8"/>
                <w:szCs w:val="8"/>
                <w:color w:val="auto"/>
                <w:w w:val="70"/>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14,968</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10,733</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3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left="8" w:right="3339" w:firstLine="805"/>
        <w:spacing w:after="0" w:line="359" w:lineRule="auto"/>
        <w:rPr>
          <w:sz w:val="20"/>
          <w:szCs w:val="20"/>
          <w:color w:val="auto"/>
        </w:rPr>
      </w:pPr>
      <w:r>
        <w:rPr>
          <w:rFonts w:ascii="Courier New" w:cs="Courier New" w:eastAsia="Courier New" w:hAnsi="Courier New"/>
          <w:sz w:val="15"/>
          <w:szCs w:val="15"/>
          <w:color w:val="auto"/>
        </w:rPr>
        <w:t>The effective income tax rate from continuing operations varied from the statutory Guernsey tax rate as follows for the following periods: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2900" w:type="dxa"/>
            <w:vAlign w:val="bottom"/>
            <w:gridSpan w:val="2"/>
          </w:tcPr>
          <w:p>
            <w:pPr>
              <w:ind w:left="1300"/>
              <w:spacing w:after="0"/>
              <w:rPr>
                <w:sz w:val="20"/>
                <w:szCs w:val="20"/>
                <w:color w:val="auto"/>
              </w:rPr>
            </w:pPr>
            <w:r>
              <w:rPr>
                <w:rFonts w:ascii="Courier New" w:cs="Courier New" w:eastAsia="Courier New" w:hAnsi="Courier New"/>
                <w:sz w:val="15"/>
                <w:szCs w:val="15"/>
                <w:color w:val="auto"/>
                <w:w w:val="97"/>
              </w:rPr>
              <w:t>THREE MONTHS ENDED</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2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2060" w:type="dxa"/>
            <w:vAlign w:val="bottom"/>
          </w:tcPr>
          <w:p>
            <w:pPr>
              <w:ind w:left="1300"/>
              <w:spacing w:after="0"/>
              <w:rPr>
                <w:sz w:val="20"/>
                <w:szCs w:val="20"/>
                <w:color w:val="auto"/>
              </w:rPr>
            </w:pPr>
            <w:r>
              <w:rPr>
                <w:rFonts w:ascii="Courier New" w:cs="Courier New" w:eastAsia="Courier New" w:hAnsi="Courier New"/>
                <w:sz w:val="15"/>
                <w:szCs w:val="15"/>
                <w:color w:val="auto"/>
              </w:rPr>
              <w:t>2003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3620" w:type="dxa"/>
            <w:vAlign w:val="bottom"/>
          </w:tcPr>
          <w:p>
            <w:pPr>
              <w:spacing w:after="0"/>
              <w:rPr>
                <w:sz w:val="21"/>
                <w:szCs w:val="21"/>
                <w:color w:val="auto"/>
              </w:rPr>
            </w:pPr>
          </w:p>
        </w:tc>
        <w:tc>
          <w:tcPr>
            <w:tcW w:w="2060" w:type="dxa"/>
            <w:vAlign w:val="bottom"/>
          </w:tcPr>
          <w:p>
            <w:pPr>
              <w:ind w:left="13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20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20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20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2"/>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20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620" w:type="dxa"/>
            <w:vAlign w:val="bottom"/>
            <w:vMerge w:val="continue"/>
          </w:tcPr>
          <w:p>
            <w:pPr>
              <w:spacing w:after="0"/>
              <w:rPr>
                <w:sz w:val="14"/>
                <w:szCs w:val="14"/>
                <w:color w:val="auto"/>
              </w:rPr>
            </w:pPr>
          </w:p>
        </w:tc>
        <w:tc>
          <w:tcPr>
            <w:tcW w:w="20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52"/>
        </w:trPr>
        <w:tc>
          <w:tcPr>
            <w:tcW w:w="3620" w:type="dxa"/>
            <w:vAlign w:val="bottom"/>
          </w:tcPr>
          <w:p>
            <w:pPr>
              <w:spacing w:after="0"/>
              <w:rPr>
                <w:sz w:val="21"/>
                <w:szCs w:val="21"/>
                <w:color w:val="auto"/>
              </w:rPr>
            </w:pPr>
          </w:p>
        </w:tc>
        <w:tc>
          <w:tcPr>
            <w:tcW w:w="20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079" w:firstLine="805"/>
        <w:spacing w:after="0" w:line="266"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for fiscal year 2004 is expected to approximate 22%. Effective October 1, 2002, following the adoption of SFAS No. 142, the Company no longer amortizes goodwill resulting from acquisitions. As a result, goodwill amortization that is not tax-deductible no longer affects the Company's effective tax rate.</w:t>
      </w:r>
    </w:p>
    <w:p>
      <w:pPr>
        <w:spacing w:after="0" w:line="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07" w:right="1440" w:bottom="1440" w:gutter="0" w:footer="0" w:header="0"/>
        </w:sectPr>
      </w:pPr>
    </w:p>
    <w:bookmarkStart w:id="10" w:name="page11"/>
    <w:bookmarkEnd w:id="10"/>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08" w:hanging="808"/>
        <w:spacing w:after="0"/>
        <w:tabs>
          <w:tab w:leader="none" w:pos="80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sz w:val="20"/>
          <w:szCs w:val="20"/>
          <w:color w:val="auto"/>
        </w:rPr>
      </w:pPr>
    </w:p>
    <w:p>
      <w:pPr>
        <w:ind w:left="8" w:right="3439" w:firstLine="805"/>
        <w:spacing w:after="0" w:line="359"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3"/>
          </w:tcPr>
          <w:p>
            <w:pPr>
              <w:jc w:val="right"/>
              <w:ind w:right="265"/>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9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3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53,068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32,199</w:t>
            </w: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number of shares</w:t>
            </w:r>
          </w:p>
        </w:tc>
        <w:tc>
          <w:tcPr>
            <w:tcW w:w="360" w:type="dxa"/>
            <w:vAlign w:val="bottom"/>
          </w:tcPr>
          <w:p>
            <w:pPr>
              <w:spacing w:after="0"/>
              <w:rPr>
                <w:sz w:val="14"/>
                <w:szCs w:val="14"/>
                <w:color w:val="auto"/>
              </w:rPr>
            </w:pP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215,106</w:t>
            </w: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215,626</w:t>
            </w: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outstanding (1)</w:t>
            </w: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 granted</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5,488</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1,513</w:t>
            </w:r>
          </w:p>
        </w:tc>
        <w:tc>
          <w:tcPr>
            <w:tcW w:w="0" w:type="dxa"/>
            <w:vAlign w:val="bottom"/>
          </w:tcPr>
          <w:p>
            <w:pPr>
              <w:spacing w:after="0"/>
              <w:rPr>
                <w:sz w:val="1"/>
                <w:szCs w:val="1"/>
                <w:color w:val="auto"/>
              </w:rPr>
            </w:pPr>
          </w:p>
        </w:tc>
      </w:tr>
      <w:tr>
        <w:trPr>
          <w:trHeight w:val="252"/>
        </w:trPr>
        <w:tc>
          <w:tcPr>
            <w:tcW w:w="4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Denominator for diluted earnings per share -</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adjusted weighted average shares and</w:t>
            </w:r>
          </w:p>
        </w:tc>
        <w:tc>
          <w:tcPr>
            <w:tcW w:w="360" w:type="dxa"/>
            <w:vAlign w:val="bottom"/>
          </w:tcPr>
          <w:p>
            <w:pPr>
              <w:spacing w:after="0"/>
              <w:rPr>
                <w:sz w:val="14"/>
                <w:szCs w:val="14"/>
                <w:color w:val="auto"/>
              </w:rPr>
            </w:pP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220,594</w:t>
            </w: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217,139</w:t>
            </w: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assumed conversions (1)</w:t>
            </w: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Basic earnings per share</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72"/>
        </w:trPr>
        <w:tc>
          <w:tcPr>
            <w:tcW w:w="4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Diluted earnings per share</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1608" w:right="3079" w:hanging="803"/>
        <w:spacing w:after="0" w:line="259" w:lineRule="auto"/>
        <w:tabs>
          <w:tab w:leader="none" w:pos="16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during the three months ended December 31, 2002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81" w:lineRule="exact"/>
        <w:rPr>
          <w:sz w:val="20"/>
          <w:szCs w:val="20"/>
          <w:color w:val="auto"/>
        </w:rPr>
      </w:pPr>
    </w:p>
    <w:p>
      <w:pPr>
        <w:ind w:left="8" w:right="3159" w:firstLine="805"/>
        <w:spacing w:after="0" w:line="266"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"Notes") on diluted earnings per share was anti-dilutive for the three months ended December 31, 2003 and 2002, and, therefore, was not included in the above calculation. The weighted average effect of the repurchase of ordinary shares by the Company has been included in the calculation of basic earnings per share.</w:t>
      </w:r>
    </w:p>
    <w:p>
      <w:pPr>
        <w:spacing w:after="0" w:line="74" w:lineRule="exact"/>
        <w:rPr>
          <w:sz w:val="20"/>
          <w:szCs w:val="20"/>
          <w:color w:val="auto"/>
        </w:rPr>
      </w:pPr>
    </w:p>
    <w:p>
      <w:pPr>
        <w:ind w:left="808" w:hanging="808"/>
        <w:spacing w:after="0"/>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OF SECURITIES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On November 5, 2003, the Company announced that its board of directors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had authorized a share repurchase program of up to 5,000 ordinary shares during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2004. The authorization permits the Company to purchase ordinary shares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open market or privately negotiated transactions and at prices the Company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deems appropriate. The Company stated that one of the main purposes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repurchase program was to offset the dilutive effect of any future share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issuances, including issuances pursuant to employee equity plans or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connection with acquisitions. During the three months ended December 31, 2003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repurchased 4,990 ordinary shares, for an aggregate purchase price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$123,993. Pursuant to a previous share repurchase program in fiscal 2002, the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repurchased 7,732 ordinary shares, for an aggregate purchase price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$109,281. Any share repurchases that the Company may make to offset the dilutive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 of share issuances in the XACCT acquisition (see Note 10), would be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addition to the 5,000 share buyback program previously authorized by its board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directors.</w:t>
      </w:r>
    </w:p>
    <w:p>
      <w:pPr>
        <w:spacing w:after="0" w:line="146" w:lineRule="exact"/>
        <w:rPr>
          <w:sz w:val="20"/>
          <w:szCs w:val="20"/>
          <w:color w:val="auto"/>
        </w:rPr>
      </w:pPr>
    </w:p>
    <w:p>
      <w:pPr>
        <w:ind w:left="8" w:right="3159" w:firstLine="805"/>
        <w:spacing w:after="0" w:line="307" w:lineRule="auto"/>
        <w:rPr>
          <w:sz w:val="20"/>
          <w:szCs w:val="20"/>
          <w:color w:val="auto"/>
        </w:rPr>
      </w:pPr>
      <w:r>
        <w:rPr>
          <w:rFonts w:ascii="Courier New" w:cs="Courier New" w:eastAsia="Courier New" w:hAnsi="Courier New"/>
          <w:sz w:val="14"/>
          <w:szCs w:val="14"/>
          <w:color w:val="auto"/>
        </w:rPr>
        <w:t>In July 2002, the board of directors authorized the Company to repurchase outstanding Notes, in such amounts, at such prices and at such times considered appropriate by the Company. During the three months ended December 31, 2003, the Company repurchased $5,000 aggregate principal amount of the</w:t>
      </w:r>
    </w:p>
    <w:p>
      <w:pPr>
        <w:spacing w:after="0" w:line="4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07" w:right="1440" w:bottom="1440" w:gutter="0" w:footer="0" w:header="0"/>
        </w:sectPr>
      </w:pPr>
    </w:p>
    <w:bookmarkStart w:id="11" w:name="page12"/>
    <w:bookmarkEnd w:id="11"/>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 w:right="3259"/>
        <w:spacing w:after="0" w:line="281" w:lineRule="auto"/>
        <w:rPr>
          <w:sz w:val="20"/>
          <w:szCs w:val="20"/>
          <w:color w:val="auto"/>
        </w:rPr>
      </w:pPr>
      <w:r>
        <w:rPr>
          <w:rFonts w:ascii="Courier New" w:cs="Courier New" w:eastAsia="Courier New" w:hAnsi="Courier New"/>
          <w:sz w:val="15"/>
          <w:szCs w:val="15"/>
          <w:color w:val="auto"/>
        </w:rPr>
        <w:t>Notes for an aggregate purchase price of $4,987. During fiscal 2003 and 2002, the Company repurchased $99,546 aggregate principal amount of the Notes for an aggregate purchase price of $93,087. The Company funded these repurchases, and intends to fund any future repurchases, with available funds.</w:t>
      </w:r>
    </w:p>
    <w:p>
      <w:pPr>
        <w:spacing w:after="0" w:line="64" w:lineRule="exact"/>
        <w:rPr>
          <w:sz w:val="20"/>
          <w:szCs w:val="20"/>
          <w:color w:val="auto"/>
        </w:rPr>
      </w:pPr>
    </w:p>
    <w:p>
      <w:pPr>
        <w:ind w:left="808" w:right="8339" w:hanging="808"/>
        <w:spacing w:after="0" w:line="485" w:lineRule="auto"/>
        <w:tabs>
          <w:tab w:leader="none" w:pos="8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CERTEN INC.</w:t>
      </w:r>
    </w:p>
    <w:p>
      <w:pPr>
        <w:spacing w:after="0" w:line="1" w:lineRule="exact"/>
        <w:rPr>
          <w:sz w:val="20"/>
          <w:szCs w:val="20"/>
          <w:color w:val="auto"/>
        </w:rPr>
      </w:pPr>
    </w:p>
    <w:p>
      <w:pPr>
        <w:ind w:left="8" w:right="3079" w:firstLine="805"/>
        <w:spacing w:after="0" w:line="257" w:lineRule="auto"/>
        <w:rPr>
          <w:sz w:val="20"/>
          <w:szCs w:val="20"/>
          <w:color w:val="auto"/>
        </w:rPr>
      </w:pPr>
      <w:r>
        <w:rPr>
          <w:rFonts w:ascii="Courier New" w:cs="Courier New" w:eastAsia="Courier New" w:hAnsi="Courier New"/>
          <w:sz w:val="15"/>
          <w:szCs w:val="15"/>
          <w:color w:val="auto"/>
        </w:rPr>
        <w:t>On July 2, 2003, the Company acquired from Bell Canada ("Bell") its 90% ownership interest in Certen (renamed Amdocs Canada Managed Services, Inc.) for approximately $66,000 in cash. In addition, the Company had related transaction costs of approximately $5,000. The Company and Bell formed Certen in January 2001 to provide customer care and billing solutions to Bell and a number of Bell's affiliated companies. As a result of the acquisition, Certen is now a wholly owned subsidiary of the Company. This acquisition expanded the Company's Managed Services operation and positioned it as a major provider of Managed Services to the communications industry.</w:t>
      </w:r>
    </w:p>
    <w:p>
      <w:pPr>
        <w:spacing w:after="0" w:line="83" w:lineRule="exact"/>
        <w:rPr>
          <w:sz w:val="20"/>
          <w:szCs w:val="20"/>
          <w:color w:val="auto"/>
        </w:rPr>
      </w:pPr>
    </w:p>
    <w:p>
      <w:pPr>
        <w:ind w:left="8" w:right="3439" w:firstLine="805"/>
        <w:spacing w:after="0" w:line="359" w:lineRule="auto"/>
        <w:rPr>
          <w:sz w:val="20"/>
          <w:szCs w:val="20"/>
          <w:color w:val="auto"/>
        </w:rPr>
      </w:pPr>
      <w:r>
        <w:rPr>
          <w:rFonts w:ascii="Courier New" w:cs="Courier New" w:eastAsia="Courier New" w:hAnsi="Courier New"/>
          <w:sz w:val="15"/>
          <w:szCs w:val="15"/>
          <w:color w:val="auto"/>
        </w:rPr>
        <w:t>The following is the revised preliminary allocation of the purchase price and deferred tax liability:</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65,887</w:t>
            </w:r>
          </w:p>
        </w:tc>
        <w:tc>
          <w:tcPr>
            <w:tcW w:w="0" w:type="dxa"/>
            <w:vAlign w:val="bottom"/>
          </w:tcPr>
          <w:p>
            <w:pPr>
              <w:spacing w:after="0"/>
              <w:rPr>
                <w:sz w:val="1"/>
                <w:szCs w:val="1"/>
                <w:color w:val="auto"/>
              </w:rPr>
            </w:pPr>
          </w:p>
        </w:tc>
      </w:tr>
      <w:tr>
        <w:trPr>
          <w:trHeight w:val="172"/>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Estimated transaction costs</w:t>
            </w:r>
          </w:p>
        </w:tc>
        <w:tc>
          <w:tcPr>
            <w:tcW w:w="4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w:t>
            </w:r>
          </w:p>
        </w:tc>
        <w:tc>
          <w:tcPr>
            <w:tcW w:w="0" w:type="dxa"/>
            <w:vAlign w:val="bottom"/>
          </w:tcPr>
          <w:p>
            <w:pPr>
              <w:spacing w:after="0"/>
              <w:rPr>
                <w:sz w:val="1"/>
                <w:szCs w:val="1"/>
                <w:color w:val="auto"/>
              </w:rPr>
            </w:pPr>
          </w:p>
        </w:tc>
      </w:tr>
      <w:tr>
        <w:trPr>
          <w:trHeight w:val="172"/>
        </w:trPr>
        <w:tc>
          <w:tcPr>
            <w:tcW w:w="67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purchase price</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70,887</w:t>
            </w:r>
          </w:p>
        </w:tc>
        <w:tc>
          <w:tcPr>
            <w:tcW w:w="0" w:type="dxa"/>
            <w:vAlign w:val="bottom"/>
          </w:tcPr>
          <w:p>
            <w:pPr>
              <w:spacing w:after="0"/>
              <w:rPr>
                <w:sz w:val="1"/>
                <w:szCs w:val="1"/>
                <w:color w:val="auto"/>
              </w:rPr>
            </w:pPr>
          </w:p>
        </w:tc>
      </w:tr>
      <w:tr>
        <w:trPr>
          <w:trHeight w:val="172"/>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Write-off of deferred revenue and allowance on Amdocs books, net of</w:t>
            </w:r>
          </w:p>
        </w:tc>
        <w:tc>
          <w:tcPr>
            <w:tcW w:w="4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(33,666)</w:t>
            </w:r>
          </w:p>
        </w:tc>
        <w:tc>
          <w:tcPr>
            <w:tcW w:w="0" w:type="dxa"/>
            <w:vAlign w:val="bottom"/>
          </w:tcPr>
          <w:p>
            <w:pPr>
              <w:spacing w:after="0"/>
              <w:rPr>
                <w:sz w:val="1"/>
                <w:szCs w:val="1"/>
                <w:color w:val="auto"/>
              </w:rPr>
            </w:pP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tax</w:t>
            </w:r>
          </w:p>
        </w:tc>
        <w:tc>
          <w:tcPr>
            <w:tcW w:w="4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amount for purchase price allocation</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37,221</w:t>
            </w:r>
          </w:p>
        </w:tc>
        <w:tc>
          <w:tcPr>
            <w:tcW w:w="0" w:type="dxa"/>
            <w:vAlign w:val="bottom"/>
          </w:tcPr>
          <w:p>
            <w:pPr>
              <w:spacing w:after="0"/>
              <w:rPr>
                <w:sz w:val="1"/>
                <w:szCs w:val="1"/>
                <w:color w:val="auto"/>
              </w:rPr>
            </w:pPr>
          </w:p>
        </w:tc>
      </w:tr>
      <w:tr>
        <w:trPr>
          <w:trHeight w:val="252"/>
        </w:trPr>
        <w:tc>
          <w:tcPr>
            <w:tcW w:w="6700" w:type="dxa"/>
            <w:vAlign w:val="bottom"/>
            <w:vMerge w:val="restart"/>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90% tangible assets acquired, net of capitalized Amdocs system on</w:t>
            </w:r>
          </w:p>
        </w:tc>
        <w:tc>
          <w:tcPr>
            <w:tcW w:w="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80,875</w:t>
            </w:r>
          </w:p>
        </w:tc>
        <w:tc>
          <w:tcPr>
            <w:tcW w:w="0" w:type="dxa"/>
            <w:vAlign w:val="bottom"/>
          </w:tcPr>
          <w:p>
            <w:pPr>
              <w:spacing w:after="0"/>
              <w:rPr>
                <w:sz w:val="1"/>
                <w:szCs w:val="1"/>
                <w:color w:val="auto"/>
              </w:rPr>
            </w:pP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Certen's books</w:t>
            </w:r>
          </w:p>
        </w:tc>
        <w:tc>
          <w:tcPr>
            <w:tcW w:w="4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90% liabilities assumed</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(241,330)</w:t>
            </w:r>
          </w:p>
        </w:tc>
        <w:tc>
          <w:tcPr>
            <w:tcW w:w="0" w:type="dxa"/>
            <w:vAlign w:val="bottom"/>
          </w:tcPr>
          <w:p>
            <w:pPr>
              <w:spacing w:after="0"/>
              <w:rPr>
                <w:sz w:val="1"/>
                <w:szCs w:val="1"/>
                <w:color w:val="auto"/>
              </w:rPr>
            </w:pPr>
          </w:p>
        </w:tc>
      </w:tr>
      <w:tr>
        <w:trPr>
          <w:trHeight w:val="172"/>
        </w:trPr>
        <w:tc>
          <w:tcPr>
            <w:tcW w:w="67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tangible assets</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67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(160,455)</w:t>
            </w:r>
          </w:p>
        </w:tc>
        <w:tc>
          <w:tcPr>
            <w:tcW w:w="0" w:type="dxa"/>
            <w:vAlign w:val="bottom"/>
          </w:tcPr>
          <w:p>
            <w:pPr>
              <w:spacing w:after="0"/>
              <w:rPr>
                <w:sz w:val="1"/>
                <w:szCs w:val="1"/>
                <w:color w:val="auto"/>
              </w:rPr>
            </w:pPr>
          </w:p>
        </w:tc>
      </w:tr>
      <w:tr>
        <w:trPr>
          <w:trHeight w:val="264"/>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Customer arrangement</w:t>
            </w:r>
          </w:p>
        </w:tc>
        <w:tc>
          <w:tcPr>
            <w:tcW w:w="440" w:type="dxa"/>
            <w:vAlign w:val="bottom"/>
          </w:tcPr>
          <w:p>
            <w:pPr>
              <w:spacing w:after="0"/>
              <w:rPr>
                <w:sz w:val="22"/>
                <w:szCs w:val="22"/>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36,385</w:t>
            </w:r>
          </w:p>
        </w:tc>
        <w:tc>
          <w:tcPr>
            <w:tcW w:w="0" w:type="dxa"/>
            <w:vAlign w:val="bottom"/>
          </w:tcPr>
          <w:p>
            <w:pPr>
              <w:spacing w:after="0"/>
              <w:rPr>
                <w:sz w:val="1"/>
                <w:szCs w:val="1"/>
                <w:color w:val="auto"/>
              </w:rPr>
            </w:pPr>
          </w:p>
        </w:tc>
      </w:tr>
      <w:tr>
        <w:trPr>
          <w:trHeight w:val="172"/>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Adjustment to fair value of pension and other post-employment benefit</w:t>
            </w:r>
          </w:p>
        </w:tc>
        <w:tc>
          <w:tcPr>
            <w:tcW w:w="4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(10,534)</w:t>
            </w:r>
          </w:p>
        </w:tc>
        <w:tc>
          <w:tcPr>
            <w:tcW w:w="0" w:type="dxa"/>
            <w:vAlign w:val="bottom"/>
          </w:tcPr>
          <w:p>
            <w:pPr>
              <w:spacing w:after="0"/>
              <w:rPr>
                <w:sz w:val="1"/>
                <w:szCs w:val="1"/>
                <w:color w:val="auto"/>
              </w:rPr>
            </w:pP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EITF 95-3 and other liabilities</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(4,936)</w:t>
            </w:r>
          </w:p>
        </w:tc>
        <w:tc>
          <w:tcPr>
            <w:tcW w:w="0" w:type="dxa"/>
            <w:vAlign w:val="bottom"/>
          </w:tcPr>
          <w:p>
            <w:pPr>
              <w:spacing w:after="0"/>
              <w:rPr>
                <w:sz w:val="1"/>
                <w:szCs w:val="1"/>
                <w:color w:val="auto"/>
              </w:rPr>
            </w:pPr>
          </w:p>
        </w:tc>
      </w:tr>
      <w:tr>
        <w:trPr>
          <w:trHeight w:val="172"/>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Deferred taxes resulting from the difference between the assigned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value of certain assets and liabilities and their respective tax</w:t>
            </w:r>
          </w:p>
        </w:tc>
        <w:tc>
          <w:tcPr>
            <w:tcW w:w="440" w:type="dxa"/>
            <w:vAlign w:val="bottom"/>
          </w:tcPr>
          <w:p>
            <w:pPr>
              <w:spacing w:after="0"/>
              <w:rPr>
                <w:sz w:val="14"/>
                <w:szCs w:val="14"/>
                <w:color w:val="auto"/>
              </w:rPr>
            </w:pPr>
          </w:p>
        </w:tc>
        <w:tc>
          <w:tcPr>
            <w:tcW w:w="9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74,307</w:t>
            </w:r>
          </w:p>
        </w:tc>
        <w:tc>
          <w:tcPr>
            <w:tcW w:w="0" w:type="dxa"/>
            <w:vAlign w:val="bottom"/>
          </w:tcPr>
          <w:p>
            <w:pPr>
              <w:spacing w:after="0"/>
              <w:rPr>
                <w:sz w:val="1"/>
                <w:szCs w:val="1"/>
                <w:color w:val="auto"/>
              </w:rPr>
            </w:pP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bases</w:t>
            </w:r>
          </w:p>
        </w:tc>
        <w:tc>
          <w:tcPr>
            <w:tcW w:w="4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fair value of tangible assets acquired</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(65,233)</w:t>
            </w:r>
          </w:p>
        </w:tc>
        <w:tc>
          <w:tcPr>
            <w:tcW w:w="0" w:type="dxa"/>
            <w:vAlign w:val="bottom"/>
          </w:tcPr>
          <w:p>
            <w:pPr>
              <w:spacing w:after="0"/>
              <w:rPr>
                <w:sz w:val="1"/>
                <w:szCs w:val="1"/>
                <w:color w:val="auto"/>
              </w:rPr>
            </w:pPr>
          </w:p>
        </w:tc>
      </w:tr>
      <w:tr>
        <w:trPr>
          <w:trHeight w:val="172"/>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Goodwill</w:t>
            </w:r>
          </w:p>
        </w:tc>
        <w:tc>
          <w:tcPr>
            <w:tcW w:w="4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102,454</w:t>
            </w:r>
          </w:p>
        </w:tc>
        <w:tc>
          <w:tcPr>
            <w:tcW w:w="0" w:type="dxa"/>
            <w:vAlign w:val="bottom"/>
          </w:tcPr>
          <w:p>
            <w:pPr>
              <w:spacing w:after="0"/>
              <w:rPr>
                <w:sz w:val="1"/>
                <w:szCs w:val="1"/>
                <w:color w:val="auto"/>
              </w:rPr>
            </w:pPr>
          </w:p>
        </w:tc>
      </w:tr>
      <w:tr>
        <w:trPr>
          <w:trHeight w:val="172"/>
        </w:trPr>
        <w:tc>
          <w:tcPr>
            <w:tcW w:w="67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37,221</w:t>
            </w:r>
          </w:p>
        </w:tc>
        <w:tc>
          <w:tcPr>
            <w:tcW w:w="0" w:type="dxa"/>
            <w:vAlign w:val="bottom"/>
          </w:tcPr>
          <w:p>
            <w:pPr>
              <w:spacing w:after="0"/>
              <w:rPr>
                <w:sz w:val="1"/>
                <w:szCs w:val="1"/>
                <w:color w:val="auto"/>
              </w:rPr>
            </w:pPr>
          </w:p>
        </w:tc>
      </w:tr>
      <w:tr>
        <w:trPr>
          <w:trHeight w:val="252"/>
        </w:trPr>
        <w:tc>
          <w:tcPr>
            <w:tcW w:w="6700" w:type="dxa"/>
            <w:vAlign w:val="bottom"/>
          </w:tcPr>
          <w:p>
            <w:pPr>
              <w:spacing w:after="0"/>
              <w:rPr>
                <w:sz w:val="21"/>
                <w:szCs w:val="21"/>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6700" w:type="dxa"/>
            <w:vAlign w:val="bottom"/>
          </w:tcPr>
          <w:p>
            <w:pPr>
              <w:ind w:left="3480"/>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7"/>
          </w:cols>
          <w:pgMar w:left="232" w:top="607" w:right="1440" w:bottom="1440" w:gutter="0" w:footer="0" w:header="0"/>
        </w:sectPr>
      </w:pPr>
    </w:p>
    <w:bookmarkStart w:id="12" w:name="page13"/>
    <w:bookmarkEnd w:id="12"/>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 w:right="3339" w:firstLine="805"/>
        <w:spacing w:after="0" w:line="331" w:lineRule="auto"/>
        <w:rPr>
          <w:sz w:val="20"/>
          <w:szCs w:val="20"/>
          <w:color w:val="auto"/>
        </w:rPr>
      </w:pPr>
      <w:r>
        <w:rPr>
          <w:rFonts w:ascii="Courier New" w:cs="Courier New" w:eastAsia="Courier New" w:hAnsi="Courier New"/>
          <w:sz w:val="14"/>
          <w:szCs w:val="14"/>
          <w:color w:val="auto"/>
        </w:rPr>
        <w:t>The following table sets forth the unaudited pro forma revenue, operating income, net income and per share figures for the three months ended December 31, 2002, as if Certen had been acquired as of October 1, 2001:</w:t>
      </w:r>
    </w:p>
    <w:p>
      <w:pPr>
        <w:spacing w:after="0" w:line="37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2960" w:type="dxa"/>
            <w:vAlign w:val="bottom"/>
          </w:tcPr>
          <w:p>
            <w:pPr>
              <w:ind w:left="1340"/>
              <w:spacing w:after="0"/>
              <w:rPr>
                <w:sz w:val="20"/>
                <w:szCs w:val="20"/>
                <w:color w:val="auto"/>
              </w:rPr>
            </w:pPr>
            <w:r>
              <w:rPr>
                <w:rFonts w:ascii="Courier New" w:cs="Courier New" w:eastAsia="Courier New" w:hAnsi="Courier New"/>
                <w:sz w:val="15"/>
                <w:szCs w:val="15"/>
                <w:color w:val="auto"/>
                <w:w w:val="98"/>
              </w:rPr>
              <w:t>THREE MONTHS ENDED</w:t>
            </w:r>
          </w:p>
        </w:tc>
      </w:tr>
      <w:tr>
        <w:trPr>
          <w:trHeight w:val="172"/>
        </w:trPr>
        <w:tc>
          <w:tcPr>
            <w:tcW w:w="3660" w:type="dxa"/>
            <w:vAlign w:val="bottom"/>
          </w:tcPr>
          <w:p>
            <w:pPr>
              <w:spacing w:after="0"/>
              <w:rPr>
                <w:sz w:val="14"/>
                <w:szCs w:val="14"/>
                <w:color w:val="auto"/>
              </w:rPr>
            </w:pPr>
          </w:p>
        </w:tc>
        <w:tc>
          <w:tcPr>
            <w:tcW w:w="2960" w:type="dxa"/>
            <w:vAlign w:val="bottom"/>
          </w:tcPr>
          <w:p>
            <w:pPr>
              <w:ind w:left="1340"/>
              <w:spacing w:after="0"/>
              <w:rPr>
                <w:sz w:val="20"/>
                <w:szCs w:val="20"/>
                <w:color w:val="auto"/>
              </w:rPr>
            </w:pPr>
            <w:r>
              <w:rPr>
                <w:rFonts w:ascii="Courier New" w:cs="Courier New" w:eastAsia="Courier New" w:hAnsi="Courier New"/>
                <w:sz w:val="15"/>
                <w:szCs w:val="15"/>
                <w:color w:val="auto"/>
              </w:rPr>
              <w:t>DECEMBER 31, 2002</w:t>
            </w:r>
          </w:p>
        </w:tc>
      </w:tr>
      <w:tr>
        <w:trPr>
          <w:trHeight w:val="252"/>
        </w:trPr>
        <w:tc>
          <w:tcPr>
            <w:tcW w:w="3660" w:type="dxa"/>
            <w:vAlign w:val="bottom"/>
          </w:tcPr>
          <w:p>
            <w:pPr>
              <w:spacing w:after="0"/>
              <w:rPr>
                <w:sz w:val="21"/>
                <w:szCs w:val="21"/>
                <w:color w:val="auto"/>
              </w:rPr>
            </w:pPr>
          </w:p>
        </w:tc>
        <w:tc>
          <w:tcPr>
            <w:tcW w:w="2960" w:type="dxa"/>
            <w:vAlign w:val="bottom"/>
          </w:tcPr>
          <w:p>
            <w:pPr>
              <w:ind w:left="1340"/>
              <w:spacing w:after="0"/>
              <w:rPr>
                <w:sz w:val="20"/>
                <w:szCs w:val="20"/>
                <w:color w:val="auto"/>
              </w:rPr>
            </w:pPr>
            <w:r>
              <w:rPr>
                <w:rFonts w:ascii="Courier New" w:cs="Courier New" w:eastAsia="Courier New" w:hAnsi="Courier New"/>
                <w:sz w:val="15"/>
                <w:szCs w:val="15"/>
                <w:color w:val="auto"/>
                <w:w w:val="98"/>
              </w:rPr>
              <w:t>------------------</w:t>
            </w:r>
          </w:p>
        </w:tc>
      </w:tr>
      <w:tr>
        <w:trPr>
          <w:trHeight w:val="264"/>
        </w:trPr>
        <w:tc>
          <w:tcPr>
            <w:tcW w:w="36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$ 382,790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31,006</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25,551</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0.12</w:t>
            </w:r>
          </w:p>
        </w:tc>
      </w:tr>
      <w:tr>
        <w:trPr>
          <w:trHeight w:val="25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0.12</w:t>
            </w:r>
          </w:p>
        </w:tc>
      </w:tr>
    </w:tbl>
    <w:p>
      <w:pPr>
        <w:spacing w:after="0" w:line="26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XACCT TECHNOLOGIES LIMITED</w:t>
      </w:r>
    </w:p>
    <w:p>
      <w:pPr>
        <w:spacing w:after="0" w:line="174" w:lineRule="exact"/>
        <w:rPr>
          <w:sz w:val="20"/>
          <w:szCs w:val="20"/>
          <w:color w:val="auto"/>
        </w:rPr>
      </w:pPr>
    </w:p>
    <w:p>
      <w:pPr>
        <w:ind w:left="8" w:right="3079" w:firstLine="805"/>
        <w:spacing w:after="0" w:line="253" w:lineRule="auto"/>
        <w:rPr>
          <w:sz w:val="20"/>
          <w:szCs w:val="20"/>
          <w:color w:val="auto"/>
        </w:rPr>
      </w:pPr>
      <w:r>
        <w:rPr>
          <w:rFonts w:ascii="Courier New" w:cs="Courier New" w:eastAsia="Courier New" w:hAnsi="Courier New"/>
          <w:sz w:val="15"/>
          <w:szCs w:val="15"/>
          <w:color w:val="auto"/>
        </w:rPr>
        <w:t>On December 22, 2003, the Company announced that it had reached an agreement to acquire XACCT Technologies Limited ("XACCT"), a privately-held provider of mediation software to communications service providers. The Company will acquire XACCT's outstanding shares for approximately $29,500, subject to certain adjustments, of which approximately $13,500 will be paid in cash and the balance in the Company's ordinary shares.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expects to complete the acquisition during the second quarter of fiscal 2004.</w:t>
      </w:r>
    </w:p>
    <w:p>
      <w:pPr>
        <w:spacing w:after="0" w:line="87" w:lineRule="exact"/>
        <w:rPr>
          <w:sz w:val="20"/>
          <w:szCs w:val="20"/>
          <w:color w:val="auto"/>
        </w:rPr>
      </w:pPr>
    </w:p>
    <w:p>
      <w:pPr>
        <w:ind w:left="8" w:right="3079" w:firstLine="805"/>
        <w:spacing w:after="0" w:line="257" w:lineRule="auto"/>
        <w:rPr>
          <w:sz w:val="20"/>
          <w:szCs w:val="20"/>
          <w:color w:val="auto"/>
        </w:rPr>
      </w:pPr>
      <w:r>
        <w:rPr>
          <w:rFonts w:ascii="Courier New" w:cs="Courier New" w:eastAsia="Courier New" w:hAnsi="Courier New"/>
          <w:sz w:val="15"/>
          <w:szCs w:val="15"/>
          <w:color w:val="auto"/>
        </w:rPr>
        <w:t>The Company's ordinary shares to be issued in the acquisition will be issued in a private placement and will not be registered under the U.S. Securities Act of 1933, as amended, and may not be offered or sold in the United States absent registration or an applicable exemption from registration requirements. The Company may use authorized and unissued or treasury shares to effect the acquisition or, if market conditions are favorable, may purchase the shares needed for the transaction in open market or privately negotiated transactions. Any share repurchases by the Company would be in addition to the 5,000 share buyback program previously authorized by its board of directors.</w:t>
      </w:r>
    </w:p>
    <w:p>
      <w:pPr>
        <w:spacing w:after="0" w:line="83" w:lineRule="exact"/>
        <w:rPr>
          <w:sz w:val="20"/>
          <w:szCs w:val="20"/>
          <w:color w:val="auto"/>
        </w:rPr>
      </w:pPr>
    </w:p>
    <w:p>
      <w:pPr>
        <w:ind w:left="808" w:hanging="808"/>
        <w:spacing w:after="0"/>
        <w:tabs>
          <w:tab w:leader="none" w:pos="80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 AND COST REDUCTION PROGRAM</w:t>
      </w:r>
    </w:p>
    <w:p>
      <w:pPr>
        <w:spacing w:after="0" w:line="174" w:lineRule="exact"/>
        <w:rPr>
          <w:sz w:val="20"/>
          <w:szCs w:val="20"/>
          <w:color w:val="auto"/>
        </w:rPr>
      </w:pPr>
    </w:p>
    <w:p>
      <w:pPr>
        <w:ind w:left="8" w:right="3079" w:firstLine="805"/>
        <w:spacing w:after="0" w:line="253" w:lineRule="auto"/>
        <w:rPr>
          <w:sz w:val="20"/>
          <w:szCs w:val="20"/>
          <w:color w:val="auto"/>
        </w:rPr>
      </w:pPr>
      <w:r>
        <w:rPr>
          <w:rFonts w:ascii="Courier New" w:cs="Courier New" w:eastAsia="Courier New" w:hAnsi="Courier New"/>
          <w:sz w:val="15"/>
          <w:szCs w:val="15"/>
          <w:color w:val="auto"/>
        </w:rPr>
        <w:t>In the first quarter of fiscal 2003 the Company announced a series of measures designed to reduce costs and improve productivity and recorded a charge of $9,956, consisting primarily of employee separation costs in connection with the termination of the employment of approximately four hundred software and information technology specialists and administrative professionals and for the write-off of leasehold improvements and rent obligations. Except for certain lease termination costs that will be paid over the respective lease terms, to date the Company has paid most of the costs associated with the cost reduction program. The employee terminations occurred at various locations around the world. In addition, the Company implemented other cost reduction measures, including travel cuts and reductions in other discretionary costs. This charge is included in "restructuring charges".</w:t>
      </w:r>
    </w:p>
    <w:p>
      <w:pPr>
        <w:spacing w:after="0" w:line="87" w:lineRule="exact"/>
        <w:rPr>
          <w:sz w:val="20"/>
          <w:szCs w:val="20"/>
          <w:color w:val="auto"/>
        </w:rPr>
      </w:pPr>
    </w:p>
    <w:p>
      <w:pPr>
        <w:ind w:left="8" w:right="3079" w:firstLine="805"/>
        <w:spacing w:after="0" w:line="262" w:lineRule="auto"/>
        <w:rPr>
          <w:sz w:val="20"/>
          <w:szCs w:val="20"/>
          <w:color w:val="auto"/>
        </w:rPr>
      </w:pPr>
      <w:r>
        <w:rPr>
          <w:rFonts w:ascii="Courier New" w:cs="Courier New" w:eastAsia="Courier New" w:hAnsi="Courier New"/>
          <w:sz w:val="15"/>
          <w:szCs w:val="15"/>
          <w:color w:val="auto"/>
        </w:rPr>
        <w:t>As of December 31, 2003, the remaining accrual balances for all cost reduction programs were $7,655, consisting primarily of facility-related costs that are expected to be paid through April 2012. During the three months ended December 31, 2003 the Company paid $1,637 related to the cost reduction programs accrual. Actual future cash requirements may differ materially from the accrual as of December 31, 2003, particularly if actual sublease income is significantly different from current estimates.</w:t>
      </w:r>
    </w:p>
    <w:p>
      <w:pPr>
        <w:spacing w:after="0" w:line="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07" w:right="1440" w:bottom="1440" w:gutter="0" w:footer="0" w:header="0"/>
        </w:sectPr>
      </w:pPr>
    </w:p>
    <w:bookmarkStart w:id="13" w:name="page14"/>
    <w:bookmarkEnd w:id="13"/>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08" w:right="7899" w:hanging="808"/>
        <w:spacing w:after="0" w:line="520" w:lineRule="auto"/>
        <w:tabs>
          <w:tab w:leader="none" w:pos="80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 Legal Proceedings</w:t>
      </w:r>
    </w:p>
    <w:p>
      <w:pPr>
        <w:spacing w:after="0" w:line="1" w:lineRule="exact"/>
        <w:rPr>
          <w:sz w:val="20"/>
          <w:szCs w:val="20"/>
          <w:color w:val="auto"/>
        </w:rPr>
      </w:pPr>
    </w:p>
    <w:p>
      <w:pPr>
        <w:ind w:left="8" w:right="3079" w:firstLine="805"/>
        <w:spacing w:after="0" w:line="254" w:lineRule="auto"/>
        <w:rPr>
          <w:sz w:val="20"/>
          <w:szCs w:val="20"/>
          <w:color w:val="auto"/>
        </w:rPr>
      </w:pPr>
      <w:r>
        <w:rPr>
          <w:rFonts w:ascii="Courier New" w:cs="Courier New" w:eastAsia="Courier New" w:hAnsi="Courier New"/>
          <w:sz w:val="15"/>
          <w:szCs w:val="15"/>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 Circuit from the final judgment entered on December 1, 2003.</w:t>
      </w:r>
    </w:p>
    <w:p>
      <w:pPr>
        <w:spacing w:after="0" w:line="86" w:lineRule="exact"/>
        <w:rPr>
          <w:sz w:val="20"/>
          <w:szCs w:val="20"/>
          <w:color w:val="auto"/>
        </w:rPr>
      </w:pPr>
    </w:p>
    <w:p>
      <w:pPr>
        <w:ind w:left="8" w:right="3079" w:firstLine="805"/>
        <w:spacing w:after="0" w:line="272" w:lineRule="auto"/>
        <w:rPr>
          <w:sz w:val="20"/>
          <w:szCs w:val="20"/>
          <w:color w:val="auto"/>
        </w:rPr>
      </w:pPr>
      <w:r>
        <w:rPr>
          <w:rFonts w:ascii="Courier New" w:cs="Courier New" w:eastAsia="Courier New" w:hAnsi="Courier New"/>
          <w:sz w:val="15"/>
          <w:szCs w:val="15"/>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6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Securities and Exchange Commission Investigation</w:t>
      </w:r>
    </w:p>
    <w:p>
      <w:pPr>
        <w:spacing w:after="0" w:line="174" w:lineRule="exact"/>
        <w:rPr>
          <w:sz w:val="20"/>
          <w:szCs w:val="20"/>
          <w:color w:val="auto"/>
        </w:rPr>
      </w:pPr>
    </w:p>
    <w:p>
      <w:pPr>
        <w:ind w:left="8" w:right="3079" w:firstLine="805"/>
        <w:spacing w:after="0" w:line="257" w:lineRule="auto"/>
        <w:rPr>
          <w:sz w:val="20"/>
          <w:szCs w:val="20"/>
          <w:color w:val="auto"/>
        </w:rPr>
      </w:pPr>
      <w:r>
        <w:rPr>
          <w:rFonts w:ascii="Courier New" w:cs="Courier New" w:eastAsia="Courier New" w:hAnsi="Courier New"/>
          <w:sz w:val="15"/>
          <w:szCs w:val="15"/>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8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74" w:lineRule="exact"/>
        <w:rPr>
          <w:sz w:val="20"/>
          <w:szCs w:val="20"/>
          <w:color w:val="auto"/>
        </w:rPr>
      </w:pPr>
    </w:p>
    <w:p>
      <w:pPr>
        <w:ind w:left="8" w:right="3079" w:firstLine="805"/>
        <w:spacing w:after="0" w:line="278"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December 31, 2003 and September 30, 2003, the maximum potential amount of the Company's future exposure under this guarantee pursuant to Financial Accounting Standards Board Interpretation No. 45 "Guarantor's Accounting and Disclosure Requirements for Guarantees, Including Indirect Guarantees of Indebtedness of Others" was $4,717.</w:t>
      </w:r>
    </w:p>
    <w:p>
      <w:pPr>
        <w:spacing w:after="0" w:line="67" w:lineRule="exact"/>
        <w:rPr>
          <w:sz w:val="20"/>
          <w:szCs w:val="20"/>
          <w:color w:val="auto"/>
        </w:rPr>
      </w:pPr>
    </w:p>
    <w:p>
      <w:pPr>
        <w:ind w:left="8" w:right="3079" w:firstLine="805"/>
        <w:spacing w:after="0" w:line="266" w:lineRule="auto"/>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three months ended December 31, 2003 and 2002.</w:t>
      </w:r>
    </w:p>
    <w:p>
      <w:pPr>
        <w:spacing w:after="0" w:line="74" w:lineRule="exact"/>
        <w:rPr>
          <w:sz w:val="20"/>
          <w:szCs w:val="20"/>
          <w:color w:val="auto"/>
        </w:rPr>
      </w:pPr>
    </w:p>
    <w:p>
      <w:pPr>
        <w:ind w:left="8" w:right="3079" w:firstLine="805"/>
        <w:spacing w:after="0" w:line="272" w:lineRule="auto"/>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financial statements.</w:t>
      </w:r>
    </w:p>
    <w:p>
      <w:pPr>
        <w:spacing w:after="0" w:line="6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0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ITEM 2. OPERATING AND FINANCIAL REVIEW AND PROSPECTS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4" w:lineRule="exact"/>
        <w:rPr>
          <w:sz w:val="20"/>
          <w:szCs w:val="20"/>
          <w:color w:val="auto"/>
        </w:rPr>
      </w:pPr>
    </w:p>
    <w:p>
      <w:pPr>
        <w:ind w:right="3079" w:firstLine="805"/>
        <w:spacing w:after="0" w:line="269" w:lineRule="auto"/>
        <w:rPr>
          <w:sz w:val="20"/>
          <w:szCs w:val="20"/>
          <w:color w:val="auto"/>
        </w:rPr>
      </w:pPr>
      <w:r>
        <w:rPr>
          <w:rFonts w:ascii="Courier New" w:cs="Courier New" w:eastAsia="Courier New" w:hAnsi="Courier New"/>
          <w:sz w:val="14"/>
          <w:szCs w:val="14"/>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section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80" w:lineRule="exact"/>
        <w:rPr>
          <w:sz w:val="20"/>
          <w:szCs w:val="20"/>
          <w:color w:val="auto"/>
        </w:rPr>
      </w:pPr>
    </w:p>
    <w:p>
      <w:pPr>
        <w:ind w:right="3159" w:firstLine="805"/>
        <w:spacing w:after="0" w:line="252"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the Form 20-F for fiscal 2003 that we have filed with the United States Securities and Exchange Commission ("SEC").</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439" w:firstLine="805"/>
        <w:spacing w:after="0" w:line="359"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8" w:lineRule="exact"/>
        <w:rPr>
          <w:sz w:val="20"/>
          <w:szCs w:val="20"/>
          <w:color w:val="auto"/>
        </w:rPr>
      </w:pPr>
    </w:p>
    <w:p>
      <w:pPr>
        <w:ind w:left="1240" w:hanging="443"/>
        <w:spacing w:after="0"/>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74" w:lineRule="exact"/>
        <w:rPr>
          <w:rFonts w:ascii="Courier New" w:cs="Courier New" w:eastAsia="Courier New" w:hAnsi="Courier New"/>
          <w:sz w:val="15"/>
          <w:szCs w:val="15"/>
          <w:color w:val="auto"/>
        </w:rPr>
      </w:pPr>
    </w:p>
    <w:p>
      <w:pPr>
        <w:ind w:left="1240" w:right="3079" w:hanging="443"/>
        <w:spacing w:after="0" w:line="359" w:lineRule="auto"/>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three months ended December 31, 2003 and 2002,</w:t>
      </w:r>
    </w:p>
    <w:p>
      <w:pPr>
        <w:spacing w:after="0" w:line="7" w:lineRule="exact"/>
        <w:rPr>
          <w:rFonts w:ascii="Courier New" w:cs="Courier New" w:eastAsia="Courier New" w:hAnsi="Courier New"/>
          <w:sz w:val="15"/>
          <w:szCs w:val="15"/>
          <w:color w:val="auto"/>
        </w:rPr>
      </w:pPr>
    </w:p>
    <w:p>
      <w:pPr>
        <w:ind w:left="1240" w:right="3159" w:hanging="443"/>
        <w:spacing w:after="0" w:line="359" w:lineRule="auto"/>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7"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1240" w:right="3159" w:hanging="443"/>
        <w:spacing w:after="0" w:line="359" w:lineRule="auto"/>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expenditures for the three months ended December 31, 2003 and 2002, and</w:t>
      </w:r>
    </w:p>
    <w:p>
      <w:pPr>
        <w:spacing w:after="0" w:line="7" w:lineRule="exact"/>
        <w:rPr>
          <w:rFonts w:ascii="Courier New" w:cs="Courier New" w:eastAsia="Courier New" w:hAnsi="Courier New"/>
          <w:sz w:val="15"/>
          <w:szCs w:val="15"/>
          <w:color w:val="auto"/>
        </w:rPr>
      </w:pPr>
    </w:p>
    <w:p>
      <w:pPr>
        <w:ind w:left="1240" w:right="3079" w:hanging="443"/>
        <w:spacing w:after="0" w:line="359" w:lineRule="auto"/>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8" w:lineRule="exact"/>
        <w:rPr>
          <w:sz w:val="20"/>
          <w:szCs w:val="20"/>
          <w:color w:val="auto"/>
        </w:rPr>
      </w:pPr>
    </w:p>
    <w:p>
      <w:pPr>
        <w:ind w:right="3599" w:firstLine="805"/>
        <w:spacing w:after="0" w:line="281"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three-month periods ended December 31, 2003 and 2002. You should read this section in conjunction with our consolidated financial statements.</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0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4"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89"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92" w:lineRule="exact"/>
        <w:rPr>
          <w:sz w:val="20"/>
          <w:szCs w:val="20"/>
          <w:color w:val="auto"/>
        </w:rPr>
      </w:pPr>
    </w:p>
    <w:p>
      <w:pPr>
        <w:ind w:right="3159" w:firstLine="805"/>
        <w:spacing w:after="0" w:line="301"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w:t>
      </w:r>
    </w:p>
    <w:p>
      <w:pPr>
        <w:spacing w:after="0" w:line="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4" w:lineRule="exact"/>
        <w:rPr>
          <w:sz w:val="20"/>
          <w:szCs w:val="20"/>
          <w:color w:val="auto"/>
        </w:rPr>
      </w:pPr>
    </w:p>
    <w:p>
      <w:pPr>
        <w:ind w:left="1240" w:right="3159" w:hanging="443"/>
        <w:spacing w:after="0" w:line="301" w:lineRule="auto"/>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sales of our products and related services, including license fees and modification, implementation and integration services,</w:t>
      </w:r>
    </w:p>
    <w:p>
      <w:pPr>
        <w:spacing w:after="0" w:line="48" w:lineRule="exact"/>
        <w:rPr>
          <w:rFonts w:ascii="Courier New" w:cs="Courier New" w:eastAsia="Courier New" w:hAnsi="Courier New"/>
          <w:sz w:val="15"/>
          <w:szCs w:val="15"/>
          <w:color w:val="auto"/>
        </w:rPr>
      </w:pPr>
    </w:p>
    <w:p>
      <w:pPr>
        <w:ind w:left="1240" w:right="3519" w:hanging="443"/>
        <w:spacing w:after="0" w:line="359" w:lineRule="auto"/>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services for our solutions, and</w:t>
      </w:r>
    </w:p>
    <w:p>
      <w:pPr>
        <w:spacing w:after="0" w:line="7" w:lineRule="exact"/>
        <w:rPr>
          <w:rFonts w:ascii="Courier New" w:cs="Courier New" w:eastAsia="Courier New" w:hAnsi="Courier New"/>
          <w:sz w:val="15"/>
          <w:szCs w:val="15"/>
          <w:color w:val="auto"/>
        </w:rPr>
      </w:pPr>
    </w:p>
    <w:p>
      <w:pPr>
        <w:ind w:left="1240" w:right="3079" w:hanging="443"/>
        <w:spacing w:after="0" w:line="301" w:lineRule="auto"/>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 from incremental license fees resulting from increases in a customer's business volume.</w:t>
      </w:r>
    </w:p>
    <w:p>
      <w:pPr>
        <w:spacing w:after="0" w:line="49" w:lineRule="exact"/>
        <w:rPr>
          <w:sz w:val="20"/>
          <w:szCs w:val="20"/>
          <w:color w:val="auto"/>
        </w:rPr>
      </w:pPr>
    </w:p>
    <w:p>
      <w:pPr>
        <w:jc w:val="both"/>
        <w:ind w:right="3079" w:firstLine="805"/>
        <w:spacing w:after="0" w:line="274" w:lineRule="auto"/>
        <w:rPr>
          <w:sz w:val="20"/>
          <w:szCs w:val="20"/>
          <w:color w:val="auto"/>
        </w:rPr>
      </w:pPr>
      <w:r>
        <w:rPr>
          <w:rFonts w:ascii="Courier New" w:cs="Courier New" w:eastAsia="Courier New" w:hAnsi="Courier New"/>
          <w:sz w:val="14"/>
          <w:szCs w:val="14"/>
          <w:color w:val="auto"/>
        </w:rPr>
        <w:t>We usually sell our software as part of an overall solution offered to a customer, in which significant modification is normally required. As a result, we generally recognize revenue over the course of these long-term projects.</w:t>
      </w:r>
    </w:p>
    <w:p>
      <w:pPr>
        <w:spacing w:after="0" w:line="1"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15"/>
          <w:szCs w:val="15"/>
          <w:color w:val="auto"/>
        </w:rPr>
        <w:t>Initial license fee revenue is recognized as work is performed, using the percentage of completion method of accounting. Subsequent license fee revenue is recognized upon completion of specified conditions in each contract.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9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07" w:right="1440" w:bottom="1440" w:gutter="0" w:footer="0" w:header="0"/>
        </w:sectPr>
      </w:pPr>
    </w:p>
    <w:bookmarkStart w:id="16" w:name="page17"/>
    <w:bookmarkEnd w:id="16"/>
    <w:p>
      <w:pPr>
        <w:ind w:firstLine="805"/>
        <w:spacing w:after="0" w:line="248"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although revenue for the first quarter of fiscal 2004 is still below the level achieved in the second quarter of fiscal 2002. During the three months ended December 31, 2003, communications service providers demonstrated a greater readiness to commit to new projects. While difficulties remain in the communications industry, we believe that, with the overall improvement of market conditions, we will be able to achieve modest sequential growth in revenues and earnings in the coming quarters.</w:t>
      </w:r>
    </w:p>
    <w:p>
      <w:pPr>
        <w:spacing w:after="0" w:line="90" w:lineRule="exact"/>
        <w:rPr>
          <w:sz w:val="20"/>
          <w:szCs w:val="20"/>
          <w:color w:val="auto"/>
        </w:rPr>
      </w:pPr>
    </w:p>
    <w:p>
      <w:pPr>
        <w:ind w:firstLine="805"/>
        <w:spacing w:after="0" w:line="359" w:lineRule="auto"/>
        <w:rPr>
          <w:sz w:val="20"/>
          <w:szCs w:val="20"/>
          <w:color w:val="auto"/>
        </w:rPr>
      </w:pPr>
      <w:r>
        <w:rPr>
          <w:rFonts w:ascii="Courier New" w:cs="Courier New" w:eastAsia="Courier New" w:hAnsi="Courier New"/>
          <w:sz w:val="15"/>
          <w:szCs w:val="15"/>
          <w:color w:val="auto"/>
        </w:rPr>
        <w:t>Our quarterly revenue for fiscal 2003 and 2002 are summarized below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Q1</w:t>
            </w:r>
          </w:p>
        </w:tc>
        <w:tc>
          <w:tcPr>
            <w:tcW w:w="720" w:type="dxa"/>
            <w:vAlign w:val="bottom"/>
          </w:tcPr>
          <w:p>
            <w:pPr>
              <w:spacing w:after="0"/>
              <w:rPr>
                <w:sz w:val="14"/>
                <w:szCs w:val="14"/>
                <w:color w:val="auto"/>
              </w:rPr>
            </w:pP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Q2</w:t>
            </w:r>
          </w:p>
        </w:tc>
        <w:tc>
          <w:tcPr>
            <w:tcW w:w="680" w:type="dxa"/>
            <w:vAlign w:val="bottom"/>
          </w:tcPr>
          <w:p>
            <w:pPr>
              <w:spacing w:after="0"/>
              <w:rPr>
                <w:sz w:val="14"/>
                <w:szCs w:val="14"/>
                <w:color w:val="auto"/>
              </w:rPr>
            </w:pP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Q3</w:t>
            </w:r>
          </w:p>
        </w:tc>
      </w:tr>
      <w:tr>
        <w:trPr>
          <w:trHeight w:val="252"/>
        </w:trPr>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4"/>
        </w:trPr>
        <w:tc>
          <w:tcPr>
            <w:tcW w:w="5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9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339.4</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355.0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377.2</w:t>
            </w:r>
          </w:p>
        </w:tc>
      </w:tr>
      <w:tr>
        <w:trPr>
          <w:trHeight w:val="252"/>
        </w:trPr>
        <w:tc>
          <w:tcPr>
            <w:tcW w:w="5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9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422.6</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455.3</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380.2</w:t>
            </w:r>
          </w:p>
        </w:tc>
      </w:tr>
    </w:tbl>
    <w:p>
      <w:pPr>
        <w:spacing w:after="0" w:line="264" w:lineRule="exact"/>
        <w:rPr>
          <w:sz w:val="20"/>
          <w:szCs w:val="20"/>
          <w:color w:val="auto"/>
        </w:rPr>
      </w:pPr>
    </w:p>
    <w:p>
      <w:pPr>
        <w:ind w:firstLine="805"/>
        <w:spacing w:after="0" w:line="262" w:lineRule="auto"/>
        <w:rPr>
          <w:sz w:val="20"/>
          <w:szCs w:val="20"/>
          <w:color w:val="auto"/>
        </w:rPr>
      </w:pPr>
      <w:r>
        <w:rPr>
          <w:rFonts w:ascii="Courier New" w:cs="Courier New" w:eastAsia="Courier New" w:hAnsi="Courier New"/>
          <w:sz w:val="15"/>
          <w:szCs w:val="15"/>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78" w:lineRule="exact"/>
        <w:rPr>
          <w:sz w:val="20"/>
          <w:szCs w:val="20"/>
          <w:color w:val="auto"/>
        </w:rPr>
      </w:pPr>
    </w:p>
    <w:p>
      <w:pPr>
        <w:ind w:firstLine="805"/>
        <w:spacing w:after="0" w:line="301" w:lineRule="auto"/>
        <w:rPr>
          <w:sz w:val="20"/>
          <w:szCs w:val="20"/>
          <w:color w:val="auto"/>
        </w:rPr>
      </w:pPr>
      <w:r>
        <w:rPr>
          <w:rFonts w:ascii="Courier New" w:cs="Courier New" w:eastAsia="Courier New" w:hAnsi="Courier New"/>
          <w:sz w:val="15"/>
          <w:szCs w:val="15"/>
          <w:color w:val="auto"/>
        </w:rPr>
        <w:t>Our total revenue in the three months ended December 31, 2003 increased by $88.9 million, or 26.2%, from the three months ended December 31, 2002, as set forth below (in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0" w:type="dxa"/>
            <w:vAlign w:val="bottom"/>
          </w:tcPr>
          <w:p>
            <w:pPr>
              <w:jc w:val="right"/>
              <w:ind w:right="865"/>
              <w:spacing w:after="0"/>
              <w:rPr>
                <w:sz w:val="20"/>
                <w:szCs w:val="20"/>
                <w:color w:val="auto"/>
              </w:rPr>
            </w:pPr>
            <w:r>
              <w:rPr>
                <w:rFonts w:ascii="Courier New" w:cs="Courier New" w:eastAsia="Courier New" w:hAnsi="Courier New"/>
                <w:sz w:val="15"/>
                <w:szCs w:val="15"/>
                <w:color w:val="auto"/>
                <w:w w:val="96"/>
              </w:rPr>
              <w:t>THREE MONTHS</w:t>
            </w:r>
          </w:p>
        </w:tc>
        <w:tc>
          <w:tcPr>
            <w:tcW w:w="122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PERCENTAGE</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33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ENDED DECEMBER 31,</w:t>
            </w:r>
          </w:p>
        </w:tc>
        <w:tc>
          <w:tcPr>
            <w:tcW w:w="122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INCREASE</w:t>
            </w:r>
          </w:p>
        </w:tc>
        <w:tc>
          <w:tcPr>
            <w:tcW w:w="0" w:type="dxa"/>
            <w:vAlign w:val="bottom"/>
          </w:tcPr>
          <w:p>
            <w:pPr>
              <w:spacing w:after="0"/>
              <w:rPr>
                <w:sz w:val="1"/>
                <w:szCs w:val="1"/>
                <w:color w:val="auto"/>
              </w:rPr>
            </w:pPr>
          </w:p>
        </w:tc>
      </w:tr>
      <w:tr>
        <w:trPr>
          <w:trHeight w:val="252"/>
        </w:trPr>
        <w:tc>
          <w:tcPr>
            <w:tcW w:w="1880" w:type="dxa"/>
            <w:vAlign w:val="bottom"/>
          </w:tcPr>
          <w:p>
            <w:pPr>
              <w:spacing w:after="0"/>
              <w:rPr>
                <w:sz w:val="21"/>
                <w:szCs w:val="21"/>
                <w:color w:val="auto"/>
              </w:rPr>
            </w:pPr>
          </w:p>
        </w:tc>
        <w:tc>
          <w:tcPr>
            <w:tcW w:w="1340" w:type="dxa"/>
            <w:vAlign w:val="bottom"/>
            <w:vMerge w:val="restart"/>
          </w:tcPr>
          <w:p>
            <w:pPr>
              <w:ind w:left="700"/>
              <w:spacing w:after="0"/>
              <w:rPr>
                <w:sz w:val="20"/>
                <w:szCs w:val="20"/>
                <w:color w:val="auto"/>
              </w:rPr>
            </w:pPr>
            <w:r>
              <w:rPr>
                <w:rFonts w:ascii="Courier New" w:cs="Courier New" w:eastAsia="Courier New" w:hAnsi="Courier New"/>
                <w:sz w:val="4"/>
                <w:szCs w:val="4"/>
                <w:color w:val="auto"/>
                <w:w w:val="84"/>
              </w:rPr>
              <w:t>--------------------------</w:t>
            </w:r>
            <w:r>
              <w:rPr>
                <w:rFonts w:ascii="Courier New" w:cs="Courier New" w:eastAsia="Courier New" w:hAnsi="Courier New"/>
                <w:sz w:val="7"/>
                <w:szCs w:val="7"/>
                <w:color w:val="auto"/>
                <w:w w:val="84"/>
                <w:vertAlign w:val="subscript"/>
              </w:rPr>
              <w:t>2003</w:t>
            </w:r>
          </w:p>
        </w:tc>
        <w:tc>
          <w:tcPr>
            <w:tcW w:w="20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2"/>
        </w:trPr>
        <w:tc>
          <w:tcPr>
            <w:tcW w:w="18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880" w:type="dxa"/>
            <w:vAlign w:val="bottom"/>
          </w:tcPr>
          <w:p>
            <w:pPr>
              <w:spacing w:after="0"/>
              <w:rPr>
                <w:sz w:val="21"/>
                <w:szCs w:val="21"/>
                <w:color w:val="auto"/>
              </w:rPr>
            </w:pP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w w:val="98"/>
              </w:rPr>
              <w:t>-------</w:t>
            </w:r>
          </w:p>
        </w:tc>
        <w:tc>
          <w:tcPr>
            <w:tcW w:w="20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w w:val="98"/>
              </w:rPr>
              <w:t>$ 428.3</w:t>
            </w:r>
          </w:p>
        </w:tc>
        <w:tc>
          <w:tcPr>
            <w:tcW w:w="20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339.4</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26.2%</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80" w:firstLine="805"/>
        <w:spacing w:after="0" w:line="301" w:lineRule="auto"/>
        <w:rPr>
          <w:sz w:val="20"/>
          <w:szCs w:val="20"/>
          <w:color w:val="auto"/>
        </w:rPr>
      </w:pPr>
      <w:r>
        <w:rPr>
          <w:rFonts w:ascii="Courier New" w:cs="Courier New" w:eastAsia="Courier New" w:hAnsi="Courier New"/>
          <w:sz w:val="15"/>
          <w:szCs w:val="15"/>
          <w:color w:val="auto"/>
        </w:rPr>
        <w:t>The increase in total revenue was primarily as a result of new Managed Services agreements and additional revenue resulting from our acquisition of Certen in the fourth quarter of fiscal 2003.</w:t>
      </w:r>
    </w:p>
    <w:p>
      <w:pPr>
        <w:spacing w:after="0" w:line="49" w:lineRule="exact"/>
        <w:rPr>
          <w:sz w:val="20"/>
          <w:szCs w:val="20"/>
          <w:color w:val="auto"/>
        </w:rPr>
      </w:pPr>
    </w:p>
    <w:p>
      <w:pPr>
        <w:ind w:firstLine="805"/>
        <w:spacing w:after="0" w:line="281" w:lineRule="auto"/>
        <w:rPr>
          <w:sz w:val="20"/>
          <w:szCs w:val="20"/>
          <w:color w:val="auto"/>
        </w:rPr>
      </w:pPr>
      <w:r>
        <w:rPr>
          <w:rFonts w:ascii="Courier New" w:cs="Courier New" w:eastAsia="Courier New" w:hAnsi="Courier New"/>
          <w:sz w:val="15"/>
          <w:szCs w:val="15"/>
          <w:color w:val="auto"/>
        </w:rPr>
        <w:t>License and service revenue from the sale of CC&amp;B Systems was $375.4 million and $298.7 million in the three months ended December 31, 2003 and 2002, respectively, representing 87.7% and 88.0%, respectively, of our total revenue for such periods.</w:t>
      </w:r>
    </w:p>
    <w:p>
      <w:pPr>
        <w:spacing w:after="0" w:line="64" w:lineRule="exact"/>
        <w:rPr>
          <w:sz w:val="20"/>
          <w:szCs w:val="20"/>
          <w:color w:val="auto"/>
        </w:rPr>
      </w:pPr>
    </w:p>
    <w:p>
      <w:pPr>
        <w:ind w:right="180" w:firstLine="805"/>
        <w:spacing w:after="0" w:line="301"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billing and CRM products, with proven functionality and scalability, accompanied by a comprehensive range of support services.</w:t>
      </w:r>
    </w:p>
    <w:p>
      <w:pPr>
        <w:spacing w:after="0" w:line="49" w:lineRule="exact"/>
        <w:rPr>
          <w:sz w:val="20"/>
          <w:szCs w:val="20"/>
          <w:color w:val="auto"/>
        </w:rPr>
      </w:pPr>
    </w:p>
    <w:p>
      <w:pPr>
        <w:ind w:right="180" w:firstLine="805"/>
        <w:spacing w:after="0" w:line="359" w:lineRule="auto"/>
        <w:rPr>
          <w:sz w:val="20"/>
          <w:szCs w:val="20"/>
          <w:color w:val="auto"/>
        </w:rPr>
      </w:pPr>
      <w:r>
        <w:rPr>
          <w:rFonts w:ascii="Courier New" w:cs="Courier New" w:eastAsia="Courier New" w:hAnsi="Courier New"/>
          <w:sz w:val="15"/>
          <w:szCs w:val="15"/>
          <w:color w:val="auto"/>
        </w:rPr>
        <w:t>We believe that demand for our CC&amp;B Systems is driven by, among other key factors:</w:t>
      </w:r>
    </w:p>
    <w:p>
      <w:pPr>
        <w:spacing w:after="0" w:line="8" w:lineRule="exact"/>
        <w:rPr>
          <w:sz w:val="20"/>
          <w:szCs w:val="20"/>
          <w:color w:val="auto"/>
        </w:rPr>
      </w:pPr>
    </w:p>
    <w:p>
      <w:pPr>
        <w:ind w:left="3480" w:right="620" w:hanging="2683"/>
        <w:spacing w:after="0" w:line="602" w:lineRule="auto"/>
        <w:tabs>
          <w:tab w:leader="none" w:pos="124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 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Q4</w:t>
      </w:r>
    </w:p>
    <w:p>
      <w:pPr>
        <w:spacing w:after="0" w:line="30" w:lineRule="exact"/>
        <w:rPr>
          <w:sz w:val="20"/>
          <w:szCs w:val="20"/>
          <w:color w:val="auto"/>
        </w:rPr>
      </w:pPr>
    </w:p>
    <w:p>
      <w:pPr>
        <w:ind w:left="6"/>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ind w:left="546" w:hanging="546"/>
        <w:spacing w:after="0"/>
        <w:tabs>
          <w:tab w:leader="none" w:pos="54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411.7</w:t>
      </w:r>
    </w:p>
    <w:p>
      <w:pPr>
        <w:spacing w:after="0" w:line="41" w:lineRule="exact"/>
        <w:rPr>
          <w:rFonts w:ascii="Courier New" w:cs="Courier New" w:eastAsia="Courier New" w:hAnsi="Courier New"/>
          <w:sz w:val="14"/>
          <w:szCs w:val="14"/>
          <w:color w:val="auto"/>
        </w:rPr>
      </w:pPr>
    </w:p>
    <w:p>
      <w:pPr>
        <w:ind w:left="546" w:hanging="546"/>
        <w:spacing w:after="0"/>
        <w:tabs>
          <w:tab w:leader="none" w:pos="54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355.5</w:t>
      </w:r>
    </w:p>
    <w:p>
      <w:pPr>
        <w:sectPr>
          <w:pgSz w:w="11900" w:h="16838" w:orient="portrait"/>
          <w:cols w:equalWidth="0" w:num="2">
            <w:col w:w="7140" w:space="634"/>
            <w:col w:w="2446"/>
          </w:cols>
          <w:pgMar w:left="240" w:top="607" w:right="1440" w:bottom="1440" w:gutter="0" w:footer="0" w:header="0"/>
        </w:sectPr>
      </w:pPr>
    </w:p>
    <w:bookmarkStart w:id="17" w:name="page18"/>
    <w:bookmarkEnd w:id="17"/>
    <w:p>
      <w:pPr>
        <w:ind w:left="1240" w:right="3779" w:hanging="443"/>
        <w:spacing w:after="0" w:line="359" w:lineRule="auto"/>
        <w:tabs>
          <w:tab w:leader="none" w:pos="12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data and content services,</w:t>
      </w:r>
    </w:p>
    <w:p>
      <w:pPr>
        <w:spacing w:after="0" w:line="7" w:lineRule="exact"/>
        <w:rPr>
          <w:rFonts w:ascii="Courier New" w:cs="Courier New" w:eastAsia="Courier New" w:hAnsi="Courier New"/>
          <w:sz w:val="15"/>
          <w:szCs w:val="15"/>
          <w:color w:val="auto"/>
        </w:rPr>
      </w:pPr>
    </w:p>
    <w:p>
      <w:pPr>
        <w:ind w:left="1240" w:right="3439" w:hanging="443"/>
        <w:spacing w:after="0" w:line="331" w:lineRule="auto"/>
        <w:tabs>
          <w:tab w:leader="none" w:pos="12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31" w:lineRule="exact"/>
        <w:rPr>
          <w:rFonts w:ascii="Courier New" w:cs="Courier New" w:eastAsia="Courier New" w:hAnsi="Courier New"/>
          <w:sz w:val="14"/>
          <w:szCs w:val="14"/>
          <w:color w:val="auto"/>
        </w:rPr>
      </w:pPr>
    </w:p>
    <w:p>
      <w:pPr>
        <w:ind w:left="1240" w:hanging="443"/>
        <w:spacing w:after="0"/>
        <w:tabs>
          <w:tab w:leader="none" w:pos="12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consolidation within the communications industry,</w:t>
      </w:r>
    </w:p>
    <w:p>
      <w:pPr>
        <w:spacing w:after="0" w:line="174" w:lineRule="exact"/>
        <w:rPr>
          <w:rFonts w:ascii="Courier New" w:cs="Courier New" w:eastAsia="Courier New" w:hAnsi="Courier New"/>
          <w:sz w:val="15"/>
          <w:szCs w:val="15"/>
          <w:color w:val="auto"/>
        </w:rPr>
      </w:pPr>
    </w:p>
    <w:p>
      <w:pPr>
        <w:ind w:left="1240" w:right="3259" w:hanging="443"/>
        <w:spacing w:after="0" w:line="359" w:lineRule="auto"/>
        <w:tabs>
          <w:tab w:leader="none" w:pos="12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high value customers, and</w:t>
      </w:r>
    </w:p>
    <w:p>
      <w:pPr>
        <w:spacing w:after="0" w:line="7"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74" w:lineRule="exact"/>
        <w:rPr>
          <w:sz w:val="20"/>
          <w:szCs w:val="20"/>
          <w:color w:val="auto"/>
        </w:rPr>
      </w:pPr>
    </w:p>
    <w:p>
      <w:pPr>
        <w:ind w:right="3259" w:firstLine="805"/>
        <w:spacing w:after="0" w:line="295" w:lineRule="auto"/>
        <w:rPr>
          <w:sz w:val="20"/>
          <w:szCs w:val="20"/>
          <w:color w:val="auto"/>
        </w:rPr>
      </w:pPr>
      <w:r>
        <w:rPr>
          <w:rFonts w:ascii="Courier New" w:cs="Courier New" w:eastAsia="Courier New" w:hAnsi="Courier New"/>
          <w:sz w:val="14"/>
          <w:szCs w:val="14"/>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57" w:lineRule="exact"/>
        <w:rPr>
          <w:sz w:val="20"/>
          <w:szCs w:val="20"/>
          <w:color w:val="auto"/>
        </w:rPr>
      </w:pPr>
    </w:p>
    <w:p>
      <w:pPr>
        <w:jc w:val="both"/>
        <w:ind w:right="3159" w:firstLine="805"/>
        <w:spacing w:after="0" w:line="281" w:lineRule="auto"/>
        <w:rPr>
          <w:sz w:val="20"/>
          <w:szCs w:val="20"/>
          <w:color w:val="auto"/>
        </w:rPr>
      </w:pPr>
      <w:r>
        <w:rPr>
          <w:rFonts w:ascii="Courier New" w:cs="Courier New" w:eastAsia="Courier New" w:hAnsi="Courier New"/>
          <w:sz w:val="15"/>
          <w:szCs w:val="15"/>
          <w:color w:val="auto"/>
        </w:rPr>
        <w:t>License and service revenue from the sale of Directory Systems totaled $52.9 million and $40.7 million in the three months ended December 31, 2003 and 2002, respectively, accounting for 12.3% and 12.0%, respectively, of our total revenue for such periods.</w:t>
      </w:r>
    </w:p>
    <w:p>
      <w:pPr>
        <w:spacing w:after="0" w:line="64" w:lineRule="exact"/>
        <w:rPr>
          <w:sz w:val="20"/>
          <w:szCs w:val="20"/>
          <w:color w:val="auto"/>
        </w:rPr>
      </w:pPr>
    </w:p>
    <w:p>
      <w:pPr>
        <w:jc w:val="both"/>
        <w:ind w:right="3159" w:firstLine="805"/>
        <w:spacing w:after="0" w:line="281" w:lineRule="auto"/>
        <w:rPr>
          <w:sz w:val="20"/>
          <w:szCs w:val="20"/>
          <w:color w:val="auto"/>
        </w:rPr>
      </w:pPr>
      <w:r>
        <w:rPr>
          <w:rFonts w:ascii="Courier New" w:cs="Courier New" w:eastAsia="Courier New" w:hAnsi="Courier New"/>
          <w:sz w:val="15"/>
          <w:szCs w:val="15"/>
          <w:color w:val="auto"/>
        </w:rPr>
        <w:t>We believe that we are a leading provider of Directory Systems in most of the markets that we serve. As a result of new agreements announced in 2003, we expect that our revenue from Directory Systems will remain relatively stable in fiscal 2004.</w:t>
      </w:r>
    </w:p>
    <w:p>
      <w:pPr>
        <w:spacing w:after="0" w:line="64"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jc w:val="both"/>
        <w:ind w:right="3159" w:firstLine="805"/>
        <w:spacing w:after="0" w:line="301" w:lineRule="auto"/>
        <w:rPr>
          <w:sz w:val="20"/>
          <w:szCs w:val="20"/>
          <w:color w:val="auto"/>
        </w:rPr>
      </w:pPr>
      <w:r>
        <w:rPr>
          <w:rFonts w:ascii="Courier New" w:cs="Courier New" w:eastAsia="Courier New" w:hAnsi="Courier New"/>
          <w:sz w:val="15"/>
          <w:szCs w:val="15"/>
          <w:color w:val="auto"/>
        </w:rPr>
        <w:t>The following table sets forth for the three months ended December 31, 2003 and 2002 certain items in our consolidated statements of income reflected as a percentage of total revenue: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60" w:type="dxa"/>
            <w:vAlign w:val="bottom"/>
          </w:tcPr>
          <w:p>
            <w:pPr>
              <w:spacing w:after="0"/>
              <w:rPr>
                <w:sz w:val="14"/>
                <w:szCs w:val="14"/>
                <w:color w:val="auto"/>
              </w:rPr>
            </w:pPr>
          </w:p>
        </w:tc>
        <w:tc>
          <w:tcPr>
            <w:tcW w:w="23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6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DECEMBER 31,</w:t>
            </w:r>
          </w:p>
        </w:tc>
        <w:tc>
          <w:tcPr>
            <w:tcW w:w="0" w:type="dxa"/>
            <w:vAlign w:val="bottom"/>
          </w:tcPr>
          <w:p>
            <w:pPr>
              <w:spacing w:after="0"/>
              <w:rPr>
                <w:sz w:val="1"/>
                <w:szCs w:val="1"/>
                <w:color w:val="auto"/>
              </w:rPr>
            </w:pPr>
          </w:p>
        </w:tc>
      </w:tr>
      <w:tr>
        <w:trPr>
          <w:trHeight w:val="172"/>
        </w:trPr>
        <w:tc>
          <w:tcPr>
            <w:tcW w:w="6560" w:type="dxa"/>
            <w:vAlign w:val="bottom"/>
          </w:tcPr>
          <w:p>
            <w:pPr>
              <w:spacing w:after="0"/>
              <w:rPr>
                <w:sz w:val="14"/>
                <w:szCs w:val="14"/>
                <w:color w:val="auto"/>
              </w:rPr>
            </w:pPr>
          </w:p>
        </w:tc>
        <w:tc>
          <w:tcPr>
            <w:tcW w:w="23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1"/>
                <w:szCs w:val="21"/>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License.............................................................</w:t>
            </w:r>
          </w:p>
        </w:tc>
        <w:tc>
          <w:tcPr>
            <w:tcW w:w="8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Service.............................................................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94.0</w:t>
            </w:r>
          </w:p>
        </w:tc>
        <w:tc>
          <w:tcPr>
            <w:tcW w:w="0" w:type="dxa"/>
            <w:vAlign w:val="bottom"/>
          </w:tcPr>
          <w:p>
            <w:pPr>
              <w:spacing w:after="0"/>
              <w:rPr>
                <w:sz w:val="1"/>
                <w:szCs w:val="1"/>
                <w:color w:val="auto"/>
              </w:rPr>
            </w:pPr>
          </w:p>
        </w:tc>
      </w:tr>
      <w:tr>
        <w:trPr>
          <w:trHeight w:val="172"/>
        </w:trPr>
        <w:tc>
          <w:tcPr>
            <w:tcW w:w="65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52"/>
        </w:trPr>
        <w:tc>
          <w:tcPr>
            <w:tcW w:w="65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560" w:type="dxa"/>
            <w:vAlign w:val="bottom"/>
            <w:vMerge w:val="continue"/>
          </w:tcPr>
          <w:p>
            <w:pPr>
              <w:spacing w:after="0"/>
              <w:rPr>
                <w:sz w:val="7"/>
                <w:szCs w:val="7"/>
                <w:color w:val="auto"/>
              </w:rPr>
            </w:pPr>
          </w:p>
        </w:tc>
        <w:tc>
          <w:tcPr>
            <w:tcW w:w="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15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Cost of license.....................................................</w:t>
            </w:r>
          </w:p>
        </w:tc>
        <w:tc>
          <w:tcPr>
            <w:tcW w:w="8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Cost of service.....................................................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60.2</w:t>
            </w: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Research and development............................................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Selling, general and administrative.................................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w:t>
            </w: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Restructuring charges...............................................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2"/>
        </w:trPr>
        <w:tc>
          <w:tcPr>
            <w:tcW w:w="65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84.4</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88.8</w:t>
            </w:r>
          </w:p>
        </w:tc>
        <w:tc>
          <w:tcPr>
            <w:tcW w:w="0" w:type="dxa"/>
            <w:vAlign w:val="bottom"/>
          </w:tcPr>
          <w:p>
            <w:pPr>
              <w:spacing w:after="0"/>
              <w:rPr>
                <w:sz w:val="1"/>
                <w:szCs w:val="1"/>
                <w:color w:val="auto"/>
              </w:rPr>
            </w:pPr>
          </w:p>
        </w:tc>
      </w:tr>
      <w:tr>
        <w:trPr>
          <w:trHeight w:val="172"/>
        </w:trPr>
        <w:tc>
          <w:tcPr>
            <w:tcW w:w="656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9"/>
              </w:rPr>
              <w:t>Operating income......................................................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vMerge w:val="continue"/>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Interest income and other, net........................................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2"/>
        </w:trPr>
        <w:tc>
          <w:tcPr>
            <w:tcW w:w="656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9"/>
              </w:rPr>
              <w:t>Income before income taxes............................................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vMerge w:val="continue"/>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72"/>
        </w:trPr>
        <w:tc>
          <w:tcPr>
            <w:tcW w:w="65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Income taxes..........................................................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2"/>
        </w:trPr>
        <w:tc>
          <w:tcPr>
            <w:tcW w:w="656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9"/>
              </w:rPr>
              <w:t>Net income............................................................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vMerge w:val="continue"/>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1"/>
                <w:szCs w:val="21"/>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805"/>
        <w:spacing w:after="0" w:line="281"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December 31, 2003 compared to the three months ended December 31, 2002. Following the table is a discussion and analysis of our business and results of operations for such periods.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2100" w:type="dxa"/>
            <w:vAlign w:val="bottom"/>
            <w:gridSpan w:val="2"/>
            <w:vMerge w:val="restart"/>
          </w:tcPr>
          <w:p>
            <w:pPr>
              <w:jc w:val="right"/>
              <w:ind w:right="185"/>
              <w:spacing w:after="0"/>
              <w:rPr>
                <w:sz w:val="20"/>
                <w:szCs w:val="20"/>
                <w:color w:val="auto"/>
              </w:rPr>
            </w:pPr>
            <w:r>
              <w:rPr>
                <w:rFonts w:ascii="Courier New" w:cs="Courier New" w:eastAsia="Courier New" w:hAnsi="Courier New"/>
                <w:sz w:val="15"/>
                <w:szCs w:val="15"/>
                <w:color w:val="auto"/>
              </w:rPr>
              <w:t>INCREASE (DECREASE)</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940" w:type="dxa"/>
            <w:vAlign w:val="bottom"/>
          </w:tcPr>
          <w:p>
            <w:pPr>
              <w:ind w:left="580"/>
              <w:spacing w:after="0"/>
              <w:rPr>
                <w:sz w:val="20"/>
                <w:szCs w:val="20"/>
                <w:color w:val="auto"/>
              </w:rPr>
            </w:pPr>
            <w:r>
              <w:rPr>
                <w:rFonts w:ascii="Courier New" w:cs="Courier New" w:eastAsia="Courier New" w:hAnsi="Courier New"/>
                <w:sz w:val="2"/>
                <w:szCs w:val="2"/>
                <w:color w:val="auto"/>
              </w:rPr>
              <w:t>----------------------------</w:t>
            </w:r>
          </w:p>
        </w:tc>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2003</w:t>
            </w:r>
          </w:p>
        </w:tc>
        <w:tc>
          <w:tcPr>
            <w:tcW w:w="600" w:type="dxa"/>
            <w:vAlign w:val="bottom"/>
          </w:tcPr>
          <w:p>
            <w:pPr>
              <w:spacing w:after="0"/>
              <w:rPr>
                <w:sz w:val="14"/>
                <w:szCs w:val="14"/>
                <w:color w:val="auto"/>
              </w:rPr>
            </w:pPr>
          </w:p>
        </w:tc>
        <w:tc>
          <w:tcPr>
            <w:tcW w:w="980" w:type="dxa"/>
            <w:vAlign w:val="bottom"/>
            <w:vMerge w:val="restart"/>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25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440" w:type="dxa"/>
            <w:vAlign w:val="bottom"/>
          </w:tcPr>
          <w:p>
            <w:pPr>
              <w:spacing w:after="0"/>
              <w:rPr>
                <w:sz w:val="21"/>
                <w:szCs w:val="21"/>
                <w:color w:val="auto"/>
              </w:rPr>
            </w:pPr>
          </w:p>
        </w:tc>
        <w:tc>
          <w:tcPr>
            <w:tcW w:w="18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4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16,621</w:t>
            </w:r>
          </w:p>
        </w:tc>
        <w:tc>
          <w:tcPr>
            <w:tcW w:w="6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20,526</w:t>
            </w:r>
          </w:p>
        </w:tc>
        <w:tc>
          <w:tcPr>
            <w:tcW w:w="4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(3,905)</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License............................</w:t>
            </w: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Service............................</w:t>
            </w:r>
          </w:p>
        </w:tc>
        <w:tc>
          <w:tcPr>
            <w:tcW w:w="9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411,674</w:t>
            </w: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318,860</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92,814</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940" w:type="dxa"/>
            <w:vAlign w:val="bottom"/>
          </w:tcPr>
          <w:p>
            <w:pPr>
              <w:ind w:left="580"/>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5"/>
              </w:rPr>
              <w:t>428,295</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26.2</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339,386</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88,909</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8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34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1,132</w:t>
            </w:r>
          </w:p>
        </w:tc>
        <w:tc>
          <w:tcPr>
            <w:tcW w:w="600" w:type="dxa"/>
            <w:vAlign w:val="bottom"/>
          </w:tcPr>
          <w:p>
            <w:pPr>
              <w:spacing w:after="0"/>
              <w:rPr>
                <w:sz w:val="7"/>
                <w:szCs w:val="7"/>
                <w:color w:val="auto"/>
              </w:rPr>
            </w:pPr>
          </w:p>
        </w:tc>
        <w:tc>
          <w:tcPr>
            <w:tcW w:w="9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1,136</w:t>
            </w:r>
          </w:p>
        </w:tc>
        <w:tc>
          <w:tcPr>
            <w:tcW w:w="440" w:type="dxa"/>
            <w:vAlign w:val="bottom"/>
          </w:tcPr>
          <w:p>
            <w:pPr>
              <w:spacing w:after="0"/>
              <w:rPr>
                <w:sz w:val="7"/>
                <w:szCs w:val="7"/>
                <w:color w:val="auto"/>
              </w:rPr>
            </w:pPr>
          </w:p>
        </w:tc>
        <w:tc>
          <w:tcPr>
            <w:tcW w:w="10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w:t>
            </w:r>
          </w:p>
        </w:tc>
        <w:tc>
          <w:tcPr>
            <w:tcW w:w="10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Cost of license....................</w:t>
            </w:r>
          </w:p>
        </w:tc>
        <w:tc>
          <w:tcPr>
            <w:tcW w:w="9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Cost of service....................</w:t>
            </w:r>
          </w:p>
        </w:tc>
        <w:tc>
          <w:tcPr>
            <w:tcW w:w="9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272,103</w:t>
            </w: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203,986</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68,117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w:t>
            </w: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9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30,498</w:t>
            </w: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29,619</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879</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940" w:type="dxa"/>
            <w:vAlign w:val="bottom"/>
          </w:tcPr>
          <w:p>
            <w:pPr>
              <w:spacing w:after="0"/>
              <w:rPr>
                <w:sz w:val="14"/>
                <w:szCs w:val="14"/>
                <w:color w:val="auto"/>
              </w:rPr>
            </w:pP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52,497</w:t>
            </w:r>
          </w:p>
        </w:tc>
        <w:tc>
          <w:tcPr>
            <w:tcW w:w="600" w:type="dxa"/>
            <w:vAlign w:val="bottom"/>
          </w:tcPr>
          <w:p>
            <w:pPr>
              <w:spacing w:after="0"/>
              <w:rPr>
                <w:sz w:val="14"/>
                <w:szCs w:val="14"/>
                <w:color w:val="auto"/>
              </w:rPr>
            </w:pPr>
          </w:p>
        </w:tc>
        <w:tc>
          <w:tcPr>
            <w:tcW w:w="9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51,580</w:t>
            </w:r>
          </w:p>
        </w:tc>
        <w:tc>
          <w:tcPr>
            <w:tcW w:w="440" w:type="dxa"/>
            <w:vAlign w:val="bottom"/>
          </w:tcPr>
          <w:p>
            <w:pPr>
              <w:spacing w:after="0"/>
              <w:rPr>
                <w:sz w:val="14"/>
                <w:szCs w:val="14"/>
                <w:color w:val="auto"/>
              </w:rPr>
            </w:pPr>
          </w:p>
        </w:tc>
        <w:tc>
          <w:tcPr>
            <w:tcW w:w="108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917</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9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940" w:type="dxa"/>
            <w:vAlign w:val="bottom"/>
          </w:tcPr>
          <w:p>
            <w:pPr>
              <w:spacing w:after="0"/>
              <w:rPr>
                <w:sz w:val="14"/>
                <w:szCs w:val="14"/>
                <w:color w:val="auto"/>
              </w:rPr>
            </w:pP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5,096</w:t>
            </w:r>
          </w:p>
        </w:tc>
        <w:tc>
          <w:tcPr>
            <w:tcW w:w="600" w:type="dxa"/>
            <w:vAlign w:val="bottom"/>
          </w:tcPr>
          <w:p>
            <w:pPr>
              <w:spacing w:after="0"/>
              <w:rPr>
                <w:sz w:val="14"/>
                <w:szCs w:val="14"/>
                <w:color w:val="auto"/>
              </w:rPr>
            </w:pPr>
          </w:p>
        </w:tc>
        <w:tc>
          <w:tcPr>
            <w:tcW w:w="9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5,154</w:t>
            </w:r>
          </w:p>
        </w:tc>
        <w:tc>
          <w:tcPr>
            <w:tcW w:w="440" w:type="dxa"/>
            <w:vAlign w:val="bottom"/>
          </w:tcPr>
          <w:p>
            <w:pPr>
              <w:spacing w:after="0"/>
              <w:rPr>
                <w:sz w:val="14"/>
                <w:szCs w:val="14"/>
                <w:color w:val="auto"/>
              </w:rPr>
            </w:pPr>
          </w:p>
        </w:tc>
        <w:tc>
          <w:tcPr>
            <w:tcW w:w="10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(58)</w:t>
            </w:r>
          </w:p>
        </w:tc>
        <w:tc>
          <w:tcPr>
            <w:tcW w:w="10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w:t>
            </w:r>
          </w:p>
        </w:tc>
        <w:tc>
          <w:tcPr>
            <w:tcW w:w="9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Restructuring charges..............</w:t>
            </w:r>
          </w:p>
        </w:tc>
        <w:tc>
          <w:tcPr>
            <w:tcW w:w="9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9,956</w:t>
            </w:r>
          </w:p>
        </w:tc>
        <w:tc>
          <w:tcPr>
            <w:tcW w:w="44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(9,956)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940" w:type="dxa"/>
            <w:vAlign w:val="bottom"/>
          </w:tcPr>
          <w:p>
            <w:pPr>
              <w:ind w:left="580"/>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5"/>
              </w:rPr>
              <w:t>361,326</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301,431</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59,895</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Operating income......................</w:t>
            </w:r>
          </w:p>
        </w:tc>
        <w:tc>
          <w:tcPr>
            <w:tcW w:w="940" w:type="dxa"/>
            <w:vAlign w:val="bottom"/>
          </w:tcPr>
          <w:p>
            <w:pPr>
              <w:ind w:left="580"/>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66,969</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76.4</w:t>
            </w:r>
          </w:p>
        </w:tc>
        <w:tc>
          <w:tcPr>
            <w:tcW w:w="0" w:type="dxa"/>
            <w:vAlign w:val="bottom"/>
          </w:tcPr>
          <w:p>
            <w:pPr>
              <w:spacing w:after="0"/>
              <w:rPr>
                <w:sz w:val="1"/>
                <w:szCs w:val="1"/>
                <w:color w:val="auto"/>
              </w:rPr>
            </w:pPr>
          </w:p>
        </w:tc>
      </w:tr>
      <w:tr>
        <w:trPr>
          <w:trHeight w:val="172"/>
        </w:trPr>
        <w:tc>
          <w:tcPr>
            <w:tcW w:w="34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37,955</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29,014</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income and other, net........</w:t>
            </w:r>
          </w:p>
        </w:tc>
        <w:tc>
          <w:tcPr>
            <w:tcW w:w="9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1,067</w:t>
            </w: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4,977</w:t>
            </w:r>
          </w:p>
        </w:tc>
        <w:tc>
          <w:tcPr>
            <w:tcW w:w="44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(3,910)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w:t>
            </w:r>
          </w:p>
        </w:tc>
        <w:tc>
          <w:tcPr>
            <w:tcW w:w="0" w:type="dxa"/>
            <w:vAlign w:val="bottom"/>
          </w:tcPr>
          <w:p>
            <w:pPr>
              <w:spacing w:after="0"/>
              <w:rPr>
                <w:sz w:val="1"/>
                <w:szCs w:val="1"/>
                <w:color w:val="auto"/>
              </w:rPr>
            </w:pPr>
          </w:p>
        </w:tc>
      </w:tr>
      <w:tr>
        <w:trPr>
          <w:trHeight w:val="172"/>
        </w:trPr>
        <w:tc>
          <w:tcPr>
            <w:tcW w:w="3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Income before income taxes............</w:t>
            </w:r>
          </w:p>
        </w:tc>
        <w:tc>
          <w:tcPr>
            <w:tcW w:w="940" w:type="dxa"/>
            <w:vAlign w:val="bottom"/>
          </w:tcPr>
          <w:p>
            <w:pPr>
              <w:ind w:left="580"/>
              <w:spacing w:after="0"/>
              <w:rPr>
                <w:sz w:val="20"/>
                <w:szCs w:val="20"/>
                <w:color w:val="auto"/>
              </w:rPr>
            </w:pPr>
            <w:r>
              <w:rPr>
                <w:rFonts w:ascii="Courier New" w:cs="Courier New" w:eastAsia="Courier New" w:hAnsi="Courier New"/>
                <w:sz w:val="7"/>
                <w:szCs w:val="7"/>
                <w:color w:val="auto"/>
                <w:w w:val="73"/>
              </w:rPr>
              <w:t>-----------</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68,036</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58.5</w:t>
            </w:r>
          </w:p>
        </w:tc>
        <w:tc>
          <w:tcPr>
            <w:tcW w:w="0" w:type="dxa"/>
            <w:vAlign w:val="bottom"/>
          </w:tcPr>
          <w:p>
            <w:pPr>
              <w:spacing w:after="0"/>
              <w:rPr>
                <w:sz w:val="1"/>
                <w:szCs w:val="1"/>
                <w:color w:val="auto"/>
              </w:rPr>
            </w:pPr>
          </w:p>
        </w:tc>
      </w:tr>
      <w:tr>
        <w:trPr>
          <w:trHeight w:val="172"/>
        </w:trPr>
        <w:tc>
          <w:tcPr>
            <w:tcW w:w="34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42,932</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25,104</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taxes..........................</w:t>
            </w:r>
          </w:p>
        </w:tc>
        <w:tc>
          <w:tcPr>
            <w:tcW w:w="9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14,968</w:t>
            </w:r>
          </w:p>
        </w:tc>
        <w:tc>
          <w:tcPr>
            <w:tcW w:w="60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10,733</w:t>
            </w:r>
          </w:p>
        </w:tc>
        <w:tc>
          <w:tcPr>
            <w:tcW w:w="4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4,235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172"/>
        </w:trPr>
        <w:tc>
          <w:tcPr>
            <w:tcW w:w="3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Net income............................</w:t>
            </w:r>
          </w:p>
        </w:tc>
        <w:tc>
          <w:tcPr>
            <w:tcW w:w="940" w:type="dxa"/>
            <w:vAlign w:val="bottom"/>
            <w:vMerge w:val="restart"/>
          </w:tcPr>
          <w:p>
            <w:pPr>
              <w:ind w:left="5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53,068</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64.8%</w:t>
            </w:r>
          </w:p>
        </w:tc>
        <w:tc>
          <w:tcPr>
            <w:tcW w:w="0" w:type="dxa"/>
            <w:vAlign w:val="bottom"/>
          </w:tcPr>
          <w:p>
            <w:pPr>
              <w:spacing w:after="0"/>
              <w:rPr>
                <w:sz w:val="1"/>
                <w:szCs w:val="1"/>
                <w:color w:val="auto"/>
              </w:rPr>
            </w:pPr>
          </w:p>
        </w:tc>
      </w:tr>
      <w:tr>
        <w:trPr>
          <w:trHeight w:val="172"/>
        </w:trPr>
        <w:tc>
          <w:tcPr>
            <w:tcW w:w="34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32,199</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20,869</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40" w:type="dxa"/>
            <w:vAlign w:val="bottom"/>
          </w:tcPr>
          <w:p>
            <w:pPr>
              <w:spacing w:after="0"/>
              <w:rPr>
                <w:sz w:val="21"/>
                <w:szCs w:val="21"/>
                <w:color w:val="auto"/>
              </w:rPr>
            </w:pPr>
          </w:p>
        </w:tc>
        <w:tc>
          <w:tcPr>
            <w:tcW w:w="18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344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7" w:right="1440" w:bottom="1440" w:gutter="0" w:footer="0" w:header="0"/>
        </w:sectPr>
      </w:pPr>
    </w:p>
    <w:bookmarkStart w:id="19" w:name="page20"/>
    <w:bookmarkEnd w:id="19"/>
    <w:p>
      <w:pPr>
        <w:ind w:left="800"/>
        <w:spacing w:after="0"/>
        <w:rPr>
          <w:sz w:val="20"/>
          <w:szCs w:val="20"/>
          <w:color w:val="auto"/>
        </w:rPr>
      </w:pPr>
      <w:r>
        <w:rPr>
          <w:rFonts w:ascii="Courier New" w:cs="Courier New" w:eastAsia="Courier New" w:hAnsi="Courier New"/>
          <w:sz w:val="15"/>
          <w:szCs w:val="15"/>
          <w:color w:val="auto"/>
        </w:rPr>
        <w:t>THREE MONTHS ENDED DECEMBER 31, 2003 AND 2002</w:t>
      </w:r>
    </w:p>
    <w:p>
      <w:pPr>
        <w:spacing w:after="0" w:line="174" w:lineRule="exact"/>
        <w:rPr>
          <w:sz w:val="20"/>
          <w:szCs w:val="20"/>
          <w:color w:val="auto"/>
        </w:rPr>
      </w:pPr>
    </w:p>
    <w:p>
      <w:pPr>
        <w:ind w:right="3079" w:firstLine="805"/>
        <w:spacing w:after="0" w:line="272" w:lineRule="auto"/>
        <w:rPr>
          <w:sz w:val="20"/>
          <w:szCs w:val="20"/>
          <w:color w:val="auto"/>
        </w:rPr>
      </w:pPr>
      <w:r>
        <w:rPr>
          <w:rFonts w:ascii="Courier New" w:cs="Courier New" w:eastAsia="Courier New" w:hAnsi="Courier New"/>
          <w:sz w:val="15"/>
          <w:szCs w:val="15"/>
          <w:color w:val="auto"/>
        </w:rPr>
        <w:t>REVENUE. The increase in total revenue in the three months ended December 31, 2003 is primarily due to an increase in service revenue as a result of new Managed Services agreements signed during fiscal 2003 and additional revenue resulting from our acquisition of Certen in the fourth quarter of fiscal 2003.</w:t>
      </w:r>
    </w:p>
    <w:p>
      <w:pPr>
        <w:spacing w:after="0" w:line="69" w:lineRule="exact"/>
        <w:rPr>
          <w:sz w:val="20"/>
          <w:szCs w:val="20"/>
          <w:color w:val="auto"/>
        </w:rPr>
      </w:pPr>
    </w:p>
    <w:p>
      <w:pPr>
        <w:ind w:right="3159" w:firstLine="805"/>
        <w:spacing w:after="0" w:line="266" w:lineRule="auto"/>
        <w:rPr>
          <w:sz w:val="20"/>
          <w:szCs w:val="20"/>
          <w:color w:val="auto"/>
        </w:rPr>
      </w:pPr>
      <w:r>
        <w:rPr>
          <w:rFonts w:ascii="Courier New" w:cs="Courier New" w:eastAsia="Courier New" w:hAnsi="Courier New"/>
          <w:sz w:val="15"/>
          <w:szCs w:val="15"/>
          <w:color w:val="auto"/>
        </w:rPr>
        <w:t>The significant new contracts that we obtained during fiscal 2003 were for Managed Services arrangements, which contain only a small license revenue component. In addition, the current communications market environment has resulted in pricing pressure, particularly with respect to license fees. As a result, license revenue in the three months ended December 31, 2003 decreased from the three months ended December 31, 2002.</w:t>
      </w:r>
    </w:p>
    <w:p>
      <w:pPr>
        <w:spacing w:after="0" w:line="74" w:lineRule="exact"/>
        <w:rPr>
          <w:sz w:val="20"/>
          <w:szCs w:val="20"/>
          <w:color w:val="auto"/>
        </w:rPr>
      </w:pPr>
    </w:p>
    <w:p>
      <w:pPr>
        <w:ind w:right="3159" w:firstLine="805"/>
        <w:spacing w:after="0" w:line="276" w:lineRule="auto"/>
        <w:rPr>
          <w:sz w:val="20"/>
          <w:szCs w:val="20"/>
          <w:color w:val="auto"/>
        </w:rPr>
      </w:pPr>
      <w:r>
        <w:rPr>
          <w:rFonts w:ascii="Courier New" w:cs="Courier New" w:eastAsia="Courier New" w:hAnsi="Courier New"/>
          <w:sz w:val="14"/>
          <w:szCs w:val="14"/>
          <w:color w:val="auto"/>
        </w:rPr>
        <w:t>Total CC&amp;B Systems revenue was $375.4 million for the three months ended December 31, 2003, an increase of $76.7 million, or 25.7%, over the three months ended December 31, 2002. The increase is attributable primarily to our acquisition of Certen in the fourth quarter of fiscal 2003.The demand for our CC&amp;B Systems is primarily driven by the need for communications companies to continue to upgrade their billing, CRM and order management systems. In fiscal 2003, many communications companies reduced or delayed expenditures on system upgrades as a result of the slowdown in the communications industry. Recently, however, there has been an improvement in market conditions, accounting in part for the increase in revenue in the first quarter of fiscal 2004.</w:t>
      </w:r>
    </w:p>
    <w:p>
      <w:pPr>
        <w:spacing w:after="0" w:line="68" w:lineRule="exact"/>
        <w:rPr>
          <w:sz w:val="20"/>
          <w:szCs w:val="20"/>
          <w:color w:val="auto"/>
        </w:rPr>
      </w:pPr>
    </w:p>
    <w:p>
      <w:pPr>
        <w:ind w:right="3159" w:firstLine="805"/>
        <w:spacing w:after="0" w:line="272" w:lineRule="auto"/>
        <w:rPr>
          <w:sz w:val="20"/>
          <w:szCs w:val="20"/>
          <w:color w:val="auto"/>
        </w:rPr>
      </w:pPr>
      <w:r>
        <w:rPr>
          <w:rFonts w:ascii="Courier New" w:cs="Courier New" w:eastAsia="Courier New" w:hAnsi="Courier New"/>
          <w:sz w:val="15"/>
          <w:szCs w:val="15"/>
          <w:color w:val="auto"/>
        </w:rPr>
        <w:t>Revenue from Directory Systems was $52.9 million for the three months ended December 31, 2003, an increase of $12.2 million, or 29.9%, over the three months ended December 31, 2002. The increase is attributable primarily to the new Managed Services agreements as well as extensions of agreements with, and additional services rendered to, existing customers.</w:t>
      </w:r>
    </w:p>
    <w:p>
      <w:pPr>
        <w:spacing w:after="0" w:line="69" w:lineRule="exact"/>
        <w:rPr>
          <w:sz w:val="20"/>
          <w:szCs w:val="20"/>
          <w:color w:val="auto"/>
        </w:rPr>
      </w:pPr>
    </w:p>
    <w:p>
      <w:pPr>
        <w:ind w:right="3159" w:firstLine="805"/>
        <w:spacing w:after="0" w:line="273" w:lineRule="auto"/>
        <w:rPr>
          <w:sz w:val="20"/>
          <w:szCs w:val="20"/>
          <w:color w:val="auto"/>
        </w:rPr>
      </w:pPr>
      <w:r>
        <w:rPr>
          <w:rFonts w:ascii="Courier New" w:cs="Courier New" w:eastAsia="Courier New" w:hAnsi="Courier New"/>
          <w:sz w:val="14"/>
          <w:szCs w:val="14"/>
          <w:color w:val="auto"/>
        </w:rPr>
        <w:t>In the three months ended December 31, 2003, revenue from customers in North America, Europe and the rest of the world accounted for 66.4%, 26.7% and 6.9%, respectively, compared to 62.0%, 30.1% and 7.9%, respectively, for the three months ended December 31, 2002. The increase in revenue from customers in North America is attributable primarily to the acquisition of Certen, which expanded our activity and revenue from customers in North America, and by forming relationships with new customers and expanding relationships with existing customers in North America. The decreased contribution to revenue from customers in Europe and rest of the world relative to customers in North America, as a percentage of revenue, was attributable primarily to a relatively greater growth in activity from customers in North America than in Europe and the rest of the world during the first quarter of fiscal 2004.</w:t>
      </w:r>
    </w:p>
    <w:p>
      <w:pPr>
        <w:spacing w:after="0" w:line="252" w:lineRule="exact"/>
        <w:rPr>
          <w:sz w:val="20"/>
          <w:szCs w:val="20"/>
          <w:color w:val="auto"/>
        </w:rPr>
      </w:pPr>
    </w:p>
    <w:p>
      <w:pPr>
        <w:ind w:right="3699" w:firstLine="805"/>
        <w:spacing w:after="0" w:line="359"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w:t>
      </w:r>
    </w:p>
    <w:p>
      <w:pPr>
        <w:spacing w:after="0" w:line="8"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COST OF SERVICE. The increase in cost of service in the three months ended December 31, 2003 was higher than the increase in our revenue in the three months ended December 31, 2003, and resulted in a decrease in our gross margin. Our gross margin was affected by the new Managed Services projects, which we expect to be less profitable in their initial period, and to a lesser extent, by the decrease in our license revenue.</w:t>
      </w:r>
    </w:p>
    <w:p>
      <w:pPr>
        <w:spacing w:after="0" w:line="74" w:lineRule="exact"/>
        <w:rPr>
          <w:sz w:val="20"/>
          <w:szCs w:val="20"/>
          <w:color w:val="auto"/>
        </w:rPr>
      </w:pPr>
    </w:p>
    <w:p>
      <w:pPr>
        <w:ind w:right="3159" w:firstLine="805"/>
        <w:spacing w:after="0" w:line="251"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but to a lesser extent.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92" w:lineRule="exact"/>
        <w:rPr>
          <w:sz w:val="20"/>
          <w:szCs w:val="20"/>
          <w:color w:val="auto"/>
        </w:rPr>
      </w:pPr>
    </w:p>
    <w:p>
      <w:pPr>
        <w:ind w:right="3159" w:firstLine="805"/>
        <w:spacing w:after="0" w:line="331"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first quarter of</w:t>
      </w:r>
    </w:p>
    <w:p>
      <w:pPr>
        <w:spacing w:after="0" w:line="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7" w:right="1440" w:bottom="1440" w:gutter="0" w:footer="0" w:header="0"/>
        </w:sectPr>
      </w:pPr>
    </w:p>
    <w:bookmarkStart w:id="20" w:name="page21"/>
    <w:bookmarkEnd w:id="20"/>
    <w:p>
      <w:pPr>
        <w:ind w:right="3159"/>
        <w:spacing w:after="0" w:line="359" w:lineRule="auto"/>
        <w:rPr>
          <w:sz w:val="20"/>
          <w:szCs w:val="20"/>
          <w:color w:val="auto"/>
        </w:rPr>
      </w:pPr>
      <w:r>
        <w:rPr>
          <w:rFonts w:ascii="Courier New" w:cs="Courier New" w:eastAsia="Courier New" w:hAnsi="Courier New"/>
          <w:sz w:val="15"/>
          <w:szCs w:val="15"/>
          <w:color w:val="auto"/>
        </w:rPr>
        <w:t>fiscal 2004 was primarily due to the overall increase in our operations and was proportionally less than the increase in our total revenue.</w:t>
      </w:r>
    </w:p>
    <w:p>
      <w:pPr>
        <w:spacing w:after="0" w:line="8"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RESTRUCTURING CHARGE. The restructuring charge in the three months ended December 31, 2002 consisted of the cost reduction program we implemented during the first quarter of fiscal 2003.</w:t>
      </w:r>
    </w:p>
    <w:p>
      <w:pPr>
        <w:spacing w:after="0" w:line="49" w:lineRule="exact"/>
        <w:rPr>
          <w:sz w:val="20"/>
          <w:szCs w:val="20"/>
          <w:color w:val="auto"/>
        </w:rPr>
      </w:pPr>
    </w:p>
    <w:p>
      <w:pPr>
        <w:ind w:right="3159" w:firstLine="805"/>
        <w:spacing w:after="0" w:line="272" w:lineRule="auto"/>
        <w:rPr>
          <w:sz w:val="20"/>
          <w:szCs w:val="20"/>
          <w:color w:val="auto"/>
        </w:rPr>
      </w:pPr>
      <w:r>
        <w:rPr>
          <w:rFonts w:ascii="Courier New" w:cs="Courier New" w:eastAsia="Courier New" w:hAnsi="Courier New"/>
          <w:sz w:val="15"/>
          <w:szCs w:val="15"/>
          <w:color w:val="auto"/>
        </w:rPr>
        <w:t>OPERATING INCOME. The increase in operating income in the three months ended December 31, 2003 is attributable primarily to the increase in our total revenue, which was partially offset by relative low gross margin of our new Managed Services projects in their early stages of implementation in the three months ended December 31, 2003.</w:t>
      </w:r>
    </w:p>
    <w:p>
      <w:pPr>
        <w:spacing w:after="0" w:line="69" w:lineRule="exact"/>
        <w:rPr>
          <w:sz w:val="20"/>
          <w:szCs w:val="20"/>
          <w:color w:val="auto"/>
        </w:rPr>
      </w:pPr>
    </w:p>
    <w:p>
      <w:pPr>
        <w:ind w:right="3159" w:firstLine="805"/>
        <w:spacing w:after="0" w:line="280" w:lineRule="auto"/>
        <w:rPr>
          <w:sz w:val="20"/>
          <w:szCs w:val="20"/>
          <w:color w:val="auto"/>
        </w:rPr>
      </w:pPr>
      <w:r>
        <w:rPr>
          <w:rFonts w:ascii="Courier New" w:cs="Courier New" w:eastAsia="Courier New" w:hAnsi="Courier New"/>
          <w:sz w:val="14"/>
          <w:szCs w:val="14"/>
          <w:color w:val="auto"/>
        </w:rPr>
        <w:t>Operating income for the three months ended December 31, 2003 included amortization of purchased intangible assets of $5.1 million. Excluding this charge, operating income in the three months ended December 31, 2003 was $72.1 million, or 16.8% of revenue, an increase of 67.2% from prior year. Operating income for the three months ended December 31, 2002 included amortization of purchased intangible assets of $5.2 million and restructuring charges of $10.0. Excluding amortization of purchased intangible assets, operating income for the three months ended December 31, 2002 was $43.1 million, or 12.7% of revenue.</w:t>
      </w:r>
    </w:p>
    <w:p>
      <w:pPr>
        <w:spacing w:after="0" w:line="68" w:lineRule="exact"/>
        <w:rPr>
          <w:sz w:val="20"/>
          <w:szCs w:val="20"/>
          <w:color w:val="auto"/>
        </w:rPr>
      </w:pPr>
    </w:p>
    <w:p>
      <w:pPr>
        <w:ind w:right="3079" w:firstLine="805"/>
        <w:spacing w:after="0" w:line="278"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first quarter of fiscal 2004 is primarily attributable to the decline in interest rates on our short-term interest-bearing investments as a result of our decision to shorten the duration of our investments due to volatility in the interest rate environment, to the increase in our interest expenses due to the capital lease obligations acquired in the Certen acquisition and due to changes in exchange rates of currencies other than the dollar. Although we hedge significant exposures in currencies other than the dollar, currency fluctuations partially affect our interest income and other, net.</w:t>
      </w:r>
    </w:p>
    <w:p>
      <w:pPr>
        <w:spacing w:after="0" w:line="67"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INCOME TAXES. Our effective tax rate in the three months ended December 31, 2003 was 22% compared to 25% in the three months ended December 31, 2002.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78"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NET INCOME. The increase in net income is attributable primarily to the increase in our total revenue, which was partially offset by relative low gross margin of our new Managed Services projects in their early stages of implementation in the first quarter of fiscal 2004.</w:t>
      </w:r>
    </w:p>
    <w:p>
      <w:pPr>
        <w:spacing w:after="0" w:line="64"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Net income for the first quarter of fiscal 2004 included amortization of purchased intangible assets. Excluding this charge, net income for the first quarter of fiscal 2004 was $57.0 million, or 13.3% of revenue, an increase of 58.2% from the first quarter of fiscal 2003. Net income in the three months ended December 31, 2002 included amortization of purchased intangible assets and restructuring charges. Excluding amortization of purchased intangible assets, net income was $36.1 million, representing 10.6% of revenue.</w:t>
      </w:r>
    </w:p>
    <w:p>
      <w:pPr>
        <w:spacing w:after="0" w:line="78" w:lineRule="exact"/>
        <w:rPr>
          <w:sz w:val="20"/>
          <w:szCs w:val="20"/>
          <w:color w:val="auto"/>
        </w:rPr>
      </w:pPr>
    </w:p>
    <w:p>
      <w:pPr>
        <w:ind w:right="3159" w:firstLine="805"/>
        <w:spacing w:after="0" w:line="266" w:lineRule="auto"/>
        <w:rPr>
          <w:sz w:val="20"/>
          <w:szCs w:val="20"/>
          <w:color w:val="auto"/>
        </w:rPr>
      </w:pPr>
      <w:r>
        <w:rPr>
          <w:rFonts w:ascii="Courier New" w:cs="Courier New" w:eastAsia="Courier New" w:hAnsi="Courier New"/>
          <w:sz w:val="15"/>
          <w:szCs w:val="15"/>
          <w:color w:val="auto"/>
        </w:rPr>
        <w:t>DILUTED EARNINGS PER SHARE. Diluted earnings per share were $0.24 for the three months ended December 31, 2003, compared to $0.15 in the three months ended December 31, 2002. Diluted earnings per share, excluding amortization of purchased intangible assets, in the three months ended December 31, 2003, increased by 55.7% from $0.17 in the three months ended December 31, 2002, to $0.26 per diluted share.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Cash, cash equivalents and short-term interest-bearing investments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totaled $1,229 million as of December 31, 2003, compared to $1,291 million as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2003. The decrease is attributable primarily to the use of $124.0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to repurchase our shares, which was partially offset by positive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flows from operations. Net cash provided by operating activities amounted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$82.7 million and $85.0 million for the three months ended December 31, 2003 and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respectively. Although net income before depreciation and amortization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in the first quarter of fiscal 2004, cash flows from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decreased slightly, due primarily to increases in accounts receivable resulting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sequential increase in our revenue. We currently intend to retain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operating cash flows to support the further expansion of our business,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investments related to new Managed Services projects and acquisitions.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also use a portion</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7" w:right="1440" w:bottom="1440" w:gutter="0" w:footer="0" w:header="0"/>
        </w:sectPr>
      </w:pPr>
    </w:p>
    <w:bookmarkStart w:id="21" w:name="page22"/>
    <w:bookmarkEnd w:id="21"/>
    <w:p>
      <w:pPr>
        <w:ind w:right="3259"/>
        <w:spacing w:after="0" w:line="301" w:lineRule="auto"/>
        <w:rPr>
          <w:sz w:val="20"/>
          <w:szCs w:val="20"/>
          <w:color w:val="auto"/>
        </w:rPr>
      </w:pPr>
      <w:r>
        <w:rPr>
          <w:rFonts w:ascii="Courier New" w:cs="Courier New" w:eastAsia="Courier New" w:hAnsi="Courier New"/>
          <w:sz w:val="15"/>
          <w:szCs w:val="15"/>
          <w:color w:val="auto"/>
        </w:rPr>
        <w:t>of our cash balances for future repurchases of our outstanding securities and for the redemption of our 2% Convertible Notes due June 1, 2008 (the "Notes"), as described below.</w:t>
      </w:r>
    </w:p>
    <w:p>
      <w:pPr>
        <w:spacing w:after="0" w:line="49" w:lineRule="exact"/>
        <w:rPr>
          <w:sz w:val="20"/>
          <w:szCs w:val="20"/>
          <w:color w:val="auto"/>
        </w:rPr>
      </w:pPr>
    </w:p>
    <w:p>
      <w:pPr>
        <w:ind w:right="3259" w:firstLine="805"/>
        <w:spacing w:after="0" w:line="272" w:lineRule="auto"/>
        <w:rPr>
          <w:sz w:val="20"/>
          <w:szCs w:val="20"/>
          <w:color w:val="auto"/>
        </w:rPr>
      </w:pPr>
      <w:r>
        <w:rPr>
          <w:rFonts w:ascii="Courier New" w:cs="Courier New" w:eastAsia="Courier New" w:hAnsi="Courier New"/>
          <w:sz w:val="15"/>
          <w:szCs w:val="15"/>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69"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As of December 31, 2003, $395.5 million aggregate principal amount of our Notes was outstanding. In July 2002, our board of directors authorized us to repurchase outstanding Notes, in such amounts, at such prices and at such times considered appropriate by us. During the three months ended December 31, 2003, we repurchased $5.0 million aggregate principal amount of the Notes. During fiscal 2002 and 2003, the Company repurchased $100.0 million aggregate principal amount of the Notes. We funded these repurchases, and intend to fund any future repurchases, with available funds. On June 1, 2004, the holders of our Notes may require us to redeem their Notes at 100% of their principal amount plus accrued interest to the redemption date. Due to the high conversion price for the Notes, it is likely that the holders of the Notes will require us to redeem their Notes. We may choose to redeem the Notes in cash, in ordinary shares, or in a combination of cash and ordinary shares.</w:t>
      </w:r>
    </w:p>
    <w:p>
      <w:pPr>
        <w:spacing w:after="0" w:line="89" w:lineRule="exact"/>
        <w:rPr>
          <w:sz w:val="20"/>
          <w:szCs w:val="20"/>
          <w:color w:val="auto"/>
        </w:rPr>
      </w:pPr>
    </w:p>
    <w:p>
      <w:pPr>
        <w:ind w:right="3079" w:firstLine="805"/>
        <w:spacing w:after="0" w:line="259" w:lineRule="auto"/>
        <w:rPr>
          <w:sz w:val="20"/>
          <w:szCs w:val="20"/>
          <w:color w:val="auto"/>
        </w:rPr>
      </w:pPr>
      <w:r>
        <w:rPr>
          <w:rFonts w:ascii="Courier New" w:cs="Courier New" w:eastAsia="Courier New" w:hAnsi="Courier New"/>
          <w:sz w:val="15"/>
          <w:szCs w:val="15"/>
          <w:color w:val="auto"/>
        </w:rPr>
        <w:t>As of December 31, 2003, we had an available short-term general revolving line of credit totaling $30.0 million, none of which had been used as of such date. In addition, as of December 31, 2003 we had credit facilities totaling $35.8 million, limited for the use of letters of credit and bank guarantees from various banks. Outstanding letters of credit and bank guarantees as of December 31, 2003 totaled $24.1 million. These were mostly supported by a combination of the credit facilities described above and compensating cash balances that we maintain with the issuing banks.</w:t>
      </w:r>
    </w:p>
    <w:p>
      <w:pPr>
        <w:spacing w:after="0" w:line="81" w:lineRule="exact"/>
        <w:rPr>
          <w:sz w:val="20"/>
          <w:szCs w:val="20"/>
          <w:color w:val="auto"/>
        </w:rPr>
      </w:pPr>
    </w:p>
    <w:p>
      <w:pPr>
        <w:ind w:right="3339" w:firstLine="805"/>
        <w:spacing w:after="0" w:line="359" w:lineRule="auto"/>
        <w:rPr>
          <w:sz w:val="20"/>
          <w:szCs w:val="20"/>
          <w:color w:val="auto"/>
        </w:rPr>
      </w:pPr>
      <w:r>
        <w:rPr>
          <w:rFonts w:ascii="Courier New" w:cs="Courier New" w:eastAsia="Courier New" w:hAnsi="Courier New"/>
          <w:sz w:val="15"/>
          <w:szCs w:val="15"/>
          <w:color w:val="auto"/>
        </w:rPr>
        <w:t>As of December 31, 2003, we had outstanding long-term obligations of $43.6 million in connection with leasing arrangements.</w:t>
      </w:r>
    </w:p>
    <w:p>
      <w:pPr>
        <w:spacing w:after="0" w:line="8" w:lineRule="exact"/>
        <w:rPr>
          <w:sz w:val="20"/>
          <w:szCs w:val="20"/>
          <w:color w:val="auto"/>
        </w:rPr>
      </w:pPr>
    </w:p>
    <w:p>
      <w:pPr>
        <w:ind w:right="3079" w:firstLine="805"/>
        <w:spacing w:after="0" w:line="295" w:lineRule="auto"/>
        <w:rPr>
          <w:sz w:val="20"/>
          <w:szCs w:val="20"/>
          <w:color w:val="auto"/>
        </w:rPr>
      </w:pPr>
      <w:r>
        <w:rPr>
          <w:rFonts w:ascii="Courier New" w:cs="Courier New" w:eastAsia="Courier New" w:hAnsi="Courier New"/>
          <w:sz w:val="14"/>
          <w:szCs w:val="14"/>
          <w:color w:val="auto"/>
        </w:rPr>
        <w:t>Our capital expenditures were approximately $14.0 million in the three months ended December 31, 2003. These expenditures consisted primarily of purchases of computer equipment and, to a lesser degree, leasehold improvements. We funded our capital expenditures principally from operating cash flows. We do not anticipate any changes to this policy in the foreseeable future.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4" w:lineRule="exact"/>
        <w:rPr>
          <w:sz w:val="20"/>
          <w:szCs w:val="20"/>
          <w:color w:val="auto"/>
        </w:rPr>
      </w:pPr>
    </w:p>
    <w:p>
      <w:pPr>
        <w:ind w:right="3159" w:firstLine="805"/>
        <w:spacing w:after="0" w:line="251" w:lineRule="auto"/>
        <w:rPr>
          <w:sz w:val="20"/>
          <w:szCs w:val="20"/>
          <w:color w:val="auto"/>
        </w:rPr>
      </w:pPr>
      <w:r>
        <w:rPr>
          <w:rFonts w:ascii="Courier New" w:cs="Courier New" w:eastAsia="Courier New" w:hAnsi="Courier New"/>
          <w:sz w:val="15"/>
          <w:szCs w:val="15"/>
          <w:color w:val="auto"/>
        </w:rPr>
        <w:t>The U.S. dollar is our functional currency. In the three months ended December 31, 2003, approximately 70% of our revenue was in U.S. dollars or linked to the U.S. dollar, and approximately 50% of our operating expenses (excluding acquisition-related charges) were paid in dollars or linked to dollars. As a result of long-term contracts in currencies other than the U.S. dollar and more customers seeking contracts that are denominated in currencies such as the euro and not the U.S. dollar, we expect that the percentage of our revenue and operating expenses in U.S. dollar will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contracts. As of December 31, 2003, we had partially hedged our exposures in currencies other than the U.S. dollar.</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07" w:right="1440" w:bottom="1440" w:gutter="0" w:footer="0" w:header="0"/>
        </w:sectPr>
      </w:pPr>
    </w:p>
    <w:bookmarkStart w:id="22" w:name="page23"/>
    <w:bookmarkEnd w:id="22"/>
    <w:p>
      <w:pPr>
        <w:ind w:left="8"/>
        <w:spacing w:after="0"/>
        <w:rPr>
          <w:sz w:val="20"/>
          <w:szCs w:val="20"/>
          <w:color w:val="auto"/>
        </w:rPr>
      </w:pPr>
      <w:r>
        <w:rPr>
          <w:rFonts w:ascii="Courier New" w:cs="Courier New" w:eastAsia="Courier New" w:hAnsi="Courier New"/>
          <w:sz w:val="15"/>
          <w:szCs w:val="15"/>
          <w:color w:val="auto"/>
        </w:rPr>
        <w:t>PART II OTHER INFORMATION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 SUBMISSION OF MATTERS TO A VOTE OF SECURITY HOLDERS</w:t>
      </w:r>
    </w:p>
    <w:p>
      <w:pPr>
        <w:spacing w:after="0" w:line="174" w:lineRule="exact"/>
        <w:rPr>
          <w:sz w:val="20"/>
          <w:szCs w:val="20"/>
          <w:color w:val="auto"/>
        </w:rPr>
      </w:pPr>
    </w:p>
    <w:p>
      <w:pPr>
        <w:ind w:left="8" w:right="3079" w:firstLine="805"/>
        <w:spacing w:after="0" w:line="301" w:lineRule="auto"/>
        <w:rPr>
          <w:sz w:val="20"/>
          <w:szCs w:val="20"/>
          <w:color w:val="auto"/>
        </w:rPr>
      </w:pPr>
      <w:r>
        <w:rPr>
          <w:rFonts w:ascii="Courier New" w:cs="Courier New" w:eastAsia="Courier New" w:hAnsi="Courier New"/>
          <w:sz w:val="15"/>
          <w:szCs w:val="15"/>
          <w:color w:val="auto"/>
        </w:rPr>
        <w:t>We held our Annual General Meeting of Shareholders on Thursday, January 22, 2004, to consider and act upon the following matters, all of which were approved and adopted by the requisite votes of our shareholders:</w:t>
      </w:r>
    </w:p>
    <w:p>
      <w:pPr>
        <w:spacing w:after="0" w:line="49" w:lineRule="exact"/>
        <w:rPr>
          <w:sz w:val="20"/>
          <w:szCs w:val="20"/>
          <w:color w:val="auto"/>
        </w:rPr>
      </w:pPr>
    </w:p>
    <w:p>
      <w:pPr>
        <w:ind w:left="8" w:right="3079" w:firstLine="797"/>
        <w:spacing w:after="0" w:line="295" w:lineRule="auto"/>
        <w:tabs>
          <w:tab w:leader="none" w:pos="108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twelve (12) directors to serve until the next annual general meeting of shareholders or until their earlier resignation or removal or successors are elected and qualified: Bruce K. Anderson, Avinoam Naor, Adrian Gardner, Dov Baharav, Julian A. Brodsky, Charles E. Foster, Eli Gelman, James S. Kahan, Nehemia Lemelbaum, John T. McLennan, Robert A. Minicucci and Mario Segal.</w:t>
      </w:r>
    </w:p>
    <w:p>
      <w:pPr>
        <w:spacing w:after="0" w:line="57" w:lineRule="exact"/>
        <w:rPr>
          <w:rFonts w:ascii="Courier New" w:cs="Courier New" w:eastAsia="Courier New" w:hAnsi="Courier New"/>
          <w:sz w:val="14"/>
          <w:szCs w:val="14"/>
          <w:color w:val="auto"/>
        </w:rPr>
      </w:pPr>
    </w:p>
    <w:p>
      <w:pPr>
        <w:ind w:left="8" w:right="3079" w:firstLine="797"/>
        <w:spacing w:after="0" w:line="359" w:lineRule="auto"/>
        <w:tabs>
          <w:tab w:leader="none" w:pos="108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our Consolidated Financial Statements for the fiscal year ended September 30, 2003.</w:t>
      </w:r>
    </w:p>
    <w:p>
      <w:pPr>
        <w:spacing w:after="0" w:line="7" w:lineRule="exact"/>
        <w:rPr>
          <w:rFonts w:ascii="Courier New" w:cs="Courier New" w:eastAsia="Courier New" w:hAnsi="Courier New"/>
          <w:sz w:val="15"/>
          <w:szCs w:val="15"/>
          <w:color w:val="auto"/>
        </w:rPr>
      </w:pPr>
    </w:p>
    <w:p>
      <w:pPr>
        <w:ind w:left="8" w:right="3159" w:firstLine="797"/>
        <w:spacing w:after="0" w:line="272" w:lineRule="auto"/>
        <w:tabs>
          <w:tab w:leader="none" w:pos="108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an amendment to our 1998 Stock Option and Incentive Plan, as amended, to increase by 6 million shares the number of ordinary shares available for issuance and to eliminate the Company's ability to conduct option repricing programs in which options are surrendered to the Company in exchange for new options and/or restricted stock.</w:t>
      </w:r>
    </w:p>
    <w:p>
      <w:pPr>
        <w:spacing w:after="0" w:line="69" w:lineRule="exact"/>
        <w:rPr>
          <w:rFonts w:ascii="Courier New" w:cs="Courier New" w:eastAsia="Courier New" w:hAnsi="Courier New"/>
          <w:sz w:val="15"/>
          <w:szCs w:val="15"/>
          <w:color w:val="auto"/>
        </w:rPr>
      </w:pPr>
    </w:p>
    <w:p>
      <w:pPr>
        <w:ind w:left="8" w:right="3159" w:firstLine="797"/>
        <w:spacing w:after="0" w:line="295" w:lineRule="auto"/>
        <w:tabs>
          <w:tab w:leader="none" w:pos="108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ratification and approval of the appointment of Ernst &amp; Young LLP as our independent auditors for the fiscal year ending September 30, 2004, and until the next annual general meeting, and to authorize the Audit Committee of the Board of Directors to fix the remuneration of such independent auditors in accordance with the nature and extent of their services.</w:t>
      </w:r>
    </w:p>
    <w:p>
      <w:pPr>
        <w:spacing w:after="0" w:line="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2. REPORTS ON FORM 6-K</w:t>
      </w:r>
    </w:p>
    <w:p>
      <w:pPr>
        <w:spacing w:after="0" w:line="174" w:lineRule="exact"/>
        <w:rPr>
          <w:sz w:val="20"/>
          <w:szCs w:val="20"/>
          <w:color w:val="auto"/>
        </w:rPr>
      </w:pPr>
    </w:p>
    <w:p>
      <w:pPr>
        <w:ind w:left="808" w:hanging="808"/>
        <w:spacing w:after="0"/>
        <w:tabs>
          <w:tab w:leader="none" w:pos="80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4" w:lineRule="exact"/>
        <w:rPr>
          <w:sz w:val="20"/>
          <w:szCs w:val="20"/>
          <w:color w:val="auto"/>
        </w:rPr>
      </w:pPr>
    </w:p>
    <w:p>
      <w:pPr>
        <w:ind w:left="8" w:right="3339" w:firstLine="805"/>
        <w:spacing w:after="0" w:line="359" w:lineRule="auto"/>
        <w:rPr>
          <w:sz w:val="20"/>
          <w:szCs w:val="20"/>
          <w:color w:val="auto"/>
        </w:rPr>
      </w:pPr>
      <w:r>
        <w:rPr>
          <w:rFonts w:ascii="Courier New" w:cs="Courier New" w:eastAsia="Courier New" w:hAnsi="Courier New"/>
          <w:sz w:val="15"/>
          <w:szCs w:val="15"/>
          <w:color w:val="auto"/>
        </w:rPr>
        <w:t>The Company filed the following reports on Form 6-K during the three months ended December 31, 2003:</w:t>
      </w:r>
    </w:p>
    <w:p>
      <w:pPr>
        <w:spacing w:after="0" w:line="8" w:lineRule="exact"/>
        <w:rPr>
          <w:sz w:val="20"/>
          <w:szCs w:val="20"/>
          <w:color w:val="auto"/>
        </w:rPr>
      </w:pPr>
    </w:p>
    <w:p>
      <w:pPr>
        <w:ind w:left="1168" w:hanging="363"/>
        <w:spacing w:after="0"/>
        <w:tabs>
          <w:tab w:leader="none" w:pos="11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24, 2003.</w:t>
      </w:r>
    </w:p>
    <w:p>
      <w:pPr>
        <w:spacing w:after="0" w:line="174" w:lineRule="exact"/>
        <w:rPr>
          <w:rFonts w:ascii="Courier New" w:cs="Courier New" w:eastAsia="Courier New" w:hAnsi="Courier New"/>
          <w:sz w:val="15"/>
          <w:szCs w:val="15"/>
          <w:color w:val="auto"/>
        </w:rPr>
      </w:pPr>
    </w:p>
    <w:p>
      <w:pPr>
        <w:ind w:left="3488" w:right="6119" w:hanging="2683"/>
        <w:spacing w:after="0" w:line="662" w:lineRule="auto"/>
        <w:tabs>
          <w:tab w:leader="none" w:pos="116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6-K dated December 29, 2003. 22</w:t>
      </w:r>
    </w:p>
    <w:p>
      <w:pPr>
        <w:sectPr>
          <w:pgSz w:w="11900" w:h="16838" w:orient="portrait"/>
          <w:cols w:equalWidth="0" w:num="1">
            <w:col w:w="10227"/>
          </w:cols>
          <w:pgMar w:left="232" w:top="607" w:right="1440" w:bottom="1440" w:gutter="0" w:footer="0" w:header="0"/>
        </w:sectPr>
      </w:pPr>
    </w:p>
    <w:bookmarkStart w:id="23" w:name="page24"/>
    <w:bookmarkEnd w:id="23"/>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779"/>
        <w:spacing w:after="0" w:line="30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4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 Thomas G. O'Brien</w:t>
      </w:r>
    </w:p>
    <w:p>
      <w:pPr>
        <w:spacing w:after="0" w:line="3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Treasurer and Secretary</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Authorized U.S. Representative</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17, 2004</w:t>
      </w:r>
    </w:p>
    <w:p>
      <w:pPr>
        <w:sectPr>
          <w:pgSz w:w="11900" w:h="16838" w:orient="portrait"/>
          <w:cols w:equalWidth="0" w:num="1">
            <w:col w:w="10219"/>
          </w:cols>
          <w:pgMar w:left="240" w:top="607" w:right="1440" w:bottom="1440" w:gutter="0" w:footer="0" w:header="0"/>
        </w:sectPr>
      </w:pPr>
    </w:p>
    <w:bookmarkStart w:id="24" w:name="page25"/>
    <w:bookmarkEnd w:id="24"/>
    <w:p>
      <w:pPr>
        <w:ind w:left="30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07"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DESCRIPTION</w:t>
      </w:r>
    </w:p>
    <w:p>
      <w:pPr>
        <w:spacing w:after="0" w:line="3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2">
            <w:col w:w="1160" w:space="620"/>
            <w:col w:w="8439"/>
          </w:cols>
          <w:pgMar w:left="240" w:top="607" w:right="1440" w:bottom="1440" w:gutter="0" w:footer="0" w:header="0"/>
          <w:type w:val="continuous"/>
        </w:sectPr>
      </w:pPr>
    </w:p>
    <w:p>
      <w:pPr>
        <w:ind w:left="260"/>
        <w:spacing w:after="0"/>
        <w:tabs>
          <w:tab w:leader="none" w:pos="15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Amdocs Limited Press Release dated January 21, 2004.</w:t>
      </w:r>
    </w:p>
    <w:p>
      <w:pPr>
        <w:sectPr>
          <w:pgSz w:w="11900" w:h="16838" w:orient="portrait"/>
          <w:cols w:equalWidth="0" w:num="1">
            <w:col w:w="10219"/>
          </w:cols>
          <w:pgMar w:left="240" w:top="607" w:right="1440" w:bottom="144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EXHIBIT 99.1</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AMDOCS LIMITED REPORTS REVENUE GROWTH OF 26.2% IN FIRST QUARTER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COMPANY EXCEEDS GUIDANCE ON FIRST QUARTER REVENUE AND EARNINGS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highlights:</w:t>
      </w:r>
    </w:p>
    <w:p>
      <w:pPr>
        <w:spacing w:after="0" w:line="174" w:lineRule="exact"/>
        <w:rPr>
          <w:sz w:val="20"/>
          <w:szCs w:val="20"/>
          <w:color w:val="auto"/>
        </w:rPr>
      </w:pPr>
    </w:p>
    <w:p>
      <w:pPr>
        <w:ind w:left="1240" w:hanging="443"/>
        <w:spacing w:after="0"/>
        <w:tabs>
          <w:tab w:leader="none" w:pos="12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of $428.3 million, exceeding guidance of $416-$422 million</w:t>
      </w:r>
    </w:p>
    <w:p>
      <w:pPr>
        <w:spacing w:after="0" w:line="185" w:lineRule="exact"/>
        <w:rPr>
          <w:rFonts w:ascii="Courier New" w:cs="Courier New" w:eastAsia="Courier New" w:hAnsi="Courier New"/>
          <w:sz w:val="14"/>
          <w:szCs w:val="14"/>
          <w:color w:val="auto"/>
        </w:rPr>
      </w:pPr>
    </w:p>
    <w:p>
      <w:pPr>
        <w:ind w:left="1240" w:hanging="443"/>
        <w:spacing w:after="0"/>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Sequential revenue growth of 4.0%</w:t>
      </w:r>
    </w:p>
    <w:p>
      <w:pPr>
        <w:spacing w:after="0" w:line="174"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Proforma EPS increases 30.0% to $0.26, exceeding guidance of $0.24</w:t>
      </w:r>
    </w:p>
    <w:p>
      <w:pPr>
        <w:spacing w:after="0" w:line="185" w:lineRule="exact"/>
        <w:rPr>
          <w:rFonts w:ascii="Courier New" w:cs="Courier New" w:eastAsia="Courier New" w:hAnsi="Courier New"/>
          <w:sz w:val="14"/>
          <w:szCs w:val="14"/>
          <w:color w:val="auto"/>
        </w:rPr>
      </w:pPr>
    </w:p>
    <w:p>
      <w:pPr>
        <w:ind w:left="1240" w:hanging="443"/>
        <w:spacing w:after="0"/>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GAAP EPS of $0.24</w:t>
      </w:r>
    </w:p>
    <w:p>
      <w:pPr>
        <w:spacing w:after="0" w:line="174" w:lineRule="exact"/>
        <w:rPr>
          <w:rFonts w:ascii="Courier New" w:cs="Courier New" w:eastAsia="Courier New" w:hAnsi="Courier New"/>
          <w:sz w:val="15"/>
          <w:szCs w:val="15"/>
          <w:color w:val="auto"/>
        </w:rPr>
      </w:pPr>
    </w:p>
    <w:p>
      <w:pPr>
        <w:ind w:left="1240" w:right="3079" w:hanging="443"/>
        <w:spacing w:after="0" w:line="301" w:lineRule="auto"/>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quarter fiscal 2004 guidance: Expected revenue of $432-$438 million and proforma EPS of $0.27. Diluted GAAP EPS results expected to be $0.01-$0.02 less than proforma EPS.</w:t>
      </w:r>
    </w:p>
    <w:p>
      <w:pPr>
        <w:spacing w:after="0" w:line="49"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St. Louis, MO - January 21, 2004 - Amdocs Limited (NYSE: DOX) today reported that for the first quarter ended December 31, 2003, revenue was $428.3 million, representing sequential growth of 4.0% and an increase of 26.2% from last year's first quarter. Excluding acquisition-related costs and other items and related tax effects, net income was $57.0 million, or $0.26 per diluted share, and increased by $13.5 million, or 31.0%, when compared to net income of $43.5 million, or $0.20 per diluted share, in the first quarter of fiscal 2003. The Company's GAAP net income, which includes acquisition-related charges for amortization of purchased intangible assets, and, for the first quarter of fiscal 2003 only, a restructuring charge, and related tax effects for all the aforementioned items, was $53.1 million, or $0.24 per diluted share, compared to net income of $32.2 million, or $0.15 per diluted share, in the first quarter of fiscal 2003.</w:t>
      </w:r>
    </w:p>
    <w:p>
      <w:pPr>
        <w:spacing w:after="0" w:line="89"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Dov Baharav, Chief Executive Officer of Amdocs Management Limited, said, "This was a very good quarter for Amdocs. We are seeing a continued improvement in the market, with carriers showing a greater readiness to commit to new projects. We achieved strong sales in all sectors, including billing, CRM and order management, in both the wireline and mobile markets. Our market leadership, based on our unique ability to deliver integrated customer management, positions us well to capitalize on the upturn in the market. The communications industry continues to face challenges. However, we are confident that we can leverage the current improvement in the market to achieve modest sequential growth in the coming quarters."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HIGHLIGHTS</w:t>
      </w:r>
    </w:p>
    <w:p>
      <w:pPr>
        <w:spacing w:after="0" w:line="174" w:lineRule="exact"/>
        <w:rPr>
          <w:sz w:val="20"/>
          <w:szCs w:val="20"/>
          <w:color w:val="auto"/>
        </w:rPr>
      </w:pPr>
    </w:p>
    <w:p>
      <w:pPr>
        <w:ind w:right="3699"/>
        <w:spacing w:after="0" w:line="390" w:lineRule="auto"/>
        <w:rPr>
          <w:sz w:val="20"/>
          <w:szCs w:val="20"/>
          <w:color w:val="auto"/>
        </w:rPr>
      </w:pPr>
      <w:r>
        <w:rPr>
          <w:rFonts w:ascii="Courier New" w:cs="Courier New" w:eastAsia="Courier New" w:hAnsi="Courier New"/>
          <w:sz w:val="14"/>
          <w:szCs w:val="14"/>
          <w:color w:val="auto"/>
        </w:rPr>
        <w:t>During the first quarter, our new business included nine new key wins, highlighted below. This is a significant increase over previous quarters.</w:t>
      </w:r>
    </w:p>
    <w:p>
      <w:pPr>
        <w:spacing w:after="0" w:line="1" w:lineRule="exact"/>
        <w:rPr>
          <w:sz w:val="20"/>
          <w:szCs w:val="20"/>
          <w:color w:val="auto"/>
        </w:rPr>
      </w:pPr>
    </w:p>
    <w:p>
      <w:pPr>
        <w:ind w:left="1240" w:right="3079" w:hanging="443"/>
        <w:spacing w:after="0" w:line="307" w:lineRule="auto"/>
        <w:tabs>
          <w:tab w:leader="none" w:pos="12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Telkom South Africa will standardize on Amdocs as its core platform for integrated customer management. This project involves the extension of our relationship, adding order management and upgrading existing Amdocs billing and CRM implementations.</w:t>
      </w:r>
    </w:p>
    <w:p>
      <w:pPr>
        <w:spacing w:after="0" w:line="48" w:lineRule="exact"/>
        <w:rPr>
          <w:rFonts w:ascii="Courier New" w:cs="Courier New" w:eastAsia="Courier New" w:hAnsi="Courier New"/>
          <w:sz w:val="14"/>
          <w:szCs w:val="14"/>
          <w:color w:val="auto"/>
        </w:rPr>
      </w:pPr>
    </w:p>
    <w:p>
      <w:pPr>
        <w:ind w:left="1240" w:right="3079" w:hanging="443"/>
        <w:spacing w:after="0" w:line="331" w:lineRule="auto"/>
        <w:tabs>
          <w:tab w:leader="none" w:pos="12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was chosen by a major wireline customer in North America to implement Amdocs order management. The system will handle complex ordering covering all needs for new generation data services.</w:t>
      </w:r>
    </w:p>
    <w:p>
      <w:pPr>
        <w:spacing w:after="0" w:line="31" w:lineRule="exact"/>
        <w:rPr>
          <w:rFonts w:ascii="Courier New" w:cs="Courier New" w:eastAsia="Courier New" w:hAnsi="Courier New"/>
          <w:sz w:val="14"/>
          <w:szCs w:val="14"/>
          <w:color w:val="auto"/>
        </w:rPr>
      </w:pPr>
    </w:p>
    <w:p>
      <w:pPr>
        <w:ind w:left="1240" w:right="3159" w:hanging="443"/>
        <w:spacing w:after="0" w:line="301" w:lineRule="auto"/>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European mobile communications service provider decided to implement Amdocs partner relationship management. The system will be used for billing and settlement with content partners.</w:t>
      </w:r>
    </w:p>
    <w:p>
      <w:pPr>
        <w:spacing w:after="0" w:line="48" w:lineRule="exact"/>
        <w:rPr>
          <w:rFonts w:ascii="Courier New" w:cs="Courier New" w:eastAsia="Courier New" w:hAnsi="Courier New"/>
          <w:sz w:val="15"/>
          <w:szCs w:val="15"/>
          <w:color w:val="auto"/>
        </w:rPr>
      </w:pPr>
    </w:p>
    <w:p>
      <w:pPr>
        <w:ind w:left="1240" w:right="3159" w:hanging="443"/>
        <w:spacing w:after="0" w:line="301" w:lineRule="auto"/>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existing customer in Europe, a major mobile provider, selected Amdocs to implement a system to support the special and complex needs of the corporate customers sector.</w:t>
      </w:r>
    </w:p>
    <w:p>
      <w:pPr>
        <w:spacing w:after="0" w:line="48" w:lineRule="exact"/>
        <w:rPr>
          <w:rFonts w:ascii="Courier New" w:cs="Courier New" w:eastAsia="Courier New" w:hAnsi="Courier New"/>
          <w:sz w:val="15"/>
          <w:szCs w:val="15"/>
          <w:color w:val="auto"/>
        </w:rPr>
      </w:pPr>
    </w:p>
    <w:p>
      <w:pPr>
        <w:ind w:left="1240" w:right="3159" w:hanging="443"/>
        <w:spacing w:after="0" w:line="281" w:lineRule="auto"/>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has been chosen by a major mobile carrier in North America to implement its ClarifyCRM suite. This operator, which currently utilizes our billing system, will be leveraging Amdocs unique value proposition for integrated customer management.</w:t>
      </w:r>
    </w:p>
    <w:p>
      <w:pPr>
        <w:spacing w:after="0" w:line="64" w:lineRule="exact"/>
        <w:rPr>
          <w:rFonts w:ascii="Courier New" w:cs="Courier New" w:eastAsia="Courier New" w:hAnsi="Courier New"/>
          <w:sz w:val="15"/>
          <w:szCs w:val="15"/>
          <w:color w:val="auto"/>
        </w:rPr>
      </w:pPr>
    </w:p>
    <w:p>
      <w:pPr>
        <w:ind w:left="1240" w:right="3159" w:hanging="443"/>
        <w:spacing w:after="0" w:line="281" w:lineRule="auto"/>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leading mobile communications carrier in North America, currently using our Amdocs billing platform, will be implementing the Amdocs Enabler product to support billing of new generation data and voice services.</w:t>
      </w:r>
    </w:p>
    <w:p>
      <w:pPr>
        <w:sectPr>
          <w:pgSz w:w="11900" w:h="16838" w:orient="portrait"/>
          <w:cols w:equalWidth="0" w:num="1">
            <w:col w:w="10219"/>
          </w:cols>
          <w:pgMar w:left="240" w:top="457" w:right="1440" w:bottom="1440" w:gutter="0" w:footer="0" w:header="0"/>
        </w:sectPr>
      </w:pPr>
    </w:p>
    <w:bookmarkStart w:id="26" w:name="page27"/>
    <w:bookmarkEnd w:id="26"/>
    <w:p>
      <w:pPr>
        <w:ind w:left="1240" w:right="3079" w:hanging="443"/>
        <w:spacing w:after="0" w:line="266" w:lineRule="auto"/>
        <w:tabs>
          <w:tab w:leader="none" w:pos="12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sales of ClarifyCRM products, we obtained initial projects at three additional communications service providers. Two of these carriers are in Europe, and the third carrier is in the Asia Pacific region. In all cases, these sales also establish or expand our footprint within the operations of key global and regional players.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AND FINANCIAL HIGHLIGHTS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first quarter:</w:t>
      </w:r>
    </w:p>
    <w:p>
      <w:pPr>
        <w:spacing w:after="0" w:line="174" w:lineRule="exact"/>
        <w:rPr>
          <w:sz w:val="20"/>
          <w:szCs w:val="20"/>
          <w:color w:val="auto"/>
        </w:rPr>
      </w:pPr>
    </w:p>
    <w:p>
      <w:pPr>
        <w:ind w:left="1240" w:right="3159" w:hanging="443"/>
        <w:spacing w:after="0" w:line="274" w:lineRule="auto"/>
        <w:tabs>
          <w:tab w:leader="none" w:pos="12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announced its intention to acquire XACCT Technologies, a leading provider of network mediation software to communications service providers. This acquisition further expands the scope of Amdocs billing capabilities in the network mediation space providing the unique capability for supporting end-to-end event processing for voice, data, content and commerce prepaid and postpaid transactions. Amdocs will acquire XACCT's outstanding shares for approximately $29.5 million, subject to certain adjustments, of which approximately $13.5 million will be paid in cash and the balance in Amdocs Ordinary Shares. This acquisition is due to be completed in the second quarter of fiscal 2004.</w:t>
      </w:r>
    </w:p>
    <w:p>
      <w:pPr>
        <w:spacing w:after="0" w:line="72" w:lineRule="exact"/>
        <w:rPr>
          <w:rFonts w:ascii="Courier New" w:cs="Courier New" w:eastAsia="Courier New" w:hAnsi="Courier New"/>
          <w:sz w:val="14"/>
          <w:szCs w:val="14"/>
          <w:color w:val="auto"/>
        </w:rPr>
      </w:pPr>
    </w:p>
    <w:p>
      <w:pPr>
        <w:ind w:left="1240" w:right="3159" w:hanging="443"/>
        <w:spacing w:after="0" w:line="266" w:lineRule="auto"/>
        <w:tabs>
          <w:tab w:leader="none" w:pos="12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executed a share buyback program involving the re-purchase of five million shares, for a total value of approximately $124 million. One of the main objectives of the buyback program was to offset the dilutive effect of any future share issuances, including issuances pursuant to employee equity plans or in connection with acquisitions.</w:t>
      </w:r>
    </w:p>
    <w:p>
      <w:pPr>
        <w:spacing w:after="0" w:line="74" w:lineRule="exact"/>
        <w:rPr>
          <w:rFonts w:ascii="Courier New" w:cs="Courier New" w:eastAsia="Courier New" w:hAnsi="Courier New"/>
          <w:sz w:val="15"/>
          <w:szCs w:val="15"/>
          <w:color w:val="auto"/>
        </w:rPr>
      </w:pPr>
    </w:p>
    <w:p>
      <w:pPr>
        <w:ind w:left="1240" w:right="3079" w:hanging="443"/>
        <w:spacing w:after="0" w:line="272" w:lineRule="auto"/>
        <w:tabs>
          <w:tab w:leader="none" w:pos="12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Amdocs managed services agreement with Dex Media has been extended to include Dex Media West. Under the 5-year agreement, Amdocs will provide IT services to support Dex Yellow Pages, White Pages and DexOnline, including IT application development and maintenance, end-user support and implementation services.</w:t>
      </w:r>
    </w:p>
    <w:p>
      <w:pPr>
        <w:spacing w:after="0" w:line="69" w:lineRule="exact"/>
        <w:rPr>
          <w:rFonts w:ascii="Courier New" w:cs="Courier New" w:eastAsia="Courier New" w:hAnsi="Courier New"/>
          <w:sz w:val="15"/>
          <w:szCs w:val="15"/>
          <w:color w:val="auto"/>
        </w:rPr>
      </w:pPr>
    </w:p>
    <w:p>
      <w:pPr>
        <w:ind w:left="1240" w:right="3159" w:hanging="443"/>
        <w:spacing w:after="0" w:line="281" w:lineRule="auto"/>
        <w:tabs>
          <w:tab w:leader="none" w:pos="12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completed the implementation of the Amdocs Enabler product at a mobile operator in Europe, and also at a mobile operator in Latin America. At both customers, the system is now operating in live production.</w:t>
      </w:r>
    </w:p>
    <w:p>
      <w:pPr>
        <w:spacing w:after="0" w:line="64" w:lineRule="exact"/>
        <w:rPr>
          <w:rFonts w:ascii="Courier New" w:cs="Courier New" w:eastAsia="Courier New" w:hAnsi="Courier New"/>
          <w:sz w:val="15"/>
          <w:szCs w:val="15"/>
          <w:color w:val="auto"/>
        </w:rPr>
      </w:pPr>
    </w:p>
    <w:p>
      <w:pPr>
        <w:ind w:left="1240" w:right="3159" w:hanging="443"/>
        <w:spacing w:after="0" w:line="266" w:lineRule="auto"/>
        <w:tabs>
          <w:tab w:leader="none" w:pos="12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completed the successful implementation of Amdocs ClarifyCRM 12 at three customers during the quarter. Version 12 includes advanced user interface technology incorporating support for browser-based access, and new functionality designed to transform the high-volume call center into a more efficient and effective, multi-channel customer contact center.</w:t>
      </w:r>
    </w:p>
    <w:p>
      <w:pPr>
        <w:spacing w:after="0" w:line="74" w:lineRule="exact"/>
        <w:rPr>
          <w:rFonts w:ascii="Courier New" w:cs="Courier New" w:eastAsia="Courier New" w:hAnsi="Courier New"/>
          <w:sz w:val="15"/>
          <w:szCs w:val="15"/>
          <w:color w:val="auto"/>
        </w:rPr>
      </w:pPr>
    </w:p>
    <w:p>
      <w:pPr>
        <w:ind w:left="1240" w:right="3439" w:hanging="443"/>
        <w:spacing w:after="0" w:line="301" w:lineRule="auto"/>
        <w:tabs>
          <w:tab w:leader="none" w:pos="12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defined as cash flow from operations less net capital expenditures and payments on capital leases, was $62.5 million in the quarter.</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OUTLOOK</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Amdocs expects that revenue for the second quarter ending March 31, 2004, will be between $432-$438 million. Proforma earnings per share for the quarter are expected to be $0.27, excluding acquisition-related costs and related tax effects. Diluted GAAP earnings per share, including acquisition-related costs and related tax effects, for the quarter are expected to be between $0.01-$0.02 less than proforma EPS. The potential impact of the pending acquisition of XACCT Technologies has not been incorporated into these expectations.</w:t>
      </w:r>
    </w:p>
    <w:p>
      <w:pPr>
        <w:spacing w:after="0" w:line="78"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Amdocs will host a conference call on January 21, 2004 at 5 p.m. Eastern Standard Time to discuss the Company's first quarter results. The call will be carried live on the Internet via www.vcall.com and the Amdocs website, www.amdocs.com.</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AMDOCS</w:t>
      </w:r>
    </w:p>
    <w:p>
      <w:pPr>
        <w:spacing w:after="0" w:line="174" w:lineRule="exact"/>
        <w:rPr>
          <w:sz w:val="20"/>
          <w:szCs w:val="20"/>
          <w:color w:val="auto"/>
        </w:rPr>
      </w:pPr>
    </w:p>
    <w:p>
      <w:pPr>
        <w:ind w:right="3159"/>
        <w:spacing w:after="0" w:line="283" w:lineRule="auto"/>
        <w:rPr>
          <w:sz w:val="20"/>
          <w:szCs w:val="20"/>
          <w:color w:val="auto"/>
        </w:rPr>
      </w:pPr>
      <w:r>
        <w:rPr>
          <w:rFonts w:ascii="Courier New" w:cs="Courier New" w:eastAsia="Courier New" w:hAnsi="Courier New"/>
          <w:sz w:val="14"/>
          <w:szCs w:val="14"/>
          <w:color w:val="auto"/>
        </w:rPr>
        <w:t>Amdocs combines innovative software products and services with deep business knowledge to deliver true integrated customer management to the world's leading telecommunications services companies. Our best-in-class billing and CRM products seamlessly link all customer-facing business processes - marketing, sales, ordering, delivery, fulfillment, billing, settlement, service, support, and analytics - resulting in stronger, more profitable customer relationships. Amdocs enables its customers to implement their business strategy with</w:t>
      </w:r>
    </w:p>
    <w:p>
      <w:pPr>
        <w:sectPr>
          <w:pgSz w:w="11900" w:h="16838" w:orient="portrait"/>
          <w:cols w:equalWidth="0" w:num="1">
            <w:col w:w="10219"/>
          </w:cols>
          <w:pgMar w:left="240" w:top="607" w:right="1440" w:bottom="1440" w:gutter="0" w:footer="0" w:header="0"/>
        </w:sectPr>
      </w:pPr>
    </w:p>
    <w:bookmarkStart w:id="27" w:name="page28"/>
    <w:bookmarkEnd w:id="27"/>
    <w:p>
      <w:pPr>
        <w:ind w:right="3159"/>
        <w:spacing w:after="0" w:line="390" w:lineRule="auto"/>
        <w:rPr>
          <w:sz w:val="20"/>
          <w:szCs w:val="20"/>
          <w:color w:val="auto"/>
        </w:rPr>
      </w:pPr>
      <w:r>
        <w:rPr>
          <w:rFonts w:ascii="Courier New" w:cs="Courier New" w:eastAsia="Courier New" w:hAnsi="Courier New"/>
          <w:sz w:val="14"/>
          <w:szCs w:val="14"/>
          <w:color w:val="auto"/>
        </w:rPr>
        <w:t>rapid return on investment, lower total cost of ownership and improved operational efficiencies. For more information, visit Amdocs at www.amdocs.com.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STATEMENTS</w:t>
      </w:r>
    </w:p>
    <w:p>
      <w:pPr>
        <w:spacing w:after="0" w:line="174" w:lineRule="exact"/>
        <w:rPr>
          <w:sz w:val="20"/>
          <w:szCs w:val="20"/>
          <w:color w:val="auto"/>
        </w:rPr>
      </w:pPr>
    </w:p>
    <w:p>
      <w:pPr>
        <w:ind w:right="3159"/>
        <w:spacing w:after="0" w:line="257" w:lineRule="auto"/>
        <w:rPr>
          <w:sz w:val="20"/>
          <w:szCs w:val="20"/>
          <w:color w:val="auto"/>
        </w:rPr>
      </w:pPr>
      <w:r>
        <w:rPr>
          <w:rFonts w:ascii="Courier New" w:cs="Courier New" w:eastAsia="Courier New" w:hAnsi="Courier New"/>
          <w:sz w:val="15"/>
          <w:szCs w:val="15"/>
          <w:color w:val="auto"/>
        </w:rPr>
        <w:t>Investors are cautioned that this press release contains proforma information that is not prepared in accordance with GAAP. Investors should not construe the proforma financial measures as being superior to GAAP. The Company's management uses proforma financial information in its internal analysis because it enables the management to consistently analyze the critical components and results of operations and to have a meaningful comparison to prior periods. The Company's management believes that such measures provide useful information to investors for meaningful comparison to prior periods and analysis of the critical components and results of operations.</w:t>
      </w:r>
    </w:p>
    <w:p>
      <w:pPr>
        <w:spacing w:after="0" w:line="83"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on December 24, 2003.</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Vice President of Investor Relations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607" w:right="1440" w:bottom="1440" w:gutter="0" w:footer="0" w:header="0"/>
        </w:sectPr>
      </w:pPr>
    </w:p>
    <w:bookmarkStart w:id="28" w:name="page29"/>
    <w:bookmarkEnd w:id="28"/>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PRO FORMA CONSOLIDATED STATEMENTS OF INCOME</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EXCLUDING RESTRUCTURING CHARGES,</w:t>
      </w:r>
    </w:p>
    <w:p>
      <w:pPr>
        <w:spacing w:after="0" w:line="30"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AMORTIZATION OF PURCHASED INTANGIBLE ASSETS AND RELATED TAX EFFECTS</w:t>
      </w:r>
    </w:p>
    <w:p>
      <w:pPr>
        <w:spacing w:after="0" w:line="146"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800" w:type="dxa"/>
            <w:vAlign w:val="bottom"/>
          </w:tcPr>
          <w:p>
            <w:pPr>
              <w:spacing w:after="0"/>
              <w:rPr>
                <w:sz w:val="14"/>
                <w:szCs w:val="14"/>
                <w:color w:val="auto"/>
              </w:rPr>
            </w:pPr>
          </w:p>
        </w:tc>
        <w:tc>
          <w:tcPr>
            <w:tcW w:w="3440" w:type="dxa"/>
            <w:vAlign w:val="bottom"/>
            <w:gridSpan w:val="4"/>
          </w:tcPr>
          <w:p>
            <w:pPr>
              <w:jc w:val="right"/>
              <w:ind w:right="725"/>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3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1120" w:type="dxa"/>
            <w:vAlign w:val="bottom"/>
          </w:tcPr>
          <w:p>
            <w:pPr>
              <w:ind w:left="760"/>
              <w:spacing w:after="0"/>
              <w:rPr>
                <w:sz w:val="20"/>
                <w:szCs w:val="20"/>
                <w:color w:val="auto"/>
              </w:rPr>
            </w:pPr>
            <w:r>
              <w:rPr>
                <w:rFonts w:ascii="Courier New" w:cs="Courier New" w:eastAsia="Courier New" w:hAnsi="Courier New"/>
                <w:sz w:val="15"/>
                <w:szCs w:val="15"/>
                <w:color w:val="auto"/>
                <w:w w:val="94"/>
              </w:rPr>
              <w:t>2003</w:t>
            </w:r>
          </w:p>
        </w:tc>
        <w:tc>
          <w:tcPr>
            <w:tcW w:w="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2002 (1)</w:t>
            </w: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2"/>
              </w:rPr>
              <w:t>16,621</w:t>
            </w:r>
          </w:p>
        </w:tc>
        <w:tc>
          <w:tcPr>
            <w:tcW w:w="5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20,526</w:t>
            </w:r>
          </w:p>
        </w:tc>
        <w:tc>
          <w:tcPr>
            <w:tcW w:w="0" w:type="dxa"/>
            <w:vAlign w:val="bottom"/>
          </w:tcPr>
          <w:p>
            <w:pPr>
              <w:spacing w:after="0"/>
              <w:rPr>
                <w:sz w:val="1"/>
                <w:szCs w:val="1"/>
                <w:color w:val="auto"/>
              </w:rPr>
            </w:pPr>
          </w:p>
        </w:tc>
      </w:tr>
      <w:tr>
        <w:trPr>
          <w:trHeight w:val="172"/>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1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411,674</w:t>
            </w: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318,860</w:t>
            </w: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1960" w:type="dxa"/>
            <w:vAlign w:val="bottom"/>
            <w:gridSpan w:val="2"/>
            <w:vMerge w:val="restart"/>
          </w:tcPr>
          <w:p>
            <w:pPr>
              <w:jc w:val="right"/>
              <w:ind w:right="245"/>
              <w:spacing w:after="0"/>
              <w:rPr>
                <w:sz w:val="20"/>
                <w:szCs w:val="20"/>
                <w:color w:val="auto"/>
              </w:rPr>
            </w:pPr>
            <w:r>
              <w:rPr>
                <w:rFonts w:ascii="Courier New" w:cs="Courier New" w:eastAsia="Courier New" w:hAnsi="Courier New"/>
                <w:sz w:val="15"/>
                <w:szCs w:val="15"/>
                <w:color w:val="auto"/>
                <w:w w:val="81"/>
              </w:rPr>
              <w:t>-------------</w:t>
            </w:r>
            <w:r>
              <w:rPr>
                <w:rFonts w:ascii="Courier New" w:cs="Courier New" w:eastAsia="Courier New" w:hAnsi="Courier New"/>
                <w:sz w:val="29"/>
                <w:szCs w:val="29"/>
                <w:color w:val="auto"/>
                <w:w w:val="81"/>
                <w:vertAlign w:val="subscript"/>
              </w:rPr>
              <w:t>428,295</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6"/>
        </w:trPr>
        <w:tc>
          <w:tcPr>
            <w:tcW w:w="38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960" w:type="dxa"/>
            <w:vAlign w:val="bottom"/>
            <w:gridSpan w:val="2"/>
            <w:vMerge w:val="continue"/>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339,386</w:t>
            </w:r>
          </w:p>
        </w:tc>
        <w:tc>
          <w:tcPr>
            <w:tcW w:w="0" w:type="dxa"/>
            <w:vAlign w:val="bottom"/>
          </w:tcPr>
          <w:p>
            <w:pPr>
              <w:spacing w:after="0"/>
              <w:rPr>
                <w:sz w:val="1"/>
                <w:szCs w:val="1"/>
                <w:color w:val="auto"/>
              </w:rPr>
            </w:pPr>
          </w:p>
        </w:tc>
      </w:tr>
      <w:tr>
        <w:trPr>
          <w:trHeight w:val="78"/>
        </w:trPr>
        <w:tc>
          <w:tcPr>
            <w:tcW w:w="38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1,132</w:t>
            </w:r>
          </w:p>
        </w:tc>
        <w:tc>
          <w:tcPr>
            <w:tcW w:w="500" w:type="dxa"/>
            <w:vAlign w:val="bottom"/>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1,136</w:t>
            </w:r>
          </w:p>
        </w:tc>
        <w:tc>
          <w:tcPr>
            <w:tcW w:w="0" w:type="dxa"/>
            <w:vAlign w:val="bottom"/>
          </w:tcPr>
          <w:p>
            <w:pPr>
              <w:spacing w:after="0"/>
              <w:rPr>
                <w:sz w:val="1"/>
                <w:szCs w:val="1"/>
                <w:color w:val="auto"/>
              </w:rPr>
            </w:pPr>
          </w:p>
        </w:tc>
      </w:tr>
      <w:tr>
        <w:trPr>
          <w:trHeight w:val="172"/>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272,103</w:t>
            </w: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203,986</w:t>
            </w:r>
          </w:p>
        </w:tc>
        <w:tc>
          <w:tcPr>
            <w:tcW w:w="0" w:type="dxa"/>
            <w:vAlign w:val="bottom"/>
          </w:tcPr>
          <w:p>
            <w:pPr>
              <w:spacing w:after="0"/>
              <w:rPr>
                <w:sz w:val="1"/>
                <w:szCs w:val="1"/>
                <w:color w:val="auto"/>
              </w:rPr>
            </w:pPr>
          </w:p>
        </w:tc>
      </w:tr>
      <w:tr>
        <w:trPr>
          <w:trHeight w:val="172"/>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12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2"/>
              </w:rPr>
              <w:t>30,498</w:t>
            </w: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29,619</w:t>
            </w:r>
          </w:p>
        </w:tc>
        <w:tc>
          <w:tcPr>
            <w:tcW w:w="0" w:type="dxa"/>
            <w:vAlign w:val="bottom"/>
          </w:tcPr>
          <w:p>
            <w:pPr>
              <w:spacing w:after="0"/>
              <w:rPr>
                <w:sz w:val="1"/>
                <w:szCs w:val="1"/>
                <w:color w:val="auto"/>
              </w:rPr>
            </w:pPr>
          </w:p>
        </w:tc>
      </w:tr>
      <w:tr>
        <w:trPr>
          <w:trHeight w:val="172"/>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112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2"/>
              </w:rPr>
              <w:t>52,497</w:t>
            </w: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51,580</w:t>
            </w: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1960" w:type="dxa"/>
            <w:vAlign w:val="bottom"/>
            <w:gridSpan w:val="2"/>
            <w:vMerge w:val="restart"/>
          </w:tcPr>
          <w:p>
            <w:pPr>
              <w:jc w:val="right"/>
              <w:ind w:right="245"/>
              <w:spacing w:after="0"/>
              <w:rPr>
                <w:sz w:val="20"/>
                <w:szCs w:val="20"/>
                <w:color w:val="auto"/>
              </w:rPr>
            </w:pPr>
            <w:r>
              <w:rPr>
                <w:rFonts w:ascii="Courier New" w:cs="Courier New" w:eastAsia="Courier New" w:hAnsi="Courier New"/>
                <w:sz w:val="15"/>
                <w:szCs w:val="15"/>
                <w:color w:val="auto"/>
                <w:w w:val="81"/>
              </w:rPr>
              <w:t>-------------</w:t>
            </w:r>
            <w:r>
              <w:rPr>
                <w:rFonts w:ascii="Courier New" w:cs="Courier New" w:eastAsia="Courier New" w:hAnsi="Courier New"/>
                <w:sz w:val="29"/>
                <w:szCs w:val="29"/>
                <w:color w:val="auto"/>
                <w:w w:val="81"/>
                <w:vertAlign w:val="subscript"/>
              </w:rPr>
              <w:t>356,230</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286,321</w:t>
            </w:r>
          </w:p>
        </w:tc>
        <w:tc>
          <w:tcPr>
            <w:tcW w:w="0" w:type="dxa"/>
            <w:vAlign w:val="bottom"/>
          </w:tcPr>
          <w:p>
            <w:pPr>
              <w:spacing w:after="0"/>
              <w:rPr>
                <w:sz w:val="1"/>
                <w:szCs w:val="1"/>
                <w:color w:val="auto"/>
              </w:rPr>
            </w:pPr>
          </w:p>
        </w:tc>
      </w:tr>
      <w:tr>
        <w:trPr>
          <w:trHeight w:val="172"/>
        </w:trPr>
        <w:tc>
          <w:tcPr>
            <w:tcW w:w="38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tcPr>
          <w:p>
            <w:pPr>
              <w:ind w:left="480"/>
              <w:spacing w:after="0"/>
              <w:rPr>
                <w:sz w:val="20"/>
                <w:szCs w:val="20"/>
                <w:color w:val="auto"/>
              </w:rPr>
            </w:pPr>
            <w:r>
              <w:rPr>
                <w:rFonts w:ascii="Courier New" w:cs="Courier New" w:eastAsia="Courier New" w:hAnsi="Courier New"/>
                <w:sz w:val="11"/>
                <w:szCs w:val="11"/>
                <w:color w:val="auto"/>
                <w:w w:val="72"/>
              </w:rPr>
              <w:t>-------------</w:t>
            </w:r>
          </w:p>
        </w:tc>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2"/>
              </w:rPr>
              <w:t>72,065</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800" w:type="dxa"/>
            <w:vAlign w:val="bottom"/>
            <w:vMerge w:val="continue"/>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53,065</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120" w:type="dxa"/>
            <w:vAlign w:val="bottom"/>
          </w:tcPr>
          <w:p>
            <w:pPr>
              <w:spacing w:after="0"/>
              <w:rPr>
                <w:sz w:val="22"/>
                <w:szCs w:val="22"/>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1,067</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4,977</w:t>
            </w:r>
          </w:p>
        </w:tc>
        <w:tc>
          <w:tcPr>
            <w:tcW w:w="0" w:type="dxa"/>
            <w:vAlign w:val="bottom"/>
          </w:tcPr>
          <w:p>
            <w:pPr>
              <w:spacing w:after="0"/>
              <w:rPr>
                <w:sz w:val="1"/>
                <w:szCs w:val="1"/>
                <w:color w:val="auto"/>
              </w:rPr>
            </w:pPr>
          </w:p>
        </w:tc>
      </w:tr>
      <w:tr>
        <w:trPr>
          <w:trHeight w:val="172"/>
        </w:trPr>
        <w:tc>
          <w:tcPr>
            <w:tcW w:w="38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20" w:type="dxa"/>
            <w:vAlign w:val="bottom"/>
          </w:tcPr>
          <w:p>
            <w:pPr>
              <w:ind w:left="480"/>
              <w:spacing w:after="0"/>
              <w:rPr>
                <w:sz w:val="20"/>
                <w:szCs w:val="20"/>
                <w:color w:val="auto"/>
              </w:rPr>
            </w:pPr>
            <w:r>
              <w:rPr>
                <w:rFonts w:ascii="Courier New" w:cs="Courier New" w:eastAsia="Courier New" w:hAnsi="Courier New"/>
                <w:sz w:val="11"/>
                <w:szCs w:val="11"/>
                <w:color w:val="auto"/>
                <w:w w:val="72"/>
              </w:rPr>
              <w:t>-------------</w:t>
            </w:r>
          </w:p>
        </w:tc>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2"/>
              </w:rPr>
              <w:t>73,132</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800" w:type="dxa"/>
            <w:vAlign w:val="bottom"/>
            <w:vMerge w:val="continue"/>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58,042</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120" w:type="dxa"/>
            <w:vAlign w:val="bottom"/>
          </w:tcPr>
          <w:p>
            <w:pPr>
              <w:spacing w:after="0"/>
              <w:rPr>
                <w:sz w:val="22"/>
                <w:szCs w:val="22"/>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2"/>
              </w:rPr>
              <w:t>16,089</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14,510</w:t>
            </w:r>
          </w:p>
        </w:tc>
        <w:tc>
          <w:tcPr>
            <w:tcW w:w="0" w:type="dxa"/>
            <w:vAlign w:val="bottom"/>
          </w:tcPr>
          <w:p>
            <w:pPr>
              <w:spacing w:after="0"/>
              <w:rPr>
                <w:sz w:val="1"/>
                <w:szCs w:val="1"/>
                <w:color w:val="auto"/>
              </w:rPr>
            </w:pPr>
          </w:p>
        </w:tc>
      </w:tr>
      <w:tr>
        <w:trPr>
          <w:trHeight w:val="172"/>
        </w:trPr>
        <w:tc>
          <w:tcPr>
            <w:tcW w:w="38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vMerge w:val="restart"/>
          </w:tcPr>
          <w:p>
            <w:pPr>
              <w:ind w:left="480"/>
              <w:spacing w:after="0"/>
              <w:rPr>
                <w:sz w:val="20"/>
                <w:szCs w:val="20"/>
                <w:color w:val="auto"/>
              </w:rPr>
            </w:pPr>
            <w:r>
              <w:rPr>
                <w:rFonts w:ascii="Courier New" w:cs="Courier New" w:eastAsia="Courier New" w:hAnsi="Courier New"/>
                <w:sz w:val="16"/>
                <w:szCs w:val="16"/>
                <w:color w:val="auto"/>
                <w:w w:val="73"/>
                <w:vertAlign w:val="subscript"/>
              </w:rPr>
              <w:t>$</w:t>
            </w:r>
            <w:r>
              <w:rPr>
                <w:rFonts w:ascii="Courier New" w:cs="Courier New" w:eastAsia="Courier New" w:hAnsi="Courier New"/>
                <w:sz w:val="10"/>
                <w:szCs w:val="10"/>
                <w:color w:val="auto"/>
                <w:w w:val="73"/>
              </w:rPr>
              <w:t>-------------</w:t>
            </w:r>
          </w:p>
        </w:tc>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2"/>
              </w:rPr>
              <w:t>57,043</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43,532</w:t>
            </w:r>
          </w:p>
        </w:tc>
        <w:tc>
          <w:tcPr>
            <w:tcW w:w="0" w:type="dxa"/>
            <w:vAlign w:val="bottom"/>
          </w:tcPr>
          <w:p>
            <w:pPr>
              <w:spacing w:after="0"/>
              <w:rPr>
                <w:sz w:val="1"/>
                <w:szCs w:val="1"/>
                <w:color w:val="auto"/>
              </w:rPr>
            </w:pPr>
          </w:p>
        </w:tc>
      </w:tr>
      <w:tr>
        <w:trPr>
          <w:trHeight w:val="172"/>
        </w:trPr>
        <w:tc>
          <w:tcPr>
            <w:tcW w:w="38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00" w:type="dxa"/>
            <w:vAlign w:val="bottom"/>
            <w:vMerge w:val="continue"/>
          </w:tcPr>
          <w:p>
            <w:pPr>
              <w:spacing w:after="0"/>
              <w:rPr>
                <w:sz w:val="14"/>
                <w:szCs w:val="14"/>
                <w:color w:val="auto"/>
              </w:rPr>
            </w:pPr>
          </w:p>
        </w:tc>
        <w:tc>
          <w:tcPr>
            <w:tcW w:w="11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0.26</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c>
          <w:tcPr>
            <w:tcW w:w="0" w:type="dxa"/>
            <w:vAlign w:val="bottom"/>
          </w:tcPr>
          <w:p>
            <w:pPr>
              <w:spacing w:after="0"/>
              <w:rPr>
                <w:sz w:val="1"/>
                <w:szCs w:val="1"/>
                <w:color w:val="auto"/>
              </w:rPr>
            </w:pPr>
          </w:p>
        </w:tc>
      </w:tr>
      <w:tr>
        <w:trPr>
          <w:trHeight w:val="252"/>
        </w:trPr>
        <w:tc>
          <w:tcPr>
            <w:tcW w:w="38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800" w:type="dxa"/>
            <w:vAlign w:val="bottom"/>
            <w:vMerge w:val="continue"/>
          </w:tcPr>
          <w:p>
            <w:pPr>
              <w:spacing w:after="0"/>
              <w:rPr>
                <w:sz w:val="7"/>
                <w:szCs w:val="7"/>
                <w:color w:val="auto"/>
              </w:rPr>
            </w:pPr>
          </w:p>
        </w:tc>
        <w:tc>
          <w:tcPr>
            <w:tcW w:w="1960" w:type="dxa"/>
            <w:vAlign w:val="bottom"/>
            <w:gridSpan w:val="2"/>
            <w:vMerge w:val="restart"/>
          </w:tcPr>
          <w:p>
            <w:pPr>
              <w:jc w:val="right"/>
              <w:ind w:right="245"/>
              <w:spacing w:after="0"/>
              <w:rPr>
                <w:sz w:val="20"/>
                <w:szCs w:val="20"/>
                <w:color w:val="auto"/>
              </w:rPr>
            </w:pPr>
            <w:r>
              <w:rPr>
                <w:rFonts w:ascii="Courier New" w:cs="Courier New" w:eastAsia="Courier New" w:hAnsi="Courier New"/>
                <w:sz w:val="15"/>
                <w:szCs w:val="15"/>
                <w:color w:val="auto"/>
              </w:rPr>
              <w:t>220,594</w:t>
            </w:r>
          </w:p>
        </w:tc>
        <w:tc>
          <w:tcPr>
            <w:tcW w:w="50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217,139</w:t>
            </w:r>
          </w:p>
        </w:tc>
        <w:tc>
          <w:tcPr>
            <w:tcW w:w="0" w:type="dxa"/>
            <w:vAlign w:val="bottom"/>
          </w:tcPr>
          <w:p>
            <w:pPr>
              <w:spacing w:after="0"/>
              <w:rPr>
                <w:sz w:val="1"/>
                <w:szCs w:val="1"/>
                <w:color w:val="auto"/>
              </w:rPr>
            </w:pPr>
          </w:p>
        </w:tc>
      </w:tr>
      <w:tr>
        <w:trPr>
          <w:trHeight w:val="172"/>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w:t>
            </w:r>
          </w:p>
        </w:tc>
        <w:tc>
          <w:tcPr>
            <w:tcW w:w="19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08" w:right="3079" w:hanging="808"/>
        <w:spacing w:after="0" w:line="259" w:lineRule="auto"/>
        <w:tabs>
          <w:tab w:leader="none" w:pos="80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$5,096 and $5,154 for amortization of purchased intangible assets, $0 and $9,956 of restructuring charges related to cost reduction measures, and tax effects related to the above of $(1,121) and $(3,777) for the three months ended December 31, 2003 and 2002, respectively. Including the above items, income before income taxes was $68,036 and $42,932, and diluted earnings per share were $0.24 and $0.15 for the three months ended December 31, 2003 and 2002, respectively.</w:t>
      </w:r>
    </w:p>
    <w:p>
      <w:pPr>
        <w:sectPr>
          <w:pgSz w:w="11900" w:h="16838" w:orient="portrait"/>
          <w:cols w:equalWidth="0" w:num="1">
            <w:col w:w="10227"/>
          </w:cols>
          <w:pgMar w:left="232" w:top="607" w:right="1440" w:bottom="1440" w:gutter="0" w:footer="0" w:header="0"/>
        </w:sectPr>
      </w:pPr>
    </w:p>
    <w:bookmarkStart w:id="29" w:name="page30"/>
    <w:bookmarkEnd w:id="29"/>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2003</w:t>
            </w:r>
          </w:p>
        </w:tc>
        <w:tc>
          <w:tcPr>
            <w:tcW w:w="54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2002</w:t>
            </w:r>
          </w:p>
        </w:tc>
        <w:tc>
          <w:tcPr>
            <w:tcW w:w="0" w:type="dxa"/>
            <w:vAlign w:val="bottom"/>
          </w:tcPr>
          <w:p>
            <w:pPr>
              <w:spacing w:after="0"/>
              <w:rPr>
                <w:sz w:val="1"/>
                <w:szCs w:val="1"/>
                <w:color w:val="auto"/>
              </w:rPr>
            </w:pPr>
          </w:p>
        </w:tc>
      </w:tr>
      <w:tr>
        <w:trPr>
          <w:trHeight w:val="252"/>
        </w:trPr>
        <w:tc>
          <w:tcPr>
            <w:tcW w:w="3880" w:type="dxa"/>
            <w:vAlign w:val="bottom"/>
          </w:tcPr>
          <w:p>
            <w:pPr>
              <w:spacing w:after="0"/>
              <w:rPr>
                <w:sz w:val="21"/>
                <w:szCs w:val="21"/>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16,621</w:t>
            </w:r>
          </w:p>
        </w:tc>
        <w:tc>
          <w:tcPr>
            <w:tcW w:w="5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20,526</w:t>
            </w: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44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411,674</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318,860</w:t>
            </w: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21"/>
                <w:szCs w:val="21"/>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428,295</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339,386</w:t>
            </w:r>
          </w:p>
        </w:tc>
        <w:tc>
          <w:tcPr>
            <w:tcW w:w="0" w:type="dxa"/>
            <w:vAlign w:val="bottom"/>
          </w:tcPr>
          <w:p>
            <w:pPr>
              <w:spacing w:after="0"/>
              <w:rPr>
                <w:sz w:val="1"/>
                <w:szCs w:val="1"/>
                <w:color w:val="auto"/>
              </w:rPr>
            </w:pPr>
          </w:p>
        </w:tc>
      </w:tr>
      <w:tr>
        <w:trPr>
          <w:trHeight w:val="92"/>
        </w:trPr>
        <w:tc>
          <w:tcPr>
            <w:tcW w:w="3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1,132</w:t>
            </w:r>
          </w:p>
        </w:tc>
        <w:tc>
          <w:tcPr>
            <w:tcW w:w="5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1,136</w:t>
            </w: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44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272,103</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203,986</w:t>
            </w: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30,498</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29,619</w:t>
            </w: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52,497</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51,580</w:t>
            </w: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 intangible</w:t>
            </w:r>
          </w:p>
        </w:tc>
        <w:tc>
          <w:tcPr>
            <w:tcW w:w="440" w:type="dxa"/>
            <w:vAlign w:val="bottom"/>
          </w:tcPr>
          <w:p>
            <w:pPr>
              <w:spacing w:after="0"/>
              <w:rPr>
                <w:sz w:val="14"/>
                <w:szCs w:val="14"/>
                <w:color w:val="auto"/>
              </w:rPr>
            </w:pPr>
          </w:p>
        </w:tc>
        <w:tc>
          <w:tcPr>
            <w:tcW w:w="10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5,096</w:t>
            </w:r>
          </w:p>
        </w:tc>
        <w:tc>
          <w:tcPr>
            <w:tcW w:w="5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5,154</w:t>
            </w:r>
          </w:p>
        </w:tc>
        <w:tc>
          <w:tcPr>
            <w:tcW w:w="0" w:type="dxa"/>
            <w:vAlign w:val="bottom"/>
          </w:tcPr>
          <w:p>
            <w:pPr>
              <w:spacing w:after="0"/>
              <w:rPr>
                <w:sz w:val="1"/>
                <w:szCs w:val="1"/>
                <w:color w:val="auto"/>
              </w:rPr>
            </w:pPr>
          </w:p>
        </w:tc>
      </w:tr>
      <w:tr>
        <w:trPr>
          <w:trHeight w:val="172"/>
        </w:trPr>
        <w:tc>
          <w:tcPr>
            <w:tcW w:w="388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Restructuring charges</w:t>
            </w:r>
          </w:p>
        </w:tc>
        <w:tc>
          <w:tcPr>
            <w:tcW w:w="44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9,956</w:t>
            </w: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361,326</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301,431</w:t>
            </w:r>
          </w:p>
        </w:tc>
        <w:tc>
          <w:tcPr>
            <w:tcW w:w="0" w:type="dxa"/>
            <w:vAlign w:val="bottom"/>
          </w:tcPr>
          <w:p>
            <w:pPr>
              <w:spacing w:after="0"/>
              <w:rPr>
                <w:sz w:val="1"/>
                <w:szCs w:val="1"/>
                <w:color w:val="auto"/>
              </w:rPr>
            </w:pPr>
          </w:p>
        </w:tc>
      </w:tr>
      <w:tr>
        <w:trPr>
          <w:trHeight w:val="172"/>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8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66,969</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37,955</w:t>
            </w: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440" w:type="dxa"/>
            <w:vAlign w:val="bottom"/>
          </w:tcPr>
          <w:p>
            <w:pPr>
              <w:spacing w:after="0"/>
              <w:rPr>
                <w:sz w:val="22"/>
                <w:szCs w:val="22"/>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1,067</w:t>
            </w:r>
          </w:p>
        </w:tc>
        <w:tc>
          <w:tcPr>
            <w:tcW w:w="5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4,977</w:t>
            </w:r>
          </w:p>
        </w:tc>
        <w:tc>
          <w:tcPr>
            <w:tcW w:w="0" w:type="dxa"/>
            <w:vAlign w:val="bottom"/>
          </w:tcPr>
          <w:p>
            <w:pPr>
              <w:spacing w:after="0"/>
              <w:rPr>
                <w:sz w:val="1"/>
                <w:szCs w:val="1"/>
                <w:color w:val="auto"/>
              </w:rPr>
            </w:pPr>
          </w:p>
        </w:tc>
      </w:tr>
      <w:tr>
        <w:trPr>
          <w:trHeight w:val="172"/>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8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68,036</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42,932</w:t>
            </w: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22"/>
                <w:szCs w:val="22"/>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14,968</w:t>
            </w:r>
          </w:p>
        </w:tc>
        <w:tc>
          <w:tcPr>
            <w:tcW w:w="5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10,733</w:t>
            </w:r>
          </w:p>
        </w:tc>
        <w:tc>
          <w:tcPr>
            <w:tcW w:w="0" w:type="dxa"/>
            <w:vAlign w:val="bottom"/>
          </w:tcPr>
          <w:p>
            <w:pPr>
              <w:spacing w:after="0"/>
              <w:rPr>
                <w:sz w:val="1"/>
                <w:szCs w:val="1"/>
                <w:color w:val="auto"/>
              </w:rPr>
            </w:pPr>
          </w:p>
        </w:tc>
      </w:tr>
      <w:tr>
        <w:trPr>
          <w:trHeight w:val="172"/>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80" w:type="dxa"/>
            <w:vAlign w:val="bottom"/>
            <w:vMerge w:val="continue"/>
          </w:tcPr>
          <w:p>
            <w:pPr>
              <w:spacing w:after="0"/>
              <w:rPr>
                <w:sz w:val="14"/>
                <w:szCs w:val="14"/>
                <w:color w:val="auto"/>
              </w:rPr>
            </w:pP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53,068</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32,199</w:t>
            </w:r>
          </w:p>
        </w:tc>
        <w:tc>
          <w:tcPr>
            <w:tcW w:w="0" w:type="dxa"/>
            <w:vAlign w:val="bottom"/>
          </w:tcPr>
          <w:p>
            <w:pPr>
              <w:spacing w:after="0"/>
              <w:rPr>
                <w:sz w:val="1"/>
                <w:szCs w:val="1"/>
                <w:color w:val="auto"/>
              </w:rPr>
            </w:pPr>
          </w:p>
        </w:tc>
      </w:tr>
      <w:tr>
        <w:trPr>
          <w:trHeight w:val="172"/>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80" w:type="dxa"/>
            <w:vAlign w:val="bottom"/>
            <w:vMerge w:val="continue"/>
          </w:tcPr>
          <w:p>
            <w:pPr>
              <w:spacing w:after="0"/>
              <w:rPr>
                <w:sz w:val="14"/>
                <w:szCs w:val="14"/>
                <w:color w:val="auto"/>
              </w:rPr>
            </w:pP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0.25</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72"/>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80" w:type="dxa"/>
            <w:vAlign w:val="bottom"/>
            <w:vMerge w:val="continue"/>
          </w:tcPr>
          <w:p>
            <w:pPr>
              <w:spacing w:after="0"/>
              <w:rPr>
                <w:sz w:val="14"/>
                <w:szCs w:val="14"/>
                <w:color w:val="auto"/>
              </w:rPr>
            </w:pP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0.24</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252"/>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215,106</w:t>
            </w:r>
          </w:p>
        </w:tc>
        <w:tc>
          <w:tcPr>
            <w:tcW w:w="5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215,626</w:t>
            </w:r>
          </w:p>
        </w:tc>
        <w:tc>
          <w:tcPr>
            <w:tcW w:w="0" w:type="dxa"/>
            <w:vAlign w:val="bottom"/>
          </w:tcPr>
          <w:p>
            <w:pPr>
              <w:spacing w:after="0"/>
              <w:rPr>
                <w:sz w:val="1"/>
                <w:szCs w:val="1"/>
                <w:color w:val="auto"/>
              </w:rPr>
            </w:pPr>
          </w:p>
        </w:tc>
      </w:tr>
      <w:tr>
        <w:trPr>
          <w:trHeight w:val="172"/>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880" w:type="dxa"/>
            <w:vAlign w:val="bottom"/>
            <w:vMerge w:val="restart"/>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220,594</w:t>
            </w:r>
          </w:p>
        </w:tc>
        <w:tc>
          <w:tcPr>
            <w:tcW w:w="5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217,139</w:t>
            </w:r>
          </w:p>
        </w:tc>
        <w:tc>
          <w:tcPr>
            <w:tcW w:w="0" w:type="dxa"/>
            <w:vAlign w:val="bottom"/>
          </w:tcPr>
          <w:p>
            <w:pPr>
              <w:spacing w:after="0"/>
              <w:rPr>
                <w:sz w:val="1"/>
                <w:szCs w:val="1"/>
                <w:color w:val="auto"/>
              </w:rPr>
            </w:pPr>
          </w:p>
        </w:tc>
      </w:tr>
      <w:tr>
        <w:trPr>
          <w:trHeight w:val="172"/>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880" w:type="dxa"/>
            <w:vAlign w:val="bottom"/>
          </w:tcPr>
          <w:p>
            <w:pPr>
              <w:spacing w:after="0"/>
              <w:rPr>
                <w:sz w:val="21"/>
                <w:szCs w:val="21"/>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7" w:right="1440" w:bottom="1440" w:gutter="0" w:footer="0" w:header="0"/>
        </w:sectPr>
      </w:pPr>
    </w:p>
    <w:bookmarkStart w:id="30" w:name="page31"/>
    <w:bookmarkEnd w:id="30"/>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2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6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AS OF</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620" w:type="dxa"/>
            <w:vAlign w:val="bottom"/>
          </w:tcPr>
          <w:p>
            <w:pPr>
              <w:spacing w:after="0"/>
              <w:rPr>
                <w:sz w:val="14"/>
                <w:szCs w:val="14"/>
                <w:color w:val="auto"/>
              </w:rPr>
            </w:pPr>
          </w:p>
        </w:tc>
        <w:tc>
          <w:tcPr>
            <w:tcW w:w="34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14"/>
                <w:szCs w:val="14"/>
                <w:color w:val="auto"/>
              </w:rPr>
            </w:pP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DECEMBER 31,</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2003</w:t>
            </w:r>
          </w:p>
        </w:tc>
        <w:tc>
          <w:tcPr>
            <w:tcW w:w="90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2"/>
        </w:trPr>
        <w:tc>
          <w:tcPr>
            <w:tcW w:w="6620" w:type="dxa"/>
            <w:vAlign w:val="bottom"/>
          </w:tcPr>
          <w:p>
            <w:pPr>
              <w:spacing w:after="0"/>
              <w:rPr>
                <w:sz w:val="21"/>
                <w:szCs w:val="21"/>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66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$ 1,228,742</w:t>
            </w:r>
          </w:p>
        </w:tc>
        <w:tc>
          <w:tcPr>
            <w:tcW w:w="90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1,290,892</w:t>
            </w: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short-term interest-bearing investments</w:t>
            </w:r>
          </w:p>
        </w:tc>
        <w:tc>
          <w:tcPr>
            <w:tcW w:w="16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including unbilled of $26,038 and</w:t>
            </w:r>
          </w:p>
        </w:tc>
        <w:tc>
          <w:tcPr>
            <w:tcW w:w="580" w:type="dxa"/>
            <w:vAlign w:val="bottom"/>
          </w:tcPr>
          <w:p>
            <w:pPr>
              <w:spacing w:after="0"/>
              <w:rPr>
                <w:sz w:val="14"/>
                <w:szCs w:val="14"/>
                <w:color w:val="auto"/>
              </w:rPr>
            </w:pP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210,022</w:t>
            </w:r>
          </w:p>
        </w:tc>
        <w:tc>
          <w:tcPr>
            <w:tcW w:w="900" w:type="dxa"/>
            <w:vAlign w:val="bottom"/>
          </w:tcPr>
          <w:p>
            <w:pPr>
              <w:spacing w:after="0"/>
              <w:rPr>
                <w:sz w:val="14"/>
                <w:szCs w:val="14"/>
                <w:color w:val="auto"/>
              </w:rPr>
            </w:pP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198,274</w:t>
            </w:r>
          </w:p>
        </w:tc>
        <w:tc>
          <w:tcPr>
            <w:tcW w:w="0" w:type="dxa"/>
            <w:vAlign w:val="bottom"/>
          </w:tcPr>
          <w:p>
            <w:pPr>
              <w:spacing w:after="0"/>
              <w:rPr>
                <w:sz w:val="1"/>
                <w:szCs w:val="1"/>
                <w:color w:val="auto"/>
              </w:rPr>
            </w:pP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$16,072, respectively</w:t>
            </w:r>
          </w:p>
        </w:tc>
        <w:tc>
          <w:tcPr>
            <w:tcW w:w="5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82,453</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60,868</w:t>
            </w: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74,274</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85,902</w:t>
            </w:r>
          </w:p>
        </w:tc>
        <w:tc>
          <w:tcPr>
            <w:tcW w:w="0" w:type="dxa"/>
            <w:vAlign w:val="bottom"/>
          </w:tcPr>
          <w:p>
            <w:pPr>
              <w:spacing w:after="0"/>
              <w:rPr>
                <w:sz w:val="1"/>
                <w:szCs w:val="1"/>
                <w:color w:val="auto"/>
              </w:rPr>
            </w:pPr>
          </w:p>
        </w:tc>
      </w:tr>
      <w:tr>
        <w:trPr>
          <w:trHeight w:val="172"/>
        </w:trPr>
        <w:tc>
          <w:tcPr>
            <w:tcW w:w="66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662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1,595,491</w:t>
            </w:r>
          </w:p>
        </w:tc>
        <w:tc>
          <w:tcPr>
            <w:tcW w:w="900" w:type="dxa"/>
            <w:vAlign w:val="bottom"/>
          </w:tcPr>
          <w:p>
            <w:pPr>
              <w:spacing w:after="0"/>
              <w:rPr>
                <w:sz w:val="21"/>
                <w:szCs w:val="21"/>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1,635,936</w:t>
            </w:r>
          </w:p>
        </w:tc>
        <w:tc>
          <w:tcPr>
            <w:tcW w:w="0" w:type="dxa"/>
            <w:vAlign w:val="bottom"/>
          </w:tcPr>
          <w:p>
            <w:pPr>
              <w:spacing w:after="0"/>
              <w:rPr>
                <w:sz w:val="1"/>
                <w:szCs w:val="1"/>
                <w:color w:val="auto"/>
              </w:rPr>
            </w:pPr>
          </w:p>
        </w:tc>
      </w:tr>
      <w:tr>
        <w:trPr>
          <w:trHeight w:val="264"/>
        </w:trPr>
        <w:tc>
          <w:tcPr>
            <w:tcW w:w="66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580" w:type="dxa"/>
            <w:vAlign w:val="bottom"/>
          </w:tcPr>
          <w:p>
            <w:pPr>
              <w:spacing w:after="0"/>
              <w:rPr>
                <w:sz w:val="22"/>
                <w:szCs w:val="22"/>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188,675</w:t>
            </w:r>
          </w:p>
        </w:tc>
        <w:tc>
          <w:tcPr>
            <w:tcW w:w="900" w:type="dxa"/>
            <w:vAlign w:val="bottom"/>
          </w:tcPr>
          <w:p>
            <w:pPr>
              <w:spacing w:after="0"/>
              <w:rPr>
                <w:sz w:val="22"/>
                <w:szCs w:val="22"/>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203,467</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850,388</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855,975</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191,497</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182,139</w:t>
            </w:r>
          </w:p>
        </w:tc>
        <w:tc>
          <w:tcPr>
            <w:tcW w:w="0" w:type="dxa"/>
            <w:vAlign w:val="bottom"/>
          </w:tcPr>
          <w:p>
            <w:pPr>
              <w:spacing w:after="0"/>
              <w:rPr>
                <w:sz w:val="1"/>
                <w:szCs w:val="1"/>
                <w:color w:val="auto"/>
              </w:rPr>
            </w:pPr>
          </w:p>
        </w:tc>
      </w:tr>
      <w:tr>
        <w:trPr>
          <w:trHeight w:val="172"/>
        </w:trPr>
        <w:tc>
          <w:tcPr>
            <w:tcW w:w="662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620" w:type="dxa"/>
            <w:vAlign w:val="bottom"/>
            <w:vMerge w:val="continue"/>
          </w:tcPr>
          <w:p>
            <w:pPr>
              <w:spacing w:after="0"/>
              <w:rPr>
                <w:sz w:val="14"/>
                <w:szCs w:val="14"/>
                <w:color w:val="auto"/>
              </w:rPr>
            </w:pP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$ 2,826,051</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2,877,517</w:t>
            </w:r>
          </w:p>
        </w:tc>
        <w:tc>
          <w:tcPr>
            <w:tcW w:w="0" w:type="dxa"/>
            <w:vAlign w:val="bottom"/>
          </w:tcPr>
          <w:p>
            <w:pPr>
              <w:spacing w:after="0"/>
              <w:rPr>
                <w:sz w:val="1"/>
                <w:szCs w:val="1"/>
                <w:color w:val="auto"/>
              </w:rPr>
            </w:pPr>
          </w:p>
        </w:tc>
      </w:tr>
      <w:tr>
        <w:trPr>
          <w:trHeight w:val="252"/>
        </w:trPr>
        <w:tc>
          <w:tcPr>
            <w:tcW w:w="6620" w:type="dxa"/>
            <w:vAlign w:val="bottom"/>
          </w:tcPr>
          <w:p>
            <w:pPr>
              <w:spacing w:after="0"/>
              <w:rPr>
                <w:sz w:val="21"/>
                <w:szCs w:val="21"/>
                <w:color w:val="auto"/>
              </w:rPr>
            </w:pP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66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329,888</w:t>
            </w:r>
          </w:p>
        </w:tc>
        <w:tc>
          <w:tcPr>
            <w:tcW w:w="90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331,196</w:t>
            </w: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5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26,640</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27,140</w:t>
            </w: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Convertible notes</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395,454</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400,454</w:t>
            </w: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Short-term financing arrangements</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2,366</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2,179</w:t>
            </w: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182,925</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174,616</w:t>
            </w:r>
          </w:p>
        </w:tc>
        <w:tc>
          <w:tcPr>
            <w:tcW w:w="0" w:type="dxa"/>
            <w:vAlign w:val="bottom"/>
          </w:tcPr>
          <w:p>
            <w:pPr>
              <w:spacing w:after="0"/>
              <w:rPr>
                <w:sz w:val="1"/>
                <w:szCs w:val="1"/>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150,274</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133,002</w:t>
            </w:r>
          </w:p>
        </w:tc>
        <w:tc>
          <w:tcPr>
            <w:tcW w:w="0" w:type="dxa"/>
            <w:vAlign w:val="bottom"/>
          </w:tcPr>
          <w:p>
            <w:pPr>
              <w:spacing w:after="0"/>
              <w:rPr>
                <w:sz w:val="1"/>
                <w:szCs w:val="1"/>
                <w:color w:val="auto"/>
              </w:rPr>
            </w:pPr>
          </w:p>
        </w:tc>
      </w:tr>
      <w:tr>
        <w:trPr>
          <w:trHeight w:val="172"/>
        </w:trPr>
        <w:tc>
          <w:tcPr>
            <w:tcW w:w="66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1,087,547</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1,068,587</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214,969</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217,330</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5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1,523,535</w:t>
            </w:r>
          </w:p>
        </w:tc>
        <w:tc>
          <w:tcPr>
            <w:tcW w:w="9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1,591,600</w:t>
            </w:r>
          </w:p>
        </w:tc>
        <w:tc>
          <w:tcPr>
            <w:tcW w:w="0" w:type="dxa"/>
            <w:vAlign w:val="bottom"/>
          </w:tcPr>
          <w:p>
            <w:pPr>
              <w:spacing w:after="0"/>
              <w:rPr>
                <w:sz w:val="1"/>
                <w:szCs w:val="1"/>
                <w:color w:val="auto"/>
              </w:rPr>
            </w:pPr>
          </w:p>
        </w:tc>
      </w:tr>
      <w:tr>
        <w:trPr>
          <w:trHeight w:val="172"/>
        </w:trPr>
        <w:tc>
          <w:tcPr>
            <w:tcW w:w="662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620" w:type="dxa"/>
            <w:vAlign w:val="bottom"/>
            <w:vMerge w:val="continue"/>
          </w:tcPr>
          <w:p>
            <w:pPr>
              <w:spacing w:after="0"/>
              <w:rPr>
                <w:sz w:val="14"/>
                <w:szCs w:val="14"/>
                <w:color w:val="auto"/>
              </w:rPr>
            </w:pP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$ 2,826,051</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2,877,517</w:t>
            </w:r>
          </w:p>
        </w:tc>
        <w:tc>
          <w:tcPr>
            <w:tcW w:w="0" w:type="dxa"/>
            <w:vAlign w:val="bottom"/>
          </w:tcPr>
          <w:p>
            <w:pPr>
              <w:spacing w:after="0"/>
              <w:rPr>
                <w:sz w:val="1"/>
                <w:szCs w:val="1"/>
                <w:color w:val="auto"/>
              </w:rPr>
            </w:pPr>
          </w:p>
        </w:tc>
      </w:tr>
      <w:tr>
        <w:trPr>
          <w:trHeight w:val="252"/>
        </w:trPr>
        <w:tc>
          <w:tcPr>
            <w:tcW w:w="6620" w:type="dxa"/>
            <w:vAlign w:val="bottom"/>
          </w:tcPr>
          <w:p>
            <w:pPr>
              <w:spacing w:after="0"/>
              <w:rPr>
                <w:sz w:val="21"/>
                <w:szCs w:val="21"/>
                <w:color w:val="auto"/>
              </w:rPr>
            </w:pPr>
          </w:p>
        </w:tc>
        <w:tc>
          <w:tcPr>
            <w:tcW w:w="16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 #</w:t>
      </w:r>
    </w:p>
    <w:sectPr>
      <w:pgSz w:w="11900" w:h="16838" w:orient="portrait"/>
      <w:cols w:equalWidth="0" w:num="1">
        <w:col w:w="10219"/>
      </w:cols>
      <w:pgMar w:left="240" w:top="6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1"/>
    </w:lvl>
    <w:lvl w:ilvl="1">
      <w:lvlJc w:val="left"/>
      <w:lvlText w:val="(%2)"/>
      <w:numFmt w:val="decimal"/>
      <w:start w:val="1"/>
    </w:lvl>
  </w:abstractNum>
  <w:abstractNum w:abstractNumId="6">
    <w:nsid w:val="519B500D"/>
    <w:multiLevelType w:val="hybridMultilevel"/>
    <w:lvl w:ilvl="0">
      <w:lvlJc w:val="left"/>
      <w:lvlText w:val="%1."/>
      <w:numFmt w:val="decimal"/>
      <w:start w:val="5"/>
    </w:lvl>
    <w:lvl w:ilvl="1">
      <w:lvlJc w:val="left"/>
      <w:lvlText w:val="%2"/>
      <w:numFmt w:val="decimal"/>
      <w:start w:val="1"/>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1."/>
      <w:numFmt w:val="decimal"/>
      <w:start w:val="1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2019-12-14T21:20:01Z</dcterms:created>
  <dcterms:modified xsi:type="dcterms:W3CDTF">2019-12-14T21:20:01Z</dcterms:modified>
</cp:coreProperties>
</file>