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December 31, 2017</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20" w:type="dxa"/>
            <w:vAlign w:val="bottom"/>
            <w:gridSpan w:val="3"/>
          </w:tcPr>
          <w:p>
            <w:pPr>
              <w:jc w:val="center"/>
              <w:ind w:right="2820"/>
              <w:spacing w:after="0"/>
              <w:rPr>
                <w:sz w:val="20"/>
                <w:szCs w:val="20"/>
                <w:color w:val="auto"/>
              </w:rPr>
            </w:pPr>
            <w:r>
              <w:rPr>
                <w:rFonts w:ascii="Arial" w:cs="Arial" w:eastAsia="Arial" w:hAnsi="Arial"/>
                <w:sz w:val="18"/>
                <w:szCs w:val="18"/>
                <w:color w:val="auto"/>
              </w:rPr>
              <w:t>AMDOCS LIMITED</w:t>
            </w:r>
          </w:p>
        </w:tc>
        <w:tc>
          <w:tcPr>
            <w:tcW w:w="192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2"/>
          </w:tcPr>
          <w:p>
            <w:pPr>
              <w:jc w:val="center"/>
              <w:ind w:right="3040"/>
              <w:spacing w:after="0"/>
              <w:rPr>
                <w:sz w:val="20"/>
                <w:szCs w:val="20"/>
                <w:color w:val="auto"/>
              </w:rPr>
            </w:pPr>
            <w:r>
              <w:rPr>
                <w:rFonts w:ascii="Arial" w:cs="Arial" w:eastAsia="Arial" w:hAnsi="Arial"/>
                <w:sz w:val="18"/>
                <w:szCs w:val="18"/>
                <w:color w:val="auto"/>
                <w:w w:val="97"/>
              </w:rPr>
              <w:t>FORM 6-K</w:t>
            </w:r>
          </w:p>
        </w:tc>
        <w:tc>
          <w:tcPr>
            <w:tcW w:w="19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5"/>
          </w:tcPr>
          <w:p>
            <w:pPr>
              <w:jc w:val="center"/>
              <w:ind w:right="1960"/>
              <w:spacing w:after="0"/>
              <w:rPr>
                <w:sz w:val="20"/>
                <w:szCs w:val="20"/>
                <w:color w:val="auto"/>
              </w:rPr>
            </w:pPr>
            <w:r>
              <w:rPr>
                <w:rFonts w:ascii="Arial" w:cs="Arial" w:eastAsia="Arial" w:hAnsi="Arial"/>
                <w:sz w:val="18"/>
                <w:szCs w:val="18"/>
                <w:color w:val="auto"/>
                <w:w w:val="92"/>
              </w:rPr>
              <w:t>REPORT OF FOREIGN PRIVATE ISSUER</w:t>
            </w:r>
          </w:p>
        </w:tc>
        <w:tc>
          <w:tcPr>
            <w:tcW w:w="192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80" w:type="dxa"/>
            <w:vAlign w:val="bottom"/>
            <w:gridSpan w:val="6"/>
          </w:tcPr>
          <w:p>
            <w:pPr>
              <w:jc w:val="center"/>
              <w:ind w:right="1680"/>
              <w:spacing w:after="0"/>
              <w:rPr>
                <w:sz w:val="20"/>
                <w:szCs w:val="20"/>
                <w:color w:val="auto"/>
              </w:rPr>
            </w:pPr>
            <w:r>
              <w:rPr>
                <w:rFonts w:ascii="Arial" w:cs="Arial" w:eastAsia="Arial" w:hAnsi="Arial"/>
                <w:sz w:val="18"/>
                <w:szCs w:val="18"/>
                <w:color w:val="auto"/>
                <w:w w:val="94"/>
              </w:rPr>
              <w:t>FOR THE QUARTER ENDED DECEMBER 31, 2017</w:t>
            </w:r>
          </w:p>
        </w:tc>
        <w:tc>
          <w:tcPr>
            <w:tcW w:w="19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0" w:type="dxa"/>
            <w:vAlign w:val="bottom"/>
            <w:gridSpan w:val="2"/>
          </w:tcPr>
          <w:p>
            <w:pPr>
              <w:jc w:val="center"/>
              <w:ind w:right="3040"/>
              <w:spacing w:after="0"/>
              <w:rPr>
                <w:sz w:val="20"/>
                <w:szCs w:val="20"/>
                <w:color w:val="auto"/>
              </w:rPr>
            </w:pPr>
            <w:r>
              <w:rPr>
                <w:rFonts w:ascii="Arial" w:cs="Arial" w:eastAsia="Arial" w:hAnsi="Arial"/>
                <w:sz w:val="18"/>
                <w:szCs w:val="18"/>
                <w:color w:val="auto"/>
              </w:rPr>
              <w:t>INDEX</w:t>
            </w:r>
          </w:p>
        </w:tc>
        <w:tc>
          <w:tcPr>
            <w:tcW w:w="1920" w:type="dxa"/>
            <w:vAlign w:val="bottom"/>
          </w:tcPr>
          <w:p>
            <w:pPr>
              <w:spacing w:after="0"/>
              <w:rPr>
                <w:sz w:val="20"/>
                <w:szCs w:val="20"/>
                <w:color w:val="auto"/>
              </w:rPr>
            </w:pPr>
          </w:p>
        </w:tc>
      </w:tr>
      <w:tr>
        <w:trPr>
          <w:trHeight w:val="419"/>
        </w:trPr>
        <w:tc>
          <w:tcPr>
            <w:tcW w:w="284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6600" w:type="dxa"/>
            <w:vAlign w:val="bottom"/>
            <w:gridSpan w:val="8"/>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8540" w:type="dxa"/>
            <w:vAlign w:val="bottom"/>
            <w:gridSpan w:val="13"/>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9080" w:type="dxa"/>
            <w:vAlign w:val="bottom"/>
            <w:gridSpan w:val="14"/>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92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0000EE"/>
            </w:tcBorders>
            <w:gridSpan w:val="5"/>
          </w:tcPr>
          <w:p>
            <w:pPr>
              <w:spacing w:after="0" w:line="19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6260" w:type="dxa"/>
            <w:vAlign w:val="bottom"/>
            <w:gridSpan w:val="7"/>
          </w:tcPr>
          <w:p>
            <w:pPr>
              <w:spacing w:after="0"/>
              <w:rPr>
                <w:sz w:val="16"/>
                <w:szCs w:val="16"/>
                <w:color w:val="auto"/>
              </w:rPr>
            </w:pPr>
          </w:p>
        </w:tc>
        <w:tc>
          <w:tcPr>
            <w:tcW w:w="19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780" w:type="dxa"/>
            <w:vAlign w:val="bottom"/>
            <w:gridSpan w:val="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40" w:type="dxa"/>
            <w:vAlign w:val="bottom"/>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2"/>
          </w:tcPr>
          <w:p>
            <w:pPr>
              <w:spacing w:after="0"/>
              <w:rPr>
                <w:sz w:val="17"/>
                <w:szCs w:val="17"/>
                <w:color w:val="auto"/>
              </w:rPr>
            </w:pPr>
          </w:p>
        </w:tc>
        <w:tc>
          <w:tcPr>
            <w:tcW w:w="462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40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340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Operating and Financial Review and Prospects</w:t>
              </w:r>
            </w:hyperlink>
          </w:p>
        </w:tc>
        <w:tc>
          <w:tcPr>
            <w:tcW w:w="514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OTHER INFORMATION</w:t>
              </w:r>
            </w:hyperlink>
          </w:p>
        </w:tc>
        <w:tc>
          <w:tcPr>
            <w:tcW w:w="6900" w:type="dxa"/>
            <w:vAlign w:val="bottom"/>
            <w:gridSpan w:val="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1.</w:t>
              </w:r>
            </w:hyperlink>
          </w:p>
        </w:tc>
        <w:tc>
          <w:tcPr>
            <w:tcW w:w="8540" w:type="dxa"/>
            <w:vAlign w:val="bottom"/>
            <w:gridSpan w:val="13"/>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Changes in Securities, Use of Proceeds and Issuer Purchases of Equity Securities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2.</w:t>
              </w:r>
            </w:hyperlink>
          </w:p>
        </w:tc>
        <w:tc>
          <w:tcPr>
            <w:tcW w:w="58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Reports on Form 6-K</w:t>
              </w:r>
            </w:hyperlink>
          </w:p>
        </w:tc>
        <w:tc>
          <w:tcPr>
            <w:tcW w:w="268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44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2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20" w:type="dxa"/>
            <w:vAlign w:val="bottom"/>
          </w:tcPr>
          <w:p>
            <w:pPr>
              <w:jc w:val="center"/>
              <w:ind w:left="1530"/>
              <w:spacing w:after="0"/>
              <w:rPr>
                <w:sz w:val="20"/>
                <w:szCs w:val="20"/>
                <w:color w:val="auto"/>
              </w:rPr>
            </w:pPr>
            <w:r>
              <w:rPr>
                <w:rFonts w:ascii="Arial" w:cs="Arial" w:eastAsia="Arial" w:hAnsi="Arial"/>
                <w:sz w:val="18"/>
                <w:szCs w:val="18"/>
                <w:b w:val="1"/>
                <w:bCs w:val="1"/>
                <w:color w:val="auto"/>
              </w:rPr>
              <w:t>AMDOCS LIMITED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20" w:type="dxa"/>
            <w:vAlign w:val="bottom"/>
          </w:tcPr>
          <w:p>
            <w:pPr>
              <w:jc w:val="center"/>
              <w:ind w:left="1530"/>
              <w:spacing w:after="0"/>
              <w:rPr>
                <w:sz w:val="20"/>
                <w:szCs w:val="20"/>
                <w:color w:val="auto"/>
              </w:rPr>
            </w:pPr>
            <w:r>
              <w:rPr>
                <w:rFonts w:ascii="Arial" w:cs="Arial" w:eastAsia="Arial" w:hAnsi="Arial"/>
                <w:sz w:val="18"/>
                <w:szCs w:val="18"/>
                <w:color w:val="auto"/>
                <w:w w:val="88"/>
              </w:rPr>
              <w:t>(dollar and share amounts in thousands, except per share data)</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2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ASSETS</w:t>
            </w:r>
          </w:p>
        </w:tc>
        <w:tc>
          <w:tcPr>
            <w:tcW w:w="8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640,784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649,611</w:t>
            </w: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325,154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329,997</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865,068</w:t>
            </w:r>
          </w:p>
        </w:tc>
      </w:tr>
      <w:tr>
        <w:trPr>
          <w:trHeight w:val="223"/>
        </w:trPr>
        <w:tc>
          <w:tcPr>
            <w:tcW w:w="20" w:type="dxa"/>
            <w:vAlign w:val="bottom"/>
          </w:tcPr>
          <w:p>
            <w:pPr>
              <w:spacing w:after="0"/>
              <w:rPr>
                <w:sz w:val="19"/>
                <w:szCs w:val="19"/>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2,093,163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2,048,486</w:t>
            </w: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364,937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355,685</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w:t>
            </w:r>
          </w:p>
        </w:tc>
        <w:tc>
          <w:tcPr>
            <w:tcW w:w="8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2,265,467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2,221,209</w:t>
            </w: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221,418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177,326</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476,674</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5,401,869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5,279,380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144,119</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126,414</w:t>
            </w: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689,864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668,087</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280,277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265,354</w:t>
            </w:r>
          </w:p>
        </w:tc>
      </w:tr>
      <w:tr>
        <w:trPr>
          <w:trHeight w:val="223"/>
        </w:trPr>
        <w:tc>
          <w:tcPr>
            <w:tcW w:w="20" w:type="dxa"/>
            <w:vAlign w:val="bottom"/>
          </w:tcPr>
          <w:p>
            <w:pPr>
              <w:spacing w:after="0"/>
              <w:rPr>
                <w:sz w:val="19"/>
                <w:szCs w:val="19"/>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1,221,696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1,172,946</w:t>
            </w: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211,068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219,417</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312,947</w:t>
            </w: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1,773,977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1,705,310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1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8"/>
              </w:rPr>
              <w:t>Ordinary Shares — Authorized 700,000 shares; £0.01 par value; 274,657 and 273,773 issued and 143,423 and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100" w:type="dxa"/>
            <w:vAlign w:val="bottom"/>
            <w:gridSpan w:val="2"/>
          </w:tcPr>
          <w:p>
            <w:pPr>
              <w:ind w:left="520"/>
              <w:spacing w:after="0"/>
              <w:rPr>
                <w:sz w:val="20"/>
                <w:szCs w:val="20"/>
                <w:color w:val="auto"/>
              </w:rPr>
            </w:pPr>
            <w:r>
              <w:rPr>
                <w:rFonts w:ascii="Arial" w:cs="Arial" w:eastAsia="Arial" w:hAnsi="Arial"/>
                <w:sz w:val="18"/>
                <w:szCs w:val="18"/>
                <w:color w:val="auto"/>
              </w:rPr>
              <w:t>144,391 outstanding, respectively</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4,410</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3,503,850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3,458,887</w:t>
            </w:r>
          </w:p>
        </w:tc>
      </w:tr>
      <w:tr>
        <w:trPr>
          <w:trHeight w:val="216"/>
        </w:trPr>
        <w:tc>
          <w:tcPr>
            <w:tcW w:w="20" w:type="dxa"/>
            <w:vAlign w:val="bottom"/>
          </w:tcPr>
          <w:p>
            <w:pPr>
              <w:spacing w:after="0"/>
              <w:rPr>
                <w:sz w:val="18"/>
                <w:szCs w:val="18"/>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Treasury stock, at cost 131,234 and 129,382 ordinary shares, respectively</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(4,485,022)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(4,365,124)</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24,098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18,790</w:t>
            </w:r>
          </w:p>
        </w:tc>
      </w:tr>
      <w:tr>
        <w:trPr>
          <w:trHeight w:val="223"/>
        </w:trPr>
        <w:tc>
          <w:tcPr>
            <w:tcW w:w="20" w:type="dxa"/>
            <w:vAlign w:val="bottom"/>
          </w:tcPr>
          <w:p>
            <w:pPr>
              <w:spacing w:after="0"/>
              <w:rPr>
                <w:sz w:val="19"/>
                <w:szCs w:val="19"/>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4,542,424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4,457,107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Amdocs Limited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3,589,769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3,574,070</w:t>
            </w:r>
          </w:p>
        </w:tc>
      </w:tr>
      <w:tr>
        <w:trPr>
          <w:trHeight w:val="223"/>
        </w:trPr>
        <w:tc>
          <w:tcPr>
            <w:tcW w:w="20" w:type="dxa"/>
            <w:vAlign w:val="bottom"/>
          </w:tcPr>
          <w:p>
            <w:pPr>
              <w:spacing w:after="0"/>
              <w:rPr>
                <w:sz w:val="19"/>
                <w:szCs w:val="19"/>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3,627,892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3,574,070</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5,401,869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5,279,380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6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977,711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954,727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643,197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620,834</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68,177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59,990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118,668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124,079</w:t>
            </w:r>
          </w:p>
        </w:tc>
        <w:tc>
          <w:tcPr>
            <w:tcW w:w="0" w:type="dxa"/>
            <w:vAlign w:val="bottom"/>
          </w:tcPr>
          <w:p>
            <w:pPr>
              <w:spacing w:after="0"/>
              <w:rPr>
                <w:sz w:val="1"/>
                <w:szCs w:val="1"/>
                <w:color w:val="auto"/>
              </w:rPr>
            </w:pPr>
          </w:p>
        </w:tc>
      </w:tr>
      <w:tr>
        <w:trPr>
          <w:trHeight w:val="223"/>
        </w:trPr>
        <w:tc>
          <w:tcPr>
            <w:tcW w:w="69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855,568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833,134</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Operating income</w:t>
            </w:r>
          </w:p>
        </w:tc>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122,143</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122,264</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118,830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21,037</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116,873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8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jc w:val="center"/>
        <w:ind w:left="9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$ 116,873</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$ 97,793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(925)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23"/>
        </w:trPr>
        <w:tc>
          <w:tcPr>
            <w:tcW w:w="96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122,181</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$ 85,188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of $357 and $4,504 for the three months ended December 31, 2017 and 2016, respectively.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of $10 and $4 for the three months ended December 31, 2017 and 2016,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116,873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49,237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Gain from short-term interest-bearing investments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(68,797)</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70,632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164,601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168,028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56,698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(53,948)</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(100,970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(119,898)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31,053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Investment by noncontrolling interests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48,123</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(72,458)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(284,295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(154,844)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649,611</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768,660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640,784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613,816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12,162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Amdocs Limited (the “Company”) is a leading provider of software and services for communications, Pay TV, entertainment and media industry service providers, in developed countries and emerging markets. The Company and its subsidiaries operate in one segment, providing integrated products and services. The Company designs, develops, markets, supports, implements and operates customer experience solutions primarily for leading communications, cable and satellite service providers throughout the world.</w:t>
      </w:r>
    </w:p>
    <w:p>
      <w:pPr>
        <w:spacing w:after="0" w:line="18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w:t>
      </w:r>
    </w:p>
    <w:p>
      <w:pPr>
        <w:spacing w:after="0" w:line="17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2017, set forth in the Company’s Annual Report on Form 20-F filed on December 11, 2017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of Summary of Accounting Policies and Contractual Obligations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2017, the Company entered into agreements with Union Investments and Development Limited (“Union”) to partner through a legal entity that is equally owned by the Company and Union for the purpose of acquiring specific land which the Company expects to use as the site for a new campus in Ra’anana, Israel. On January 2, 2018 the Company completed the acquisition of the land. Pursuant to the agreements between the Company and Union, as the Company has control over the construction and ongoing operations of the new campus, the new entity’s financial information is consolidated into the Company’s consolidated financial statements with the portion not owned classified as non-controlling interests. During the three months ended December 31, 2017 the new entity had negligible earnings or losses and, therefore, all of the Company’s net income is attributable to Amdocs Limited. The Company is obligated to construct the campus and to distribute in the future the new entity’s earnings under certain conditions.</w:t>
      </w:r>
    </w:p>
    <w:p>
      <w:pPr>
        <w:spacing w:after="0" w:line="3"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The total net investment the Company expects to make in connection with purchasing of the land and construction of the new campus is estimated to be approximately $350,000 over a period of four to five years, of which approximately $100,000 is expected to be incurred in fiscal year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 to time, certain immaterial amounts in prior year financial statements may be reclassified to conform to the current year presentation.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December 2017, SEC issued Staff Accounting Bulletin No. 118 due to the new tax legislation in the United States (The Tax Cuts and Jobs Act or “The Act”) which allows the Company to record provisional amounts during a measurement period. The Act, which was enacted in December 22, 2017, reduces the US federal corporate tax rate from 35% to 21%, requires companies to pay a one-time transition tax on earnings of certain foreign subsidiaries and creates new taxes on certain foreign sourced earnings. As of December 31, 2017, the Company has not completed its accounting for the tax effects of enactment of the Act and made a reasonable estimate of the effects on its existing deferred tax balances and the one-time transition tax. The Company will continue to make and refine its calculations as additional analysis is completed and as it gains a more thorough understanding of the tax law. See also Note 9.</w:t>
      </w:r>
    </w:p>
    <w:p>
      <w:pPr>
        <w:spacing w:after="0" w:line="16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January 2017, the Financial Accounting Standards Board, or FASB, issued an Accounting Standard Update, or ASU, that revises and narrows the definition of a business and provides a framework that gives entities a basis for making reasonable judgments about whether a transaction involves an asset or a business. This ASU will be effective for the Company with respect to transactions occurring on or after October 1, 2018 and early adoption is permitted.</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October 2016, as part of its simplification initiative aimed at reducing complexity in accounting standards, the FASB issued an ASU, which removes the prohibition in the current authoritative guidance for accounting for income taxes against the immediate recognition of the current and deferred income tax effects of intra-entity transfers of assets other than inventory. The ASU will be effective for the Company on October 1, 2018, and early adoption in the first interim period of a fiscal year is permitted. The Company currently expects adoption of this ASU will not have a material impact on its consolidated financial statements.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August 2016, the FASB issued an ASU that intends to reduce diversity in practice in how certain transactions are classified in the statement of cash flows. The ASU will be effective for the Company on October 1, 2018, and early adoption is permitted. The Company currently expects adoption of this ASU will result in reclassification of certain cash payments of contingent considerations included in acquisition agreements from investing activities to financing activities and will not have a material impact on its statement of cash flows.</w:t>
      </w:r>
    </w:p>
    <w:p>
      <w:pPr>
        <w:spacing w:after="0" w:line="187"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the Company beginning in the first quarter of fiscal year 2021 and earlier adoption by one year is permitted. The Company is currently evaluating the impact of adoption of this ASU on its consolidated financial statements.</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the Company beginning in the first quarter of fiscal year 2020, must be adopted using a modified retrospective method and its early adoption is permitted. The Company is currently evaluating the impact of adoption of this ASU on its consolidated financial statements.</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content of its consolidated financial statements.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May 2014, the FASB issued ASU on revenue from contracts with customers, or the new revenue standard, which outlines a single comprehensive model for entities to use in accounting for revenue arising from contracts with customers. The new revenue standard supersedes most current revenue recognition guidance and will be effective for the Company beginning in the first quarter of fiscal year 2019. The Company developed a transition plan, including changes to policies, processes and internal controls, as well as system enhancements to generate the information necessary for new disclosure requirements and recently completed an initial assessment to identify the potential areas of impact that this new revenue recognition standard will have on its consolidated financial statement. As part of the initial assessment, the Company reviewed a representative sample of its contracts across its various customers and geographies to identify potential differences that could result from applying the requirements of the new standard. Entities have the option of adopting the new revenue standard using either a full retrospective or a modified approach with the cumulative effect of applying the standard recognized at the date of initial application. The Company currently anticipates adopting the new revenue standard using the modified retrospective transition approach, which will result in a cumulative effect adjustment to retained earnings as of October 1, 2018. However, a final decision regarding the adoption method is dependent on several factors, including the completion of the Company’s analysis of the effect the adoption of the new revenue standard will have on its results of operations, financial position and related disclosures.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The Company prospectively adopted this ASU effective October 1, 2017 and as a result did not adjust the prior period amounts that are presented in its consolidated statements of cash flows.</w:t>
      </w:r>
    </w:p>
    <w:p>
      <w:pPr>
        <w:spacing w:after="0" w:line="187" w:lineRule="exact"/>
        <w:rPr>
          <w:sz w:val="20"/>
          <w:szCs w:val="20"/>
          <w:color w:val="auto"/>
        </w:rPr>
      </w:pPr>
    </w:p>
    <w:p>
      <w:pPr>
        <w:ind w:right="420" w:firstLine="456"/>
        <w:spacing w:after="0" w:line="302" w:lineRule="auto"/>
        <w:rPr>
          <w:sz w:val="20"/>
          <w:szCs w:val="20"/>
          <w:color w:val="auto"/>
        </w:rPr>
      </w:pPr>
      <w:r>
        <w:rPr>
          <w:rFonts w:ascii="Arial" w:cs="Arial" w:eastAsia="Arial" w:hAnsi="Arial"/>
          <w:sz w:val="16"/>
          <w:szCs w:val="16"/>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The Company prospectively adopted this ASU effective October 1, 2017. There was no material impact on the Company’s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920" w:right="20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December 31,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94,742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87,704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57,708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47,146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8,448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141,368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242,875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384,243</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(47,406)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(47,406)</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141,368</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275,693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(47,406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369,655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60" w:type="dxa"/>
            <w:vAlign w:val="bottom"/>
            <w:vMerge w:val="restart"/>
          </w:tcPr>
          <w:p>
            <w:pPr>
              <w:jc w:val="right"/>
              <w:ind w:right="117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0"/>
              </w:rPr>
              <w:t>As of September 30, 2017</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98,385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84,363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60,646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47,074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136,867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248,330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385,197</w:t>
            </w: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(21,972)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(21,972)</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136,867</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275,682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(21,972</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390,577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2017. Level 3 amounts relate to certain acquisition-related liabilities, which were valued using a Monte-Carlo simulation model. These liabilities were included in both accrued expenses and other current liabilities and other noncurrent liabilities as of December 31, 2017 and September 30, 2017. $6,746 of the increase in Level 3 liabilities during the three months ended December 31, 2017 was recorded in the consolidated statements of income and the rest of the increase was recorded against goodwill.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2017</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Amortized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95,117</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64</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88,079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87,704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58,047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53,664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53,664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47,311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34,831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34,831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23"/>
        </w:trPr>
        <w:tc>
          <w:tcPr>
            <w:tcW w:w="664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385,579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64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384,243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December 31, 2017, $325,154 of securities were classified as short-term interest-bearing investments and $59,089 of securities were classified as cash and cash equivalents.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2017</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Amortized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98,367</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176</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84,558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84,363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60,794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52,504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47,108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33,448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33,448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23"/>
        </w:trPr>
        <w:tc>
          <w:tcPr>
            <w:tcW w:w="664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385,598</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176</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385,197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2017, $329,997 of securities were classified as short-term interest-bearing investments and $55,200 of securities were classified as cash and cash equivalents.</w:t>
      </w:r>
    </w:p>
    <w:p>
      <w:pPr>
        <w:spacing w:after="0" w:line="17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As of December 31, 2017,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the three months ended December 31, 2017 and 2016. Realized gains and losses on available-for-sale securities are included in earnings and are derived using the first-in-first-out (FIFO) method for determining the cost of securities.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2017, the Company’s available-for-sale securities had the following maturity dates: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106,861</w:t>
            </w: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76,857</w:t>
            </w:r>
          </w:p>
        </w:tc>
        <w:tc>
          <w:tcPr>
            <w:tcW w:w="6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17,886</w:t>
            </w: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6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384,243</w:t>
            </w:r>
          </w:p>
        </w:tc>
        <w:tc>
          <w:tcPr>
            <w:tcW w:w="6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$33,906 as of December 31, 2017. The Company has limited its credit risk by entering into derivative transactions exclusively with investment-grade rated financial institutions and monitors the creditworthiness of these financial institutions on an ongoing basis.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2017. Notional values are in U.S. dollars and are translated and calculated based on forward rates as of December 31, 2017 for forward contracts, and based on spot rates as of December 31, 2017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420" w:type="dxa"/>
            <w:vAlign w:val="bottom"/>
            <w:gridSpan w:val="3"/>
          </w:tcPr>
          <w:p>
            <w:pPr>
              <w:ind w:left="2380"/>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1,265,927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42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as an asset or a liability by the Company on its consolidated balance sheets as of December 31, 2017 and September 30, 2017,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60" w:type="dxa"/>
            <w:vAlign w:val="bottom"/>
            <w:gridSpan w:val="3"/>
          </w:tcPr>
          <w:p>
            <w:pPr>
              <w:ind w:left="5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30,490</w:t>
            </w:r>
          </w:p>
        </w:tc>
        <w:tc>
          <w:tcPr>
            <w:tcW w:w="120" w:type="dxa"/>
            <w:vAlign w:val="bottom"/>
          </w:tcPr>
          <w:p>
            <w:pPr>
              <w:spacing w:after="0"/>
              <w:rPr>
                <w:sz w:val="18"/>
                <w:szCs w:val="18"/>
                <w:color w:val="auto"/>
              </w:rPr>
            </w:pP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33,672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December 31, 2017 is scheduled to mature within the next 12 months.</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months ended December 31, 2017 and 2016, respectively, which partially offsets the foreign currency impact from the underlying exposures, is summarized as follows: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4"/>
          </w:tcPr>
          <w:p>
            <w:pPr>
              <w:jc w:val="center"/>
              <w:ind w:left="139"/>
              <w:spacing w:after="0"/>
              <w:rPr>
                <w:sz w:val="20"/>
                <w:szCs w:val="20"/>
                <w:color w:val="auto"/>
              </w:rPr>
            </w:pPr>
            <w:r>
              <w:rPr>
                <w:rFonts w:ascii="Arial" w:cs="Arial" w:eastAsia="Arial" w:hAnsi="Arial"/>
                <w:sz w:val="14"/>
                <w:szCs w:val="14"/>
                <w:b w:val="1"/>
                <w:bCs w:val="1"/>
                <w:color w:val="auto"/>
                <w:w w:val="89"/>
              </w:rPr>
              <w:t>Gains (Losses) Reclassified from</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left="519"/>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4"/>
          </w:tcPr>
          <w:p>
            <w:pPr>
              <w:jc w:val="center"/>
              <w:ind w:left="139"/>
              <w:spacing w:after="0" w:line="149" w:lineRule="exact"/>
              <w:rPr>
                <w:sz w:val="20"/>
                <w:szCs w:val="20"/>
                <w:color w:val="auto"/>
              </w:rPr>
            </w:pPr>
            <w:r>
              <w:rPr>
                <w:rFonts w:ascii="Arial" w:cs="Arial" w:eastAsia="Arial" w:hAnsi="Arial"/>
                <w:sz w:val="14"/>
                <w:szCs w:val="14"/>
                <w:b w:val="1"/>
                <w:bCs w:val="1"/>
                <w:color w:val="auto"/>
                <w:w w:val="92"/>
              </w:rPr>
              <w:t>Income (loss) (Effective Portion)</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center"/>
              <w:ind w:left="139"/>
              <w:spacing w:after="0"/>
              <w:rPr>
                <w:sz w:val="20"/>
                <w:szCs w:val="20"/>
                <w:color w:val="auto"/>
              </w:rPr>
            </w:pPr>
            <w:r>
              <w:rPr>
                <w:rFonts w:ascii="Arial" w:cs="Arial" w:eastAsia="Arial" w:hAnsi="Arial"/>
                <w:sz w:val="14"/>
                <w:szCs w:val="14"/>
                <w:b w:val="1"/>
                <w:bCs w:val="1"/>
                <w:color w:val="auto"/>
                <w:w w:val="91"/>
              </w:rPr>
              <w:t>Three months ended December 31,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2017</w:t>
            </w:r>
          </w:p>
        </w:tc>
        <w:tc>
          <w:tcPr>
            <w:tcW w:w="1240" w:type="dxa"/>
            <w:vAlign w:val="bottom"/>
          </w:tcPr>
          <w:p>
            <w:pPr>
              <w:spacing w:after="0"/>
              <w:rPr>
                <w:sz w:val="12"/>
                <w:szCs w:val="12"/>
                <w:color w:val="auto"/>
              </w:rPr>
            </w:pPr>
          </w:p>
        </w:tc>
        <w:tc>
          <w:tcPr>
            <w:tcW w:w="840" w:type="dxa"/>
            <w:vAlign w:val="bottom"/>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Revenue</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1200"/>
              <w:spacing w:after="0"/>
              <w:rPr>
                <w:sz w:val="20"/>
                <w:szCs w:val="20"/>
                <w:color w:val="auto"/>
              </w:rPr>
            </w:pPr>
            <w:r>
              <w:rPr>
                <w:rFonts w:ascii="Arial" w:cs="Arial" w:eastAsia="Arial" w:hAnsi="Arial"/>
                <w:sz w:val="18"/>
                <w:szCs w:val="18"/>
                <w:color w:val="auto"/>
              </w:rPr>
              <w:t>(1,129)</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1,761</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1,230</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activity related to the changes in net unrealized gains on cash flow hedges recorded in accumulated other comprehensive income, net of tax, is as follows:</w:t>
      </w:r>
    </w:p>
    <w:p>
      <w:pPr>
        <w:spacing w:after="0" w:line="189"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12,514</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15,701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(10,318)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into earnings, net of tax</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30,741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Net gains (loss) from cash flow hedges recognized in other comprehensive income (loss) were $16,499 and $(14,560), or $15,701 and $(10,318) net of taxes, during the three months ended December 31, 2017 and 2016, respectively.</w:t>
      </w:r>
    </w:p>
    <w:p>
      <w:pPr>
        <w:spacing w:after="0" w:line="170"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income (loss) as of December 31, 2017, a net gain of $27,664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months ended December 31, 2017 and 2016, was not material.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months ended December 31, 2017 and 2016, respectively, which partially offsets the foreign currency impact from the underlying exposure, is summarized as follows:</w:t>
      </w:r>
    </w:p>
    <w:p>
      <w:pPr>
        <w:spacing w:after="0" w:line="200"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Gains (Losses)</w:t>
      </w:r>
    </w:p>
    <w:p>
      <w:pPr>
        <w:jc w:val="center"/>
        <w:ind w:left="6040"/>
        <w:spacing w:after="0" w:line="226" w:lineRule="auto"/>
        <w:rPr>
          <w:sz w:val="20"/>
          <w:szCs w:val="20"/>
          <w:color w:val="auto"/>
        </w:rPr>
      </w:pPr>
      <w:r>
        <w:rPr>
          <w:rFonts w:ascii="Arial" w:cs="Arial" w:eastAsia="Arial" w:hAnsi="Arial"/>
          <w:sz w:val="14"/>
          <w:szCs w:val="14"/>
          <w:b w:val="1"/>
          <w:bCs w:val="1"/>
          <w:color w:val="auto"/>
        </w:rPr>
        <w:t>Recognized in Income</w:t>
      </w:r>
    </w:p>
    <w:p>
      <w:pPr>
        <w:jc w:val="center"/>
        <w:ind w:left="6040"/>
        <w:spacing w:after="0" w:line="232" w:lineRule="auto"/>
        <w:rPr>
          <w:sz w:val="20"/>
          <w:szCs w:val="20"/>
          <w:color w:val="auto"/>
        </w:rPr>
      </w:pPr>
      <w:r>
        <w:rPr>
          <w:rFonts w:ascii="Arial" w:cs="Arial" w:eastAsia="Arial" w:hAnsi="Arial"/>
          <w:sz w:val="14"/>
          <w:szCs w:val="14"/>
          <w:b w:val="1"/>
          <w:bCs w:val="1"/>
          <w:color w:val="auto"/>
        </w:rPr>
        <w:t>Three months ended December 31,</w:t>
      </w: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(expense), net</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(2,204)</w:t>
            </w:r>
          </w:p>
        </w:tc>
        <w:tc>
          <w:tcPr>
            <w:tcW w:w="5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(491)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Accounts Receivable, Net</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6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706,518</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238,304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229,695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(24,885)</w:t>
            </w:r>
          </w:p>
        </w:tc>
        <w:tc>
          <w:tcPr>
            <w:tcW w:w="5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ind w:left="1380"/>
              <w:spacing w:after="0"/>
              <w:rPr>
                <w:sz w:val="20"/>
                <w:szCs w:val="20"/>
                <w:color w:val="auto"/>
              </w:rPr>
            </w:pPr>
            <w:r>
              <w:rPr>
                <w:rFonts w:ascii="Arial" w:cs="Arial" w:eastAsia="Arial" w:hAnsi="Arial"/>
                <w:sz w:val="18"/>
                <w:szCs w:val="18"/>
                <w:color w:val="auto"/>
              </w:rPr>
              <w:t>Accounts receivable, net</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919,937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865,068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560" w:type="dxa"/>
            <w:vAlign w:val="bottom"/>
          </w:tcPr>
          <w:p>
            <w:pPr>
              <w:spacing w:after="0"/>
              <w:rPr>
                <w:sz w:val="10"/>
                <w:szCs w:val="10"/>
                <w:color w:val="auto"/>
              </w:rPr>
            </w:pPr>
          </w:p>
        </w:tc>
        <w:tc>
          <w:tcPr>
            <w:tcW w:w="9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provisions</w:t>
            </w:r>
          </w:p>
        </w:tc>
        <w:tc>
          <w:tcPr>
            <w:tcW w:w="116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218,785</w:t>
            </w:r>
          </w:p>
        </w:tc>
        <w:tc>
          <w:tcPr>
            <w:tcW w:w="5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Taxes payable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36,921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31,558</w:t>
            </w:r>
          </w:p>
        </w:tc>
        <w:tc>
          <w:tcPr>
            <w:tcW w:w="5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5,133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397,467</w:t>
            </w:r>
          </w:p>
        </w:tc>
        <w:tc>
          <w:tcPr>
            <w:tcW w:w="5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ind w:left="1380"/>
              <w:spacing w:after="0"/>
              <w:rPr>
                <w:sz w:val="20"/>
                <w:szCs w:val="20"/>
                <w:color w:val="auto"/>
              </w:rPr>
            </w:pPr>
            <w:r>
              <w:rPr>
                <w:rFonts w:ascii="Arial" w:cs="Arial" w:eastAsia="Arial" w:hAnsi="Arial"/>
                <w:sz w:val="18"/>
                <w:szCs w:val="18"/>
                <w:color w:val="auto"/>
              </w:rPr>
              <w:t>Accrued expenses and other current liabilities</w:t>
            </w:r>
          </w:p>
        </w:tc>
        <w:tc>
          <w:tcPr>
            <w:tcW w:w="11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689,864</w:t>
            </w:r>
          </w:p>
        </w:tc>
        <w:tc>
          <w:tcPr>
            <w:tcW w:w="560" w:type="dxa"/>
            <w:vAlign w:val="bottom"/>
          </w:tcPr>
          <w:p>
            <w:pPr>
              <w:spacing w:after="0"/>
              <w:rPr>
                <w:sz w:val="19"/>
                <w:szCs w:val="19"/>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668,087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4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4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Deferred</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(14,009)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240" w:type="dxa"/>
            <w:vAlign w:val="bottom"/>
            <w:vMerge w:val="restart"/>
          </w:tcPr>
          <w:p>
            <w:pPr>
              <w:jc w:val="right"/>
              <w:ind w:right="23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Foreign taxes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During the three months ended December 31, 2017, as a result of funding decisions for the construction of the Company’s new campus in Israel (see Note 1) the Company recorded a tax benefit of $23,099 related to the release of withholding and income tax reserves for pre-2018 unremitted earnings.</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Foreign taxes in the three months ended December 31, 2017 also included a benefit of $6,130 relating to release of gross unrecognized tax benefits due to conclusions of tax audits and expiration of the periods set forth in statutes of limitations in certain jurisdictions.</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addition, foreign taxes in the three months ended December 31, 2017 included a net benefit of $2,950 relating of changes in tax law in United States. The benefit is attributable to re-evaluation of the Company’s deferred tax assets and liabilities due to the expected lower blended effective U.S. federal tax rate when the assets and liabilities are expected to be utilized, partially offset by the deemed repatriation of foreign income.</w:t>
      </w:r>
    </w:p>
    <w:p>
      <w:pPr>
        <w:spacing w:after="0" w:line="166"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addition, as an indirect consequence to the changes in tax law in the United States the Company no longer makes a permanently reinvest assertion relating to one of its subsidiaries, therefore, a tax liability of $4,059 was recorded related to the tax implications of remitting earnings that were previously asserted as permanently reinvested.</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Foreign taxes in the three months ended December 31, 2017 also included a tax expense of $8,931 resulting from the increase of valuation allowances on deferred tax assets at one of the Company’s subsidiaries, which may not be realized based on the Company’s projections of future taxable income.</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Foreign taxes in the three months ended December 31, 2016 included $5,307 of deferred income tax expense as a result of enacted changes in tax laws or rates. Foreign taxes in the three months ended December 31, 2016 also included a benefit of $7,986 due to conclusions of tax audits in certain jurisdictions, which resulted in a reduction to the Company’s provision for gross unrecognized tax benefits.</w:t>
      </w:r>
    </w:p>
    <w:p>
      <w:pPr>
        <w:spacing w:after="0" w:line="18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As of December 31, 2017, deferred tax assets of $111,231,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$198,489 as of December 31, 2017, all of which would affect the effective tax rate if realized.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2017, the Company had accrued $26,070 in income taxes payable for interest and penalties relating to unrecognized tax benefits.</w:t>
      </w:r>
    </w:p>
    <w:p>
      <w:pPr>
        <w:spacing w:after="0" w:line="248"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Three months ended</w:t>
      </w:r>
    </w:p>
    <w:p>
      <w:pPr>
        <w:jc w:val="center"/>
        <w:ind w:left="65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2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116,873</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Less-net income and dividends attributable to participating restricted shares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115,973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115,979</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143,915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142,807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144,238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w:t>
            </w: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For the three months ended December 31, 2017 and 2016, 478 and 1,695 shares, respectively, on a weighted average basis, were attributable to antidilutive outstanding stock options and therefore were not included in the calculation of diluted earnings per share.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time to time, the Company’s Board of Directors has adopted share repurchase plans authorizing the repurchase of the Company’s outstanding ordinary shares. The Company’s Board of Directors adopted a share repurchase plan, on February 2, 2016, which authorized the repurchase of up to $750,000 of the Company’s outstanding ordinary shares with no expiration date. In the three months ended December 31, 2017, the Company repurchased approximately 1,852 ordinary shares at an average price of $64.72 per share (excluding broker and transaction fees). As of December 31, 2017, the Company had remaining authority to repurchase up to $136,390 of its outstanding ordinary shares under the February, 2016 plan. On November 8, 2017, the Company’s Board of Directors adopted another share repurchase plan for the repurchase of up to an additional $800,000 of the Company’s outstanding ordinary shares with no expiration date. As of December 31, 2017, the November 2017 plan has not yet been utilized by the Company. The plans permit the Company to purchase its ordinary shares in open market or privately negotiated transactions at times and prices that it considers appropriate. As of December 31, 2017, the Company had remaining authority to repurchase up to $936,390 of its outstanding ordinary shares under the plans.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December 2011, the Company entered into a $500,000 five-year revolving credit facility with a syndicate of banks. In December 2014 and in December 2017, the credit facility was amended and restated to, among other things, extend the maturity date of the facility to December 2019 and December 2022, respectively. As of December 31, 2017, the Company was in compliance with the financial covenants under the revolving credit facility and had no outstanding borrowings under this facility.</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December 31, 2017, the Company had additional uncommitted lines of credit available for general corporate and other specific purposes and had outstanding letters of credit and bank guarantees from various banks totaling $50,476. These were supported by a combination of the uncommitted lines of credit that the Company maintains with various banks.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Awards granted under the Equity Incentive Plan generally vest over a period of four years and stock options have a term of ten years.</w:t>
      </w:r>
    </w:p>
    <w:p>
      <w:pPr>
        <w:spacing w:after="0" w:line="15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During the three months ended December 31, 2017, the Company granted 217 restricted shares and options to purchase 737 ordinary shares. The weighted average fair values associated with these grants were $62.57 per restricted share and $7.56 per 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months ended December 31, 2017 and 2016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520" w:type="dxa"/>
            <w:vAlign w:val="bottom"/>
            <w:tcBorders>
              <w:top w:val="single" w:sz="8" w:color="auto"/>
            </w:tcBorders>
            <w:gridSpan w:val="3"/>
          </w:tcPr>
          <w:p>
            <w:pPr>
              <w:ind w:left="6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6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6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13,505</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14,261</w:t>
            </w:r>
          </w:p>
        </w:tc>
        <w:tc>
          <w:tcPr>
            <w:tcW w:w="6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As of December 31, 2017, there was $52,971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three months ended December 31, 2017 and 2016:</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94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920" w:type="dxa"/>
            <w:vAlign w:val="bottom"/>
          </w:tcPr>
          <w:p>
            <w:pPr>
              <w:spacing w:after="0"/>
              <w:rPr>
                <w:sz w:val="14"/>
                <w:szCs w:val="14"/>
                <w:color w:val="auto"/>
              </w:rPr>
            </w:pPr>
          </w:p>
        </w:tc>
        <w:tc>
          <w:tcPr>
            <w:tcW w:w="1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14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8, 2017</w:t>
            </w: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0.220</w:t>
            </w:r>
          </w:p>
        </w:tc>
        <w:tc>
          <w:tcPr>
            <w:tcW w:w="9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29, 2017</w:t>
            </w: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31,558</w:t>
            </w:r>
          </w:p>
        </w:tc>
        <w:tc>
          <w:tcPr>
            <w:tcW w:w="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19, 2018</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November 8, 2016</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0.195</w:t>
            </w:r>
          </w:p>
        </w:tc>
        <w:tc>
          <w:tcPr>
            <w:tcW w:w="9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30, 2016</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28,606</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January 13, 2017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amounts payable as a result of the November 8, 2017 and November 8, 2016 declarations were included in accrued expenses and other current liabilities as of December 31, 2017 and 2016, respectively.</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30, 2018, the Company’s Board of Directors approved the next quarterly dividend payment and set March 30, 2018 as the record date for determining the shareholders entitled to receive the dividend, which is payable on April 20, 2018. On January 26, 2018, at the annual general meeting of shareholders, the Company’s shareholders approved an increase in the rate of the quarterly cash dividend from $0.22 per share to $0.25 per share. As a result, the April 20, 2018 cash dividend will be paid at the increased rate of $0.25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is currently defending a lawsuit against certain of its subsidiaries in the U.S. District Court in Oregon alleging breach of contract and trade secret misappropriation. According to the suit, the Company improperly utilized information received from the plaintiff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will continue. The Company intends to continue to vigorously defend against the allegations set forth in the complaint. At this stage, the Company cannot determine that a loss amount is probable and is unable to reasonably estimate the ultimate outcome of the above suit, therefore no amounts have been accrued related to the outcome of such suit.</w:t>
      </w:r>
    </w:p>
    <w:p>
      <w:pPr>
        <w:spacing w:after="0" w:line="1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Certain of the Company’s subsidiaries are currently in a dispute with a state-owned enterprise in Ecuador, which appears to have political aspects. The Company’s counterparty has claimed monetary damages. The dispute is over a contract, under which the Company was providing certain services, and which has been terminated by the counterparty in connection with such dispute and which is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As previously announced, on January 30, 2018, the Company entered into a definitive agreement to acquire Vubiquity for approximately $224,000 in cash, subject to customary closing conditions. The transaction is expected to be completed by the end of the second quarter of fiscal 2018. Vubiquity is a leading provider of premium content services and technology solutions. The combination of Vubiquity’s expertise across the content ecosystem and the Company’s proven, scalable solutions will enable customers to quickly improve entertainment offerings and maximize revenues while gaining increased customer insights from content consumption.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2017, filed on December 11, 2017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Amdocs is a leading provider of software and services for more than 350 communications, Pay TV, entertainment and media industry service providers in developed countries and emerging markets. We develop, implement and manage software and services associated with business support systems (BSS), operational support systems (OSS), the service-driven network and other network solutions, entertainment offerings and digital solutions to enable service providers to efficiently and cost-effectively introduce new products and services, process orders, monetize data, support new business models and generally enhance their understanding of their customers. We refer to these products, systems and services collectively as customer experience solutions (CES) because of the crucial impact they have on the service providers’ end-user experience.</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believe the demand for our customer experience solutions is driven by our clients continued transformation into digital service providers to provide wireless access services, content and apps on any device through 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interaction and across all channels.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Amdocs CES portfolio and new cloud-native offerings of open pre-integrated software products is designed to allow modular expansion as a service provider evolves, ensuring rapid, low-cost and reduced-risk implementations. In the fourth quarter of fiscal 2017, we released Amdocs CES 10.2, a cloud portfolio release which empowers business and product marketers to define new services and rapidly launch new customer offers, intelligently engage with customers and resolve their care inquiries virtually or shift seamlessly from virtual agents to human live channels, and manage hybrid networks. In the third quarter of fiscal 2017, Amdocs released Amdocs Optima 4.2, delivering multi-tenancy, end-user self-care and care portals and shopping cart and identity management infrastructures.</w:t>
      </w:r>
    </w:p>
    <w:p>
      <w:pPr>
        <w:spacing w:after="0" w:line="193"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also offer entertainment and media products and services for media publishers, TV networks, video streaming providers, ad agencies and advertising service providers.</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also offer a comprehensive line of services designed to address every stage of a service provider’s lifecycle, from planning, delivery and implementation to ongoing support. Our services include managed services (which we refer to as intelligent operations), testing, digital business operations, revenue guard, personalized digital interactive billing services, network service assurance and advisory services.</w:t>
      </w:r>
    </w:p>
    <w:p>
      <w:pPr>
        <w:sectPr>
          <w:pgSz w:w="11900" w:h="16838" w:orient="portrait"/>
          <w:cols w:equalWidth="0" w:num="1">
            <w:col w:w="11420"/>
          </w:cols>
          <w:pgMar w:left="240" w:top="459" w:right="239" w:bottom="1440" w:gutter="0" w:footer="0" w:header="0"/>
        </w:sectPr>
      </w:pPr>
    </w:p>
    <w:bookmarkStart w:id="19" w:name="page20"/>
    <w:bookmarkEnd w:id="19"/>
    <w:p>
      <w:pPr>
        <w:ind w:firstLine="456"/>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entertainment and media industry. In the three months ended December 31, 2017, customers in North America accounted for 65.8% of our revenue, while customers in Europe and the rest of the world accounted for 13.7% and 20.5%, respectively. We maintain development facilities in Brazil, Canada, Cyprus, India, Ireland, Israel, Mexico, the Philippines, the UK and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00" w:right="5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7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Revenue generated in connection with managed services arrangements is a significant part of our business, generating substantial, long-term recurring revenue streams and cash flow. Revenue from managed services arrangements accounted for approximately $518.7 million and $494.2 million in the three months ended December 31, 2017 and 2016, respectively. In the initial period of our managed services projects, we often invest in modernization and consolidation of the customer’s systems. Managed services engagements can be less profitable in their early stages; however, margins tend to improve over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for the three months ended December 31, 2017 and 2016, certain items in our consolidated statements of income reflected as a percentage of revenue:</w:t>
      </w:r>
    </w:p>
    <w:p>
      <w:pPr>
        <w:spacing w:after="0" w:line="189"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 ended</w:t>
      </w:r>
    </w:p>
    <w:p>
      <w:pPr>
        <w:jc w:val="center"/>
        <w:ind w:left="67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24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Arial" w:cs="Arial" w:eastAsia="Arial" w:hAnsi="Arial"/>
                <w:sz w:val="18"/>
                <w:szCs w:val="18"/>
                <w:color w:val="auto"/>
                <w:w w:val="89"/>
              </w:rPr>
              <w:t>Amortization of purchased intangible assets and other</w:t>
            </w:r>
          </w:p>
        </w:tc>
        <w:tc>
          <w:tcPr>
            <w:tcW w:w="27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income</w:t>
            </w:r>
          </w:p>
        </w:tc>
        <w:tc>
          <w:tcPr>
            <w:tcW w:w="27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5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5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7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700" w:type="dxa"/>
            <w:vAlign w:val="bottom"/>
            <w:vMerge w:val="restart"/>
          </w:tcPr>
          <w:p>
            <w:pPr>
              <w:jc w:val="right"/>
              <w:ind w:right="2430"/>
              <w:spacing w:after="0"/>
              <w:rPr>
                <w:sz w:val="20"/>
                <w:szCs w:val="20"/>
                <w:color w:val="auto"/>
              </w:rPr>
            </w:pPr>
            <w:r>
              <w:rPr>
                <w:rFonts w:ascii="Arial" w:cs="Arial" w:eastAsia="Arial" w:hAnsi="Arial"/>
                <w:sz w:val="18"/>
                <w:szCs w:val="18"/>
                <w:color w:val="auto"/>
                <w:w w:val="79"/>
              </w:rPr>
              <w:t>21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240" w:top="459" w:right="8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2017 and 2016</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2017 compared to the three months ended December 31, 2016. Following the table is a discussion and analysis of our business and results of operations for such periods.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1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14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$ 977,711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954,727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643,197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620,834</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22,363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68,177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59,990</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8,187</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118,668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124,079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700" w:type="dxa"/>
            <w:vAlign w:val="bottom"/>
          </w:tcPr>
          <w:p>
            <w:pPr>
              <w:jc w:val="right"/>
              <w:spacing w:after="0"/>
              <w:rPr>
                <w:sz w:val="20"/>
                <w:szCs w:val="20"/>
                <w:color w:val="auto"/>
              </w:rPr>
            </w:pPr>
            <w:r>
              <w:rPr>
                <w:rFonts w:ascii="Arial" w:cs="Arial" w:eastAsia="Arial" w:hAnsi="Arial"/>
                <w:sz w:val="18"/>
                <w:szCs w:val="18"/>
                <w:color w:val="auto"/>
              </w:rPr>
              <w:t>25,526</w:t>
            </w:r>
          </w:p>
        </w:tc>
        <w:tc>
          <w:tcPr>
            <w:tcW w:w="1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28,231</w:t>
            </w:r>
          </w:p>
        </w:tc>
        <w:tc>
          <w:tcPr>
            <w:tcW w:w="4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(2,705)</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833,134</w:t>
            </w: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22,434</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Operating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122,143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121,593</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(2,763)</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2,884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(104.4)</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118,830</w:t>
            </w:r>
          </w:p>
        </w:tc>
        <w:tc>
          <w:tcPr>
            <w:tcW w:w="4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21,037</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(15,646)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116,873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97,793</w:t>
            </w:r>
          </w:p>
        </w:tc>
        <w:tc>
          <w:tcPr>
            <w:tcW w:w="4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19,080</w:t>
            </w:r>
          </w:p>
        </w:tc>
        <w:tc>
          <w:tcPr>
            <w:tcW w:w="4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$23.0 million, or 2.4%, to $977.7 million in the three months ended December 31, 2017, from $954.7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December 31, 2016. The increase in revenue was attributable to increased activity in North America and Europe partially offset by lower revenue from the rest of the world. Approximately half of the increase in revenue was attributable to positive foreign exchange fluctuations.</w:t>
      </w:r>
    </w:p>
    <w:p>
      <w:pPr>
        <w:spacing w:after="0" w:line="147" w:lineRule="exact"/>
        <w:rPr>
          <w:sz w:val="20"/>
          <w:szCs w:val="20"/>
          <w:color w:val="auto"/>
        </w:rPr>
      </w:pPr>
    </w:p>
    <w:p>
      <w:pPr>
        <w:jc w:val="both"/>
        <w:ind w:right="300" w:firstLine="456"/>
        <w:spacing w:after="0" w:line="302" w:lineRule="auto"/>
        <w:rPr>
          <w:sz w:val="20"/>
          <w:szCs w:val="20"/>
          <w:color w:val="auto"/>
        </w:rPr>
      </w:pPr>
      <w:r>
        <w:rPr>
          <w:rFonts w:ascii="Arial" w:cs="Arial" w:eastAsia="Arial" w:hAnsi="Arial"/>
          <w:sz w:val="16"/>
          <w:szCs w:val="16"/>
          <w:color w:val="auto"/>
        </w:rPr>
        <w:t>Revenue attributable to the sale of customer experience solutions increased by $28.0 million, or 3.0%, to $965.9 million in the three months ended December 31, 2017, from $937.9 million in the three months ended December 31, 2016. The increase in revenue was attributable to increased activity in North America and Europe partially offset by lower revenue from the rest of the world. Revenue resulting from the sale of customer experience solutions represented 98.8% and 98.2% of our total revenue in the three months ended December 31, 2017 and 2016, respectively.</w:t>
      </w:r>
    </w:p>
    <w:p>
      <w:pPr>
        <w:spacing w:after="0" w:line="154"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Revenue attributable to the sale of directory systems decreased by $5.0 million, or 29.8%, to $11.8 million in the three months ended December 31, 2017, from $16.8 million in the three months ended December 31, 2016. This decrease was primarily attributable to continued slowness in the directory systems market and we anticipate revenue from the sale of directory systems will continue to decline in fiscal year 2018. Revenue from the sale of directory systems represented 1.2% and 1.8% of our total revenue in the three months ended December 31, 2017 and 2016, respectively.</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three months ended December 31, 2017, revenue from customers in North America, Europe and the rest of the world accounted for 65.8%, 13.7% and 20.5%, respectively, of total revenue, compared to 65.8%, 12.4% and 21.8%, respectively, in the three months ended December 31, 2016. The percentage of revenue from customers in North America remained flat as revenue from customers in North America increased during the three months ended December 31, 2017 at a lower rate than total revenue. This was mainly due to the lower activity with AT&amp;T which was offset by higher revenue from other key customers in North America. The increase in revenue from customers in Europe was primarily attributable to higher revenue from development and modernization activities as well as to positive foreign exchange fluctuations. The decrease in revenue from customers in the rest of the world as a percentage of total revenue was mainly attributable to lower revenue related to fluctuating level of activity from transformation and implementation projects.</w:t>
      </w:r>
    </w:p>
    <w:p>
      <w:pPr>
        <w:spacing w:after="0" w:line="16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of third-party products, as well as fee and royalty payments to software suppliers. Cost of revenue increased by $22.4 million, or 3.6%, to</w:t>
      </w:r>
    </w:p>
    <w:p>
      <w:pPr>
        <w:ind w:right="40"/>
        <w:spacing w:after="0" w:line="254" w:lineRule="auto"/>
        <w:rPr>
          <w:sz w:val="20"/>
          <w:szCs w:val="20"/>
          <w:color w:val="auto"/>
        </w:rPr>
      </w:pPr>
      <w:r>
        <w:rPr>
          <w:rFonts w:ascii="Arial" w:cs="Arial" w:eastAsia="Arial" w:hAnsi="Arial"/>
          <w:sz w:val="18"/>
          <w:szCs w:val="18"/>
          <w:color w:val="auto"/>
        </w:rPr>
        <w:t>$643.2 million in the three months ended December 31, 2017, from $620.8 million in the three months ended December 31, 2016. As a percentage of revenue, cost of revenue increased to 65.8% in the three months ended December 31, 2017, from 65.0% in the three months ended December 31, 2016. The decrease in the gross margin in the three months ended December 31, 2017 was primarily attributable to a loss resulting from changes in fair value of certain acquisition-related liabilities recognized in the three months ended December 31, 2017.</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$8.2 million, or 13.6%, to $68.2 million in the three months ended December 31, 2017, from $60.0 million in the three months ended December 31, 2016. Research and development expense increased as a percentage of revenue from 6.3% in the three months ended December 31, 2016, to</w:t>
      </w:r>
    </w:p>
    <w:p>
      <w:pPr>
        <w:ind w:right="40"/>
        <w:spacing w:after="0" w:line="254" w:lineRule="auto"/>
        <w:rPr>
          <w:sz w:val="20"/>
          <w:szCs w:val="20"/>
          <w:color w:val="auto"/>
        </w:rPr>
      </w:pPr>
      <w:r>
        <w:rPr>
          <w:rFonts w:ascii="Arial" w:cs="Arial" w:eastAsia="Arial" w:hAnsi="Arial"/>
          <w:sz w:val="18"/>
          <w:szCs w:val="18"/>
          <w:color w:val="auto"/>
        </w:rPr>
        <w:t>7.0% in the three months ended December 31, 2017 as we continue to expand our digital offering.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9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which is primarily comprised of compensation expense, decreased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$5.4 million, or 4.4%, to $118.7 million in the three months ended December 31, 2017, from $124.1 million in the three months ended December 31, 2016. The decrease in selling, general and administrative expense was primarily attributable to lower general and administrative expense incurred during the three months ended December 31, 2017. Selling, general and administrative expense may fluctuate from time to time, depending upon such factors as changes in our workforce and sales efforts and the results of any operational efficiency programs that we may undertake.</w:t>
      </w:r>
    </w:p>
    <w:p>
      <w:pPr>
        <w:spacing w:after="0" w:line="173" w:lineRule="exact"/>
        <w:rPr>
          <w:sz w:val="20"/>
          <w:szCs w:val="20"/>
          <w:color w:val="auto"/>
        </w:rPr>
      </w:pPr>
    </w:p>
    <w:p>
      <w:pPr>
        <w:ind w:right="8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decreased by $2.7 million to $25.5 million from $28.2 million in the three months ended December 31, 2016. The decrease in amortization of purchased intangible assets and other was primarily attributable to a decrease in amortization of intangible assets due to timing of amortization charges of previously purchased intangible assets.</w:t>
      </w:r>
    </w:p>
    <w:p>
      <w:pPr>
        <w:spacing w:after="0" w:line="18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$0.6 million, or 0.5%, in the three months ended December 31, 2017, to $122.1 million, or 12.5%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from $121.6 million, or 12.7% of revenue, in the three months ended December 31, 2016. Positive foreign exchange impacts on our revenue were partially offset by the negative foreign exchange impacts on our operating expense, resulting in a minor negative impact on our operating income.</w:t>
      </w:r>
    </w:p>
    <w:p>
      <w:pPr>
        <w:spacing w:after="0" w:line="14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income (Expense), Net. </w:t>
      </w:r>
      <w:r>
        <w:rPr>
          <w:rFonts w:ascii="Arial" w:cs="Arial" w:eastAsia="Arial" w:hAnsi="Arial"/>
          <w:sz w:val="18"/>
          <w:szCs w:val="18"/>
          <w:color w:val="auto"/>
        </w:rPr>
        <w:t>Interest and other income (expense), net, changed from a net loss of $2.8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to a net gain of $0.1 million in the three months ended December 31, 2017. The increase in interest and other income (expense), net, was primarily attributable to foreign exchange impacts.</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December 31, 2017 were $5.4 million on pre-tax income of $122.3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4.4%, compared to 17.7% in the three months ended December 31, 2016. Our effective tax rate may fluctuate between periods as a result of discrete items that may affect a particular period. Please see Note 9 to our consolidated financial statements.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 by $19.1 million, or 19.5%, to $116.9 million in the three months ended December 31, 2017, from $97.8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December 31, 2016. The increase in net income was primarily attributable to the decrease in income taxes coupled with the changes in interest and other income (expense), net.</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$0.14 from the three months ended December 31, 2016 to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The increase in diluted earnings per share was attributable to the increase in net income, and, to a lesser extent, the decrease in the diluted weighted average number of shares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Cash, Cash Equivalents and Short-Term Interest-Bearing Investments. </w:t>
      </w:r>
      <w:r>
        <w:rPr>
          <w:rFonts w:ascii="Arial" w:cs="Arial" w:eastAsia="Arial" w:hAnsi="Arial"/>
          <w:sz w:val="18"/>
          <w:szCs w:val="18"/>
          <w:color w:val="auto"/>
        </w:rPr>
        <w:t>Cash, cash equivalents and short-term interest-bearing investments,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$965.9 million as of December 31, 2017, compared to $979.6 million as of September 30, 2017. The decrease was mainly attributable to $119.9 million repurchase of our ordinary shares, $53.9 million acquisition payment, $51.8 million for capital expenditures and $31.7 million of cash dividend payment, partially offset by $164.6 million in positive cash flow from operations, $31.1 million of proceeds from stock option exercises and $48.1 million of proceeds from noncontrolling interests. Net cash provided by operating activities amounted to $164.6 million and $168.0 million in the three months ended December 31, 2017 and 2016,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twelve months.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In fiscal year 2018, we plan to return to shareholders approximately 100% of our free cash flow before the capital expenditures associated with the multiyear development of our new campus in Israel, through our ongoing share repurchase and dividend program.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6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bank deposits, corporate bonds, U.S. government treasuries, U.S. agency securities, money market funds and asset backed obligations. We believe we have conservative investment policy guidelines. Our interest-bearing investments are stated at fair value with the unrealized gains or losses reported as a separate component of accumulated other comprehensive income (loss),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2017 and 2016, we did not recognize any credit losses. Please see Notes 4 and 5 to the consolidated financial statements.</w:t>
      </w:r>
    </w:p>
    <w:p>
      <w:pPr>
        <w:spacing w:after="0" w:line="16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 </w:t>
      </w:r>
      <w:r>
        <w:rPr>
          <w:rFonts w:ascii="Arial" w:cs="Arial" w:eastAsia="Arial" w:hAnsi="Arial"/>
          <w:sz w:val="17"/>
          <w:szCs w:val="17"/>
          <w:color w:val="auto"/>
        </w:rPr>
        <w:t>In December 2011, we entered into an unsecured $500.0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five-year revolving credit facility with a syndicate of banks. In December 2014 and in December 2017, the credit facility was amended and restated to, among other things, extend the maturity date of the facility to December 2019 and December 2022, respectively. As of December 31, 2017, we were in compliance with the financial covenants under the revolving credit facility and had no outstanding borrowings under this facility.</w:t>
      </w:r>
    </w:p>
    <w:p>
      <w:pPr>
        <w:spacing w:after="0" w:line="17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December 31, 2017, we had additional uncommitted lines of credit available for general corporate and other specific purposes and had outstanding letters of credit and bank guarantees from various banks totaling $50.4 million. These were supported by a combination of the uncommitted lines of credit that we maintain with various banks.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2017, filed on December 12, 2017 with the SEC. Since September 30, 2017, there have been no material changes in our aggregate contractual obligations other than as set forth in Note 1 to our consolidated financial statements.</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Generally, 80% to 90% of our capital expenditures (excluding the investment in our new campus in Israel) consist of purchases</w:t>
      </w:r>
      <w:r>
        <w:rPr>
          <w:rFonts w:ascii="Arial" w:cs="Arial" w:eastAsia="Arial" w:hAnsi="Arial"/>
          <w:sz w:val="16"/>
          <w:szCs w:val="16"/>
          <w:i w:val="1"/>
          <w:iCs w:val="1"/>
          <w:color w:val="auto"/>
        </w:rPr>
        <w:t xml:space="preserve"> </w:t>
      </w:r>
      <w:r>
        <w:rPr>
          <w:rFonts w:ascii="Arial" w:cs="Arial" w:eastAsia="Arial" w:hAnsi="Arial"/>
          <w:sz w:val="16"/>
          <w:szCs w:val="16"/>
          <w:color w:val="auto"/>
        </w:rPr>
        <w:t>of computer equipment, and the remainder is attributable mainly to leasehold improvements. Our capital expenditures were approximately $51.8 million in the three months ended December 31, 2017 and were mainly attributable to investments in our operating facilities and our development centers around the world. Our policy is to fund our capital expenditures from operating cash flows and we do not anticipate any changes to this policy in the foreseeable future. Regarding our expected investment in our new Campus in Israel. Please see Note 1 to our consolidated financial statements.</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From time to time, our Board of Directors has adopted share repurchase plans authorizing the repurchase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Our Board of Directors adopted a share repurchase plan, on February 2, 2016, which authorized the repurchase of up to $750.0 million of our outstanding ordinary shares with no expiration date. In the three months ended December 31, 2017, we repurchased approximately 1.85 million ordinary shares at an average price of $64.72 per share (excluding broker and transaction fees). As of December 31, 2017, we had remaining authority to repurchase up to $136.4 million of our outstanding ordinary shares under the February 2016 plan. On November 8, 2017, our Board of Directors adopted another share repurchase plan for the repurchase of up to an additional $800.0 million of our outstanding ordinary shares with no expiration date. As of December 31, 2017, the November 2017 plan has not yet been utilized. The plans permit us to purchase our ordinary shares in open market or privately negotiated transactions at times and prices that we consider appropriate. As of December 31, 2017, we had remaining authority to repurchase up to $936.4 of our outstanding ordinary shares under the plans.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three months ended December 31, 2017 and 2016:</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860" w:type="dxa"/>
            <w:vAlign w:val="bottom"/>
          </w:tcPr>
          <w:p>
            <w:pPr>
              <w:spacing w:after="0"/>
              <w:rPr>
                <w:sz w:val="14"/>
                <w:szCs w:val="14"/>
                <w:color w:val="auto"/>
              </w:rPr>
            </w:pP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8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14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8, 2017</w:t>
            </w:r>
          </w:p>
        </w:tc>
        <w:tc>
          <w:tcPr>
            <w:tcW w:w="8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0.220</w:t>
            </w:r>
          </w:p>
        </w:tc>
        <w:tc>
          <w:tcPr>
            <w:tcW w:w="9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29, 2017</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31.6</w:t>
            </w:r>
          </w:p>
        </w:tc>
        <w:tc>
          <w:tcPr>
            <w:tcW w:w="4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19, 2018</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November 8, 2016</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0.195</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December 30, 2016</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28.6</w:t>
            </w: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January 14, 2017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30, 2018, our Board of Directors approved the next quarterly dividend payment and set March 30, 2018 as the record date for determining the shareholders entitled to receive the dividend, which is payable on April 20, 2018. On January 26, 2018, at the annual general meeting of shareholders, our shareholders approved an increase in the rate of the quarterly cash dividend from $0.22 per share to $0.25 per share. As a result, the April 20, 2018 cash dividend will be paid at the increased rate of $0.25 per share.</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During the three months ended December 31, 2017 and 2016,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2017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280" w:type="dxa"/>
            <w:vAlign w:val="bottom"/>
          </w:tcPr>
          <w:p>
            <w:pPr>
              <w:spacing w:after="0"/>
              <w:rPr>
                <w:sz w:val="12"/>
                <w:szCs w:val="12"/>
                <w:color w:val="auto"/>
              </w:rPr>
            </w:pPr>
          </w:p>
        </w:tc>
        <w:tc>
          <w:tcPr>
            <w:tcW w:w="12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280" w:type="dxa"/>
            <w:vAlign w:val="bottom"/>
          </w:tcPr>
          <w:p>
            <w:pPr>
              <w:spacing w:after="0"/>
              <w:rPr>
                <w:sz w:val="12"/>
                <w:szCs w:val="12"/>
                <w:color w:val="auto"/>
              </w:rPr>
            </w:pPr>
          </w:p>
        </w:tc>
        <w:tc>
          <w:tcPr>
            <w:tcW w:w="12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940" w:type="dxa"/>
            <w:vAlign w:val="bottom"/>
            <w:gridSpan w:val="2"/>
            <w:vMerge w:val="restart"/>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Average Price</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Announced Plans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94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Paid per Share(1)</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or Programs(2)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3940" w:type="dxa"/>
            <w:vAlign w:val="bottom"/>
            <w:tcBorders>
              <w:top w:val="single" w:sz="8" w:color="CCEEFF"/>
            </w:tcBorders>
            <w:gridSpan w:val="2"/>
            <w:shd w:val="clear" w:color="auto" w:fill="CCEEFF"/>
          </w:tcPr>
          <w:p>
            <w:pPr>
              <w:spacing w:after="0" w:line="20" w:lineRule="exact"/>
              <w:rPr>
                <w:sz w:val="1"/>
                <w:szCs w:val="1"/>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336,221</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ind w:left="580"/>
              <w:spacing w:after="0"/>
              <w:rPr>
                <w:sz w:val="20"/>
                <w:szCs w:val="20"/>
                <w:color w:val="auto"/>
              </w:rPr>
            </w:pPr>
            <w:r>
              <w:rPr>
                <w:rFonts w:ascii="Arial" w:cs="Arial" w:eastAsia="Arial" w:hAnsi="Arial"/>
                <w:sz w:val="18"/>
                <w:szCs w:val="18"/>
                <w:color w:val="auto"/>
                <w:w w:val="84"/>
              </w:rPr>
              <w:t>65.43</w:t>
            </w: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336,221</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234,261,338</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43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10/01/17-10/31/17</w:t>
            </w:r>
          </w:p>
        </w:tc>
        <w:tc>
          <w:tcPr>
            <w:tcW w:w="10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11/01/17-11/30/17</w:t>
            </w:r>
          </w:p>
        </w:tc>
        <w:tc>
          <w:tcPr>
            <w:tcW w:w="1040" w:type="dxa"/>
            <w:vAlign w:val="bottom"/>
          </w:tcPr>
          <w:p>
            <w:pPr>
              <w:jc w:val="right"/>
              <w:spacing w:after="0"/>
              <w:rPr>
                <w:sz w:val="20"/>
                <w:szCs w:val="20"/>
                <w:color w:val="auto"/>
              </w:rPr>
            </w:pPr>
            <w:r>
              <w:rPr>
                <w:rFonts w:ascii="Arial" w:cs="Arial" w:eastAsia="Arial" w:hAnsi="Arial"/>
                <w:sz w:val="18"/>
                <w:szCs w:val="18"/>
                <w:color w:val="auto"/>
              </w:rPr>
              <w:t>748,489</w:t>
            </w:r>
          </w:p>
        </w:tc>
        <w:tc>
          <w:tcPr>
            <w:tcW w:w="26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63.87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748,489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986,452,363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12/01/17-12/31/17</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767,411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65.24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767,411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936,389,892</w:t>
            </w:r>
          </w:p>
        </w:tc>
        <w:tc>
          <w:tcPr>
            <w:tcW w:w="0" w:type="dxa"/>
            <w:vAlign w:val="bottom"/>
          </w:tcPr>
          <w:p>
            <w:pPr>
              <w:spacing w:after="0"/>
              <w:rPr>
                <w:sz w:val="1"/>
                <w:szCs w:val="1"/>
                <w:color w:val="auto"/>
              </w:rPr>
            </w:pPr>
          </w:p>
        </w:tc>
      </w:tr>
      <w:tr>
        <w:trPr>
          <w:trHeight w:val="223"/>
        </w:trPr>
        <w:tc>
          <w:tcPr>
            <w:tcW w:w="482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1,852,121</w:t>
            </w:r>
          </w:p>
        </w:tc>
        <w:tc>
          <w:tcPr>
            <w:tcW w:w="26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64.72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1,852,121</w:t>
            </w:r>
          </w:p>
        </w:tc>
        <w:tc>
          <w:tcPr>
            <w:tcW w:w="2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936,389,892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460" w:hanging="452"/>
        <w:spacing w:after="0" w:line="273"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February 2016, our Board of Directors adopted a share repurchase plan authorizing the repurchase of up to $750.0 million of our outstanding ordinary shares. On November 8, 2017, our Board of Directors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we consider appropriate.</w:t>
      </w:r>
    </w:p>
    <w:p>
      <w:pPr>
        <w:spacing w:after="0" w:line="3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2017:</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November 9,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December 6,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December 20, 2017</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240" w:top="459" w:right="5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2019-12-06T12:15:23Z</dcterms:created>
  <dcterms:modified xsi:type="dcterms:W3CDTF">2019-12-06T12:15:23Z</dcterms:modified>
</cp:coreProperties>
</file>