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WASHINGTON, D.C. 20549</w:t>
      </w:r>
    </w:p>
    <w:p>
      <w:pPr>
        <w:spacing w:after="0" w:line="77"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-144145</wp:posOffset>
            </wp:positionV>
            <wp:extent cx="136906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9060" cy="6350"/>
                    </a:xfrm>
                    <a:prstGeom prst="rect">
                      <a:avLst/>
                    </a:prstGeom>
                    <a:noFill/>
                  </pic:spPr>
                </pic:pic>
              </a:graphicData>
            </a:graphic>
          </wp:anchor>
        </w:drawing>
      </w:r>
    </w:p>
    <w:p>
      <w:pPr>
        <w:spacing w:after="0" w:line="34" w:lineRule="exact"/>
        <w:rPr>
          <w:sz w:val="20"/>
          <w:szCs w:val="20"/>
          <w:color w:val="auto"/>
        </w:rPr>
      </w:pPr>
    </w:p>
    <w:p>
      <w:pPr>
        <w:ind w:left="5640" w:right="3980" w:hanging="5296"/>
        <w:spacing w:after="0" w:line="316" w:lineRule="auto"/>
        <w:tabs>
          <w:tab w:leader="none" w:pos="563"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REGISTRATION STATEMENT PURSUANT TO SECTION 12(b) OR(g) OF THE SECURITIES EXCHANGE ACT OF 1934 OR</w:t>
      </w:r>
    </w:p>
    <w:p>
      <w:pPr>
        <w:spacing w:after="0" w:line="20" w:lineRule="exact"/>
        <w:rPr>
          <w:sz w:val="20"/>
          <w:szCs w:val="20"/>
          <w:color w:val="auto"/>
        </w:rPr>
      </w:pPr>
    </w:p>
    <w:p>
      <w:pPr>
        <w:ind w:left="560" w:hanging="216"/>
        <w:spacing w:after="0"/>
        <w:tabs>
          <w:tab w:leader="none" w:pos="5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4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For the fiscal year ended September 30, 2009</w:t>
      </w:r>
    </w:p>
    <w:p>
      <w:pPr>
        <w:spacing w:after="0" w:line="5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OR</w:t>
      </w:r>
    </w:p>
    <w:p>
      <w:pPr>
        <w:spacing w:after="0" w:line="53" w:lineRule="exact"/>
        <w:rPr>
          <w:sz w:val="20"/>
          <w:szCs w:val="20"/>
          <w:color w:val="auto"/>
        </w:rPr>
      </w:pPr>
    </w:p>
    <w:p>
      <w:pPr>
        <w:ind w:left="5640" w:right="4380" w:hanging="5296"/>
        <w:spacing w:after="0" w:line="324" w:lineRule="auto"/>
        <w:tabs>
          <w:tab w:leader="none" w:pos="563"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 OR</w:t>
      </w:r>
    </w:p>
    <w:p>
      <w:pPr>
        <w:ind w:left="560" w:right="4080" w:hanging="216"/>
        <w:spacing w:after="0" w:line="324" w:lineRule="auto"/>
        <w:tabs>
          <w:tab w:leader="none" w:pos="566"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SHELL COMPANY REPORT PURSUANT TO SECTION 13 OR 15(d) OF THE SECURITIES EXCHANGE ACT OF 1934 </w:t>
      </w:r>
      <w:r>
        <w:rPr>
          <w:rFonts w:ascii="Arial" w:cs="Arial" w:eastAsia="Arial" w:hAnsi="Arial"/>
          <w:sz w:val="12"/>
          <w:szCs w:val="12"/>
          <w:color w:val="auto"/>
        </w:rPr>
        <w:t>Date of event requiring this shell company report............</w:t>
      </w:r>
    </w:p>
    <w:p>
      <w:pPr>
        <w:ind w:left="4540"/>
        <w:spacing w:after="0"/>
        <w:tabs>
          <w:tab w:leader="none" w:pos="6440" w:val="left"/>
          <w:tab w:leader="none" w:pos="6880"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r>
        <w:rPr>
          <w:sz w:val="20"/>
          <w:szCs w:val="20"/>
          <w:color w:val="auto"/>
        </w:rPr>
        <w:tab/>
      </w:r>
      <w:r>
        <w:rPr>
          <w:rFonts w:ascii="Arial" w:cs="Arial" w:eastAsia="Arial" w:hAnsi="Arial"/>
          <w:sz w:val="7"/>
          <w:szCs w:val="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3893820</wp:posOffset>
            </wp:positionH>
            <wp:positionV relativeFrom="paragraph">
              <wp:posOffset>-3175</wp:posOffset>
            </wp:positionV>
            <wp:extent cx="4864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6410" cy="6350"/>
                    </a:xfrm>
                    <a:prstGeom prst="rect">
                      <a:avLst/>
                    </a:prstGeom>
                    <a:noFill/>
                  </pic:spPr>
                </pic:pic>
              </a:graphicData>
            </a:graphic>
          </wp:anchor>
        </w:drawing>
      </w:r>
    </w:p>
    <w:p>
      <w:pPr>
        <w:spacing w:after="0" w:line="33" w:lineRule="exact"/>
        <w:rPr>
          <w:sz w:val="20"/>
          <w:szCs w:val="20"/>
          <w:color w:val="auto"/>
        </w:rPr>
      </w:pPr>
    </w:p>
    <w:p>
      <w:pPr>
        <w:ind w:left="5020"/>
        <w:spacing w:after="0"/>
        <w:rPr>
          <w:sz w:val="20"/>
          <w:szCs w:val="20"/>
          <w:color w:val="auto"/>
        </w:rPr>
      </w:pPr>
      <w:r>
        <w:rPr>
          <w:rFonts w:ascii="Arial" w:cs="Arial" w:eastAsia="Arial" w:hAnsi="Arial"/>
          <w:sz w:val="12"/>
          <w:szCs w:val="12"/>
          <w:b w:val="1"/>
          <w:bCs w:val="1"/>
          <w:color w:val="auto"/>
        </w:rPr>
        <w:t xml:space="preserve">Commission File Number </w:t>
      </w:r>
      <w:r>
        <w:rPr>
          <w:rFonts w:ascii="Arial" w:cs="Arial" w:eastAsia="Arial" w:hAnsi="Arial"/>
          <w:sz w:val="12"/>
          <w:szCs w:val="12"/>
          <w:b w:val="1"/>
          <w:bCs w:val="1"/>
          <w:u w:val="single" w:color="auto"/>
          <w:color w:val="auto"/>
        </w:rPr>
        <w:t>1-14840</w:t>
      </w:r>
    </w:p>
    <w:p>
      <w:pPr>
        <w:spacing w:after="0" w:line="31"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AMDOCS LIMITED</w:t>
      </w:r>
    </w:p>
    <w:p>
      <w:pPr>
        <w:spacing w:after="0" w:line="32" w:lineRule="exact"/>
        <w:rPr>
          <w:sz w:val="20"/>
          <w:szCs w:val="20"/>
          <w:color w:val="auto"/>
        </w:rPr>
      </w:pPr>
    </w:p>
    <w:p>
      <w:pPr>
        <w:jc w:val="center"/>
        <w:ind w:right="-35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-78105</wp:posOffset>
            </wp:positionV>
            <wp:extent cx="31483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2"/>
          <w:szCs w:val="12"/>
          <w:b w:val="1"/>
          <w:bCs w:val="1"/>
          <w:color w:val="auto"/>
        </w:rPr>
        <w:t>Guernsey</w:t>
      </w:r>
    </w:p>
    <w:p>
      <w:pPr>
        <w:spacing w:after="0" w:line="19" w:lineRule="exact"/>
        <w:rPr>
          <w:sz w:val="20"/>
          <w:szCs w:val="20"/>
          <w:color w:val="auto"/>
        </w:rPr>
      </w:pPr>
    </w:p>
    <w:p>
      <w:pPr>
        <w:jc w:val="center"/>
        <w:ind w:right="-359"/>
        <w:spacing w:after="0"/>
        <w:rPr>
          <w:sz w:val="20"/>
          <w:szCs w:val="20"/>
          <w:color w:val="auto"/>
        </w:rPr>
      </w:pPr>
      <w:r>
        <w:rPr>
          <w:rFonts w:ascii="Arial" w:cs="Arial" w:eastAsia="Arial" w:hAnsi="Arial"/>
          <w:sz w:val="11"/>
          <w:szCs w:val="11"/>
          <w:color w:val="auto"/>
        </w:rPr>
        <w:t>(Jurisdiction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-78105</wp:posOffset>
            </wp:positionV>
            <wp:extent cx="31483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2"/>
          <w:szCs w:val="12"/>
          <w:b w:val="1"/>
          <w:bCs w:val="1"/>
          <w:color w:val="auto"/>
        </w:rPr>
        <w:t>Suite 5, Tower Hill House Le Bordage</w:t>
      </w:r>
    </w:p>
    <w:p>
      <w:pPr>
        <w:spacing w:after="0" w:line="2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St. Peter Port, Guernsey, GY1 3QT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Amdocs, Inc.</w:t>
      </w:r>
    </w:p>
    <w:p>
      <w:pPr>
        <w:spacing w:after="0" w:line="2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u w:val="single" w:color="auto"/>
          <w:color w:val="auto"/>
        </w:rPr>
        <w:t>1390 Timberlake Manor Parkway, Chesterfield, Missouri 63017</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-78105</wp:posOffset>
            </wp:positionV>
            <wp:extent cx="31483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2"/>
          <w:szCs w:val="12"/>
          <w:b w:val="1"/>
          <w:bCs w:val="1"/>
          <w:color w:val="auto"/>
        </w:rPr>
        <w:t>Thomas G. O’Brien</w:t>
      </w:r>
    </w:p>
    <w:p>
      <w:pPr>
        <w:spacing w:after="0" w:line="2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Amdocs, Inc.</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1390 Timberlake Manor Parkway, Chesterfield, Missouri 63017</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Telephone: 314-212-8328</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Email: dox_info@amdocs.com</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1"/>
          <w:szCs w:val="11"/>
          <w:color w:val="auto"/>
        </w:rPr>
        <w:t>(Name, Telephone, Email and/or Facsimile number and Address of Company Contact Person)</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Securities registered or to be registered pursuant to Section 12(b) of the Act:</w:t>
      </w:r>
    </w:p>
    <w:p>
      <w:pPr>
        <w:spacing w:after="0" w:line="53" w:lineRule="exact"/>
        <w:rPr>
          <w:sz w:val="20"/>
          <w:szCs w:val="20"/>
          <w:color w:val="auto"/>
        </w:rPr>
      </w:pPr>
    </w:p>
    <w:tbl>
      <w:tblPr>
        <w:tblLayout w:type="fixed"/>
        <w:tblInd w:w="2100" w:type="dxa"/>
        <w:tblCellMar>
          <w:top w:w="0" w:type="dxa"/>
          <w:left w:w="0" w:type="dxa"/>
          <w:bottom w:w="0" w:type="dxa"/>
          <w:right w:w="0" w:type="dxa"/>
        </w:tblCellMar>
      </w:tblPr>
      <w:tr>
        <w:trPr>
          <w:trHeight w:val="138"/>
        </w:trPr>
        <w:tc>
          <w:tcPr>
            <w:tcW w:w="3720" w:type="dxa"/>
            <w:vAlign w:val="bottom"/>
          </w:tcPr>
          <w:p>
            <w:pPr>
              <w:ind w:left="860"/>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 of each class</w:t>
            </w:r>
          </w:p>
        </w:tc>
        <w:tc>
          <w:tcPr>
            <w:tcW w:w="2700" w:type="dxa"/>
            <w:vAlign w:val="bottom"/>
          </w:tcPr>
          <w:p>
            <w:pPr>
              <w:spacing w:after="0"/>
              <w:rPr>
                <w:sz w:val="11"/>
                <w:szCs w:val="11"/>
                <w:color w:val="auto"/>
              </w:rPr>
            </w:pPr>
          </w:p>
        </w:tc>
        <w:tc>
          <w:tcPr>
            <w:tcW w:w="1700" w:type="dxa"/>
            <w:vAlign w:val="bottom"/>
          </w:tcPr>
          <w:p>
            <w:pPr>
              <w:spacing w:after="0"/>
              <w:rPr>
                <w:sz w:val="20"/>
                <w:szCs w:val="20"/>
                <w:color w:val="auto"/>
              </w:rPr>
            </w:pPr>
            <w:r>
              <w:rPr>
                <w:rFonts w:ascii="Arial" w:cs="Arial" w:eastAsia="Arial" w:hAnsi="Arial"/>
                <w:sz w:val="11"/>
                <w:szCs w:val="11"/>
                <w:b w:val="1"/>
                <w:bCs w:val="1"/>
                <w:color w:val="auto"/>
                <w:w w:val="82"/>
              </w:rPr>
              <w:t>Name of exchange on which registered</w:t>
            </w:r>
          </w:p>
        </w:tc>
      </w:tr>
      <w:tr>
        <w:trPr>
          <w:trHeight w:val="20"/>
        </w:trPr>
        <w:tc>
          <w:tcPr>
            <w:tcW w:w="372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1"/>
        </w:trPr>
        <w:tc>
          <w:tcPr>
            <w:tcW w:w="3720" w:type="dxa"/>
            <w:vAlign w:val="bottom"/>
          </w:tcPr>
          <w:p>
            <w:pPr>
              <w:spacing w:after="0"/>
              <w:rPr>
                <w:sz w:val="20"/>
                <w:szCs w:val="20"/>
                <w:color w:val="auto"/>
              </w:rPr>
            </w:pPr>
            <w:r>
              <w:rPr>
                <w:rFonts w:ascii="Arial" w:cs="Arial" w:eastAsia="Arial" w:hAnsi="Arial"/>
                <w:sz w:val="13"/>
                <w:szCs w:val="13"/>
                <w:color w:val="auto"/>
              </w:rPr>
              <w:t>Ordinary Shares, par value £0.01</w:t>
            </w:r>
          </w:p>
        </w:tc>
        <w:tc>
          <w:tcPr>
            <w:tcW w:w="4400" w:type="dxa"/>
            <w:vAlign w:val="bottom"/>
            <w:gridSpan w:val="2"/>
          </w:tcPr>
          <w:p>
            <w:pPr>
              <w:ind w:left="1940"/>
              <w:spacing w:after="0"/>
              <w:rPr>
                <w:sz w:val="20"/>
                <w:szCs w:val="20"/>
                <w:color w:val="auto"/>
              </w:rPr>
            </w:pPr>
            <w:r>
              <w:rPr>
                <w:rFonts w:ascii="Arial" w:cs="Arial" w:eastAsia="Arial" w:hAnsi="Arial"/>
                <w:sz w:val="13"/>
                <w:szCs w:val="13"/>
                <w:color w:val="auto"/>
              </w:rPr>
              <w:t>New York Stock Exchange</w:t>
            </w:r>
          </w:p>
        </w:tc>
      </w:tr>
    </w:tbl>
    <w:p>
      <w:pPr>
        <w:spacing w:after="0" w:line="4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Securities registered or to be registered pursuant to Section 12(g) of the Act:</w:t>
      </w:r>
    </w:p>
    <w:p>
      <w:pPr>
        <w:spacing w:after="0" w:line="7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15240</wp:posOffset>
            </wp:positionV>
            <wp:extent cx="31483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Securities for which there is a reporting obligation pursuant to Section 15(d) of the Act:</w:t>
      </w:r>
    </w:p>
    <w:p>
      <w:pPr>
        <w:spacing w:after="0" w:line="80" w:lineRule="exact"/>
        <w:rPr>
          <w:sz w:val="20"/>
          <w:szCs w:val="20"/>
          <w:color w:val="auto"/>
        </w:rPr>
      </w:pPr>
    </w:p>
    <w:p>
      <w:pPr>
        <w:ind w:left="5600"/>
        <w:spacing w:after="0"/>
        <w:rPr>
          <w:sz w:val="20"/>
          <w:szCs w:val="20"/>
          <w:color w:val="auto"/>
        </w:rPr>
      </w:pPr>
      <w:r>
        <w:rPr>
          <w:rFonts w:ascii="Arial" w:cs="Arial" w:eastAsia="Arial" w:hAnsi="Arial"/>
          <w:sz w:val="12"/>
          <w:szCs w:val="1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15240</wp:posOffset>
            </wp:positionV>
            <wp:extent cx="31483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8330" cy="6350"/>
                    </a:xfrm>
                    <a:prstGeom prst="rect">
                      <a:avLst/>
                    </a:prstGeom>
                    <a:noFill/>
                  </pic:spPr>
                </pic:pic>
              </a:graphicData>
            </a:graphic>
          </wp:anchor>
        </w:drawing>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ectPr>
          <w:pgSz w:w="11900" w:h="16838" w:orient="portrait"/>
          <w:cols w:equalWidth="0" w:num="1">
            <w:col w:w="11100"/>
          </w:cols>
          <w:pgMar w:left="220" w:top="127" w:right="579" w:bottom="1440" w:gutter="0" w:footer="0" w:header="0"/>
        </w:sectPr>
      </w:pPr>
    </w:p>
    <w:p>
      <w:pPr>
        <w:spacing w:after="0" w:line="108" w:lineRule="exact"/>
        <w:rPr>
          <w:sz w:val="20"/>
          <w:szCs w:val="20"/>
          <w:color w:val="auto"/>
        </w:rPr>
      </w:pPr>
    </w:p>
    <w:p>
      <w:pPr>
        <w:ind w:left="2340"/>
        <w:spacing w:after="0"/>
        <w:rPr>
          <w:sz w:val="20"/>
          <w:szCs w:val="20"/>
          <w:color w:val="auto"/>
        </w:rPr>
      </w:pPr>
      <w:r>
        <w:rPr>
          <w:rFonts w:ascii="Arial" w:cs="Arial" w:eastAsia="Arial" w:hAnsi="Arial"/>
          <w:sz w:val="9"/>
          <w:szCs w:val="9"/>
          <w:color w:val="auto"/>
        </w:rPr>
        <w:t>Ordinary Shares, par value £0.01</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1"/>
          <w:szCs w:val="11"/>
          <w:color w:val="auto"/>
        </w:rPr>
        <w:t>(Title of class)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2200"/>
        <w:spacing w:after="0"/>
        <w:rPr>
          <w:sz w:val="20"/>
          <w:szCs w:val="20"/>
          <w:color w:val="auto"/>
        </w:rPr>
      </w:pPr>
      <w:r>
        <w:rPr>
          <w:rFonts w:ascii="Arial" w:cs="Arial" w:eastAsia="Arial" w:hAnsi="Arial"/>
          <w:sz w:val="11"/>
          <w:szCs w:val="11"/>
          <w:color w:val="auto"/>
        </w:rPr>
        <w:t>205,079,239(1)</w:t>
      </w:r>
    </w:p>
    <w:p>
      <w:pPr>
        <w:jc w:val="center"/>
        <w:ind w:right="2200"/>
        <w:spacing w:after="0"/>
        <w:rPr>
          <w:sz w:val="20"/>
          <w:szCs w:val="20"/>
          <w:color w:val="auto"/>
        </w:rPr>
      </w:pPr>
      <w:r>
        <w:rPr>
          <w:rFonts w:ascii="Arial" w:cs="Arial" w:eastAsia="Arial" w:hAnsi="Arial"/>
          <w:sz w:val="9"/>
          <w:szCs w:val="9"/>
          <w:color w:val="auto"/>
        </w:rPr>
        <w:t>(Number of shares)</w:t>
      </w:r>
    </w:p>
    <w:p>
      <w:pPr>
        <w:spacing w:after="0" w:line="55" w:lineRule="exact"/>
        <w:rPr>
          <w:sz w:val="20"/>
          <w:szCs w:val="20"/>
          <w:color w:val="auto"/>
        </w:rPr>
      </w:pPr>
    </w:p>
    <w:p>
      <w:pPr>
        <w:sectPr>
          <w:pgSz w:w="11900" w:h="16838" w:orient="portrait"/>
          <w:cols w:equalWidth="0" w:num="2">
            <w:col w:w="7340" w:space="720"/>
            <w:col w:w="3040"/>
          </w:cols>
          <w:pgMar w:left="220" w:top="127" w:right="579" w:bottom="1440" w:gutter="0" w:footer="0" w:header="0"/>
          <w:type w:val="continuous"/>
        </w:sectPr>
      </w:pPr>
    </w:p>
    <w:p>
      <w:pPr>
        <w:ind w:left="66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41" w:lineRule="exact"/>
        <w:rPr>
          <w:sz w:val="20"/>
          <w:szCs w:val="20"/>
          <w:color w:val="auto"/>
        </w:rPr>
      </w:pPr>
    </w:p>
    <w:p>
      <w:pPr>
        <w:ind w:left="5400"/>
        <w:spacing w:after="0" w:line="138" w:lineRule="exact"/>
        <w:tabs>
          <w:tab w:leader="none" w:pos="614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No o</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this report is an annual or transition report, indicate by check mark if the registrant is not required to file reports pursuant to Section 13 or 15(d) of the Securities Exchange Act of 1934.</w:t>
      </w:r>
    </w:p>
    <w:p>
      <w:pPr>
        <w:spacing w:after="0" w:line="41" w:lineRule="exact"/>
        <w:rPr>
          <w:sz w:val="20"/>
          <w:szCs w:val="20"/>
          <w:color w:val="auto"/>
        </w:rPr>
      </w:pPr>
    </w:p>
    <w:p>
      <w:pPr>
        <w:ind w:left="5400"/>
        <w:spacing w:after="0" w:line="138" w:lineRule="exact"/>
        <w:tabs>
          <w:tab w:leader="none" w:pos="6100" w:val="left"/>
        </w:tabs>
        <w:rPr>
          <w:sz w:val="20"/>
          <w:szCs w:val="20"/>
          <w:color w:val="auto"/>
        </w:rPr>
      </w:pPr>
      <w:r>
        <w:rPr>
          <w:rFonts w:ascii="Arial" w:cs="Arial" w:eastAsia="Arial" w:hAnsi="Arial"/>
          <w:sz w:val="12"/>
          <w:szCs w:val="12"/>
          <w:color w:val="auto"/>
        </w:rPr>
        <w:t>Yes o</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86" w:lineRule="exact"/>
        <w:rPr>
          <w:sz w:val="20"/>
          <w:szCs w:val="20"/>
          <w:color w:val="auto"/>
        </w:rPr>
      </w:pPr>
    </w:p>
    <w:p>
      <w:pPr>
        <w:ind w:left="340" w:firstLine="323"/>
        <w:spacing w:after="0" w:line="287"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400"/>
        <w:spacing w:after="0" w:line="138" w:lineRule="exact"/>
        <w:tabs>
          <w:tab w:leader="none" w:pos="614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No o</w:t>
      </w:r>
    </w:p>
    <w:p>
      <w:pPr>
        <w:spacing w:after="0" w:line="86" w:lineRule="exact"/>
        <w:rPr>
          <w:sz w:val="20"/>
          <w:szCs w:val="20"/>
          <w:color w:val="auto"/>
        </w:rPr>
      </w:pPr>
    </w:p>
    <w:p>
      <w:pPr>
        <w:ind w:left="340" w:right="440" w:firstLine="323"/>
        <w:spacing w:after="0" w:line="287"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ind w:left="5400"/>
        <w:spacing w:after="0" w:line="138" w:lineRule="exact"/>
        <w:tabs>
          <w:tab w:leader="none" w:pos="614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No o</w:t>
      </w:r>
    </w:p>
    <w:p>
      <w:pPr>
        <w:spacing w:after="0" w:line="86" w:lineRule="exact"/>
        <w:rPr>
          <w:sz w:val="20"/>
          <w:szCs w:val="20"/>
          <w:color w:val="auto"/>
        </w:rPr>
      </w:pPr>
    </w:p>
    <w:p>
      <w:pPr>
        <w:ind w:left="340" w:right="140" w:firstLine="323"/>
        <w:spacing w:after="0" w:line="290" w:lineRule="auto"/>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 the Exchange Act.(Check one):</w:t>
      </w:r>
    </w:p>
    <w:p>
      <w:pPr>
        <w:spacing w:after="0" w:line="54" w:lineRule="exact"/>
        <w:rPr>
          <w:sz w:val="20"/>
          <w:szCs w:val="20"/>
          <w:color w:val="auto"/>
        </w:rPr>
      </w:pPr>
    </w:p>
    <w:p>
      <w:pPr>
        <w:ind w:left="1040"/>
        <w:spacing w:after="0" w:line="127" w:lineRule="exact"/>
        <w:tabs>
          <w:tab w:leader="none" w:pos="5480" w:val="left"/>
          <w:tab w:leader="none" w:pos="954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 o</w:t>
      </w:r>
      <w:r>
        <w:rPr>
          <w:sz w:val="20"/>
          <w:szCs w:val="20"/>
          <w:color w:val="auto"/>
        </w:rPr>
        <w:tab/>
      </w:r>
      <w:r>
        <w:rPr>
          <w:rFonts w:ascii="Arial" w:cs="Arial" w:eastAsia="Arial" w:hAnsi="Arial"/>
          <w:sz w:val="9"/>
          <w:szCs w:val="9"/>
          <w:color w:val="auto"/>
        </w:rPr>
        <w:t>Non-accelerated filer o</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which basis of accounting the registrant has used to prepare the financial statements included in this filing:</w:t>
      </w:r>
    </w:p>
    <w:p>
      <w:pPr>
        <w:spacing w:after="0" w:line="95"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600" w:type="dxa"/>
            <w:vAlign w:val="bottom"/>
          </w:tcPr>
          <w:p>
            <w:pPr>
              <w:ind w:left="660"/>
              <w:spacing w:after="0" w:line="127" w:lineRule="exact"/>
              <w:rPr>
                <w:sz w:val="20"/>
                <w:szCs w:val="20"/>
                <w:color w:val="auto"/>
              </w:rPr>
            </w:pPr>
            <w:r>
              <w:rPr>
                <w:rFonts w:ascii="Arial" w:cs="Arial" w:eastAsia="Arial" w:hAnsi="Arial"/>
                <w:sz w:val="11"/>
                <w:szCs w:val="11"/>
                <w:color w:val="auto"/>
              </w:rPr>
              <w:t xml:space="preserve">U.S. GAAP </w:t>
            </w:r>
            <w:r>
              <w:rPr>
                <w:rFonts w:ascii="MS PGothic" w:cs="MS PGothic" w:eastAsia="MS PGothic" w:hAnsi="MS PGothic"/>
                <w:sz w:val="11"/>
                <w:szCs w:val="11"/>
                <w:color w:val="auto"/>
              </w:rPr>
              <w:t>☑</w:t>
            </w:r>
          </w:p>
        </w:tc>
        <w:tc>
          <w:tcPr>
            <w:tcW w:w="5320" w:type="dxa"/>
            <w:vAlign w:val="bottom"/>
            <w:gridSpan w:val="2"/>
          </w:tcPr>
          <w:p>
            <w:pPr>
              <w:jc w:val="center"/>
              <w:ind w:right="280"/>
              <w:spacing w:after="0"/>
              <w:rPr>
                <w:sz w:val="20"/>
                <w:szCs w:val="20"/>
                <w:color w:val="auto"/>
              </w:rPr>
            </w:pPr>
            <w:r>
              <w:rPr>
                <w:rFonts w:ascii="Arial" w:cs="Arial" w:eastAsia="Arial" w:hAnsi="Arial"/>
                <w:sz w:val="11"/>
                <w:szCs w:val="11"/>
                <w:color w:val="auto"/>
                <w:w w:val="88"/>
              </w:rPr>
              <w:t>International Financial Reporting Standards as issued o</w:t>
            </w:r>
          </w:p>
        </w:tc>
        <w:tc>
          <w:tcPr>
            <w:tcW w:w="1460" w:type="dxa"/>
            <w:vAlign w:val="bottom"/>
          </w:tcPr>
          <w:p>
            <w:pPr>
              <w:ind w:left="1140"/>
              <w:spacing w:after="0"/>
              <w:rPr>
                <w:sz w:val="20"/>
                <w:szCs w:val="20"/>
                <w:color w:val="auto"/>
              </w:rPr>
            </w:pPr>
            <w:r>
              <w:rPr>
                <w:rFonts w:ascii="Arial" w:cs="Arial" w:eastAsia="Arial" w:hAnsi="Arial"/>
                <w:sz w:val="11"/>
                <w:szCs w:val="11"/>
                <w:color w:val="auto"/>
                <w:w w:val="81"/>
              </w:rPr>
              <w:t>Other o</w:t>
            </w:r>
          </w:p>
        </w:tc>
      </w:tr>
      <w:tr>
        <w:trPr>
          <w:trHeight w:val="136"/>
        </w:trPr>
        <w:tc>
          <w:tcPr>
            <w:tcW w:w="2600" w:type="dxa"/>
            <w:vAlign w:val="bottom"/>
          </w:tcPr>
          <w:p>
            <w:pPr>
              <w:spacing w:after="0"/>
              <w:rPr>
                <w:sz w:val="11"/>
                <w:szCs w:val="11"/>
                <w:color w:val="auto"/>
              </w:rPr>
            </w:pPr>
          </w:p>
        </w:tc>
        <w:tc>
          <w:tcPr>
            <w:tcW w:w="5320" w:type="dxa"/>
            <w:vAlign w:val="bottom"/>
            <w:gridSpan w:val="2"/>
          </w:tcPr>
          <w:p>
            <w:pPr>
              <w:jc w:val="center"/>
              <w:ind w:right="300"/>
              <w:spacing w:after="0"/>
              <w:rPr>
                <w:sz w:val="20"/>
                <w:szCs w:val="20"/>
                <w:color w:val="auto"/>
              </w:rPr>
            </w:pPr>
            <w:r>
              <w:rPr>
                <w:rFonts w:ascii="Arial" w:cs="Arial" w:eastAsia="Arial" w:hAnsi="Arial"/>
                <w:sz w:val="11"/>
                <w:szCs w:val="11"/>
                <w:color w:val="auto"/>
                <w:w w:val="89"/>
              </w:rPr>
              <w:t>by the International Accounting Standards Board</w:t>
            </w:r>
          </w:p>
        </w:tc>
        <w:tc>
          <w:tcPr>
            <w:tcW w:w="1460" w:type="dxa"/>
            <w:vAlign w:val="bottom"/>
          </w:tcPr>
          <w:p>
            <w:pPr>
              <w:spacing w:after="0"/>
              <w:rPr>
                <w:sz w:val="11"/>
                <w:szCs w:val="11"/>
                <w:color w:val="auto"/>
              </w:rPr>
            </w:pPr>
          </w:p>
        </w:tc>
      </w:tr>
      <w:tr>
        <w:trPr>
          <w:trHeight w:val="198"/>
        </w:trPr>
        <w:tc>
          <w:tcPr>
            <w:tcW w:w="7920" w:type="dxa"/>
            <w:vAlign w:val="bottom"/>
            <w:gridSpan w:val="3"/>
          </w:tcPr>
          <w:p>
            <w:pPr>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tc>
        <w:tc>
          <w:tcPr>
            <w:tcW w:w="1460" w:type="dxa"/>
            <w:vAlign w:val="bottom"/>
          </w:tcPr>
          <w:p>
            <w:pPr>
              <w:spacing w:after="0"/>
              <w:rPr>
                <w:sz w:val="17"/>
                <w:szCs w:val="17"/>
                <w:color w:val="auto"/>
              </w:rPr>
            </w:pPr>
          </w:p>
        </w:tc>
      </w:tr>
      <w:tr>
        <w:trPr>
          <w:trHeight w:val="190"/>
        </w:trPr>
        <w:tc>
          <w:tcPr>
            <w:tcW w:w="2600" w:type="dxa"/>
            <w:vAlign w:val="bottom"/>
          </w:tcPr>
          <w:p>
            <w:pPr>
              <w:spacing w:after="0"/>
              <w:rPr>
                <w:sz w:val="16"/>
                <w:szCs w:val="16"/>
                <w:color w:val="auto"/>
              </w:rPr>
            </w:pPr>
          </w:p>
        </w:tc>
        <w:tc>
          <w:tcPr>
            <w:tcW w:w="2460" w:type="dxa"/>
            <w:vAlign w:val="bottom"/>
          </w:tcPr>
          <w:p>
            <w:pPr>
              <w:ind w:left="1960"/>
              <w:spacing w:after="0"/>
              <w:rPr>
                <w:sz w:val="20"/>
                <w:szCs w:val="20"/>
                <w:color w:val="auto"/>
              </w:rPr>
            </w:pPr>
            <w:r>
              <w:rPr>
                <w:rFonts w:ascii="Arial" w:cs="Arial" w:eastAsia="Arial" w:hAnsi="Arial"/>
                <w:sz w:val="12"/>
                <w:szCs w:val="12"/>
                <w:color w:val="auto"/>
              </w:rPr>
              <w:t>Yes o</w:t>
            </w:r>
          </w:p>
        </w:tc>
        <w:tc>
          <w:tcPr>
            <w:tcW w:w="2860" w:type="dxa"/>
            <w:vAlign w:val="bottom"/>
          </w:tcPr>
          <w:p>
            <w:pPr>
              <w:ind w:left="2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c>
          <w:tcPr>
            <w:tcW w:w="1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51435</wp:posOffset>
            </wp:positionV>
            <wp:extent cx="75501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5015" cy="6350"/>
                    </a:xfrm>
                    <a:prstGeom prst="rect">
                      <a:avLst/>
                    </a:prstGeom>
                    <a:noFill/>
                  </pic:spPr>
                </pic:pic>
              </a:graphicData>
            </a:graphic>
          </wp:anchor>
        </w:drawing>
      </w:r>
    </w:p>
    <w:p>
      <w:pPr>
        <w:spacing w:after="0" w:line="108" w:lineRule="exact"/>
        <w:rPr>
          <w:sz w:val="20"/>
          <w:szCs w:val="20"/>
          <w:color w:val="auto"/>
        </w:rPr>
      </w:pPr>
    </w:p>
    <w:p>
      <w:pPr>
        <w:ind w:left="560" w:right="240" w:hanging="210"/>
        <w:spacing w:after="0" w:line="233" w:lineRule="auto"/>
        <w:tabs>
          <w:tab w:leader="none" w:pos="560" w:val="left"/>
        </w:tabs>
        <w:numPr>
          <w:ilvl w:val="0"/>
          <w:numId w:val="4"/>
        </w:numPr>
        <w:rPr>
          <w:rFonts w:ascii="Arial" w:cs="Arial" w:eastAsia="Arial" w:hAnsi="Arial"/>
          <w:sz w:val="11"/>
          <w:szCs w:val="11"/>
          <w:color w:val="auto"/>
        </w:rPr>
      </w:pPr>
      <w:r>
        <w:rPr>
          <w:rFonts w:ascii="Arial" w:cs="Arial" w:eastAsia="Arial" w:hAnsi="Arial"/>
          <w:sz w:val="11"/>
          <w:szCs w:val="11"/>
          <w:color w:val="auto"/>
        </w:rPr>
        <w:t>Net of 37,387,598 shares held in treasury. Does not include (a) 21,321,437 ordinary shares reserved for issuance upon exercise of stock options granted under our stock option plan or by companies we have acquired, and (b) 23,655 ordinary shares reserved for issuance upon conversion of outstanding convertible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8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100"/>
          </w:cols>
          <w:pgMar w:left="220" w:top="127" w:right="5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80" w:type="dxa"/>
            <w:vAlign w:val="bottom"/>
            <w:gridSpan w:val="14"/>
          </w:tcPr>
          <w:p>
            <w:pPr>
              <w:jc w:val="center"/>
              <w:ind w:right="2860"/>
              <w:spacing w:after="0"/>
              <w:rPr>
                <w:sz w:val="20"/>
                <w:szCs w:val="20"/>
                <w:color w:val="auto"/>
              </w:rPr>
            </w:pPr>
            <w:r>
              <w:rPr>
                <w:rFonts w:ascii="Arial" w:cs="Arial" w:eastAsia="Arial" w:hAnsi="Arial"/>
                <w:sz w:val="13"/>
                <w:szCs w:val="13"/>
                <w:b w:val="1"/>
                <w:bCs w:val="1"/>
                <w:color w:val="auto"/>
              </w:rPr>
              <w:t>AMDOCS LIMITED</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60" w:type="dxa"/>
            <w:vAlign w:val="bottom"/>
            <w:gridSpan w:val="12"/>
            <w:vMerge w:val="restart"/>
          </w:tcPr>
          <w:p>
            <w:pPr>
              <w:jc w:val="center"/>
              <w:ind w:right="3100"/>
              <w:spacing w:after="0"/>
              <w:rPr>
                <w:sz w:val="20"/>
                <w:szCs w:val="20"/>
                <w:color w:val="auto"/>
              </w:rPr>
            </w:pPr>
            <w:r>
              <w:rPr>
                <w:rFonts w:ascii="Arial" w:cs="Arial" w:eastAsia="Arial" w:hAnsi="Arial"/>
                <w:sz w:val="13"/>
                <w:szCs w:val="13"/>
                <w:b w:val="1"/>
                <w:bCs w:val="1"/>
                <w:color w:val="auto"/>
              </w:rPr>
              <w:t>FORM 20-F</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gridSpan w:val="12"/>
            <w:vMerge w:val="continue"/>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40" w:type="dxa"/>
            <w:vAlign w:val="bottom"/>
            <w:gridSpan w:val="22"/>
          </w:tcPr>
          <w:p>
            <w:pPr>
              <w:jc w:val="center"/>
              <w:ind w:right="1200"/>
              <w:spacing w:after="0"/>
              <w:rPr>
                <w:sz w:val="20"/>
                <w:szCs w:val="20"/>
                <w:color w:val="auto"/>
              </w:rPr>
            </w:pPr>
            <w:r>
              <w:rPr>
                <w:rFonts w:ascii="Arial" w:cs="Arial" w:eastAsia="Arial" w:hAnsi="Arial"/>
                <w:sz w:val="13"/>
                <w:szCs w:val="13"/>
                <w:b w:val="1"/>
                <w:bCs w:val="1"/>
                <w:color w:val="auto"/>
              </w:rPr>
              <w:t>ANNUAL REPORT FOR THE FISCAL YEAR ENDED SEPTEMBER 30, 2009</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40" w:type="dxa"/>
            <w:vAlign w:val="bottom"/>
            <w:gridSpan w:val="8"/>
            <w:vMerge w:val="restart"/>
          </w:tcPr>
          <w:p>
            <w:pPr>
              <w:jc w:val="center"/>
              <w:ind w:right="3300"/>
              <w:spacing w:after="0"/>
              <w:rPr>
                <w:sz w:val="20"/>
                <w:szCs w:val="20"/>
                <w:color w:val="auto"/>
              </w:rPr>
            </w:pPr>
            <w:r>
              <w:rPr>
                <w:rFonts w:ascii="Arial" w:cs="Arial" w:eastAsia="Arial" w:hAnsi="Arial"/>
                <w:sz w:val="13"/>
                <w:szCs w:val="13"/>
                <w:b w:val="1"/>
                <w:bCs w:val="1"/>
                <w:color w:val="auto"/>
              </w:rPr>
              <w:t>INDEX</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8"/>
            <w:vMerge w:val="continue"/>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9"/>
          </w:tcPr>
          <w:p>
            <w:pPr>
              <w:jc w:val="center"/>
              <w:ind w:right="3280"/>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PART I</w:t>
              </w:r>
            </w:hyperlink>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3120" w:type="dxa"/>
            <w:vAlign w:val="bottom"/>
            <w:gridSpan w:val="22"/>
          </w:tcPr>
          <w:p>
            <w:pPr>
              <w:spacing w:after="0" w:line="141" w:lineRule="exact"/>
              <w:rPr>
                <w:rFonts w:ascii="Arial" w:cs="Arial" w:eastAsia="Arial" w:hAnsi="Arial"/>
                <w:sz w:val="13"/>
                <w:szCs w:val="13"/>
                <w:color w:val="0000EE"/>
                <w:w w:val="98"/>
              </w:rPr>
            </w:pPr>
            <w:hyperlink w:anchor="page5">
              <w:r>
                <w:rPr>
                  <w:rFonts w:ascii="Arial" w:cs="Arial" w:eastAsia="Arial" w:hAnsi="Arial"/>
                  <w:sz w:val="13"/>
                  <w:szCs w:val="13"/>
                  <w:color w:val="0000EE"/>
                  <w:w w:val="98"/>
                </w:rPr>
                <w:t>Identity of Directors, Senior Management and Advisers</w:t>
              </w:r>
            </w:hyperlink>
          </w:p>
        </w:tc>
        <w:tc>
          <w:tcPr>
            <w:tcW w:w="440" w:type="dxa"/>
            <w:vAlign w:val="bottom"/>
            <w:tcBorders>
              <w:top w:val="single" w:sz="8" w:color="0000EE"/>
            </w:tcBorders>
            <w:gridSpan w:val="3"/>
          </w:tcPr>
          <w:p>
            <w:pPr>
              <w:spacing w:after="0"/>
              <w:rPr>
                <w:sz w:val="12"/>
                <w:szCs w:val="12"/>
                <w:color w:val="auto"/>
              </w:rPr>
            </w:pPr>
          </w:p>
        </w:tc>
        <w:tc>
          <w:tcPr>
            <w:tcW w:w="3300" w:type="dxa"/>
            <w:vAlign w:val="bottom"/>
            <w:gridSpan w:val="5"/>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2.</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Offer Statistics and Expected Timetable</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3.</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Key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17">
              <w:r>
                <w:rPr>
                  <w:rFonts w:ascii="Arial" w:cs="Arial" w:eastAsia="Arial" w:hAnsi="Arial"/>
                  <w:sz w:val="13"/>
                  <w:szCs w:val="13"/>
                  <w:color w:val="0000EE"/>
                </w:rPr>
                <w:t>Item 4.</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17">
              <w:r>
                <w:rPr>
                  <w:rFonts w:ascii="Arial" w:cs="Arial" w:eastAsia="Arial" w:hAnsi="Arial"/>
                  <w:sz w:val="13"/>
                  <w:szCs w:val="13"/>
                  <w:color w:val="0000EE"/>
                </w:rPr>
                <w:t>Information on the Company</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30">
              <w:r>
                <w:rPr>
                  <w:rFonts w:ascii="Arial" w:cs="Arial" w:eastAsia="Arial" w:hAnsi="Arial"/>
                  <w:sz w:val="13"/>
                  <w:szCs w:val="13"/>
                  <w:color w:val="0000EE"/>
                </w:rPr>
                <w:t>Item 5.</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30">
              <w:r>
                <w:rPr>
                  <w:rFonts w:ascii="Arial" w:cs="Arial" w:eastAsia="Arial" w:hAnsi="Arial"/>
                  <w:sz w:val="13"/>
                  <w:szCs w:val="13"/>
                  <w:color w:val="0000EE"/>
                </w:rPr>
                <w:t>Operating and Financial Review and Prospects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49">
              <w:r>
                <w:rPr>
                  <w:rFonts w:ascii="Arial" w:cs="Arial" w:eastAsia="Arial" w:hAnsi="Arial"/>
                  <w:sz w:val="13"/>
                  <w:szCs w:val="13"/>
                  <w:color w:val="0000EE"/>
                </w:rPr>
                <w:t>Item 6.</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49">
              <w:r>
                <w:rPr>
                  <w:rFonts w:ascii="Arial" w:cs="Arial" w:eastAsia="Arial" w:hAnsi="Arial"/>
                  <w:sz w:val="13"/>
                  <w:szCs w:val="13"/>
                  <w:color w:val="0000EE"/>
                </w:rPr>
                <w:t>Directors, Senior Management and Employees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56">
              <w:r>
                <w:rPr>
                  <w:rFonts w:ascii="Arial" w:cs="Arial" w:eastAsia="Arial" w:hAnsi="Arial"/>
                  <w:sz w:val="13"/>
                  <w:szCs w:val="13"/>
                  <w:color w:val="0000EE"/>
                </w:rPr>
                <w:t>Item 7.</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56">
              <w:r>
                <w:rPr>
                  <w:rFonts w:ascii="Arial" w:cs="Arial" w:eastAsia="Arial" w:hAnsi="Arial"/>
                  <w:sz w:val="13"/>
                  <w:szCs w:val="13"/>
                  <w:color w:val="0000EE"/>
                </w:rPr>
                <w:t>Major Shareholders and Related Party Transactions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57">
              <w:r>
                <w:rPr>
                  <w:rFonts w:ascii="Arial" w:cs="Arial" w:eastAsia="Arial" w:hAnsi="Arial"/>
                  <w:sz w:val="13"/>
                  <w:szCs w:val="13"/>
                  <w:color w:val="0000EE"/>
                </w:rPr>
                <w:t>Item 8.</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57">
              <w:r>
                <w:rPr>
                  <w:rFonts w:ascii="Arial" w:cs="Arial" w:eastAsia="Arial" w:hAnsi="Arial"/>
                  <w:sz w:val="13"/>
                  <w:szCs w:val="13"/>
                  <w:color w:val="0000EE"/>
                </w:rPr>
                <w:t>Financial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58">
              <w:r>
                <w:rPr>
                  <w:rFonts w:ascii="Arial" w:cs="Arial" w:eastAsia="Arial" w:hAnsi="Arial"/>
                  <w:sz w:val="13"/>
                  <w:szCs w:val="13"/>
                  <w:color w:val="0000EE"/>
                </w:rPr>
                <w:t>Item 9.</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58">
              <w:r>
                <w:rPr>
                  <w:rFonts w:ascii="Arial" w:cs="Arial" w:eastAsia="Arial" w:hAnsi="Arial"/>
                  <w:sz w:val="13"/>
                  <w:szCs w:val="13"/>
                  <w:color w:val="0000EE"/>
                </w:rPr>
                <w:t>The Offer and Listing</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58">
              <w:r>
                <w:rPr>
                  <w:rFonts w:ascii="Arial" w:cs="Arial" w:eastAsia="Arial" w:hAnsi="Arial"/>
                  <w:sz w:val="13"/>
                  <w:szCs w:val="13"/>
                  <w:color w:val="0000EE"/>
                </w:rPr>
                <w:t>Item 10.</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58">
              <w:r>
                <w:rPr>
                  <w:rFonts w:ascii="Arial" w:cs="Arial" w:eastAsia="Arial" w:hAnsi="Arial"/>
                  <w:sz w:val="13"/>
                  <w:szCs w:val="13"/>
                  <w:color w:val="0000EE"/>
                </w:rPr>
                <w:t>Additional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67">
              <w:r>
                <w:rPr>
                  <w:rFonts w:ascii="Arial" w:cs="Arial" w:eastAsia="Arial" w:hAnsi="Arial"/>
                  <w:sz w:val="13"/>
                  <w:szCs w:val="13"/>
                  <w:color w:val="0000EE"/>
                </w:rPr>
                <w:t>Item 11.</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67">
              <w:r>
                <w:rPr>
                  <w:rFonts w:ascii="Arial" w:cs="Arial" w:eastAsia="Arial" w:hAnsi="Arial"/>
                  <w:sz w:val="13"/>
                  <w:szCs w:val="13"/>
                  <w:color w:val="0000EE"/>
                </w:rPr>
                <w:t>Quantitative and Qualitative Disclosures about Market Risk</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Item 12.</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Description of Securities Other than Equity Securities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62"/>
        </w:trPr>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Borders>
              <w:bottom w:val="single" w:sz="8" w:color="0000EE"/>
            </w:tcBorders>
            <w:gridSpan w:val="5"/>
          </w:tcPr>
          <w:p>
            <w:pPr>
              <w:jc w:val="center"/>
              <w:spacing w:after="0"/>
              <w:rPr>
                <w:rFonts w:ascii="Arial" w:cs="Arial" w:eastAsia="Arial" w:hAnsi="Arial"/>
                <w:sz w:val="13"/>
                <w:szCs w:val="13"/>
                <w:b w:val="1"/>
                <w:bCs w:val="1"/>
                <w:color w:val="0000EE"/>
              </w:rPr>
            </w:pPr>
            <w:hyperlink w:anchor="page69">
              <w:r>
                <w:rPr>
                  <w:rFonts w:ascii="Arial" w:cs="Arial" w:eastAsia="Arial" w:hAnsi="Arial"/>
                  <w:sz w:val="13"/>
                  <w:szCs w:val="13"/>
                  <w:b w:val="1"/>
                  <w:bCs w:val="1"/>
                  <w:color w:val="0000EE"/>
                </w:rPr>
                <w:t>PART II</w:t>
              </w:r>
            </w:hyperlink>
          </w:p>
        </w:tc>
        <w:tc>
          <w:tcPr>
            <w:tcW w:w="3280" w:type="dxa"/>
            <w:vAlign w:val="bottom"/>
            <w:gridSpan w:val="4"/>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69">
              <w:r>
                <w:rPr>
                  <w:rFonts w:ascii="Arial" w:cs="Arial" w:eastAsia="Arial" w:hAnsi="Arial"/>
                  <w:sz w:val="13"/>
                  <w:szCs w:val="13"/>
                  <w:color w:val="0000EE"/>
                </w:rPr>
                <w:t>Item 13.</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69">
              <w:r>
                <w:rPr>
                  <w:rFonts w:ascii="Arial" w:cs="Arial" w:eastAsia="Arial" w:hAnsi="Arial"/>
                  <w:sz w:val="13"/>
                  <w:szCs w:val="13"/>
                  <w:color w:val="0000EE"/>
                </w:rPr>
                <w:t>Defaults, Dividend Arrearages and Delinquencies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69">
              <w:r>
                <w:rPr>
                  <w:rFonts w:ascii="Arial" w:cs="Arial" w:eastAsia="Arial" w:hAnsi="Arial"/>
                  <w:sz w:val="13"/>
                  <w:szCs w:val="13"/>
                  <w:color w:val="0000EE"/>
                </w:rPr>
                <w:t>Item 14.</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69">
              <w:r>
                <w:rPr>
                  <w:rFonts w:ascii="Arial" w:cs="Arial" w:eastAsia="Arial" w:hAnsi="Arial"/>
                  <w:sz w:val="13"/>
                  <w:szCs w:val="13"/>
                  <w:color w:val="0000EE"/>
                </w:rPr>
                <w:t>Material Modifications to the Rights of Security Holders and Use of Proceeds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69">
              <w:r>
                <w:rPr>
                  <w:rFonts w:ascii="Arial" w:cs="Arial" w:eastAsia="Arial" w:hAnsi="Arial"/>
                  <w:sz w:val="13"/>
                  <w:szCs w:val="13"/>
                  <w:color w:val="0000EE"/>
                </w:rPr>
                <w:t>Item 15.</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69">
              <w:r>
                <w:rPr>
                  <w:rFonts w:ascii="Arial" w:cs="Arial" w:eastAsia="Arial" w:hAnsi="Arial"/>
                  <w:sz w:val="13"/>
                  <w:szCs w:val="13"/>
                  <w:color w:val="0000EE"/>
                </w:rPr>
                <w:t>Controls and Procedures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6"/>
              </w:rPr>
            </w:pPr>
            <w:hyperlink w:anchor="page69">
              <w:r>
                <w:rPr>
                  <w:rFonts w:ascii="Arial" w:cs="Arial" w:eastAsia="Arial" w:hAnsi="Arial"/>
                  <w:sz w:val="13"/>
                  <w:szCs w:val="13"/>
                  <w:color w:val="0000EE"/>
                  <w:w w:val="86"/>
                </w:rPr>
                <w:t>Item 16A.</w:t>
              </w:r>
            </w:hyperlink>
          </w:p>
        </w:tc>
        <w:tc>
          <w:tcPr>
            <w:tcW w:w="640" w:type="dxa"/>
            <w:vAlign w:val="bottom"/>
          </w:tcPr>
          <w:p>
            <w:pPr>
              <w:spacing w:after="0"/>
              <w:rPr>
                <w:sz w:val="12"/>
                <w:szCs w:val="12"/>
                <w:color w:val="auto"/>
              </w:rPr>
            </w:pPr>
          </w:p>
        </w:tc>
        <w:tc>
          <w:tcPr>
            <w:tcW w:w="6860" w:type="dxa"/>
            <w:vAlign w:val="bottom"/>
            <w:gridSpan w:val="30"/>
          </w:tcPr>
          <w:p>
            <w:pPr>
              <w:spacing w:after="0" w:line="141" w:lineRule="exact"/>
              <w:rPr>
                <w:rFonts w:ascii="Arial" w:cs="Arial" w:eastAsia="Arial" w:hAnsi="Arial"/>
                <w:sz w:val="13"/>
                <w:szCs w:val="13"/>
                <w:color w:val="0000EE"/>
              </w:rPr>
            </w:pPr>
            <w:hyperlink w:anchor="page69">
              <w:r>
                <w:rPr>
                  <w:rFonts w:ascii="Arial" w:cs="Arial" w:eastAsia="Arial" w:hAnsi="Arial"/>
                  <w:sz w:val="13"/>
                  <w:szCs w:val="13"/>
                  <w:color w:val="0000EE"/>
                </w:rPr>
                <w:t>Audit Committee Financial Expert</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0000EE"/>
              <w:bottom w:val="single" w:sz="8" w:color="0000EE"/>
            </w:tcBorders>
            <w:gridSpan w:val="3"/>
          </w:tcPr>
          <w:p>
            <w:pPr>
              <w:spacing w:after="0" w:line="141" w:lineRule="exact"/>
              <w:rPr>
                <w:rFonts w:ascii="Arial" w:cs="Arial" w:eastAsia="Arial" w:hAnsi="Arial"/>
                <w:sz w:val="13"/>
                <w:szCs w:val="13"/>
                <w:color w:val="0000EE"/>
                <w:w w:val="86"/>
              </w:rPr>
            </w:pPr>
            <w:hyperlink w:anchor="page69">
              <w:r>
                <w:rPr>
                  <w:rFonts w:ascii="Arial" w:cs="Arial" w:eastAsia="Arial" w:hAnsi="Arial"/>
                  <w:sz w:val="13"/>
                  <w:szCs w:val="13"/>
                  <w:color w:val="0000EE"/>
                  <w:w w:val="86"/>
                </w:rPr>
                <w:t>Item 16B.</w:t>
              </w:r>
            </w:hyperlink>
          </w:p>
        </w:tc>
        <w:tc>
          <w:tcPr>
            <w:tcW w:w="640" w:type="dxa"/>
            <w:vAlign w:val="bottom"/>
          </w:tcPr>
          <w:p>
            <w:pPr>
              <w:spacing w:after="0"/>
              <w:rPr>
                <w:sz w:val="12"/>
                <w:szCs w:val="12"/>
                <w:color w:val="auto"/>
              </w:rPr>
            </w:pPr>
          </w:p>
        </w:tc>
        <w:tc>
          <w:tcPr>
            <w:tcW w:w="800" w:type="dxa"/>
            <w:vAlign w:val="bottom"/>
            <w:tcBorders>
              <w:top w:val="single" w:sz="8" w:color="0000EE"/>
              <w:bottom w:val="single" w:sz="8" w:color="0000EE"/>
            </w:tcBorders>
            <w:gridSpan w:val="6"/>
          </w:tcPr>
          <w:p>
            <w:pPr>
              <w:spacing w:after="0" w:line="141" w:lineRule="exact"/>
              <w:rPr>
                <w:rFonts w:ascii="Arial" w:cs="Arial" w:eastAsia="Arial" w:hAnsi="Arial"/>
                <w:sz w:val="13"/>
                <w:szCs w:val="13"/>
                <w:color w:val="0000EE"/>
                <w:w w:val="92"/>
              </w:rPr>
            </w:pPr>
            <w:hyperlink w:anchor="page69">
              <w:r>
                <w:rPr>
                  <w:rFonts w:ascii="Arial" w:cs="Arial" w:eastAsia="Arial" w:hAnsi="Arial"/>
                  <w:sz w:val="13"/>
                  <w:szCs w:val="13"/>
                  <w:color w:val="0000EE"/>
                  <w:w w:val="92"/>
                </w:rPr>
                <w:t>Code of Ethics</w:t>
              </w:r>
            </w:hyperlink>
          </w:p>
        </w:tc>
        <w:tc>
          <w:tcPr>
            <w:tcW w:w="1060" w:type="dxa"/>
            <w:vAlign w:val="bottom"/>
            <w:tcBorders>
              <w:top w:val="single" w:sz="8" w:color="0000EE"/>
            </w:tcBorders>
            <w:gridSpan w:val="7"/>
          </w:tcPr>
          <w:p>
            <w:pPr>
              <w:spacing w:after="0"/>
              <w:rPr>
                <w:sz w:val="12"/>
                <w:szCs w:val="12"/>
                <w:color w:val="auto"/>
              </w:rPr>
            </w:pPr>
          </w:p>
        </w:tc>
        <w:tc>
          <w:tcPr>
            <w:tcW w:w="5000" w:type="dxa"/>
            <w:vAlign w:val="bottom"/>
            <w:gridSpan w:val="17"/>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bottom w:val="single" w:sz="8" w:color="0000EE"/>
            </w:tcBorders>
            <w:gridSpan w:val="3"/>
          </w:tcPr>
          <w:p>
            <w:pPr>
              <w:spacing w:after="0" w:line="141" w:lineRule="exact"/>
              <w:rPr>
                <w:rFonts w:ascii="Arial" w:cs="Arial" w:eastAsia="Arial" w:hAnsi="Arial"/>
                <w:sz w:val="13"/>
                <w:szCs w:val="13"/>
                <w:color w:val="0000EE"/>
                <w:w w:val="85"/>
              </w:rPr>
            </w:pPr>
            <w:hyperlink w:anchor="page70">
              <w:r>
                <w:rPr>
                  <w:rFonts w:ascii="Arial" w:cs="Arial" w:eastAsia="Arial" w:hAnsi="Arial"/>
                  <w:sz w:val="13"/>
                  <w:szCs w:val="13"/>
                  <w:color w:val="0000EE"/>
                  <w:w w:val="85"/>
                </w:rPr>
                <w:t>Item 16C.</w:t>
              </w:r>
            </w:hyperlink>
          </w:p>
        </w:tc>
        <w:tc>
          <w:tcPr>
            <w:tcW w:w="640" w:type="dxa"/>
            <w:vAlign w:val="bottom"/>
          </w:tcPr>
          <w:p>
            <w:pPr>
              <w:spacing w:after="0"/>
              <w:rPr>
                <w:sz w:val="12"/>
                <w:szCs w:val="12"/>
                <w:color w:val="auto"/>
              </w:rPr>
            </w:pPr>
          </w:p>
        </w:tc>
        <w:tc>
          <w:tcPr>
            <w:tcW w:w="2160" w:type="dxa"/>
            <w:vAlign w:val="bottom"/>
            <w:tcBorders>
              <w:bottom w:val="single" w:sz="8" w:color="0000EE"/>
            </w:tcBorders>
            <w:gridSpan w:val="14"/>
          </w:tcPr>
          <w:p>
            <w:pPr>
              <w:spacing w:after="0" w:line="141" w:lineRule="exact"/>
              <w:rPr>
                <w:rFonts w:ascii="Arial" w:cs="Arial" w:eastAsia="Arial" w:hAnsi="Arial"/>
                <w:sz w:val="13"/>
                <w:szCs w:val="13"/>
                <w:color w:val="0000EE"/>
                <w:w w:val="92"/>
              </w:rPr>
            </w:pPr>
            <w:hyperlink w:anchor="page70">
              <w:r>
                <w:rPr>
                  <w:rFonts w:ascii="Arial" w:cs="Arial" w:eastAsia="Arial" w:hAnsi="Arial"/>
                  <w:sz w:val="13"/>
                  <w:szCs w:val="13"/>
                  <w:color w:val="0000EE"/>
                  <w:w w:val="92"/>
                </w:rPr>
                <w:t>Principal Accountant Fees and Services</w:t>
              </w:r>
            </w:hyperlink>
          </w:p>
        </w:tc>
        <w:tc>
          <w:tcPr>
            <w:tcW w:w="4700" w:type="dxa"/>
            <w:vAlign w:val="bottom"/>
            <w:gridSpan w:val="16"/>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5"/>
              </w:rPr>
            </w:pPr>
            <w:hyperlink w:anchor="page70">
              <w:r>
                <w:rPr>
                  <w:rFonts w:ascii="Arial" w:cs="Arial" w:eastAsia="Arial" w:hAnsi="Arial"/>
                  <w:sz w:val="13"/>
                  <w:szCs w:val="13"/>
                  <w:color w:val="0000EE"/>
                  <w:w w:val="85"/>
                </w:rPr>
                <w:t>Item 16D.</w:t>
              </w:r>
            </w:hyperlink>
          </w:p>
        </w:tc>
        <w:tc>
          <w:tcPr>
            <w:tcW w:w="640" w:type="dxa"/>
            <w:vAlign w:val="bottom"/>
          </w:tcPr>
          <w:p>
            <w:pPr>
              <w:spacing w:after="0"/>
              <w:rPr>
                <w:sz w:val="12"/>
                <w:szCs w:val="12"/>
                <w:color w:val="auto"/>
              </w:rPr>
            </w:pPr>
          </w:p>
        </w:tc>
        <w:tc>
          <w:tcPr>
            <w:tcW w:w="6860" w:type="dxa"/>
            <w:vAlign w:val="bottom"/>
            <w:gridSpan w:val="30"/>
          </w:tcPr>
          <w:p>
            <w:pPr>
              <w:spacing w:after="0" w:line="141" w:lineRule="exact"/>
              <w:rPr>
                <w:rFonts w:ascii="Arial" w:cs="Arial" w:eastAsia="Arial" w:hAnsi="Arial"/>
                <w:sz w:val="13"/>
                <w:szCs w:val="13"/>
                <w:color w:val="0000EE"/>
              </w:rPr>
            </w:pPr>
            <w:hyperlink w:anchor="page70">
              <w:r>
                <w:rPr>
                  <w:rFonts w:ascii="Arial" w:cs="Arial" w:eastAsia="Arial" w:hAnsi="Arial"/>
                  <w:sz w:val="13"/>
                  <w:szCs w:val="13"/>
                  <w:color w:val="0000EE"/>
                </w:rPr>
                <w:t>Exemptions from the Listing Standards for Audit Committees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0" w:type="dxa"/>
            <w:vAlign w:val="bottom"/>
            <w:tcBorders>
              <w:left w:val="single" w:sz="8" w:color="0000EE"/>
            </w:tcBorders>
            <w:gridSpan w:val="9"/>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3"/>
          </w:tcPr>
          <w:p>
            <w:pPr>
              <w:spacing w:after="0" w:line="141" w:lineRule="exact"/>
              <w:rPr>
                <w:rFonts w:ascii="Arial" w:cs="Arial" w:eastAsia="Arial" w:hAnsi="Arial"/>
                <w:sz w:val="13"/>
                <w:szCs w:val="13"/>
                <w:color w:val="0000EE"/>
                <w:w w:val="86"/>
              </w:rPr>
            </w:pPr>
            <w:hyperlink w:anchor="page71">
              <w:r>
                <w:rPr>
                  <w:rFonts w:ascii="Arial" w:cs="Arial" w:eastAsia="Arial" w:hAnsi="Arial"/>
                  <w:sz w:val="13"/>
                  <w:szCs w:val="13"/>
                  <w:color w:val="0000EE"/>
                  <w:w w:val="86"/>
                </w:rPr>
                <w:t>Item 16E.</w:t>
              </w:r>
            </w:hyperlink>
          </w:p>
        </w:tc>
        <w:tc>
          <w:tcPr>
            <w:tcW w:w="640" w:type="dxa"/>
            <w:vAlign w:val="bottom"/>
          </w:tcPr>
          <w:p>
            <w:pPr>
              <w:spacing w:after="0"/>
              <w:rPr>
                <w:sz w:val="12"/>
                <w:szCs w:val="12"/>
                <w:color w:val="auto"/>
              </w:rPr>
            </w:pPr>
          </w:p>
        </w:tc>
        <w:tc>
          <w:tcPr>
            <w:tcW w:w="6860" w:type="dxa"/>
            <w:vAlign w:val="bottom"/>
            <w:gridSpan w:val="30"/>
          </w:tcPr>
          <w:p>
            <w:pPr>
              <w:spacing w:after="0" w:line="141" w:lineRule="exact"/>
              <w:rPr>
                <w:rFonts w:ascii="Arial" w:cs="Arial" w:eastAsia="Arial" w:hAnsi="Arial"/>
                <w:sz w:val="13"/>
                <w:szCs w:val="13"/>
                <w:color w:val="0000EE"/>
              </w:rPr>
            </w:pPr>
            <w:hyperlink w:anchor="page71">
              <w:r>
                <w:rPr>
                  <w:rFonts w:ascii="Arial" w:cs="Arial" w:eastAsia="Arial" w:hAnsi="Arial"/>
                  <w:sz w:val="13"/>
                  <w:szCs w:val="13"/>
                  <w:color w:val="0000EE"/>
                </w:rPr>
                <w:t>Purchases of Equity Securities by the Issuer and Affiliated Purchasers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62"/>
        </w:trPr>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gridSpan w:val="8"/>
          </w:tcPr>
          <w:p>
            <w:pPr>
              <w:jc w:val="center"/>
              <w:ind w:right="160"/>
              <w:spacing w:after="0"/>
              <w:rPr>
                <w:rFonts w:ascii="Arial" w:cs="Arial" w:eastAsia="Arial" w:hAnsi="Arial"/>
                <w:sz w:val="13"/>
                <w:szCs w:val="13"/>
                <w:b w:val="1"/>
                <w:bCs w:val="1"/>
                <w:color w:val="0000EE"/>
              </w:rPr>
            </w:pPr>
            <w:hyperlink w:anchor="page73">
              <w:r>
                <w:rPr>
                  <w:rFonts w:ascii="Arial" w:cs="Arial" w:eastAsia="Arial" w:hAnsi="Arial"/>
                  <w:sz w:val="13"/>
                  <w:szCs w:val="13"/>
                  <w:b w:val="1"/>
                  <w:bCs w:val="1"/>
                  <w:color w:val="0000EE"/>
                </w:rPr>
                <w:t>PART III</w:t>
              </w:r>
            </w:hyperlink>
          </w:p>
        </w:tc>
        <w:tc>
          <w:tcPr>
            <w:tcW w:w="3100" w:type="dxa"/>
            <w:vAlign w:val="bottom"/>
            <w:gridSpan w:val="2"/>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Item 17.</w:t>
              </w:r>
            </w:hyperlink>
          </w:p>
        </w:tc>
        <w:tc>
          <w:tcPr>
            <w:tcW w:w="3060" w:type="dxa"/>
            <w:vAlign w:val="bottom"/>
            <w:gridSpan w:val="20"/>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Financial Statements</w:t>
              </w:r>
            </w:hyperlink>
          </w:p>
        </w:tc>
        <w:tc>
          <w:tcPr>
            <w:tcW w:w="540" w:type="dxa"/>
            <w:vAlign w:val="bottom"/>
            <w:tcBorders>
              <w:top w:val="single" w:sz="8" w:color="0000EE"/>
            </w:tcBorders>
            <w:gridSpan w:val="7"/>
          </w:tcPr>
          <w:p>
            <w:pPr>
              <w:spacing w:after="0"/>
              <w:rPr>
                <w:sz w:val="12"/>
                <w:szCs w:val="12"/>
                <w:color w:val="auto"/>
              </w:rPr>
            </w:pPr>
          </w:p>
        </w:tc>
        <w:tc>
          <w:tcPr>
            <w:tcW w:w="3260" w:type="dxa"/>
            <w:vAlign w:val="bottom"/>
            <w:gridSpan w:val="3"/>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0" w:type="dxa"/>
            <w:vAlign w:val="bottom"/>
            <w:gridSpan w:val="19"/>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Item 18.</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Financial Statements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0" w:type="dxa"/>
            <w:vAlign w:val="bottom"/>
            <w:gridSpan w:val="19"/>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Item 19.</w:t>
              </w:r>
            </w:hyperlink>
          </w:p>
        </w:tc>
        <w:tc>
          <w:tcPr>
            <w:tcW w:w="6860" w:type="dxa"/>
            <w:vAlign w:val="bottom"/>
            <w:gridSpan w:val="30"/>
          </w:tcPr>
          <w:p>
            <w:pPr>
              <w:spacing w:after="0" w:line="141" w:lineRule="exact"/>
              <w:rPr>
                <w:rFonts w:ascii="Arial" w:cs="Arial" w:eastAsia="Arial" w:hAnsi="Arial"/>
                <w:sz w:val="13"/>
                <w:szCs w:val="13"/>
                <w:color w:val="0000EE"/>
              </w:rPr>
            </w:pPr>
            <w:hyperlink w:anchor="page73">
              <w:r>
                <w:rPr>
                  <w:rFonts w:ascii="Arial" w:cs="Arial" w:eastAsia="Arial" w:hAnsi="Arial"/>
                  <w:sz w:val="13"/>
                  <w:szCs w:val="13"/>
                  <w:color w:val="0000EE"/>
                </w:rPr>
                <w:t>Exhibits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0" w:type="dxa"/>
            <w:vAlign w:val="bottom"/>
            <w:gridSpan w:val="19"/>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8520" w:type="dxa"/>
            <w:vAlign w:val="bottom"/>
            <w:gridSpan w:val="37"/>
          </w:tcPr>
          <w:p>
            <w:pPr>
              <w:spacing w:after="0" w:line="141" w:lineRule="exact"/>
              <w:rPr>
                <w:rFonts w:ascii="Arial" w:cs="Arial" w:eastAsia="Arial" w:hAnsi="Arial"/>
                <w:sz w:val="13"/>
                <w:szCs w:val="13"/>
                <w:color w:val="0000EE"/>
              </w:rPr>
            </w:pPr>
            <w:hyperlink w:anchor="page77">
              <w:r>
                <w:rPr>
                  <w:rFonts w:ascii="Arial" w:cs="Arial" w:eastAsia="Arial" w:hAnsi="Arial"/>
                  <w:sz w:val="13"/>
                  <w:szCs w:val="13"/>
                  <w:color w:val="0000EE"/>
                </w:rPr>
                <w:t>Index to Consolidated Financial Statements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F-1</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620" w:type="dxa"/>
            <w:vAlign w:val="bottom"/>
            <w:tcBorders>
              <w:top w:val="single" w:sz="8" w:color="0000EE"/>
            </w:tcBorders>
            <w:gridSpan w:val="6"/>
          </w:tcPr>
          <w:p>
            <w:pPr>
              <w:spacing w:after="0" w:line="141" w:lineRule="exact"/>
              <w:rPr>
                <w:sz w:val="20"/>
                <w:szCs w:val="20"/>
                <w:color w:val="auto"/>
              </w:rPr>
            </w:pPr>
            <w:r>
              <w:rPr>
                <w:rFonts w:ascii="Arial" w:cs="Arial" w:eastAsia="Arial" w:hAnsi="Arial"/>
                <w:sz w:val="13"/>
                <w:szCs w:val="13"/>
                <w:color w:val="0000EE"/>
              </w:rPr>
              <w:t>EX-8</w:t>
            </w:r>
          </w:p>
        </w:tc>
        <w:tc>
          <w:tcPr>
            <w:tcW w:w="1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0000EE"/>
            </w:tcBorders>
            <w:gridSpan w:val="2"/>
          </w:tcPr>
          <w:p>
            <w:pPr>
              <w:spacing w:after="0" w:line="141" w:lineRule="exact"/>
              <w:rPr>
                <w:sz w:val="20"/>
                <w:szCs w:val="20"/>
                <w:color w:val="auto"/>
              </w:rPr>
            </w:pPr>
            <w:r>
              <w:rPr>
                <w:rFonts w:ascii="Arial" w:cs="Arial" w:eastAsia="Arial" w:hAnsi="Arial"/>
                <w:sz w:val="13"/>
                <w:szCs w:val="13"/>
                <w:color w:val="0000EE"/>
                <w:w w:val="89"/>
              </w:rPr>
              <w:t>EX-12.1</w:t>
            </w:r>
          </w:p>
        </w:tc>
        <w:tc>
          <w:tcPr>
            <w:tcW w:w="116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0000EE"/>
            </w:tcBorders>
            <w:gridSpan w:val="2"/>
          </w:tcPr>
          <w:p>
            <w:pPr>
              <w:spacing w:after="0" w:line="141" w:lineRule="exact"/>
              <w:rPr>
                <w:sz w:val="20"/>
                <w:szCs w:val="20"/>
                <w:color w:val="auto"/>
              </w:rPr>
            </w:pPr>
            <w:r>
              <w:rPr>
                <w:rFonts w:ascii="Arial" w:cs="Arial" w:eastAsia="Arial" w:hAnsi="Arial"/>
                <w:sz w:val="13"/>
                <w:szCs w:val="13"/>
                <w:color w:val="0000EE"/>
                <w:w w:val="89"/>
              </w:rPr>
              <w:t>EX-12.2</w:t>
            </w:r>
          </w:p>
        </w:tc>
        <w:tc>
          <w:tcPr>
            <w:tcW w:w="116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0000EE"/>
            </w:tcBorders>
            <w:gridSpan w:val="2"/>
          </w:tcPr>
          <w:p>
            <w:pPr>
              <w:spacing w:after="0" w:line="141" w:lineRule="exact"/>
              <w:rPr>
                <w:sz w:val="20"/>
                <w:szCs w:val="20"/>
                <w:color w:val="auto"/>
              </w:rPr>
            </w:pPr>
            <w:r>
              <w:rPr>
                <w:rFonts w:ascii="Arial" w:cs="Arial" w:eastAsia="Arial" w:hAnsi="Arial"/>
                <w:sz w:val="13"/>
                <w:szCs w:val="13"/>
                <w:color w:val="0000EE"/>
                <w:w w:val="89"/>
              </w:rPr>
              <w:t>EX-13.1</w:t>
            </w:r>
          </w:p>
        </w:tc>
        <w:tc>
          <w:tcPr>
            <w:tcW w:w="116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0000EE"/>
            </w:tcBorders>
            <w:gridSpan w:val="2"/>
          </w:tcPr>
          <w:p>
            <w:pPr>
              <w:spacing w:after="0" w:line="141" w:lineRule="exact"/>
              <w:rPr>
                <w:sz w:val="20"/>
                <w:szCs w:val="20"/>
                <w:color w:val="auto"/>
              </w:rPr>
            </w:pPr>
            <w:r>
              <w:rPr>
                <w:rFonts w:ascii="Arial" w:cs="Arial" w:eastAsia="Arial" w:hAnsi="Arial"/>
                <w:sz w:val="13"/>
                <w:szCs w:val="13"/>
                <w:color w:val="0000EE"/>
                <w:w w:val="89"/>
              </w:rPr>
              <w:t>EX-13.2</w:t>
            </w:r>
          </w:p>
        </w:tc>
        <w:tc>
          <w:tcPr>
            <w:tcW w:w="116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0000EE"/>
            </w:tcBorders>
            <w:gridSpan w:val="2"/>
          </w:tcPr>
          <w:p>
            <w:pPr>
              <w:spacing w:after="0" w:line="141" w:lineRule="exact"/>
              <w:rPr>
                <w:sz w:val="20"/>
                <w:szCs w:val="20"/>
                <w:color w:val="auto"/>
              </w:rPr>
            </w:pPr>
            <w:r>
              <w:rPr>
                <w:rFonts w:ascii="Arial" w:cs="Arial" w:eastAsia="Arial" w:hAnsi="Arial"/>
                <w:sz w:val="13"/>
                <w:szCs w:val="13"/>
                <w:color w:val="0000EE"/>
                <w:w w:val="89"/>
              </w:rPr>
              <w:t>EX-14.1</w:t>
            </w:r>
          </w:p>
        </w:tc>
        <w:tc>
          <w:tcPr>
            <w:tcW w:w="116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80" w:type="dxa"/>
            <w:vAlign w:val="bottom"/>
            <w:gridSpan w:val="36"/>
          </w:tcPr>
          <w:p>
            <w:pPr>
              <w:spacing w:after="0" w:line="141" w:lineRule="exact"/>
              <w:rPr>
                <w:sz w:val="20"/>
                <w:szCs w:val="20"/>
                <w:color w:val="auto"/>
              </w:rPr>
            </w:pPr>
            <w:r>
              <w:rPr>
                <w:rFonts w:ascii="Arial" w:cs="Arial" w:eastAsia="Arial" w:hAnsi="Arial"/>
                <w:sz w:val="13"/>
                <w:szCs w:val="13"/>
                <w:color w:val="0000EE"/>
              </w:rPr>
              <w:t>EX-101 INSTANCE DOCUMENT</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tcBorders>
              <w:top w:val="single" w:sz="8" w:color="0000EE"/>
            </w:tcBorders>
            <w:gridSpan w:val="8"/>
          </w:tcPr>
          <w:p>
            <w:pPr>
              <w:spacing w:after="0" w:line="141" w:lineRule="exact"/>
              <w:rPr>
                <w:sz w:val="20"/>
                <w:szCs w:val="20"/>
                <w:color w:val="auto"/>
              </w:rPr>
            </w:pPr>
            <w:r>
              <w:rPr>
                <w:rFonts w:ascii="Arial" w:cs="Arial" w:eastAsia="Arial" w:hAnsi="Arial"/>
                <w:sz w:val="13"/>
                <w:szCs w:val="13"/>
                <w:color w:val="0000EE"/>
              </w:rPr>
              <w:t>EX-101 SCHEMA DOCUMENT</w:t>
            </w:r>
          </w:p>
        </w:tc>
        <w:tc>
          <w:tcPr>
            <w:tcW w:w="6620" w:type="dxa"/>
            <w:vAlign w:val="bottom"/>
            <w:gridSpan w:val="28"/>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0" w:type="dxa"/>
            <w:vAlign w:val="bottom"/>
            <w:gridSpan w:val="19"/>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80" w:type="dxa"/>
            <w:vAlign w:val="bottom"/>
            <w:gridSpan w:val="36"/>
          </w:tcPr>
          <w:p>
            <w:pPr>
              <w:spacing w:after="0" w:line="141" w:lineRule="exact"/>
              <w:rPr>
                <w:sz w:val="20"/>
                <w:szCs w:val="20"/>
                <w:color w:val="auto"/>
              </w:rPr>
            </w:pPr>
            <w:r>
              <w:rPr>
                <w:rFonts w:ascii="Arial" w:cs="Arial" w:eastAsia="Arial" w:hAnsi="Arial"/>
                <w:sz w:val="13"/>
                <w:szCs w:val="13"/>
                <w:color w:val="0000EE"/>
              </w:rPr>
              <w:t>EX-101 CALCULATION LINKBASE DOCUMENT</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0" w:type="dxa"/>
            <w:vAlign w:val="bottom"/>
            <w:tcBorders>
              <w:top w:val="single" w:sz="8" w:color="0000EE"/>
              <w:bottom w:val="single" w:sz="8" w:color="0000EE"/>
            </w:tcBorders>
            <w:gridSpan w:val="11"/>
          </w:tcPr>
          <w:p>
            <w:pPr>
              <w:spacing w:after="0" w:line="141" w:lineRule="exact"/>
              <w:rPr>
                <w:sz w:val="20"/>
                <w:szCs w:val="20"/>
                <w:color w:val="auto"/>
              </w:rPr>
            </w:pPr>
            <w:r>
              <w:rPr>
                <w:rFonts w:ascii="Arial" w:cs="Arial" w:eastAsia="Arial" w:hAnsi="Arial"/>
                <w:sz w:val="13"/>
                <w:szCs w:val="13"/>
                <w:color w:val="0000EE"/>
                <w:w w:val="98"/>
              </w:rPr>
              <w:t>EX-101 LABELS LINKBASE DOCUMENT</w:t>
            </w:r>
          </w:p>
        </w:tc>
        <w:tc>
          <w:tcPr>
            <w:tcW w:w="420" w:type="dxa"/>
            <w:vAlign w:val="bottom"/>
            <w:tcBorders>
              <w:top w:val="single" w:sz="8" w:color="0000EE"/>
            </w:tcBorders>
            <w:gridSpan w:val="5"/>
          </w:tcPr>
          <w:p>
            <w:pPr>
              <w:spacing w:after="0"/>
              <w:rPr>
                <w:sz w:val="12"/>
                <w:szCs w:val="12"/>
                <w:color w:val="auto"/>
              </w:rPr>
            </w:pPr>
          </w:p>
        </w:tc>
        <w:tc>
          <w:tcPr>
            <w:tcW w:w="5660" w:type="dxa"/>
            <w:vAlign w:val="bottom"/>
            <w:gridSpan w:val="20"/>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80" w:type="dxa"/>
            <w:vAlign w:val="bottom"/>
            <w:tcBorders>
              <w:bottom w:val="single" w:sz="8" w:color="0000EE"/>
            </w:tcBorders>
            <w:gridSpan w:val="17"/>
          </w:tcPr>
          <w:p>
            <w:pPr>
              <w:spacing w:after="0" w:line="141" w:lineRule="exact"/>
              <w:rPr>
                <w:sz w:val="20"/>
                <w:szCs w:val="20"/>
                <w:color w:val="auto"/>
              </w:rPr>
            </w:pPr>
            <w:r>
              <w:rPr>
                <w:rFonts w:ascii="Arial" w:cs="Arial" w:eastAsia="Arial" w:hAnsi="Arial"/>
                <w:sz w:val="13"/>
                <w:szCs w:val="13"/>
                <w:color w:val="0000EE"/>
                <w:w w:val="96"/>
              </w:rPr>
              <w:t>EX-101 PRESENTATION LINKBASE DOCUMENT</w:t>
            </w:r>
          </w:p>
        </w:tc>
        <w:tc>
          <w:tcPr>
            <w:tcW w:w="5600" w:type="dxa"/>
            <w:vAlign w:val="bottom"/>
            <w:gridSpan w:val="19"/>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80" w:type="dxa"/>
            <w:vAlign w:val="bottom"/>
            <w:gridSpan w:val="36"/>
          </w:tcPr>
          <w:p>
            <w:pPr>
              <w:spacing w:after="0" w:line="141" w:lineRule="exact"/>
              <w:rPr>
                <w:sz w:val="20"/>
                <w:szCs w:val="20"/>
                <w:color w:val="auto"/>
              </w:rPr>
            </w:pPr>
            <w:r>
              <w:rPr>
                <w:rFonts w:ascii="Arial" w:cs="Arial" w:eastAsia="Arial" w:hAnsi="Arial"/>
                <w:sz w:val="13"/>
                <w:szCs w:val="13"/>
                <w:color w:val="0000EE"/>
              </w:rPr>
              <w:t>EX-101 DEFINITION LINKBASE DOCUMENT</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gridSpan w:val="8"/>
          </w:tcPr>
          <w:p>
            <w:pPr>
              <w:spacing w:after="0"/>
              <w:rPr>
                <w:sz w:val="24"/>
                <w:szCs w:val="24"/>
                <w:color w:val="auto"/>
              </w:rPr>
            </w:pPr>
          </w:p>
        </w:tc>
        <w:tc>
          <w:tcPr>
            <w:tcW w:w="2540" w:type="dxa"/>
            <w:vAlign w:val="bottom"/>
            <w:gridSpan w:val="17"/>
          </w:tcPr>
          <w:p>
            <w:pPr>
              <w:jc w:val="center"/>
              <w:ind w:left="2033"/>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22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Unless the context otherwise requires, all references in this Annual Report on Form 20-F to “Amdocs,” “we,” “our,” “us” and the “Company” refer to Amdocs Limited and its consolidated subsidiaries and their respective predecessors. Our consolidated financial statements are prepared in accordance with generally accepted accounting principles in the United States, or U.S. GAAP, and are expressed in U.S. dollars. References to “dollars” or “$” are to U.S. dollars. Our fiscal year ends on September 30 of each year. References to any specific fiscal year refer to the year ended September 30 of the calendar year specified.</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own, have rights to or use trademarks or trade names in conjunction with the sale of our products and services, including, without limitation, each of the following:</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w:t>
      </w:r>
      <w:r>
        <w:rPr>
          <w:rFonts w:ascii="Arial" w:cs="Arial" w:eastAsia="Arial" w:hAnsi="Arial"/>
          <w:sz w:val="8"/>
          <w:szCs w:val="8"/>
          <w:color w:val="auto"/>
        </w:rPr>
        <w:t>TM</w:t>
      </w:r>
      <w:r>
        <w:rPr>
          <w:rFonts w:ascii="Arial" w:cs="Arial" w:eastAsia="Arial" w:hAnsi="Arial"/>
          <w:sz w:val="13"/>
          <w:szCs w:val="13"/>
          <w:color w:val="auto"/>
        </w:rPr>
        <w:t>, Clarify</w:t>
      </w:r>
      <w:r>
        <w:rPr>
          <w:rFonts w:ascii="Arial" w:cs="Arial" w:eastAsia="Arial" w:hAnsi="Arial"/>
          <w:sz w:val="8"/>
          <w:szCs w:val="8"/>
          <w:color w:val="auto"/>
        </w:rPr>
        <w:t>TM</w:t>
      </w:r>
      <w:r>
        <w:rPr>
          <w:rFonts w:ascii="Arial" w:cs="Arial" w:eastAsia="Arial" w:hAnsi="Arial"/>
          <w:sz w:val="13"/>
          <w:szCs w:val="13"/>
          <w:color w:val="auto"/>
        </w:rPr>
        <w:t>, Cramer</w:t>
      </w:r>
      <w:r>
        <w:rPr>
          <w:rFonts w:ascii="Arial" w:cs="Arial" w:eastAsia="Arial" w:hAnsi="Arial"/>
          <w:sz w:val="8"/>
          <w:szCs w:val="8"/>
          <w:color w:val="auto"/>
        </w:rPr>
        <w:t>TM</w:t>
      </w:r>
      <w:r>
        <w:rPr>
          <w:rFonts w:ascii="Arial" w:cs="Arial" w:eastAsia="Arial" w:hAnsi="Arial"/>
          <w:sz w:val="13"/>
          <w:szCs w:val="13"/>
          <w:color w:val="auto"/>
        </w:rPr>
        <w:t>, CES</w:t>
      </w:r>
      <w:r>
        <w:rPr>
          <w:rFonts w:ascii="Arial" w:cs="Arial" w:eastAsia="Arial" w:hAnsi="Arial"/>
          <w:sz w:val="8"/>
          <w:szCs w:val="8"/>
          <w:color w:val="auto"/>
        </w:rPr>
        <w:t>TM</w:t>
      </w:r>
      <w:r>
        <w:rPr>
          <w:rFonts w:ascii="Arial" w:cs="Arial" w:eastAsia="Arial" w:hAnsi="Arial"/>
          <w:sz w:val="13"/>
          <w:szCs w:val="13"/>
          <w:color w:val="auto"/>
        </w:rPr>
        <w:t>, Intentional Customer Experience</w:t>
      </w:r>
      <w:r>
        <w:rPr>
          <w:rFonts w:ascii="Arial" w:cs="Arial" w:eastAsia="Arial" w:hAnsi="Arial"/>
          <w:sz w:val="8"/>
          <w:szCs w:val="8"/>
          <w:color w:val="auto"/>
        </w:rPr>
        <w:t>TM</w:t>
      </w:r>
      <w:r>
        <w:rPr>
          <w:rFonts w:ascii="Arial" w:cs="Arial" w:eastAsia="Arial" w:hAnsi="Arial"/>
          <w:sz w:val="13"/>
          <w:szCs w:val="13"/>
          <w:color w:val="auto"/>
        </w:rPr>
        <w:t>, OpenMarket</w:t>
      </w:r>
      <w:r>
        <w:rPr>
          <w:rFonts w:ascii="Arial" w:cs="Arial" w:eastAsia="Arial" w:hAnsi="Arial"/>
          <w:sz w:val="8"/>
          <w:szCs w:val="8"/>
          <w:color w:val="auto"/>
        </w:rPr>
        <w:t>TM</w:t>
      </w:r>
      <w:r>
        <w:rPr>
          <w:rFonts w:ascii="Arial" w:cs="Arial" w:eastAsia="Arial" w:hAnsi="Arial"/>
          <w:sz w:val="13"/>
          <w:szCs w:val="13"/>
          <w:color w:val="auto"/>
        </w:rPr>
        <w:t>, Qpass</w:t>
      </w:r>
      <w:r>
        <w:rPr>
          <w:rFonts w:ascii="Arial" w:cs="Arial" w:eastAsia="Arial" w:hAnsi="Arial"/>
          <w:sz w:val="8"/>
          <w:szCs w:val="8"/>
          <w:color w:val="auto"/>
        </w:rPr>
        <w:t>TM</w:t>
      </w:r>
      <w:r>
        <w:rPr>
          <w:rFonts w:ascii="Arial" w:cs="Arial" w:eastAsia="Arial" w:hAnsi="Arial"/>
          <w:sz w:val="13"/>
          <w:szCs w:val="13"/>
          <w:color w:val="auto"/>
        </w:rPr>
        <w:t>, JacobsRimell</w:t>
      </w:r>
      <w:r>
        <w:rPr>
          <w:rFonts w:ascii="Arial" w:cs="Arial" w:eastAsia="Arial" w:hAnsi="Arial"/>
          <w:sz w:val="8"/>
          <w:szCs w:val="8"/>
          <w:color w:val="auto"/>
        </w:rPr>
        <w:t>TM</w:t>
      </w:r>
      <w:r>
        <w:rPr>
          <w:rFonts w:ascii="Arial" w:cs="Arial" w:eastAsia="Arial" w:hAnsi="Arial"/>
          <w:sz w:val="13"/>
          <w:szCs w:val="13"/>
          <w:color w:val="auto"/>
        </w:rPr>
        <w:t xml:space="preserve"> and ChangingWorlds</w:t>
      </w:r>
      <w:r>
        <w:rPr>
          <w:rFonts w:ascii="Arial" w:cs="Arial" w:eastAsia="Arial" w:hAnsi="Arial"/>
          <w:sz w:val="8"/>
          <w:szCs w:val="8"/>
          <w:color w:val="auto"/>
        </w:rPr>
        <w:t>TM</w:t>
      </w:r>
      <w:r>
        <w:rPr>
          <w:rFonts w:ascii="Arial" w:cs="Arial" w:eastAsia="Arial" w:hAnsi="Arial"/>
          <w:sz w:val="13"/>
          <w:szCs w:val="13"/>
          <w:color w:val="auto"/>
        </w:rPr>
        <w:t>.</w:t>
      </w:r>
    </w:p>
    <w:p>
      <w:pPr>
        <w:spacing w:after="0" w:line="251"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Forward Looking Statements</w:t>
      </w:r>
    </w:p>
    <w:p>
      <w:pPr>
        <w:spacing w:after="0" w:line="104"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8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3"/>
          <w:szCs w:val="13"/>
          <w:b w:val="1"/>
          <w:bCs w:val="1"/>
          <w:color w:val="auto"/>
        </w:rPr>
        <w:t>IDENTITY OF DIRECTORS, SENIOR MANAGEMENT AND ADVISERS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3"/>
          <w:szCs w:val="13"/>
          <w:b w:val="1"/>
          <w:bCs w:val="1"/>
          <w:color w:val="auto"/>
        </w:rPr>
        <w:t>OFFER STATISTICS AND EXPECTED TIMETABLE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3"/>
          <w:szCs w:val="13"/>
          <w:b w:val="1"/>
          <w:bCs w:val="1"/>
          <w:color w:val="auto"/>
        </w:rPr>
        <w:t>KEY INFORMATION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Selected Financial Data</w:t>
      </w:r>
    </w:p>
    <w:p>
      <w:pPr>
        <w:spacing w:after="0" w:line="104" w:lineRule="exact"/>
        <w:rPr>
          <w:sz w:val="20"/>
          <w:szCs w:val="20"/>
          <w:color w:val="auto"/>
        </w:rPr>
      </w:pPr>
    </w:p>
    <w:p>
      <w:pPr>
        <w:ind w:left="680" w:right="300" w:firstLine="399"/>
        <w:spacing w:after="0" w:line="270" w:lineRule="auto"/>
        <w:rPr>
          <w:sz w:val="20"/>
          <w:szCs w:val="20"/>
          <w:color w:val="auto"/>
        </w:rPr>
      </w:pPr>
      <w:r>
        <w:rPr>
          <w:rFonts w:ascii="Arial" w:cs="Arial" w:eastAsia="Arial" w:hAnsi="Arial"/>
          <w:sz w:val="13"/>
          <w:szCs w:val="13"/>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2009 is derived from our consolidated financial statements, which have been audited by Ernst &amp; Young LLP, our independent registered public accounting firm. You should read the information presented below in conjunction with those statements.</w:t>
      </w:r>
    </w:p>
    <w:p>
      <w:pPr>
        <w:spacing w:after="0" w:line="63"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2006</w:t>
            </w: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1"/>
                <w:szCs w:val="11"/>
                <w:color w:val="auto"/>
              </w:rPr>
            </w:pPr>
          </w:p>
        </w:tc>
      </w:tr>
      <w:tr>
        <w:trPr>
          <w:trHeight w:val="135"/>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gridSpan w:val="6"/>
          </w:tcPr>
          <w:p>
            <w:pPr>
              <w:jc w:val="right"/>
              <w:ind w:right="93"/>
              <w:spacing w:after="0"/>
              <w:rPr>
                <w:sz w:val="20"/>
                <w:szCs w:val="20"/>
                <w:color w:val="auto"/>
              </w:rPr>
            </w:pPr>
            <w:r>
              <w:rPr>
                <w:rFonts w:ascii="Arial" w:cs="Arial" w:eastAsia="Arial" w:hAnsi="Arial"/>
                <w:sz w:val="11"/>
                <w:szCs w:val="11"/>
                <w:b w:val="1"/>
                <w:bCs w:val="1"/>
                <w:color w:val="auto"/>
              </w:rPr>
              <w:t>(in thousands, except per share data)</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Revenue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2,862,607</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3,162,096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2,836,173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2,480,050</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2,038,621</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367,319</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405,596</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357,433</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332,132</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338,492</w:t>
            </w: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326,176</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378,906</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364,937</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318,636</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288,636</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1.57</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1.44</w:t>
            </w: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Diluted earnings per share</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1.58</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1.65</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1.48</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1.35</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Dividends declared per share</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92"/>
        </w:trPr>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2006</w:t>
            </w: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24"/>
                <w:szCs w:val="24"/>
                <w:color w:val="auto"/>
              </w:rPr>
            </w:pPr>
          </w:p>
        </w:tc>
      </w:tr>
      <w:tr>
        <w:trPr>
          <w:trHeight w:val="30"/>
        </w:trPr>
        <w:tc>
          <w:tcPr>
            <w:tcW w:w="1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Cash, cash equivalents and short-term interest-bearing investments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1,173,041</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1,244,378</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1,179,280</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979,381</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1,145,563</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4,328,417</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4,579,063</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4,345,350</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3,962,828</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3,202,468</w:t>
            </w: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Long-term obligations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Convertible Senior Notes(1)</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1,020</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450,000</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450,000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450,272</w:t>
            </w:r>
          </w:p>
        </w:tc>
      </w:tr>
      <w:tr>
        <w:trPr>
          <w:trHeight w:val="161"/>
        </w:trPr>
        <w:tc>
          <w:tcPr>
            <w:tcW w:w="4300" w:type="dxa"/>
            <w:vAlign w:val="bottom"/>
            <w:gridSpan w:val="2"/>
          </w:tcPr>
          <w:p>
            <w:pPr>
              <w:ind w:left="140"/>
              <w:spacing w:after="0"/>
              <w:rPr>
                <w:sz w:val="20"/>
                <w:szCs w:val="20"/>
                <w:color w:val="auto"/>
              </w:rPr>
            </w:pPr>
            <w:r>
              <w:rPr>
                <w:rFonts w:ascii="Arial" w:cs="Arial" w:eastAsia="Arial" w:hAnsi="Arial"/>
                <w:sz w:val="13"/>
                <w:szCs w:val="13"/>
                <w:color w:val="auto"/>
              </w:rPr>
              <w:t>Long-term portion of capital lease obligations</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510</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356</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3,213,053</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2,805,191</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2,600,243</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2,154,165</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1,656,452</w:t>
            </w:r>
          </w:p>
        </w:tc>
      </w:tr>
      <w:tr>
        <w:trPr>
          <w:trHeight w:val="101"/>
        </w:trPr>
        <w:tc>
          <w:tcPr>
            <w:tcW w:w="130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40" w:lineRule="exact"/>
        <w:rPr>
          <w:sz w:val="20"/>
          <w:szCs w:val="20"/>
          <w:color w:val="auto"/>
        </w:rPr>
      </w:pPr>
    </w:p>
    <w:p>
      <w:pPr>
        <w:ind w:left="1000" w:right="80" w:hanging="266"/>
        <w:spacing w:after="0" w:line="276" w:lineRule="auto"/>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During fiscal 2009, using proceeds from our revolving credit facility, we purchased $449.0 million aggregate principal amount of our 0.50% convertible notes at an average price of 99.5% of the principal amount, excluding accrued interest and transaction fees. As of September 30, 2009, $1.0 million principal amount of the notes remain as our obligations, due in 2024, in accordance with their terms.</w:t>
      </w:r>
    </w:p>
    <w:p>
      <w:pPr>
        <w:spacing w:after="0" w:line="35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300" w:type="dxa"/>
            <w:vAlign w:val="bottom"/>
            <w:gridSpan w:val="4"/>
            <w:vMerge w:val="restart"/>
          </w:tcPr>
          <w:p>
            <w:pPr>
              <w:ind w:left="220"/>
              <w:spacing w:after="0"/>
              <w:rPr>
                <w:sz w:val="20"/>
                <w:szCs w:val="20"/>
                <w:color w:val="auto"/>
              </w:rPr>
            </w:pPr>
            <w:r>
              <w:rPr>
                <w:rFonts w:ascii="Arial" w:cs="Arial" w:eastAsia="Arial" w:hAnsi="Arial"/>
                <w:sz w:val="11"/>
                <w:szCs w:val="11"/>
                <w:b w:val="1"/>
                <w:bCs w:val="1"/>
                <w:color w:val="auto"/>
              </w:rPr>
              <w:t>Ordinary 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00"/>
              <w:spacing w:after="0" w:line="118"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ind w:right="74"/>
              <w:spacing w:after="0" w:line="101" w:lineRule="exact"/>
              <w:rPr>
                <w:sz w:val="20"/>
                <w:szCs w:val="20"/>
                <w:color w:val="auto"/>
              </w:rPr>
            </w:pPr>
            <w:r>
              <w:rPr>
                <w:rFonts w:ascii="Arial" w:cs="Arial" w:eastAsia="Arial" w:hAnsi="Arial"/>
                <w:sz w:val="11"/>
                <w:szCs w:val="11"/>
                <w:b w:val="1"/>
                <w:bCs w:val="1"/>
                <w:color w:val="auto"/>
              </w:rPr>
              <w:t>Shares</w:t>
            </w:r>
          </w:p>
        </w:tc>
        <w:tc>
          <w:tcPr>
            <w:tcW w:w="200" w:type="dxa"/>
            <w:vAlign w:val="bottom"/>
            <w:tcBorders>
              <w:top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54"/>
              <w:spacing w:after="0" w:line="101" w:lineRule="exact"/>
              <w:rPr>
                <w:sz w:val="20"/>
                <w:szCs w:val="20"/>
                <w:color w:val="auto"/>
              </w:rPr>
            </w:pPr>
            <w:r>
              <w:rPr>
                <w:rFonts w:ascii="Arial" w:cs="Arial" w:eastAsia="Arial" w:hAnsi="Arial"/>
                <w:sz w:val="11"/>
                <w:szCs w:val="11"/>
                <w:b w:val="1"/>
                <w:bCs w:val="1"/>
                <w:color w:val="auto"/>
              </w:rPr>
              <w:t>Capital</w:t>
            </w: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93"/>
              <w:spacing w:after="0" w:line="101" w:lineRule="exact"/>
              <w:rPr>
                <w:sz w:val="20"/>
                <w:szCs w:val="20"/>
                <w:color w:val="auto"/>
              </w:rPr>
            </w:pPr>
            <w:r>
              <w:rPr>
                <w:rFonts w:ascii="Arial" w:cs="Arial" w:eastAsia="Arial" w:hAnsi="Arial"/>
                <w:sz w:val="11"/>
                <w:szCs w:val="11"/>
                <w:b w:val="1"/>
                <w:bCs w:val="1"/>
                <w:color w:val="auto"/>
                <w:w w:val="88"/>
              </w:rPr>
              <w:t>Treasury Stock</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134"/>
              <w:spacing w:after="0"/>
              <w:rPr>
                <w:sz w:val="20"/>
                <w:szCs w:val="20"/>
                <w:color w:val="auto"/>
              </w:rPr>
            </w:pPr>
            <w:r>
              <w:rPr>
                <w:rFonts w:ascii="Arial" w:cs="Arial" w:eastAsia="Arial" w:hAnsi="Arial"/>
                <w:sz w:val="11"/>
                <w:szCs w:val="11"/>
                <w:b w:val="1"/>
                <w:bCs w:val="1"/>
                <w:color w:val="auto"/>
                <w:w w:val="92"/>
              </w:rPr>
              <w:t>(in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Changes in Shareholders’ Equity Data:</w:t>
            </w:r>
          </w:p>
        </w:tc>
        <w:tc>
          <w:tcPr>
            <w:tcW w:w="1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Balance as of September 30, 2005</w:t>
            </w:r>
          </w:p>
        </w:tc>
        <w:tc>
          <w:tcPr>
            <w:tcW w:w="2720" w:type="dxa"/>
            <w:vAlign w:val="bottom"/>
            <w:gridSpan w:val="3"/>
          </w:tcPr>
          <w:p>
            <w:pPr>
              <w:jc w:val="right"/>
              <w:ind w:right="200"/>
              <w:spacing w:after="0"/>
              <w:rPr>
                <w:sz w:val="20"/>
                <w:szCs w:val="20"/>
                <w:color w:val="auto"/>
              </w:rPr>
            </w:pPr>
            <w:r>
              <w:rPr>
                <w:rFonts w:ascii="Arial" w:cs="Arial" w:eastAsia="Arial" w:hAnsi="Arial"/>
                <w:sz w:val="13"/>
                <w:szCs w:val="13"/>
                <w:color w:val="auto"/>
              </w:rPr>
              <w:t>200,182</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$ 3,644</w:t>
            </w:r>
          </w:p>
        </w:tc>
        <w:tc>
          <w:tcPr>
            <w:tcW w:w="24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1,870,922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(602,392)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2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5,869</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106,853</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Tax benefit of stock options exercised/cancelled</w:t>
            </w:r>
          </w:p>
        </w:tc>
        <w:tc>
          <w:tcPr>
            <w:tcW w:w="19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7,619</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2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742</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Issuance of restricted stock and stock options related to acquisitions, net</w:t>
            </w:r>
          </w:p>
        </w:tc>
        <w:tc>
          <w:tcPr>
            <w:tcW w:w="19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4,634</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9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46,178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Reclassification of unearned compensation to additional paid in capital</w:t>
            </w:r>
          </w:p>
        </w:tc>
        <w:tc>
          <w:tcPr>
            <w:tcW w:w="19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(962)</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non-employee stock options</w:t>
            </w:r>
          </w:p>
        </w:tc>
        <w:tc>
          <w:tcPr>
            <w:tcW w:w="19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Balance as of September 30, 2006</w:t>
            </w:r>
          </w:p>
        </w:tc>
        <w:tc>
          <w:tcPr>
            <w:tcW w:w="19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206,793</w:t>
            </w:r>
          </w:p>
        </w:tc>
        <w:tc>
          <w:tcPr>
            <w:tcW w:w="2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$ 3,763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2,035,309</w:t>
            </w: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(602,392)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2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3,970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74,576</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Tax benefit of stock options exercised/cancelled</w:t>
            </w:r>
          </w:p>
        </w:tc>
        <w:tc>
          <w:tcPr>
            <w:tcW w:w="19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3,965</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(1,411)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(49,837)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2720" w:type="dxa"/>
            <w:vAlign w:val="bottom"/>
            <w:gridSpan w:val="3"/>
          </w:tcPr>
          <w:p>
            <w:pPr>
              <w:jc w:val="right"/>
              <w:ind w:right="200"/>
              <w:spacing w:after="0"/>
              <w:rPr>
                <w:sz w:val="20"/>
                <w:szCs w:val="20"/>
                <w:color w:val="auto"/>
              </w:rPr>
            </w:pPr>
            <w:r>
              <w:rPr>
                <w:rFonts w:ascii="Arial" w:cs="Arial" w:eastAsia="Arial" w:hAnsi="Arial"/>
                <w:sz w:val="13"/>
                <w:szCs w:val="13"/>
                <w:color w:val="auto"/>
              </w:rPr>
              <w:t>410</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stock options related to acquisitions, net</w:t>
            </w:r>
          </w:p>
        </w:tc>
        <w:tc>
          <w:tcPr>
            <w:tcW w:w="19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768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9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53,587</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non-employee stock options</w:t>
            </w:r>
          </w:p>
        </w:tc>
        <w:tc>
          <w:tcPr>
            <w:tcW w:w="19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Balance as of September 30, 2007</w:t>
            </w:r>
          </w:p>
        </w:tc>
        <w:tc>
          <w:tcPr>
            <w:tcW w:w="19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209,762</w:t>
            </w:r>
          </w:p>
        </w:tc>
        <w:tc>
          <w:tcPr>
            <w:tcW w:w="2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$ 3,850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2,168,234</w:t>
            </w: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(652,229)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2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2,052</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37,527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Tax benefit of stock options exercised/cancelled</w:t>
            </w:r>
          </w:p>
        </w:tc>
        <w:tc>
          <w:tcPr>
            <w:tcW w:w="19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1,549</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(8,370)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(255,051)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2720" w:type="dxa"/>
            <w:vAlign w:val="bottom"/>
            <w:gridSpan w:val="3"/>
          </w:tcPr>
          <w:p>
            <w:pPr>
              <w:jc w:val="right"/>
              <w:ind w:right="200"/>
              <w:spacing w:after="0"/>
              <w:rPr>
                <w:sz w:val="20"/>
                <w:szCs w:val="20"/>
                <w:color w:val="auto"/>
              </w:rPr>
            </w:pPr>
            <w:r>
              <w:rPr>
                <w:rFonts w:ascii="Arial" w:cs="Arial" w:eastAsia="Arial" w:hAnsi="Arial"/>
                <w:sz w:val="13"/>
                <w:szCs w:val="13"/>
                <w:color w:val="auto"/>
              </w:rPr>
              <w:t>472</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9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57,490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Balance as of September 30, 2008</w:t>
            </w:r>
          </w:p>
        </w:tc>
        <w:tc>
          <w:tcPr>
            <w:tcW w:w="19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203,916</w:t>
            </w:r>
          </w:p>
        </w:tc>
        <w:tc>
          <w:tcPr>
            <w:tcW w:w="2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$ 3,900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2,264,800</w:t>
            </w: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(907,280)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2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1,289</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27,863</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Tax benefit of stock options exercised/cancelled</w:t>
            </w:r>
          </w:p>
        </w:tc>
        <w:tc>
          <w:tcPr>
            <w:tcW w:w="19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(1,484)</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2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(468)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2720" w:type="dxa"/>
            <w:vAlign w:val="bottom"/>
            <w:gridSpan w:val="3"/>
          </w:tcPr>
          <w:p>
            <w:pPr>
              <w:jc w:val="right"/>
              <w:ind w:right="200"/>
              <w:spacing w:after="0"/>
              <w:rPr>
                <w:sz w:val="20"/>
                <w:szCs w:val="20"/>
                <w:color w:val="auto"/>
              </w:rPr>
            </w:pPr>
            <w:r>
              <w:rPr>
                <w:rFonts w:ascii="Arial" w:cs="Arial" w:eastAsia="Arial" w:hAnsi="Arial"/>
                <w:sz w:val="13"/>
                <w:szCs w:val="13"/>
                <w:color w:val="auto"/>
              </w:rPr>
              <w:t>342</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9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42,911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Balance as of September 30, 2009</w:t>
            </w:r>
          </w:p>
        </w:tc>
        <w:tc>
          <w:tcPr>
            <w:tcW w:w="19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205,079</w:t>
            </w:r>
          </w:p>
        </w:tc>
        <w:tc>
          <w:tcPr>
            <w:tcW w:w="2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$ 3,930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2,334,090</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(919,874)</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920" w:type="dxa"/>
            <w:vAlign w:val="bottom"/>
            <w:vMerge w:val="restart"/>
          </w:tcPr>
          <w:p>
            <w:pPr>
              <w:jc w:val="right"/>
              <w:ind w:right="1393"/>
              <w:spacing w:after="0"/>
              <w:rPr>
                <w:sz w:val="20"/>
                <w:szCs w:val="20"/>
                <w:color w:val="auto"/>
              </w:rPr>
            </w:pPr>
            <w:r>
              <w:rPr>
                <w:rFonts w:ascii="Arial" w:cs="Arial" w:eastAsia="Arial" w:hAnsi="Arial"/>
                <w:sz w:val="13"/>
                <w:szCs w:val="13"/>
                <w:color w:val="auto"/>
              </w:rPr>
              <w:t>4</w:t>
            </w: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19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Factors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exposed to general global economic and market conditions, particularly those impacting the communications industry.</w:t>
      </w:r>
    </w:p>
    <w:p>
      <w:pPr>
        <w:spacing w:after="0" w:line="102"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Developments in the communications industry, such as the impact of general global economic conditions, industry consolidation, emergence of new competitors, commoditization of voice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During previous economic downturns, the communications industry experienced significant financial pressures that caused many in the industry to cut expenses and limit investment in capital intensive projects and, in some cases, led to restructurings and bankruptcies. Although we are unable to determine what its full effects will be, the current worldwide economic turmoil has had, and may have further, adverse consequences for our customers and our business.</w:t>
      </w:r>
    </w:p>
    <w:p>
      <w:pPr>
        <w:spacing w:after="0" w:line="68"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During adverse conditions in the business environment for communications companies, service providers often need to control operating expenses and capital investment budgets, which can adversely affect our business. For example, the recent business climate for communications companies has resulted in slowed customer buying decisions and price pressures that have increased pressure on our ability to generate revenue. These adverse market conditions have had a negative impact on our business by decreasing our new customer engagements and the size of initial spending commitments under those engagements, as well as decreasing the level of discretionary spending with existing customers. In addition, the slowdown in the buying decisions of service providers has extended our sales cycle period and limits our ability to forecast our flow of new contracts. If such adverse business conditions continue or arise again in the future, our business may be harmed.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adapt to changing market conditions and cannot compete successfully with existing or new competitors, our business could be harmed.</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management of datacenter operations and IT infrastructure, application management and ongoing support, systems modernization and consolidation and management of end-to-end business processes for billing and customer care operations.</w:t>
      </w:r>
    </w:p>
    <w:p>
      <w:pPr>
        <w:spacing w:after="0" w:line="65"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Since our 2006 acquisition of Qpass Inc., which we refer to as Qpass, we also compete with companies that provide digital commerce software and solutions.</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ability to compete depends on a number of factors, including:</w:t>
      </w:r>
    </w:p>
    <w:p>
      <w:pPr>
        <w:spacing w:after="0" w:line="102" w:lineRule="exact"/>
        <w:rPr>
          <w:sz w:val="20"/>
          <w:szCs w:val="20"/>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development by others of software products that are competitive with our products and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price at which others offer competitive software and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ability of competitors to deliver projects at a level of quality that rivals our own,</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responsiveness of our competitors to customer needs,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ability of our competitors to hire, retain and motivate key personnel.</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continually enhance our products and service offerings, we may have difficulty retaining existing customers and attracting new customers.</w:t>
      </w:r>
    </w:p>
    <w:p>
      <w:pPr>
        <w:spacing w:after="0" w:line="10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our customer experience systems. Our present or future products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business is dependent on a limited number of significant customers, and the loss of any one of our significant customers could harm our results of operations.</w:t>
      </w:r>
    </w:p>
    <w:p>
      <w:pPr>
        <w:spacing w:after="0" w:line="114"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Our business is dependent on a limited number of significant customers, of which AT&amp;T was our largest in fiscal 2009, accounting for 33% of our revenue. In fiscal 2009, our two next largest customers were Bell Canada and Sprint Nextel, and certain of their subsidiaries, each of which accounted for approximately 10% of our revenue in fiscal 2009. Aggregate revenue derived from the multiple business arrangements we have with our ten largest customers accounted for approximately 76% of our revenue in fiscal 2009 and 75% of our revenue in fiscal 2008. The loss of any significant customer or a significant decrease in business from any such customer could harm our results of operations and financial condition. Revenue from individual customers may fluctuate from time to time based on the commencement and completion of projects, the timing of which may be affected by market conditions.</w:t>
      </w:r>
    </w:p>
    <w:p>
      <w:pPr>
        <w:spacing w:after="0" w:line="68"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 and profits.</w:t>
      </w:r>
    </w:p>
    <w:p>
      <w:pPr>
        <w:spacing w:after="0" w:line="143" w:lineRule="exact"/>
        <w:rPr>
          <w:sz w:val="20"/>
          <w:szCs w:val="20"/>
          <w:color w:val="auto"/>
        </w:rPr>
      </w:pPr>
    </w:p>
    <w:p>
      <w:pPr>
        <w:ind w:left="880" w:right="460"/>
        <w:spacing w:after="0" w:line="294" w:lineRule="auto"/>
        <w:rPr>
          <w:sz w:val="20"/>
          <w:szCs w:val="20"/>
          <w:color w:val="auto"/>
        </w:rPr>
      </w:pPr>
      <w:r>
        <w:rPr>
          <w:rFonts w:ascii="Arial" w:cs="Arial" w:eastAsia="Arial" w:hAnsi="Arial"/>
          <w:sz w:val="13"/>
          <w:szCs w:val="13"/>
          <w:b w:val="1"/>
          <w:bCs w:val="1"/>
          <w:i w:val="1"/>
          <w:iCs w:val="1"/>
          <w:color w:val="auto"/>
        </w:rPr>
        <w:t>Our future success will depend on our ability to develop long-term relationships with our customers and to meet their expectations in providing products and performing services.</w:t>
      </w:r>
    </w:p>
    <w:p>
      <w:pPr>
        <w:spacing w:after="0" w:line="47"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customer experience systems. If we are unable to develop new customer relationships, our business will be harmed. In addition, our business and results of operations depend in part on our ability to provide high quality services to customers that have already implemented our</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products. If we are unable to meet customers’ expectations in providing products or performing services, our business and results of operations could be harmed.</w:t>
      </w:r>
    </w:p>
    <w:p>
      <w:pPr>
        <w:spacing w:after="0" w:line="183" w:lineRule="exact"/>
        <w:rPr>
          <w:sz w:val="20"/>
          <w:szCs w:val="20"/>
          <w:color w:val="auto"/>
        </w:rPr>
      </w:pPr>
    </w:p>
    <w:p>
      <w:pPr>
        <w:ind w:left="880" w:right="540"/>
        <w:spacing w:after="0" w:line="294" w:lineRule="auto"/>
        <w:rPr>
          <w:sz w:val="20"/>
          <w:szCs w:val="20"/>
          <w:color w:val="auto"/>
        </w:rPr>
      </w:pPr>
      <w:r>
        <w:rPr>
          <w:rFonts w:ascii="Arial" w:cs="Arial" w:eastAsia="Arial" w:hAnsi="Arial"/>
          <w:sz w:val="13"/>
          <w:szCs w:val="13"/>
          <w:b w:val="1"/>
          <w:bCs w:val="1"/>
          <w:i w:val="1"/>
          <w:iCs w:val="1"/>
          <w:color w:val="auto"/>
        </w:rPr>
        <w:t>We may seek to acquire companies or technologies that could disrupt our ongoing business, distract our management and employees and adversely affect our results of operations.</w:t>
      </w:r>
    </w:p>
    <w:p>
      <w:pPr>
        <w:spacing w:after="0" w:line="47"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It is a part of our business strategy to pursue acquisitions and other initiatives in order to offer new products or services or otherwise enhance our market position or strategic strengths. Since 1999, we have completed numerous acquisitions, which, among other things, have expanded our business into customer management and billing solutions for broadband media cable and satellite companies, as well as digital commerce software and solutions, enhanced our offerings in the operational support systems, or OSS, market, and enabled us to provide integrated billing and customer care systems in high-growth emerging markets. In the future, we may acquire other companies that we believe will advance our business strategy. We cannot assure you that suitable future acquisition candidates can be found, that acquisitions can be consummated on favorable terms or that we will be able to complete otherwise favorable acquisitions because of antitrust or other regulatory concerns.</w:t>
      </w:r>
    </w:p>
    <w:p>
      <w:pPr>
        <w:spacing w:after="0" w:line="68"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We cannot assure you that the acquisitions we have completed, or any future acquisitions that we may make, will enhance our products or strengthen our competitive position. We also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Any failure to recognize significant defects in the internal control policies of acquired companies or to properly integrate and retain personnel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148" w:lineRule="exact"/>
        <w:rPr>
          <w:sz w:val="20"/>
          <w:szCs w:val="20"/>
          <w:color w:val="auto"/>
        </w:rPr>
      </w:pPr>
    </w:p>
    <w:p>
      <w:pPr>
        <w:ind w:left="880" w:right="80"/>
        <w:spacing w:after="0" w:line="294" w:lineRule="auto"/>
        <w:rPr>
          <w:sz w:val="20"/>
          <w:szCs w:val="20"/>
          <w:color w:val="auto"/>
        </w:rPr>
      </w:pPr>
      <w:r>
        <w:rPr>
          <w:rFonts w:ascii="Arial" w:cs="Arial" w:eastAsia="Arial" w:hAnsi="Arial"/>
          <w:sz w:val="13"/>
          <w:szCs w:val="13"/>
          <w:b w:val="1"/>
          <w:bCs w:val="1"/>
          <w:i w:val="1"/>
          <w:iCs w:val="1"/>
          <w:color w:val="auto"/>
        </w:rPr>
        <w:t>The skilled and highly qualified workforce that we need to develop, implement and modify our solutions may be difficult to hire and retain, and we could face increased costs to attract and retain our skilled workforce.</w:t>
      </w:r>
    </w:p>
    <w:p>
      <w:pPr>
        <w:spacing w:after="0" w:line="47"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IT professionals at a rapid rate. We may face difficulties identifying and hiring qualified personnel. Our inability to hire and retain the appropriate personnel could increase our costs of retaining a skilled workforce and make it difficult for us to manage our operations, meet our commitments and compete for new customer contracts. In particular, wage costs in some of the countries in which we maintain development centers, such as Cyprus and India, have historically been significantly lower than wage costs in the United States, Europe and Israel for comparably-skilled professionals, although such costs are increasing. We may need to increase the levels of our employee compensation more rapidly than in the past to remain competitive.</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a result of our entry into the digital commerce space, we now compete for high quality employees in that space’s limited and competitive talent market. In addition, recent cost containment measures undertaken in response to current business conditions, such as the relocation of projects to lower costs countries, may lead to greater employee attrition and increase the cost of retaining our most skilled employees. The transition of</w:t>
      </w:r>
    </w:p>
    <w:p>
      <w:pPr>
        <w:spacing w:after="0" w:line="27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projects to new locations may also lead to business disruptions due to differing levels of employee knowledge, organizational and leadership skills.</w:t>
      </w:r>
    </w:p>
    <w:p>
      <w:pPr>
        <w:spacing w:after="0" w:line="10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27" w:lineRule="exact"/>
        <w:rPr>
          <w:sz w:val="20"/>
          <w:szCs w:val="20"/>
          <w:color w:val="auto"/>
        </w:rPr>
      </w:pPr>
    </w:p>
    <w:p>
      <w:pPr>
        <w:ind w:left="880" w:right="100"/>
        <w:spacing w:after="0" w:line="294" w:lineRule="auto"/>
        <w:rPr>
          <w:sz w:val="20"/>
          <w:szCs w:val="20"/>
          <w:color w:val="auto"/>
        </w:rPr>
      </w:pPr>
      <w:r>
        <w:rPr>
          <w:rFonts w:ascii="Arial" w:cs="Arial" w:eastAsia="Arial" w:hAnsi="Arial"/>
          <w:sz w:val="13"/>
          <w:szCs w:val="13"/>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experienced fluctuations in our quarterly operating results and anticipate that such movements may continue. Fluctuations may result from many factors, including:</w:t>
      </w:r>
    </w:p>
    <w:p>
      <w:pPr>
        <w:spacing w:after="0" w:line="114" w:lineRule="exact"/>
        <w:rPr>
          <w:sz w:val="20"/>
          <w:szCs w:val="20"/>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size and timing of significant customer projects and license and service fees,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delays in or cancellations of significant projects by customers,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operating expenses,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increased competition,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our strategy,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personnel changes,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foreign currency exchange rate fluctuations,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general economic and political conditions.</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59"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29" w:lineRule="exact"/>
        <w:rPr>
          <w:sz w:val="20"/>
          <w:szCs w:val="20"/>
          <w:color w:val="auto"/>
        </w:rPr>
      </w:pPr>
    </w:p>
    <w:p>
      <w:pPr>
        <w:ind w:left="880" w:right="400"/>
        <w:spacing w:after="0" w:line="294" w:lineRule="auto"/>
        <w:rPr>
          <w:sz w:val="20"/>
          <w:szCs w:val="20"/>
          <w:color w:val="auto"/>
        </w:rPr>
      </w:pPr>
      <w:r>
        <w:rPr>
          <w:rFonts w:ascii="Arial" w:cs="Arial" w:eastAsia="Arial" w:hAnsi="Arial"/>
          <w:sz w:val="13"/>
          <w:szCs w:val="13"/>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47"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an increased cost of sales, thereby reducing our profitability.</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right="140"/>
        <w:spacing w:after="0" w:line="294" w:lineRule="auto"/>
        <w:rPr>
          <w:sz w:val="20"/>
          <w:szCs w:val="20"/>
          <w:color w:val="auto"/>
        </w:rPr>
      </w:pPr>
      <w:r>
        <w:rPr>
          <w:rFonts w:ascii="Arial" w:cs="Arial" w:eastAsia="Arial" w:hAnsi="Arial"/>
          <w:sz w:val="13"/>
          <w:szCs w:val="13"/>
          <w:b w:val="1"/>
          <w:bCs w:val="1"/>
          <w:i w:val="1"/>
          <w:iCs w:val="1"/>
          <w:color w:val="auto"/>
        </w:rPr>
        <w:t>If the market for our products deteriorates, we may be required to reduce the scope of our operations, and if we fail to successfully plan and manage changes in the size of our operations, our business will suffer.</w:t>
      </w:r>
    </w:p>
    <w:p>
      <w:pPr>
        <w:spacing w:after="0" w:line="47"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47"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For example, in the first quarter of fiscal 2009, the fourth quarter of fiscal 2008 and the second quarter of fiscal 2007, we undertook measures designed to improve efficiency and to align our operational structure to our expected level of future activities. As part of these plans, we recorded expenses of $15.1 million in fiscal 2009, $12.1 million in fiscal 2008 and $6.0 million in fiscal 2007, consisting primarily of employee separation costs in connection with the termination of the employment of software and information technology specialists and administrative professionals at various locations around the world and, in fiscal 2007, for rent obligations. From time to time in the past, we have undertaken similar cost reduction measures.</w:t>
      </w:r>
    </w:p>
    <w:p>
      <w:pPr>
        <w:spacing w:after="0" w:line="65"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Restructurings and cost reduction measures that we have implemented from time to time have reduced the size of our operations and headcount, and acquisitions and organic growth have from time to time increased our headcount. Reductions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65"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During periods of contraction, we have disposed of office space and related obligations in efforts to keep pace with the changing size of our operations and we may do so in the future. These cost reduction measures have included, and may in the future include, consolidating and/or relocating certain of our operations to different geographic locations. These activities could lead to difficulties and significant expenses related to subleasing or assigning any surplus space and retaining our base of skilled professionals. It is our policy to accrue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current credit crisis may adversely affect our investment portfolio, other financial assets and our ability to secure additional credit availability.</w:t>
      </w:r>
    </w:p>
    <w:p>
      <w:pPr>
        <w:spacing w:after="0" w:line="10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Our cash, cash equivalents and short-term interest-bearing investments totaled $1,173.0 million as of September 30, 2009. Our policy is to retain substantial cash balances in order to support our growth. Our short-term investments consist primarily of money market funds, U.S. government treasuries, U.S. agency securities and government guaranteed debt. Although we believe that we generally adhere to conservative investment guidelines, recent market turmoil has resulted in immaterial impairments of the carrying value of certain of our investment assets. Continuing adverse market conditions may lead to additional impairments. Realized or unrealized losses in our investments or in our other financial assets may adversely affect our financial condition.</w:t>
      </w:r>
    </w:p>
    <w:p>
      <w:pPr>
        <w:spacing w:after="0" w:line="6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Bank failures or closings or further declines in the financial condition of U.S. or European banks or other financial institutions may adversely affect our normal financial operations, as well as our ability to secure additional credit facilities, if needed. The unavailability of additional credit may prevent us from executing our future business plans, including potential acquisitions.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exposed to the credit risk of customers that have been adversely affected by weakened markets.</w:t>
      </w:r>
    </w:p>
    <w:p>
      <w:pPr>
        <w:spacing w:after="0" w:line="10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We typically sell our software and related services as part of long-term projects. During the life of a project, a customer’s budgeting constraints can impact the scope of a project and the customer’s ability to</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80"/>
        <w:spacing w:after="0" w:line="294" w:lineRule="auto"/>
        <w:rPr>
          <w:sz w:val="20"/>
          <w:szCs w:val="20"/>
          <w:color w:val="auto"/>
        </w:rPr>
      </w:pPr>
      <w:r>
        <w:rPr>
          <w:rFonts w:ascii="Arial" w:cs="Arial" w:eastAsia="Arial" w:hAnsi="Arial"/>
          <w:sz w:val="13"/>
          <w:szCs w:val="13"/>
          <w:color w:val="auto"/>
        </w:rPr>
        <w:t>make required payments. In addition, adverse general business conditions may degrade the creditworthiness of our customers over time, and we can be adversely affected by bankruptcies or other business failures.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presence exposes us to risks associated with varied and changing political, cultural, legal and economic conditions worldwide.</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are affected by risks associated with conducting business internationally. We maintain development facilities in China, Cyprus, India, Ireland, Israel and the United States, operate a support center in Brazil and have operations in North America, Europe, Latin America and the Asia-Pacific region. Although a substantial majority of our revenue is derived from customers in North America and Europe, we obtain significant revenue from customers in the Asia-Pacific region and Latin America. Our strategy is to continue to broaden our North American and European customer bases and to expand into new international markets. Conducting business internationally exposes us to certain risks inherent in doing business in international markets, including:</w:t>
      </w:r>
    </w:p>
    <w:p>
      <w:pPr>
        <w:spacing w:after="0" w:line="65" w:lineRule="exact"/>
        <w:rPr>
          <w:sz w:val="20"/>
          <w:szCs w:val="20"/>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lack of acceptance of non-localized products,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legal and cultural differences in the conduct of business,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difficulties in staffing and managing foreign operations,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longer payment cycles,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difficulties in collecting accounts receivable and withholding taxes that limit the repatriation of earnings,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trade barriers,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difficulties in complying with varied legal and regulatory requirements across jurisdictions,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immigration regulations that limit our ability to deploy our employees,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political instability and threats of terrorism,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variations in effective income tax rates among countries where we conduct business.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One or more of these factors could have a material adverse effect on our international operations, which could harm our results of operations and financial condition.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operations expose us to risks associated with fluctuations in foreign currency exchange rates that could adversely affect our business.</w:t>
      </w:r>
    </w:p>
    <w:p>
      <w:pPr>
        <w:spacing w:after="0" w:line="102" w:lineRule="exact"/>
        <w:rPr>
          <w:sz w:val="20"/>
          <w:szCs w:val="20"/>
          <w:color w:val="auto"/>
        </w:rPr>
      </w:pPr>
    </w:p>
    <w:p>
      <w:pPr>
        <w:ind w:left="680" w:right="200" w:firstLine="399"/>
        <w:spacing w:after="0" w:line="267" w:lineRule="auto"/>
        <w:rPr>
          <w:sz w:val="20"/>
          <w:szCs w:val="20"/>
          <w:color w:val="auto"/>
        </w:rPr>
      </w:pPr>
      <w:r>
        <w:rPr>
          <w:rFonts w:ascii="Arial" w:cs="Arial" w:eastAsia="Arial" w:hAnsi="Arial"/>
          <w:sz w:val="13"/>
          <w:szCs w:val="13"/>
          <w:color w:val="auto"/>
        </w:rPr>
        <w:t>Although we have operations throughout the world, approximately 70% to 80% of our revenue and approximately 50% to 60% of our operating costs are denominated in, or linked to, the U.S. dollar. Accordingly, we consider the U.S. dollar to be our functional currency. However, approximately 40% to 50% of our operating costs in fiscal 2009 were incurred outside the United States in other currencies. Therefore, fluctuations in exchange rates between the currencies in which such costs are incurred and the dollar may have a material adverse effect on our results of operations and financial condition. From time to time we may experience increases in the costs of our operations outside the United States, as expressed in dollars, which could have a material adverse effect on our results of operations and financial condition.</w:t>
      </w:r>
    </w:p>
    <w:p>
      <w:pPr>
        <w:spacing w:after="0" w:line="65"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For example, during fiscal 2008, we recognized $18.9 million in foreign exchange losses under interest (expense) income and other, net, mainly due to the significant revaluation of assets and liabilities denominated in other currencies attributable to the rapid and significant foreign exchange rate changes associated with global economic turbulence beginning in the fourth quarter of fiscal 2008. Although our foreign exchange losses were less significant in fiscal 2009, we believe that foreign exchange rates may continue to present challenges in future periods.</w:t>
      </w:r>
    </w:p>
    <w:p>
      <w:pPr>
        <w:spacing w:after="0" w:line="63"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In addition, a portion of our revenue (approximately 20% to 30% in fiscal 2009) is not incurred in dollars or linked to the dollar, and, therefore, fluctuations in exchange rates between the dollar and the currencies in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580"/>
        <w:spacing w:after="0" w:line="294" w:lineRule="auto"/>
        <w:rPr>
          <w:sz w:val="20"/>
          <w:szCs w:val="20"/>
          <w:color w:val="auto"/>
        </w:rPr>
      </w:pPr>
      <w:r>
        <w:rPr>
          <w:rFonts w:ascii="Arial" w:cs="Arial" w:eastAsia="Arial" w:hAnsi="Arial"/>
          <w:sz w:val="13"/>
          <w:szCs w:val="13"/>
          <w:color w:val="auto"/>
        </w:rPr>
        <w:t>which such revenue is incurred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4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do not hedge all of our exposure in currencies other than the U.S. dollar, but rather our policy is to hedge significant net exposures in the major foreign currencies in which we operate, and we generally hedge our net currency exposure with respect to expected revenue and operating costs and certain balance sheet items. However, we cannot assure you that we will be able to effectively limit all of our exposure to currency exchange rate fluctuations.</w:t>
      </w:r>
    </w:p>
    <w:p>
      <w:pPr>
        <w:spacing w:after="0" w:line="59"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imposition of exchange or price controls or other restrictions on the conversion of foreign currencies could also have a material adverse effect on our business, results of operations and financial condition.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Political and economic conditions in the Middle East and other countries may adversely affect our business.</w:t>
      </w:r>
    </w:p>
    <w:p>
      <w:pPr>
        <w:spacing w:after="0" w:line="102"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Of the development centers we maintain worldwide, our two largest development centers are located in Israel and India. In Israel, the centers are located in three different sites throughout Israel, and approximately 23% of our software and information technology workforce is located in Israel. As a result, we are directly influenced by the political, economic and military conditions affecting Israel and its neighboring regions. Any major hostilities involving Israel could have a material adverse effect on our business. We have developed contingency plans to provide ongoing services to our customers in the event that escalated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51"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including recent hostilities related to Lebanon and the Gaza Strip. Efforts to resolve the problem have failed to result in a permanent solution. Continued violence between the Palestinian community and Israel may have a material adverse effect on our business. Further deterioration of relations with the Palestinian Authority might require more military reserve service by some of our workforce, which may have a material adverse effect on our business.</w:t>
      </w:r>
    </w:p>
    <w:p>
      <w:pPr>
        <w:spacing w:after="0" w:line="65"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In 2004, we established a development center in India, and since 2005, we have expanded our operations in India, China and the Commonwealth of Independent States (including Russia). Conducting business in each of these countries involves unique challenges, including political instability, threats of terrorism, the transparency, consistency and effectiveness of business regulation,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28% of our software and information technology workforce is located in India. Recent terrorist activity in India and Pakistan has contributed to tensions between those countries and our operations in India may be adversely affected by future political and other events in the region.</w:t>
      </w:r>
    </w:p>
    <w:p>
      <w:pPr>
        <w:spacing w:after="0" w:line="68" w:lineRule="exact"/>
        <w:rPr>
          <w:sz w:val="20"/>
          <w:szCs w:val="20"/>
          <w:color w:val="auto"/>
        </w:rPr>
      </w:pPr>
    </w:p>
    <w:p>
      <w:pPr>
        <w:ind w:left="680" w:right="180" w:firstLine="399"/>
        <w:spacing w:after="0" w:line="299" w:lineRule="auto"/>
        <w:rPr>
          <w:sz w:val="20"/>
          <w:szCs w:val="20"/>
          <w:color w:val="auto"/>
        </w:rPr>
      </w:pPr>
      <w:r>
        <w:rPr>
          <w:rFonts w:ascii="Arial" w:cs="Arial" w:eastAsia="Arial" w:hAnsi="Arial"/>
          <w:sz w:val="12"/>
          <w:szCs w:val="12"/>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Despite the admission of Cyprus into the European Union and recent improvements in the relations between the parties, discussions facilitated by the United Nations, the European Union and the United States have not resulted in a plan of reunification for Cyprus. Major hostilities between Cyprus and Turkey could have a material adverse effect on our development facility in Cyprus.</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proprietary technology from misappropriation, our business may be harmed.</w:t>
      </w:r>
    </w:p>
    <w:p>
      <w:pPr>
        <w:spacing w:after="0" w:line="102"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However, we generally do not include in our software any mechanisms to prevent or inhibit unauthorized use.</w:t>
      </w:r>
    </w:p>
    <w:p>
      <w:pPr>
        <w:spacing w:after="0" w:line="49" w:lineRule="exact"/>
        <w:rPr>
          <w:sz w:val="20"/>
          <w:szCs w:val="20"/>
          <w:color w:val="auto"/>
        </w:rPr>
      </w:pPr>
    </w:p>
    <w:p>
      <w:pPr>
        <w:jc w:val="both"/>
        <w:ind w:left="680" w:right="440" w:firstLine="399"/>
        <w:spacing w:after="0" w:line="276" w:lineRule="auto"/>
        <w:rPr>
          <w:sz w:val="20"/>
          <w:szCs w:val="20"/>
          <w:color w:val="auto"/>
        </w:rPr>
      </w:pPr>
      <w:r>
        <w:rPr>
          <w:rFonts w:ascii="Arial" w:cs="Arial" w:eastAsia="Arial" w:hAnsi="Arial"/>
          <w:sz w:val="13"/>
          <w:szCs w:val="13"/>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59"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If we have to resort to legal proceedings to enforce our intellectual property rights, the proceedings could be burdensome, protracted and expensive and could involve a high degree of risk.</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Claims by others that we infringe their proprietary technology could harm our business.</w:t>
      </w:r>
    </w:p>
    <w:p>
      <w:pPr>
        <w:spacing w:after="0" w:line="10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including our 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65"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Additionally, since our 2006 acquisition of Qpass, we support service providers and media companies with respect to digital content services, which could subject us to claims related to such services.</w:t>
      </w:r>
    </w:p>
    <w:p>
      <w:pPr>
        <w:spacing w:after="0" w:line="68" w:lineRule="exact"/>
        <w:rPr>
          <w:sz w:val="20"/>
          <w:szCs w:val="20"/>
          <w:color w:val="auto"/>
        </w:rPr>
      </w:pPr>
    </w:p>
    <w:p>
      <w:pPr>
        <w:ind w:left="680" w:right="340" w:firstLine="399"/>
        <w:spacing w:after="0" w:line="309" w:lineRule="auto"/>
        <w:rPr>
          <w:sz w:val="20"/>
          <w:szCs w:val="20"/>
          <w:color w:val="auto"/>
        </w:rPr>
      </w:pPr>
      <w:r>
        <w:rPr>
          <w:rFonts w:ascii="Arial" w:cs="Arial" w:eastAsia="Arial" w:hAnsi="Arial"/>
          <w:sz w:val="12"/>
          <w:szCs w:val="12"/>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defects or software errors could adversely affect our business.</w:t>
      </w:r>
    </w:p>
    <w:p>
      <w:pPr>
        <w:spacing w:after="0" w:line="102" w:lineRule="exact"/>
        <w:rPr>
          <w:sz w:val="20"/>
          <w:szCs w:val="20"/>
          <w:color w:val="auto"/>
        </w:rPr>
      </w:pPr>
    </w:p>
    <w:p>
      <w:pPr>
        <w:jc w:val="both"/>
        <w:ind w:left="680" w:right="160" w:firstLine="399"/>
        <w:spacing w:after="0" w:line="276" w:lineRule="auto"/>
        <w:rPr>
          <w:sz w:val="20"/>
          <w:szCs w:val="20"/>
          <w:color w:val="auto"/>
        </w:rPr>
      </w:pPr>
      <w:r>
        <w:rPr>
          <w:rFonts w:ascii="Arial" w:cs="Arial" w:eastAsia="Arial" w:hAnsi="Arial"/>
          <w:sz w:val="13"/>
          <w:szCs w:val="13"/>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59"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Because our products are generally used by our customers to perform critical business functions, design defects, software errors, misuse of our products, incorrect data from external sources or other potential</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265" w:lineRule="auto"/>
        <w:rPr>
          <w:sz w:val="20"/>
          <w:szCs w:val="20"/>
          <w:color w:val="auto"/>
        </w:rPr>
      </w:pPr>
      <w:r>
        <w:rPr>
          <w:rFonts w:ascii="Arial" w:cs="Arial" w:eastAsia="Arial" w:hAnsi="Arial"/>
          <w:sz w:val="13"/>
          <w:szCs w:val="13"/>
          <w:color w:val="auto"/>
        </w:rPr>
        <w:t>problems within or outside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System disruptions and failures may result in customer dissatisfaction, customer loss or both, which could materially and adversely affect our reputation and business.</w:t>
      </w:r>
    </w:p>
    <w:p>
      <w:pPr>
        <w:spacing w:after="0" w:line="114"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59"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63"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We have experienced systems outages and service interruptions in the past.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termination or reduction of certain government programs and tax benefits could adversely affect our overall effective tax rate.</w:t>
      </w:r>
    </w:p>
    <w:p>
      <w:pPr>
        <w:spacing w:after="0" w:line="102" w:lineRule="exact"/>
        <w:rPr>
          <w:sz w:val="20"/>
          <w:szCs w:val="20"/>
          <w:color w:val="auto"/>
        </w:rPr>
      </w:pPr>
    </w:p>
    <w:p>
      <w:pPr>
        <w:ind w:left="680" w:right="200" w:firstLine="399"/>
        <w:spacing w:after="0" w:line="338" w:lineRule="auto"/>
        <w:rPr>
          <w:sz w:val="20"/>
          <w:szCs w:val="20"/>
          <w:color w:val="auto"/>
        </w:rPr>
      </w:pPr>
      <w:r>
        <w:rPr>
          <w:rFonts w:ascii="Arial" w:cs="Arial" w:eastAsia="Arial" w:hAnsi="Arial"/>
          <w:sz w:val="12"/>
          <w:szCs w:val="12"/>
          <w:color w:val="auto"/>
        </w:rPr>
        <w:t>There can be no assurance that our effective tax rate of 10.9% for the year ended September 30, 2009 will not change over time as a result of changes in corporate income tax rates, or other changes in the tax laws of Guernsey, the jurisdiction in which our holding company is organized, or of the various countries in which we operate.</w:t>
      </w:r>
    </w:p>
    <w:p>
      <w:pPr>
        <w:spacing w:after="0" w:line="24"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We have benefited or currently benefit from a variety of government programs and tax benefits that generally carry conditions that we must meet in order to be eligible to obtain any benefit. For example, through subsidiaries, we operate development centers and a business processing operations center in India. In 2009, the corporation tax rate applicable in India on trading activities was 34%. Our subsidiaries in India operate under specific favorable tax entitlements that are based upon pre-approved information technology related services activity. As a result, our subsidiaries in Pune are entitled to considerable corporate income tax reductions that reduce their current applicable tax rate to 17%, and our newly-established subsidiary in Delhi is currently entitled to a tax exemption. Such favorable tax treatment is applied, where applicable, on all income derived from such pre-approved information technology activity, provided the subsidiaries continue to meet the conditions required for such tax benefits. The benefits applicable to our subsidiaries based in Pune are scheduled to expire on April 1, 2011 and the benefits applicable to our Delhi subsidiary are scheduled to phase out over 15 years from the subsidiary’s establishment. Proposed changes in Indian tax law may reduce or eliminate the availability of the noted beneficial tax rates for our Indian subsidiaries. Please see “Item 10 — Additional Information — Taxation — Certain Indian Tax Considerations” for more information.</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If we fail to meet the conditions upon which certain favorable tax treatment is based, we would not be able to claim future tax benefits and could be required to refund tax benefits already received. In addition, any of the following could have a material effect on our overall effective tax rate:</w:t>
      </w:r>
    </w:p>
    <w:p>
      <w:pPr>
        <w:spacing w:after="0" w:line="47" w:lineRule="exact"/>
        <w:rPr>
          <w:sz w:val="20"/>
          <w:szCs w:val="20"/>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some tax benefit programs may be limited in duration or may be discontinued,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be unable to meet the requirements for continuing to qualify for some programs,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these programs and tax benefits may be unavailable at their current levels, or</w:t>
      </w:r>
    </w:p>
    <w:p>
      <w:pPr>
        <w:spacing w:after="0" w:line="92" w:lineRule="exact"/>
        <w:rPr>
          <w:rFonts w:ascii="Arial" w:cs="Arial" w:eastAsia="Arial" w:hAnsi="Arial"/>
          <w:sz w:val="13"/>
          <w:szCs w:val="13"/>
          <w:color w:val="auto"/>
        </w:rPr>
      </w:pPr>
    </w:p>
    <w:p>
      <w:pPr>
        <w:ind w:left="1300" w:right="220" w:hanging="208"/>
        <w:spacing w:after="0" w:line="294"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upon expiration of a particular benefit, we may not be eligible to participate in a new program or qualify for a new tax benefit that would offset the loss of the expiring tax benefit.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market price of our ordinary shares has and may continue to fluctuate widely.</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market price of our ordinary shares has fluctuated widely and may continue to do so. From September 30, 2007 to November 30, 2009, our ordinary shares have traded as high as $38.03 and as low as $14.61 per share. As of November 30, 2009, the closing price of our ordinary shares was $26.43 per share. Many factors could cause the market price of our ordinary shares to rise and fall, including:</w:t>
      </w:r>
    </w:p>
    <w:p>
      <w:pPr>
        <w:spacing w:after="0" w:line="59" w:lineRule="exact"/>
        <w:rPr>
          <w:sz w:val="20"/>
          <w:szCs w:val="20"/>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market conditions in the industry and the economy as a whole,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variations in our quarterly operating results,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our backlog levels,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announcements of technological innovations by us or our competitors,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introductions of new products or new pricing policies by us or our competitors,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trends in the communications or software industries, including industry consolidation,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acquisitions or strategic alliances by us or others in our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estimates of our performance or recommendations by financial analysts,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our shareholder base,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political developments in the Middle East or other areas of the world.</w:t>
      </w:r>
    </w:p>
    <w:p>
      <w:pPr>
        <w:spacing w:after="0" w:line="102" w:lineRule="exact"/>
        <w:rPr>
          <w:sz w:val="20"/>
          <w:szCs w:val="20"/>
          <w:color w:val="auto"/>
        </w:rPr>
      </w:pPr>
    </w:p>
    <w:p>
      <w:pPr>
        <w:ind w:left="680" w:right="340" w:firstLine="399"/>
        <w:spacing w:after="0" w:line="338" w:lineRule="auto"/>
        <w:rPr>
          <w:sz w:val="20"/>
          <w:szCs w:val="20"/>
          <w:color w:val="auto"/>
        </w:rPr>
      </w:pPr>
      <w:r>
        <w:rPr>
          <w:rFonts w:ascii="Arial" w:cs="Arial" w:eastAsia="Arial" w:hAnsi="Arial"/>
          <w:sz w:val="12"/>
          <w:szCs w:val="12"/>
          <w:color w:val="auto"/>
        </w:rPr>
        <w:t>In addition, in recent years, the stock market has experienced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It may be difficult for our shareholders to enforce any judgment obtained in the United States against us or our affiliates.</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3"/>
          <w:szCs w:val="13"/>
          <w:b w:val="1"/>
          <w:bCs w:val="1"/>
          <w:color w:val="auto"/>
        </w:rPr>
        <w:t>INFORMATION ON THE COMPANY</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 Development and Organizational Structure of Amdocs</w:t>
      </w:r>
    </w:p>
    <w:p>
      <w:pPr>
        <w:spacing w:after="0" w:line="104"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Amdocs Limited was organized under the laws of the Island of Guernsey in 1988. Since 1995, Amdocs Limited has been a holding company for the various subsidiaries that conduct our business on a worldwide basis. Our global business is providing software and services solutions to enable communications companies that are major services providers in North America, Europe and the rest of the world to move toward an integrated approach to customer management. Our registered office is Suite 5, Tower Hill House Le Bordage, St. Peter Port, Guernsey, GY1 3QT, and the telephone number at that location is +44-1481-728444.</w:t>
      </w:r>
    </w:p>
    <w:p>
      <w:pPr>
        <w:spacing w:after="0" w:line="63"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executive offices of our principal subsidiary in the United States are located at 1390 Timberlake Manor Parkway, Chesterfield, Missouri 63017, and the telephone number at that location is +1-314-212-8328.</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subsidiaries are organized under and subject to the laws of several countries. Our principal operating subsidiaries are in Canada, Cyprus, India, Ireland, Israel and the United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States.</w:t>
      </w:r>
    </w:p>
    <w:p>
      <w:pPr>
        <w:spacing w:after="0" w:line="9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We have pursued and may continue to pursue acquisitions in order to offer new products or services or otherwise enhance our market position or strategic strengths. Since fiscal 2000, we have completed numerous acquisitions; our principal acquisitions since fiscal 2006 are summarized below:</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40"/>
        </w:trPr>
        <w:tc>
          <w:tcPr>
            <w:tcW w:w="2400" w:type="dxa"/>
            <w:vAlign w:val="bottom"/>
          </w:tcPr>
          <w:p>
            <w:pPr>
              <w:spacing w:after="0"/>
              <w:rPr>
                <w:sz w:val="20"/>
                <w:szCs w:val="20"/>
                <w:color w:val="auto"/>
              </w:rPr>
            </w:pPr>
            <w:r>
              <w:rPr>
                <w:rFonts w:ascii="Arial" w:cs="Arial" w:eastAsia="Arial" w:hAnsi="Arial"/>
                <w:sz w:val="11"/>
                <w:szCs w:val="11"/>
                <w:b w:val="1"/>
                <w:bCs w:val="1"/>
                <w:u w:val="single" w:color="auto"/>
                <w:color w:val="auto"/>
              </w:rPr>
              <w:t>F</w:t>
            </w:r>
            <w:r>
              <w:rPr>
                <w:rFonts w:ascii="Arial" w:cs="Arial" w:eastAsia="Arial" w:hAnsi="Arial"/>
                <w:sz w:val="11"/>
                <w:szCs w:val="11"/>
                <w:b w:val="1"/>
                <w:bCs w:val="1"/>
                <w:color w:val="auto"/>
              </w:rPr>
              <w:t>iscal Year</w:t>
            </w:r>
          </w:p>
        </w:tc>
        <w:tc>
          <w:tcPr>
            <w:tcW w:w="3300" w:type="dxa"/>
            <w:vAlign w:val="bottom"/>
          </w:tcPr>
          <w:p>
            <w:pPr>
              <w:ind w:left="1900"/>
              <w:spacing w:after="0"/>
              <w:rPr>
                <w:sz w:val="20"/>
                <w:szCs w:val="20"/>
                <w:color w:val="auto"/>
              </w:rPr>
            </w:pPr>
            <w:r>
              <w:rPr>
                <w:rFonts w:ascii="Arial" w:cs="Arial" w:eastAsia="Arial" w:hAnsi="Arial"/>
                <w:sz w:val="11"/>
                <w:szCs w:val="11"/>
                <w:b w:val="1"/>
                <w:bCs w:val="1"/>
                <w:color w:val="auto"/>
              </w:rPr>
              <w:t>Acquired Business</w:t>
            </w:r>
          </w:p>
        </w:tc>
        <w:tc>
          <w:tcPr>
            <w:tcW w:w="3760" w:type="dxa"/>
            <w:vAlign w:val="bottom"/>
          </w:tcPr>
          <w:p>
            <w:pPr>
              <w:ind w:left="2380"/>
              <w:spacing w:after="0"/>
              <w:rPr>
                <w:sz w:val="20"/>
                <w:szCs w:val="20"/>
                <w:color w:val="auto"/>
              </w:rPr>
            </w:pPr>
            <w:r>
              <w:rPr>
                <w:rFonts w:ascii="Arial" w:cs="Arial" w:eastAsia="Arial" w:hAnsi="Arial"/>
                <w:sz w:val="11"/>
                <w:szCs w:val="11"/>
                <w:b w:val="1"/>
                <w:bCs w:val="1"/>
                <w:color w:val="auto"/>
              </w:rPr>
              <w:t>Description of Business</w:t>
            </w:r>
          </w:p>
        </w:tc>
      </w:tr>
      <w:tr>
        <w:trPr>
          <w:trHeight w:val="199"/>
        </w:trPr>
        <w:tc>
          <w:tcPr>
            <w:tcW w:w="2400" w:type="dxa"/>
            <w:vAlign w:val="bottom"/>
          </w:tcPr>
          <w:p>
            <w:pPr>
              <w:spacing w:after="0"/>
              <w:rPr>
                <w:sz w:val="20"/>
                <w:szCs w:val="20"/>
                <w:color w:val="auto"/>
              </w:rPr>
            </w:pPr>
            <w:r>
              <w:rPr>
                <w:rFonts w:ascii="Arial" w:cs="Arial" w:eastAsia="Arial" w:hAnsi="Arial"/>
                <w:sz w:val="13"/>
                <w:szCs w:val="13"/>
                <w:color w:val="auto"/>
              </w:rPr>
              <w:t>2006</w:t>
            </w:r>
          </w:p>
        </w:tc>
        <w:tc>
          <w:tcPr>
            <w:tcW w:w="3300" w:type="dxa"/>
            <w:vAlign w:val="bottom"/>
          </w:tcPr>
          <w:p>
            <w:pPr>
              <w:ind w:left="1900"/>
              <w:spacing w:after="0"/>
              <w:rPr>
                <w:sz w:val="20"/>
                <w:szCs w:val="20"/>
                <w:color w:val="auto"/>
              </w:rPr>
            </w:pPr>
            <w:r>
              <w:rPr>
                <w:rFonts w:ascii="Arial" w:cs="Arial" w:eastAsia="Arial" w:hAnsi="Arial"/>
                <w:sz w:val="13"/>
                <w:szCs w:val="13"/>
                <w:color w:val="auto"/>
              </w:rPr>
              <w:t>Qpass</w:t>
            </w:r>
          </w:p>
        </w:tc>
        <w:tc>
          <w:tcPr>
            <w:tcW w:w="3760" w:type="dxa"/>
            <w:vAlign w:val="bottom"/>
          </w:tcPr>
          <w:p>
            <w:pPr>
              <w:ind w:left="500"/>
              <w:spacing w:after="0"/>
              <w:rPr>
                <w:sz w:val="20"/>
                <w:szCs w:val="20"/>
                <w:color w:val="auto"/>
              </w:rPr>
            </w:pPr>
            <w:r>
              <w:rPr>
                <w:rFonts w:ascii="Arial" w:cs="Arial" w:eastAsia="Arial" w:hAnsi="Arial"/>
                <w:sz w:val="13"/>
                <w:szCs w:val="13"/>
                <w:color w:val="auto"/>
              </w:rPr>
              <w:t>Software systems for digital commerce</w:t>
            </w:r>
          </w:p>
        </w:tc>
      </w:tr>
      <w:tr>
        <w:trPr>
          <w:trHeight w:val="161"/>
        </w:trPr>
        <w:tc>
          <w:tcPr>
            <w:tcW w:w="2400" w:type="dxa"/>
            <w:vAlign w:val="bottom"/>
          </w:tcPr>
          <w:p>
            <w:pPr>
              <w:spacing w:after="0"/>
              <w:rPr>
                <w:sz w:val="20"/>
                <w:szCs w:val="20"/>
                <w:color w:val="auto"/>
              </w:rPr>
            </w:pPr>
            <w:r>
              <w:rPr>
                <w:rFonts w:ascii="Arial" w:cs="Arial" w:eastAsia="Arial" w:hAnsi="Arial"/>
                <w:sz w:val="13"/>
                <w:szCs w:val="13"/>
                <w:color w:val="auto"/>
              </w:rPr>
              <w:t>2006</w:t>
            </w:r>
          </w:p>
        </w:tc>
        <w:tc>
          <w:tcPr>
            <w:tcW w:w="3300" w:type="dxa"/>
            <w:vAlign w:val="bottom"/>
          </w:tcPr>
          <w:p>
            <w:pPr>
              <w:ind w:left="1900"/>
              <w:spacing w:after="0"/>
              <w:rPr>
                <w:sz w:val="20"/>
                <w:szCs w:val="20"/>
                <w:color w:val="auto"/>
              </w:rPr>
            </w:pPr>
            <w:r>
              <w:rPr>
                <w:rFonts w:ascii="Arial" w:cs="Arial" w:eastAsia="Arial" w:hAnsi="Arial"/>
                <w:sz w:val="13"/>
                <w:szCs w:val="13"/>
                <w:color w:val="auto"/>
              </w:rPr>
              <w:t>Cramer</w:t>
            </w:r>
          </w:p>
        </w:tc>
        <w:tc>
          <w:tcPr>
            <w:tcW w:w="3760" w:type="dxa"/>
            <w:vAlign w:val="bottom"/>
          </w:tcPr>
          <w:p>
            <w:pPr>
              <w:ind w:left="500"/>
              <w:spacing w:after="0"/>
              <w:rPr>
                <w:sz w:val="20"/>
                <w:szCs w:val="20"/>
                <w:color w:val="auto"/>
              </w:rPr>
            </w:pPr>
            <w:r>
              <w:rPr>
                <w:rFonts w:ascii="Arial" w:cs="Arial" w:eastAsia="Arial" w:hAnsi="Arial"/>
                <w:sz w:val="13"/>
                <w:szCs w:val="13"/>
                <w:color w:val="auto"/>
              </w:rPr>
              <w:t>Operation support software systems</w:t>
            </w:r>
          </w:p>
        </w:tc>
      </w:tr>
      <w:tr>
        <w:trPr>
          <w:trHeight w:val="161"/>
        </w:trPr>
        <w:tc>
          <w:tcPr>
            <w:tcW w:w="2400" w:type="dxa"/>
            <w:vAlign w:val="bottom"/>
          </w:tcPr>
          <w:p>
            <w:pPr>
              <w:spacing w:after="0"/>
              <w:rPr>
                <w:sz w:val="20"/>
                <w:szCs w:val="20"/>
                <w:color w:val="auto"/>
              </w:rPr>
            </w:pPr>
            <w:r>
              <w:rPr>
                <w:rFonts w:ascii="Arial" w:cs="Arial" w:eastAsia="Arial" w:hAnsi="Arial"/>
                <w:sz w:val="13"/>
                <w:szCs w:val="13"/>
                <w:color w:val="auto"/>
              </w:rPr>
              <w:t>2007</w:t>
            </w:r>
          </w:p>
        </w:tc>
        <w:tc>
          <w:tcPr>
            <w:tcW w:w="3300" w:type="dxa"/>
            <w:vAlign w:val="bottom"/>
          </w:tcPr>
          <w:p>
            <w:pPr>
              <w:ind w:left="1900"/>
              <w:spacing w:after="0"/>
              <w:rPr>
                <w:sz w:val="20"/>
                <w:szCs w:val="20"/>
                <w:color w:val="auto"/>
              </w:rPr>
            </w:pPr>
            <w:r>
              <w:rPr>
                <w:rFonts w:ascii="Arial" w:cs="Arial" w:eastAsia="Arial" w:hAnsi="Arial"/>
                <w:sz w:val="13"/>
                <w:szCs w:val="13"/>
                <w:color w:val="auto"/>
              </w:rPr>
              <w:t>SigValue</w:t>
            </w:r>
          </w:p>
        </w:tc>
        <w:tc>
          <w:tcPr>
            <w:tcW w:w="3760" w:type="dxa"/>
            <w:vAlign w:val="bottom"/>
          </w:tcPr>
          <w:p>
            <w:pPr>
              <w:ind w:left="500"/>
              <w:spacing w:after="0"/>
              <w:rPr>
                <w:sz w:val="20"/>
                <w:szCs w:val="20"/>
                <w:color w:val="auto"/>
              </w:rPr>
            </w:pPr>
            <w:r>
              <w:rPr>
                <w:rFonts w:ascii="Arial" w:cs="Arial" w:eastAsia="Arial" w:hAnsi="Arial"/>
                <w:sz w:val="13"/>
                <w:szCs w:val="13"/>
                <w:color w:val="auto"/>
              </w:rPr>
              <w:t>Customer care, billing and service control systems for</w:t>
            </w:r>
          </w:p>
        </w:tc>
      </w:tr>
      <w:tr>
        <w:trPr>
          <w:trHeight w:val="161"/>
        </w:trPr>
        <w:tc>
          <w:tcPr>
            <w:tcW w:w="24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60" w:type="dxa"/>
            <w:vAlign w:val="bottom"/>
          </w:tcPr>
          <w:p>
            <w:pPr>
              <w:ind w:left="500"/>
              <w:spacing w:after="0"/>
              <w:rPr>
                <w:sz w:val="20"/>
                <w:szCs w:val="20"/>
                <w:color w:val="auto"/>
              </w:rPr>
            </w:pPr>
            <w:r>
              <w:rPr>
                <w:rFonts w:ascii="Arial" w:cs="Arial" w:eastAsia="Arial" w:hAnsi="Arial"/>
                <w:sz w:val="13"/>
                <w:szCs w:val="13"/>
                <w:color w:val="auto"/>
                <w:w w:val="94"/>
              </w:rPr>
              <w:t>communications providers in high-growth emerging markets</w:t>
            </w:r>
          </w:p>
        </w:tc>
      </w:tr>
      <w:tr>
        <w:trPr>
          <w:trHeight w:val="161"/>
        </w:trPr>
        <w:tc>
          <w:tcPr>
            <w:tcW w:w="2400" w:type="dxa"/>
            <w:vAlign w:val="bottom"/>
          </w:tcPr>
          <w:p>
            <w:pPr>
              <w:spacing w:after="0"/>
              <w:rPr>
                <w:sz w:val="20"/>
                <w:szCs w:val="20"/>
                <w:color w:val="auto"/>
              </w:rPr>
            </w:pPr>
            <w:r>
              <w:rPr>
                <w:rFonts w:ascii="Arial" w:cs="Arial" w:eastAsia="Arial" w:hAnsi="Arial"/>
                <w:sz w:val="13"/>
                <w:szCs w:val="13"/>
                <w:color w:val="auto"/>
              </w:rPr>
              <w:t>2008</w:t>
            </w:r>
          </w:p>
        </w:tc>
        <w:tc>
          <w:tcPr>
            <w:tcW w:w="3300" w:type="dxa"/>
            <w:vAlign w:val="bottom"/>
          </w:tcPr>
          <w:p>
            <w:pPr>
              <w:ind w:left="1900"/>
              <w:spacing w:after="0"/>
              <w:rPr>
                <w:sz w:val="20"/>
                <w:szCs w:val="20"/>
                <w:color w:val="auto"/>
              </w:rPr>
            </w:pPr>
            <w:r>
              <w:rPr>
                <w:rFonts w:ascii="Arial" w:cs="Arial" w:eastAsia="Arial" w:hAnsi="Arial"/>
                <w:sz w:val="13"/>
                <w:szCs w:val="13"/>
                <w:color w:val="auto"/>
              </w:rPr>
              <w:t>JacobsRimell</w:t>
            </w:r>
          </w:p>
        </w:tc>
        <w:tc>
          <w:tcPr>
            <w:tcW w:w="3760" w:type="dxa"/>
            <w:vAlign w:val="bottom"/>
          </w:tcPr>
          <w:p>
            <w:pPr>
              <w:ind w:left="500"/>
              <w:spacing w:after="0"/>
              <w:rPr>
                <w:sz w:val="20"/>
                <w:szCs w:val="20"/>
                <w:color w:val="auto"/>
              </w:rPr>
            </w:pPr>
            <w:r>
              <w:rPr>
                <w:rFonts w:ascii="Arial" w:cs="Arial" w:eastAsia="Arial" w:hAnsi="Arial"/>
                <w:sz w:val="13"/>
                <w:szCs w:val="13"/>
                <w:color w:val="auto"/>
              </w:rPr>
              <w:t>Fulfillment software for the broadband cable industry</w:t>
            </w:r>
          </w:p>
        </w:tc>
      </w:tr>
      <w:tr>
        <w:trPr>
          <w:trHeight w:val="161"/>
        </w:trPr>
        <w:tc>
          <w:tcPr>
            <w:tcW w:w="2400" w:type="dxa"/>
            <w:vAlign w:val="bottom"/>
          </w:tcPr>
          <w:p>
            <w:pPr>
              <w:spacing w:after="0"/>
              <w:rPr>
                <w:sz w:val="20"/>
                <w:szCs w:val="20"/>
                <w:color w:val="auto"/>
              </w:rPr>
            </w:pPr>
            <w:r>
              <w:rPr>
                <w:rFonts w:ascii="Arial" w:cs="Arial" w:eastAsia="Arial" w:hAnsi="Arial"/>
                <w:sz w:val="13"/>
                <w:szCs w:val="13"/>
                <w:color w:val="auto"/>
              </w:rPr>
              <w:t>2009</w:t>
            </w:r>
          </w:p>
        </w:tc>
        <w:tc>
          <w:tcPr>
            <w:tcW w:w="3300" w:type="dxa"/>
            <w:vAlign w:val="bottom"/>
          </w:tcPr>
          <w:p>
            <w:pPr>
              <w:ind w:left="1900"/>
              <w:spacing w:after="0"/>
              <w:rPr>
                <w:sz w:val="20"/>
                <w:szCs w:val="20"/>
                <w:color w:val="auto"/>
              </w:rPr>
            </w:pPr>
            <w:r>
              <w:rPr>
                <w:rFonts w:ascii="Arial" w:cs="Arial" w:eastAsia="Arial" w:hAnsi="Arial"/>
                <w:sz w:val="13"/>
                <w:szCs w:val="13"/>
                <w:color w:val="auto"/>
              </w:rPr>
              <w:t>ChangingWorlds</w:t>
            </w:r>
          </w:p>
        </w:tc>
        <w:tc>
          <w:tcPr>
            <w:tcW w:w="3760" w:type="dxa"/>
            <w:vAlign w:val="bottom"/>
          </w:tcPr>
          <w:p>
            <w:pPr>
              <w:ind w:left="500"/>
              <w:spacing w:after="0"/>
              <w:rPr>
                <w:sz w:val="20"/>
                <w:szCs w:val="20"/>
                <w:color w:val="auto"/>
              </w:rPr>
            </w:pPr>
            <w:r>
              <w:rPr>
                <w:rFonts w:ascii="Arial" w:cs="Arial" w:eastAsia="Arial" w:hAnsi="Arial"/>
                <w:sz w:val="13"/>
                <w:szCs w:val="13"/>
                <w:color w:val="auto"/>
              </w:rPr>
              <w:t>Mobile device personalization technology</w:t>
            </w:r>
          </w:p>
        </w:tc>
      </w:tr>
      <w:tr>
        <w:trPr>
          <w:trHeight w:val="172"/>
        </w:trPr>
        <w:tc>
          <w:tcPr>
            <w:tcW w:w="2400" w:type="dxa"/>
            <w:vAlign w:val="bottom"/>
          </w:tcPr>
          <w:p>
            <w:pPr>
              <w:spacing w:after="0"/>
              <w:rPr>
                <w:sz w:val="20"/>
                <w:szCs w:val="20"/>
                <w:color w:val="auto"/>
              </w:rPr>
            </w:pPr>
            <w:r>
              <w:rPr>
                <w:rFonts w:ascii="Arial" w:cs="Arial" w:eastAsia="Arial" w:hAnsi="Arial"/>
                <w:sz w:val="13"/>
                <w:szCs w:val="13"/>
                <w:color w:val="auto"/>
              </w:rPr>
              <w:t>2010</w:t>
            </w:r>
          </w:p>
        </w:tc>
        <w:tc>
          <w:tcPr>
            <w:tcW w:w="3300" w:type="dxa"/>
            <w:vAlign w:val="bottom"/>
          </w:tcPr>
          <w:p>
            <w:pPr>
              <w:ind w:left="1900"/>
              <w:spacing w:after="0"/>
              <w:rPr>
                <w:sz w:val="20"/>
                <w:szCs w:val="20"/>
                <w:color w:val="auto"/>
              </w:rPr>
            </w:pPr>
            <w:r>
              <w:rPr>
                <w:rFonts w:ascii="Arial" w:cs="Arial" w:eastAsia="Arial" w:hAnsi="Arial"/>
                <w:sz w:val="13"/>
                <w:szCs w:val="13"/>
                <w:color w:val="auto"/>
              </w:rPr>
              <w:t>jNetX</w:t>
            </w:r>
          </w:p>
        </w:tc>
        <w:tc>
          <w:tcPr>
            <w:tcW w:w="3760" w:type="dxa"/>
            <w:vAlign w:val="bottom"/>
          </w:tcPr>
          <w:p>
            <w:pPr>
              <w:ind w:left="500"/>
              <w:spacing w:after="0"/>
              <w:rPr>
                <w:sz w:val="20"/>
                <w:szCs w:val="20"/>
                <w:color w:val="auto"/>
              </w:rPr>
            </w:pPr>
            <w:r>
              <w:rPr>
                <w:rFonts w:ascii="Arial" w:cs="Arial" w:eastAsia="Arial" w:hAnsi="Arial"/>
                <w:sz w:val="13"/>
                <w:szCs w:val="13"/>
                <w:color w:val="auto"/>
              </w:rPr>
              <w:t>Service delivery platform provider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-748030</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-748030</wp:posOffset>
            </wp:positionV>
            <wp:extent cx="254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6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acquisitions have enabled us to expand our service offerings and our customer base and to enhance our ability to provide managed services solutions to our customers. Through acquisitions, we have also expanded our presence in growing and emerging communications markets, reinforcing our leadership in delivering a comprehensive portfolio of business software applications.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the result of our acquisitions and organic growth in the size of our operations, our software and information technology workforce increased from 15,978 as of the end of fiscal 2007 to 17,100 as of the end of fiscal 2008, although our workforce has fluctuated with changes in business conditions. In light of the current economic downturn, we reduced our software and information technology workforce to 15,871 as of the end of fiscal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capital expenditures for fiscal 2009, 2008 and 2007 have been for computer equipment, for which we spent approximately $71.5 million, $113.2 million,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$117.3 million, respectively. Capital expenditures in fiscal 2009 were mainly attributable to investments in our operating facilities and our development centers around the world. We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anticipate our principal capital expenditures in fiscal 2010 will consist of additional computer equipment, with the bulk of these expenditures for computer equipment to be located at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facilities in North America, Cyprus, India and Israel.</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Overview</w:t>
      </w:r>
    </w:p>
    <w:p>
      <w:pPr>
        <w:spacing w:after="0" w:line="104"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Amdocs is a leading provider of software and services for communications, media and entertainment industry service providers. Although our market focus has traditionally been primarily on Tier 1 and Tier 2 service providers in developed markets, we have also focused in the last several years on Tier 3 and 4</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providers in developed markets and on providers in emerging markets, such as Latin America, China, the Commonwealth of Independent States, India and Southeast Asia.</w:t>
      </w:r>
    </w:p>
    <w:p>
      <w:pPr>
        <w:spacing w:after="0" w:line="102" w:lineRule="exact"/>
        <w:rPr>
          <w:sz w:val="20"/>
          <w:szCs w:val="20"/>
          <w:color w:val="auto"/>
        </w:rPr>
      </w:pPr>
    </w:p>
    <w:p>
      <w:pPr>
        <w:ind w:left="680" w:right="400" w:firstLine="399"/>
        <w:spacing w:after="0" w:line="309" w:lineRule="auto"/>
        <w:rPr>
          <w:sz w:val="20"/>
          <w:szCs w:val="20"/>
          <w:color w:val="auto"/>
        </w:rPr>
      </w:pPr>
      <w:r>
        <w:rPr>
          <w:rFonts w:ascii="Arial" w:cs="Arial" w:eastAsia="Arial" w:hAnsi="Arial"/>
          <w:sz w:val="12"/>
          <w:szCs w:val="12"/>
          <w:color w:val="auto"/>
        </w:rPr>
        <w:t>We develop, implement and manage software and services associated with business support systems, or BSS, and operational support systems, or OSS, to enable service providers to introduce new products quickly, understand their customers more deeply, process orders more efficiently and support new business models. We refer to these systems collectively as customer experience systems because of the crucial impact that these systems have on the service providers’ end-user experience.</w:t>
      </w:r>
    </w:p>
    <w:p>
      <w:pPr>
        <w:spacing w:after="0" w:line="4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believe the demand for our customer experience systems is driven by the need of service providers to anticipate and respond to consumer demands. In a global communications industry impacted by the move toward convergence of services and devices and increasing network capacity, consumers expect immediate and constant connectivity to personalized services, information and applications. We refer to these developments as the evolution to the “Connected World.”</w:t>
      </w:r>
    </w:p>
    <w:p>
      <w:pPr>
        <w:spacing w:after="0" w:line="59"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In established markets, service providers are transforming their businesses as they attempt to derive revenue and profit from IP-based digital content and commerce services, while confronting increased competition from non-traditional competitors, including major Internet companies and handset manufacturers. In emerging markets, many startup operations are introducing communications services to markets for the first time, coping with massive scale and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in 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 Our goal is to supply cost-effective, scalable software products and services that provide functionality and flexibility to service providers as they — and their markets — grow and change.</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Industry Background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Communications Industry</w:t>
      </w:r>
    </w:p>
    <w:p>
      <w:pPr>
        <w:spacing w:after="0" w:line="102"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Over the more than two decades that Amdocs has been in business, the global communications industry has changed — and continues to change — dramatically. Competition has increased as a result of deregulation in the United States, which effectively commenced with the historic break-up of AT&amp;T in 1984, and the privatization of formerly government owned or controlled communications providers in many other countries. Consolidation has swept the world’s mature markets and continues in emerging markets. The emergence of technologies, such as Internet Protocol (IP), IP Multimedia Subsystem (IMS), worldwide interoperability for microwave access (WiMax), Long Term Evolution (LTE) and others, has enabled and accelerated the introduction of new products and services, which has led to the new, “open Internet,” enabling new, non-traditional players to emerge. In turn, these relatively new services, including content and IP-based services, have created an expectation of immediacy, personal relevance and ubiquity, and expanded the universe of participants involved in delivering them. We believe that, as a result of all these forces, industry players are seeking to compete by offering competitive prices, rapidly introducing to market new features and services and being more responsive to customer needs, as they evolve in real time, across different networks and geographies.</w:t>
      </w:r>
    </w:p>
    <w:p>
      <w:pPr>
        <w:spacing w:after="0" w:line="56"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The business- and operational-support systems — or customer experience systems — upon which service providers depend are considered vital to achieving competitive advantage. Our customers are transforming their businesses by upgrading their existing systems and installing new systems to deliver new, next-generation, convergent services. We believe that service providers are looking for systems and services that reduce IT and operational costs and transformation risk, enhance customer management to increase average revenue and profitability per user, support customer retention, and enable rapid rollout of new marketing packages, advanced digital data services and new business models. In addition, these systems must have the</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ability to orchestrate end-to-end business processes and provide customers with single-contact, single-invoice solutions for their services.</w:t>
      </w:r>
    </w:p>
    <w:p>
      <w:pPr>
        <w:spacing w:after="0" w:line="102"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As a result, we believe service providers require modular customer experience systems that provide the level of integration, flexibility and scalability they need to improve operational efficiency and to differentiate themselves from their competitors in an increasingly crowded marketplace. We recognize that some providers may choose to rely on their own internal resources to serve their customers and expand their service offerings. However, in order to implement efficient, flexible, cost-effective information systems on a timely basis, we find that many providers are looking to acquire customer experience systems from external vendors. To further save scarce capital and operating expenditure resources, many of these providers are investing in pre-configured open-architecture software products, which require limited customization, rather than highly-customized solutions. Additionally, some providers may choose to outsource the management of these systems as a way to reduce costs and focus internal resources on corporate competencies — delivering communication, media and entertainment services, rather than managing software systems. We believe these factors create significant opportunities for vendors of information technology software products and providers of managed services, such as Amdocs.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Amdocs Offerings</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believe that our product-driven approach, commitment to and support of quality personnel and deep industry knowledge and expertise enable us to create and deliver effective offerings that are highly innovative, reliable and cost-effective. In addition, we offer software products that address the specific business needs of service providers. We believe that our success derives from a combination of the following factors that differentiate us from most of our competitors.</w:t>
      </w:r>
    </w:p>
    <w:p>
      <w:pPr>
        <w:spacing w:after="0" w:line="59" w:lineRule="exact"/>
        <w:rPr>
          <w:sz w:val="20"/>
          <w:szCs w:val="20"/>
          <w:color w:val="auto"/>
        </w:rPr>
      </w:pPr>
    </w:p>
    <w:p>
      <w:pPr>
        <w:ind w:left="1300" w:right="60" w:hanging="208"/>
        <w:spacing w:after="0" w:line="288" w:lineRule="auto"/>
        <w:tabs>
          <w:tab w:leader="none" w:pos="1300"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Software Products. </w:t>
      </w:r>
      <w:r>
        <w:rPr>
          <w:rFonts w:ascii="Arial" w:cs="Arial" w:eastAsia="Arial" w:hAnsi="Arial"/>
          <w:sz w:val="12"/>
          <w:szCs w:val="12"/>
          <w:color w:val="auto"/>
        </w:rPr>
        <w:t>Our portfolio of pre-integrated software products was built to span the entire customer lifecycle across BSS and OSS. Our products enable service</w:t>
      </w:r>
      <w:r>
        <w:rPr>
          <w:rFonts w:ascii="Arial" w:cs="Arial" w:eastAsia="Arial" w:hAnsi="Arial"/>
          <w:sz w:val="12"/>
          <w:szCs w:val="12"/>
          <w:i w:val="1"/>
          <w:iCs w:val="1"/>
          <w:color w:val="auto"/>
        </w:rPr>
        <w:t xml:space="preserve"> </w:t>
      </w:r>
      <w:r>
        <w:rPr>
          <w:rFonts w:ascii="Arial" w:cs="Arial" w:eastAsia="Arial" w:hAnsi="Arial"/>
          <w:sz w:val="12"/>
          <w:szCs w:val="12"/>
          <w:color w:val="auto"/>
        </w:rPr>
        <w:t>providers to centralize common information assets, such as customer, product and network resource data, align their business processes around the end customer and link subscriber-facing business processes and touch points across back-office and front-office systems. In addition, our products are designed to allow modular expansion as a service provider evolves, ensuring rapid, low-cost, reduced-risk implementations. Amdocs CES (Customer Experience Systems) 7.5 provides the fourth generation of integration between our post-paid and pre-paid billing, customer relationship management (CRM) and ordering applications that are designed to enable our customers to achieve integrated customer management and deliver an intentional customer experience. Building on the CES 7.5 portfolio, in fiscal 2009, we released several products and solutions, including Amdocs Convergent Charging Turbo Edition and the Amdocs Mobile Money Solution; and prepackaged offerings, such as the BSS Pack, Carrier Ethernet Operational Product Pack and E-Billing StartPack that are preconfigured for fast, cost-effective deployment to support specific business processes.</w:t>
      </w:r>
    </w:p>
    <w:p>
      <w:pPr>
        <w:spacing w:after="0" w:line="55" w:lineRule="exact"/>
        <w:rPr>
          <w:rFonts w:ascii="Arial" w:cs="Arial" w:eastAsia="Arial" w:hAnsi="Arial"/>
          <w:sz w:val="12"/>
          <w:szCs w:val="12"/>
          <w:color w:val="auto"/>
        </w:rPr>
      </w:pPr>
    </w:p>
    <w:p>
      <w:pPr>
        <w:ind w:left="1280"/>
        <w:spacing w:after="0" w:line="265" w:lineRule="auto"/>
        <w:rPr>
          <w:rFonts w:ascii="Arial" w:cs="Arial" w:eastAsia="Arial" w:hAnsi="Arial"/>
          <w:sz w:val="12"/>
          <w:szCs w:val="12"/>
          <w:color w:val="auto"/>
        </w:rPr>
      </w:pPr>
      <w:r>
        <w:rPr>
          <w:rFonts w:ascii="Arial" w:cs="Arial" w:eastAsia="Arial" w:hAnsi="Arial"/>
          <w:sz w:val="13"/>
          <w:szCs w:val="13"/>
          <w:color w:val="auto"/>
        </w:rPr>
        <w:t>The Amdocs CES 7.5 portfolio is based on an open architecture that is intended to provide the functionality, scalability, modularity and adaptability required by service providers in their dynamic, highly competitive markets. The open architecture is based on the principles of service-oriented architecture (SOA) and business process management, which helps to ensure our products operate together or as stand-alone applications within existing environments. We believe this flexibility enables our customers to achieve significant time-to-market advantages and reduces their dependence on technical and other personnel. In addition, our products are designed to uphold the prevailing industry standards set by standards bodies such as the TeleManagement</w:t>
      </w:r>
      <w:r>
        <w:rPr>
          <w:rFonts w:ascii="Arial" w:cs="Arial" w:eastAsia="Arial" w:hAnsi="Arial"/>
          <w:sz w:val="8"/>
          <w:szCs w:val="8"/>
          <w:color w:val="auto"/>
        </w:rPr>
        <w:t>TM</w:t>
      </w:r>
      <w:r>
        <w:rPr>
          <w:rFonts w:ascii="Arial" w:cs="Arial" w:eastAsia="Arial" w:hAnsi="Arial"/>
          <w:sz w:val="13"/>
          <w:szCs w:val="13"/>
          <w:color w:val="auto"/>
        </w:rPr>
        <w:t xml:space="preserve"> Forum. Amdocs is an active, board-level member in the TeleManagement Forum and other industry forums.</w:t>
      </w:r>
    </w:p>
    <w:p>
      <w:pPr>
        <w:spacing w:after="0" w:line="67" w:lineRule="exact"/>
        <w:rPr>
          <w:rFonts w:ascii="Arial" w:cs="Arial" w:eastAsia="Arial" w:hAnsi="Arial"/>
          <w:sz w:val="12"/>
          <w:szCs w:val="12"/>
          <w:color w:val="auto"/>
        </w:rPr>
      </w:pPr>
    </w:p>
    <w:p>
      <w:pPr>
        <w:ind w:left="1300" w:right="60" w:hanging="208"/>
        <w:spacing w:after="0" w:line="276"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Services. </w:t>
      </w:r>
      <w:r>
        <w:rPr>
          <w:rFonts w:ascii="Arial" w:cs="Arial" w:eastAsia="Arial" w:hAnsi="Arial"/>
          <w:sz w:val="13"/>
          <w:szCs w:val="13"/>
          <w:color w:val="auto"/>
        </w:rPr>
        <w:t>Our services include business consulting, systems integration and delivery services, managed services and product services to support the deployment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of our products. We combine deep industry knowledge, advanced methodologies, industry best practices and pre-configured tools to deliver consistent results and minimize our customers’ risks.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line="267" w:lineRule="auto"/>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Solution Bundles and Packs. </w:t>
      </w:r>
      <w:r>
        <w:rPr>
          <w:rFonts w:ascii="Arial" w:cs="Arial" w:eastAsia="Arial" w:hAnsi="Arial"/>
          <w:sz w:val="13"/>
          <w:szCs w:val="13"/>
          <w:color w:val="auto"/>
        </w:rPr>
        <w:t>Building on products included in the Amdocs CES 7.5 portfolio, we offer bundled solutions of products (including those of Amdocs and third</w:t>
      </w:r>
      <w:r>
        <w:rPr>
          <w:rFonts w:ascii="Arial" w:cs="Arial" w:eastAsia="Arial" w:hAnsi="Arial"/>
          <w:sz w:val="13"/>
          <w:szCs w:val="13"/>
          <w:i w:val="1"/>
          <w:iCs w:val="1"/>
          <w:color w:val="auto"/>
        </w:rPr>
        <w:t xml:space="preserve"> </w:t>
      </w:r>
      <w:r>
        <w:rPr>
          <w:rFonts w:ascii="Arial" w:cs="Arial" w:eastAsia="Arial" w:hAnsi="Arial"/>
          <w:sz w:val="13"/>
          <w:szCs w:val="13"/>
          <w:color w:val="auto"/>
        </w:rPr>
        <w:t>parties) and services that address specific business issues, such as subscriber profitability and segmentation, the identification of consumer segments to be targeted, and system strengths to be enhanced. “Packs” are turnkey versions of our products, designed for fast, lower-cost implementation, often deployed in emerging markets or by new market entrants in developed markets. We believe that these bundled and packaged offerings provide our customers with timely, cost-effective, relatively low-risk solutions to specific business issues at a consistent level of quality.</w:t>
      </w:r>
    </w:p>
    <w:p>
      <w:pPr>
        <w:spacing w:after="0" w:line="55" w:lineRule="exact"/>
        <w:rPr>
          <w:rFonts w:ascii="Arial" w:cs="Arial" w:eastAsia="Arial" w:hAnsi="Arial"/>
          <w:sz w:val="13"/>
          <w:szCs w:val="13"/>
          <w:color w:val="auto"/>
        </w:rPr>
      </w:pPr>
    </w:p>
    <w:p>
      <w:pPr>
        <w:ind w:left="1300" w:right="60" w:hanging="208"/>
        <w:spacing w:after="0" w:line="267" w:lineRule="auto"/>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Experience. </w:t>
      </w:r>
      <w:r>
        <w:rPr>
          <w:rFonts w:ascii="Arial" w:cs="Arial" w:eastAsia="Arial" w:hAnsi="Arial"/>
          <w:sz w:val="13"/>
          <w:szCs w:val="13"/>
          <w:color w:val="auto"/>
        </w:rPr>
        <w:t>We are able to offer our customers superior products and services on a worldwide basis in large part because of our highly qualified and trained technical, sales,</w:t>
      </w:r>
      <w:r>
        <w:rPr>
          <w:rFonts w:ascii="Arial" w:cs="Arial" w:eastAsia="Arial" w:hAnsi="Arial"/>
          <w:sz w:val="13"/>
          <w:szCs w:val="13"/>
          <w:i w:val="1"/>
          <w:iCs w:val="1"/>
          <w:color w:val="auto"/>
        </w:rPr>
        <w:t xml:space="preserve"> </w:t>
      </w:r>
      <w:r>
        <w:rPr>
          <w:rFonts w:ascii="Arial" w:cs="Arial" w:eastAsia="Arial" w:hAnsi="Arial"/>
          <w:sz w:val="13"/>
          <w:szCs w:val="13"/>
          <w:color w:val="auto"/>
        </w:rPr>
        <w:t>marketing, consulting and management personnel. We invest significantly in the ongoing training of our personnel in key areas such as industry knowledge, software technologies and management capabilities. Leveraging this training and experience, we have developed a field-tested set of business processes, tools and methodologies that we apply to all ongoing product development and delivery activities. Based in significant part on the skills and knowledge of our workforce, we believe that we have developed a reputation for reliably delivering quality solutions.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Strategy</w:t>
      </w:r>
    </w:p>
    <w:p>
      <w:pPr>
        <w:spacing w:after="0" w:line="102"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Our goal is to provide products, services and support to the world’s leading service providers, as they evolve to remain relevant and competitive in an increasingly connected world. We seek to accomplish our goal by pursuing the strategies described below.</w:t>
      </w:r>
    </w:p>
    <w:p>
      <w:pPr>
        <w:spacing w:after="0" w:line="47" w:lineRule="exact"/>
        <w:rPr>
          <w:sz w:val="20"/>
          <w:szCs w:val="20"/>
          <w:color w:val="auto"/>
        </w:rPr>
      </w:pPr>
    </w:p>
    <w:p>
      <w:pPr>
        <w:ind w:left="1300" w:hanging="208"/>
        <w:spacing w:after="0" w:line="299" w:lineRule="auto"/>
        <w:tabs>
          <w:tab w:leader="none" w:pos="130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 xml:space="preserve">Continued Focus on the Communications, Media and Entertainment Industry. </w:t>
      </w:r>
      <w:r>
        <w:rPr>
          <w:rFonts w:ascii="Arial" w:cs="Arial" w:eastAsia="Arial" w:hAnsi="Arial"/>
          <w:sz w:val="12"/>
          <w:szCs w:val="12"/>
          <w:color w:val="auto"/>
        </w:rPr>
        <w:t>We intend to continue to concentrate our main resources and efforts on providing customer</w:t>
      </w:r>
      <w:r>
        <w:rPr>
          <w:rFonts w:ascii="Arial" w:cs="Arial" w:eastAsia="Arial" w:hAnsi="Arial"/>
          <w:sz w:val="12"/>
          <w:szCs w:val="12"/>
          <w:i w:val="1"/>
          <w:iCs w:val="1"/>
          <w:color w:val="auto"/>
        </w:rPr>
        <w:t xml:space="preserve"> </w:t>
      </w:r>
      <w:r>
        <w:rPr>
          <w:rFonts w:ascii="Arial" w:cs="Arial" w:eastAsia="Arial" w:hAnsi="Arial"/>
          <w:sz w:val="12"/>
          <w:szCs w:val="12"/>
          <w:color w:val="auto"/>
        </w:rPr>
        <w:t>experience systems to service providers in the communications, media and entertainment industry. This strategy has enabled us to develop the specialized industry know-how and capability necessary to deliver the technologically advanced, large-scale, specifications-intensive customer experience systems required by the leading wireless, wireline, broadband cable and satellite companies. We consider our longstanding and continuing focus on this industry a competitive advantage.</w:t>
      </w:r>
    </w:p>
    <w:p>
      <w:pPr>
        <w:spacing w:after="0" w:line="37" w:lineRule="exact"/>
        <w:rPr>
          <w:rFonts w:ascii="Arial" w:cs="Arial" w:eastAsia="Arial" w:hAnsi="Arial"/>
          <w:sz w:val="12"/>
          <w:szCs w:val="12"/>
          <w:color w:val="auto"/>
        </w:rPr>
      </w:pPr>
    </w:p>
    <w:p>
      <w:pPr>
        <w:ind w:left="1300" w:right="160" w:hanging="208"/>
        <w:spacing w:after="0" w:line="270" w:lineRule="auto"/>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Target Industry Leaders. </w:t>
      </w:r>
      <w:r>
        <w:rPr>
          <w:rFonts w:ascii="Arial" w:cs="Arial" w:eastAsia="Arial" w:hAnsi="Arial"/>
          <w:sz w:val="13"/>
          <w:szCs w:val="13"/>
          <w:color w:val="auto"/>
        </w:rPr>
        <w:t>We intend to continue to direct our marketing efforts principally toward the major service providers. We derive a substantial majority of our</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 from our customer base of major service providers in North America and Europe. We believe that the development of this premier customer base has helped position us as a market leader, while contributing to the core strength of our business. By targeting industry leaders that require the most sophisticated customer experience systems, we believe that we are better able to remain at the forefront of developments in the industry.</w:t>
      </w:r>
    </w:p>
    <w:p>
      <w:pPr>
        <w:spacing w:after="0" w:line="52" w:lineRule="exact"/>
        <w:rPr>
          <w:rFonts w:ascii="Arial" w:cs="Arial" w:eastAsia="Arial" w:hAnsi="Arial"/>
          <w:sz w:val="13"/>
          <w:szCs w:val="13"/>
          <w:color w:val="auto"/>
        </w:rPr>
      </w:pPr>
    </w:p>
    <w:p>
      <w:pPr>
        <w:ind w:left="1300" w:hanging="208"/>
        <w:spacing w:after="0" w:line="292" w:lineRule="auto"/>
        <w:tabs>
          <w:tab w:leader="none" w:pos="130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 xml:space="preserve">Continued Expansion into Emerging Markets. </w:t>
      </w:r>
      <w:r>
        <w:rPr>
          <w:rFonts w:ascii="Arial" w:cs="Arial" w:eastAsia="Arial" w:hAnsi="Arial"/>
          <w:sz w:val="12"/>
          <w:szCs w:val="12"/>
          <w:color w:val="auto"/>
        </w:rPr>
        <w:t>Through our acquisition of SigValue in fiscal 2007, our ongoing development efforts and our expansion into China, Latin</w:t>
      </w:r>
      <w:r>
        <w:rPr>
          <w:rFonts w:ascii="Arial" w:cs="Arial" w:eastAsia="Arial" w:hAnsi="Arial"/>
          <w:sz w:val="12"/>
          <w:szCs w:val="12"/>
          <w:i w:val="1"/>
          <w:iCs w:val="1"/>
          <w:color w:val="auto"/>
        </w:rPr>
        <w:t xml:space="preserve"> </w:t>
      </w:r>
      <w:r>
        <w:rPr>
          <w:rFonts w:ascii="Arial" w:cs="Arial" w:eastAsia="Arial" w:hAnsi="Arial"/>
          <w:sz w:val="12"/>
          <w:szCs w:val="12"/>
          <w:color w:val="auto"/>
        </w:rPr>
        <w:t>America and Southeast Asia, we believe we have improved our ability to serve the needs of service providers operating in emerging markets where subscriber growth, principally for prepaid wireless service, is far greater than in more developed Western markets, but where average revenue per user is relatively low. Our prospective customers in these markets vary dramatically, with some service providers serving subscriber bases already numbering in the hundreds of millions and others introducing communications services to communities for the first time. We believe this spectrum of emerging market providers require offerings ranging from relatively low-cost systems with pre-packaged services that can be implemented rapidly, to more robust service delivery offerings, to complete customer experience systems.</w:t>
      </w:r>
    </w:p>
    <w:p>
      <w:pPr>
        <w:spacing w:after="0" w:line="40" w:lineRule="exact"/>
        <w:rPr>
          <w:rFonts w:ascii="Arial" w:cs="Arial" w:eastAsia="Arial" w:hAnsi="Arial"/>
          <w:sz w:val="12"/>
          <w:szCs w:val="12"/>
          <w:color w:val="auto"/>
        </w:rPr>
      </w:pPr>
    </w:p>
    <w:p>
      <w:pPr>
        <w:ind w:left="1300" w:right="180" w:hanging="208"/>
        <w:spacing w:after="0" w:line="270" w:lineRule="auto"/>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Provide Customers with a Broad, Deep Portfolio of Integrated Products. </w:t>
      </w:r>
      <w:r>
        <w:rPr>
          <w:rFonts w:ascii="Arial" w:cs="Arial" w:eastAsia="Arial" w:hAnsi="Arial"/>
          <w:sz w:val="13"/>
          <w:szCs w:val="13"/>
          <w:color w:val="auto"/>
        </w:rPr>
        <w:t>We seek to provide our customers with a broad, yet vertically-integrated, portfolio of products to</w:t>
      </w:r>
      <w:r>
        <w:rPr>
          <w:rFonts w:ascii="Arial" w:cs="Arial" w:eastAsia="Arial" w:hAnsi="Arial"/>
          <w:sz w:val="13"/>
          <w:szCs w:val="13"/>
          <w:i w:val="1"/>
          <w:iCs w:val="1"/>
          <w:color w:val="auto"/>
        </w:rPr>
        <w:t xml:space="preserve"> </w:t>
      </w:r>
      <w:r>
        <w:rPr>
          <w:rFonts w:ascii="Arial" w:cs="Arial" w:eastAsia="Arial" w:hAnsi="Arial"/>
          <w:sz w:val="13"/>
          <w:szCs w:val="13"/>
          <w:color w:val="auto"/>
        </w:rPr>
        <w:t>help them deliver an intentional customer experience. We seek to provide customer experience systems across the BSS and OSS domains and across multiple lines of business, often including wireline, wireless, broadband cable and satellite services. Integration of our systems is achieved through an open, service-oriented architecture, allowing our products to work well together and with third-party products. This holistic</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right="20"/>
        <w:spacing w:after="0" w:line="276" w:lineRule="auto"/>
        <w:rPr>
          <w:sz w:val="20"/>
          <w:szCs w:val="20"/>
          <w:color w:val="auto"/>
        </w:rPr>
      </w:pPr>
      <w:r>
        <w:rPr>
          <w:rFonts w:ascii="Arial" w:cs="Arial" w:eastAsia="Arial" w:hAnsi="Arial"/>
          <w:sz w:val="13"/>
          <w:szCs w:val="13"/>
          <w:color w:val="auto"/>
        </w:rPr>
        <w:t>approach serves to support the world’s largest service providers throughout their various, often international operations. We believe that our ability to provide a broad, deep suite of products helps position us as a strategic partner for our customers, and also provides us with multiple avenues for strengthening and expanding our ongoing customer relationships.</w:t>
      </w:r>
    </w:p>
    <w:p>
      <w:pPr>
        <w:spacing w:after="0" w:line="59" w:lineRule="exact"/>
        <w:rPr>
          <w:sz w:val="20"/>
          <w:szCs w:val="20"/>
          <w:color w:val="auto"/>
        </w:rPr>
      </w:pPr>
    </w:p>
    <w:p>
      <w:pPr>
        <w:ind w:left="1300" w:hanging="208"/>
        <w:spacing w:after="0" w:line="270"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Leverage our Managed Services Capabilities. </w:t>
      </w:r>
      <w:r>
        <w:rPr>
          <w:rFonts w:ascii="Arial" w:cs="Arial" w:eastAsia="Arial" w:hAnsi="Arial"/>
          <w:sz w:val="13"/>
          <w:szCs w:val="13"/>
          <w:color w:val="auto"/>
        </w:rPr>
        <w:t>Managed services enable us to assume responsibility for the operation and management of our customers’ Amdocs systems, as</w:t>
      </w:r>
      <w:r>
        <w:rPr>
          <w:rFonts w:ascii="Arial" w:cs="Arial" w:eastAsia="Arial" w:hAnsi="Arial"/>
          <w:sz w:val="13"/>
          <w:szCs w:val="13"/>
          <w:i w:val="1"/>
          <w:iCs w:val="1"/>
          <w:color w:val="auto"/>
        </w:rPr>
        <w:t xml:space="preserve"> </w:t>
      </w:r>
      <w:r>
        <w:rPr>
          <w:rFonts w:ascii="Arial" w:cs="Arial" w:eastAsia="Arial" w:hAnsi="Arial"/>
          <w:sz w:val="13"/>
          <w:szCs w:val="13"/>
          <w:color w:val="auto"/>
        </w:rPr>
        <w:t>well as systems developed by in-house IT departments or by other vendors. Managed services benefit our customers by affording them improved efficiencies and long-term savings over the day-to-day costs of operating and maintaining these systems, and by enabling them to focus on their own internal strengths, leaving systems concerns to us. Managed services also benefit us, as they can be a source of predictable revenue and long-term relationships.</w:t>
      </w:r>
    </w:p>
    <w:p>
      <w:pPr>
        <w:spacing w:after="0" w:line="52" w:lineRule="exact"/>
        <w:rPr>
          <w:rFonts w:ascii="Arial" w:cs="Arial" w:eastAsia="Arial" w:hAnsi="Arial"/>
          <w:sz w:val="13"/>
          <w:szCs w:val="13"/>
          <w:color w:val="auto"/>
        </w:rPr>
      </w:pPr>
    </w:p>
    <w:p>
      <w:pPr>
        <w:ind w:left="1300" w:right="120" w:hanging="208"/>
        <w:spacing w:after="0" w:line="270"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Leverage our Consulting Capabilities. </w:t>
      </w:r>
      <w:r>
        <w:rPr>
          <w:rFonts w:ascii="Arial" w:cs="Arial" w:eastAsia="Arial" w:hAnsi="Arial"/>
          <w:sz w:val="13"/>
          <w:szCs w:val="13"/>
          <w:color w:val="auto"/>
        </w:rPr>
        <w:t>Our consulting services are mutually beneficial for Amdocs and our customers. Consulting engagements can lead to the sale of new</w:t>
      </w:r>
      <w:r>
        <w:rPr>
          <w:rFonts w:ascii="Arial" w:cs="Arial" w:eastAsia="Arial" w:hAnsi="Arial"/>
          <w:sz w:val="13"/>
          <w:szCs w:val="13"/>
          <w:i w:val="1"/>
          <w:iCs w:val="1"/>
          <w:color w:val="auto"/>
        </w:rPr>
        <w:t xml:space="preserve"> </w:t>
      </w:r>
      <w:r>
        <w:rPr>
          <w:rFonts w:ascii="Arial" w:cs="Arial" w:eastAsia="Arial" w:hAnsi="Arial"/>
          <w:sz w:val="13"/>
          <w:szCs w:val="13"/>
          <w:color w:val="auto"/>
        </w:rPr>
        <w:t>licenses and additional services projects. In addition, our consultants’ experience in the field is channeled into our product development process, applying the best practices and business processes we have accumulated over more than 25 years to enhance the performance of our products and improve the success of future projects for our customers.</w:t>
      </w:r>
    </w:p>
    <w:p>
      <w:pPr>
        <w:spacing w:after="0" w:line="52" w:lineRule="exact"/>
        <w:rPr>
          <w:rFonts w:ascii="Arial" w:cs="Arial" w:eastAsia="Arial" w:hAnsi="Arial"/>
          <w:sz w:val="13"/>
          <w:szCs w:val="13"/>
          <w:color w:val="auto"/>
        </w:rPr>
      </w:pPr>
    </w:p>
    <w:p>
      <w:pPr>
        <w:ind w:left="1300" w:right="60" w:hanging="208"/>
        <w:spacing w:after="0" w:line="295" w:lineRule="auto"/>
        <w:tabs>
          <w:tab w:leader="none" w:pos="130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 xml:space="preserve">Maintain and Develop Long-Term Customer Relationships. </w:t>
      </w:r>
      <w:r>
        <w:rPr>
          <w:rFonts w:ascii="Arial" w:cs="Arial" w:eastAsia="Arial" w:hAnsi="Arial"/>
          <w:sz w:val="12"/>
          <w:szCs w:val="12"/>
          <w:color w:val="auto"/>
        </w:rPr>
        <w:t>We seek to maintain and develop long-term, mutually beneficial relationships with our customers, and have</w:t>
      </w:r>
      <w:r>
        <w:rPr>
          <w:rFonts w:ascii="Arial" w:cs="Arial" w:eastAsia="Arial" w:hAnsi="Arial"/>
          <w:sz w:val="12"/>
          <w:szCs w:val="12"/>
          <w:i w:val="1"/>
          <w:iCs w:val="1"/>
          <w:color w:val="auto"/>
        </w:rPr>
        <w:t xml:space="preserve"> </w:t>
      </w:r>
      <w:r>
        <w:rPr>
          <w:rFonts w:ascii="Arial" w:cs="Arial" w:eastAsia="Arial" w:hAnsi="Arial"/>
          <w:sz w:val="12"/>
          <w:szCs w:val="12"/>
          <w:color w:val="auto"/>
        </w:rPr>
        <w:t>organized our internal operations to better anticipate and respond to their needs. We find that our most positive, productive customer relationships lead to additional product sales, as well as 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Products</w:t>
      </w:r>
    </w:p>
    <w:p>
      <w:pPr>
        <w:spacing w:after="0" w:line="102"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Our product offerings consist of an extensive software portfolio that we have developed to provide comprehensive customer experience systems functionality for service providers. Our software systems support the full span of the customer lifecycle: revenue management, customer management, service and resource management, personalized portal and value-added services and portfolio management. In addition to these offering areas, we also provide solutions for high growth and emerging markets, as well as directory systems.</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products focus on:</w:t>
      </w:r>
    </w:p>
    <w:p>
      <w:pPr>
        <w:spacing w:after="0" w:line="102" w:lineRule="exact"/>
        <w:rPr>
          <w:sz w:val="20"/>
          <w:szCs w:val="20"/>
          <w:color w:val="auto"/>
        </w:rPr>
      </w:pPr>
    </w:p>
    <w:p>
      <w:pPr>
        <w:ind w:left="1300" w:right="80" w:hanging="208"/>
        <w:spacing w:after="0" w:line="294"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Revenue Management: </w:t>
      </w:r>
      <w:r>
        <w:rPr>
          <w:rFonts w:ascii="Arial" w:cs="Arial" w:eastAsia="Arial" w:hAnsi="Arial"/>
          <w:sz w:val="13"/>
          <w:szCs w:val="13"/>
          <w:color w:val="auto"/>
        </w:rPr>
        <w:t>Products that enable service providers to manage and collect all sources of revenue through any channel, from service consumption to cash-in-hand.</w:t>
      </w:r>
      <w:r>
        <w:rPr>
          <w:rFonts w:ascii="Arial" w:cs="Arial" w:eastAsia="Arial" w:hAnsi="Arial"/>
          <w:sz w:val="13"/>
          <w:szCs w:val="13"/>
          <w:i w:val="1"/>
          <w:iCs w:val="1"/>
          <w:color w:val="auto"/>
        </w:rPr>
        <w:t xml:space="preserve"> </w:t>
      </w:r>
      <w:r>
        <w:rPr>
          <w:rFonts w:ascii="Arial" w:cs="Arial" w:eastAsia="Arial" w:hAnsi="Arial"/>
          <w:sz w:val="13"/>
          <w:szCs w:val="13"/>
          <w:color w:val="auto"/>
        </w:rPr>
        <w:t>Amdocs’ Revenue Management offerings include:</w:t>
      </w:r>
    </w:p>
    <w:p>
      <w:pPr>
        <w:spacing w:after="0" w:line="46" w:lineRule="exact"/>
        <w:rPr>
          <w:rFonts w:ascii="Arial" w:cs="Arial" w:eastAsia="Arial" w:hAnsi="Arial"/>
          <w:sz w:val="13"/>
          <w:szCs w:val="13"/>
          <w:color w:val="auto"/>
        </w:rPr>
      </w:pPr>
    </w:p>
    <w:p>
      <w:pPr>
        <w:ind w:left="1500" w:right="60" w:hanging="207"/>
        <w:spacing w:after="0" w:line="294"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Charging and Billing: </w:t>
      </w:r>
      <w:r>
        <w:rPr>
          <w:rFonts w:ascii="Arial" w:cs="Arial" w:eastAsia="Arial" w:hAnsi="Arial"/>
          <w:sz w:val="13"/>
          <w:szCs w:val="13"/>
          <w:color w:val="auto"/>
        </w:rPr>
        <w:t>enables flexible, real-time rating and billing for all voice, data broadband, content, commerce and video services, whether pre-paid, post-paid or a</w:t>
      </w:r>
      <w:r>
        <w:rPr>
          <w:rFonts w:ascii="Arial" w:cs="Arial" w:eastAsia="Arial" w:hAnsi="Arial"/>
          <w:sz w:val="13"/>
          <w:szCs w:val="13"/>
          <w:i w:val="1"/>
          <w:iCs w:val="1"/>
          <w:color w:val="auto"/>
        </w:rPr>
        <w:t xml:space="preserve"> </w:t>
      </w:r>
      <w:r>
        <w:rPr>
          <w:rFonts w:ascii="Arial" w:cs="Arial" w:eastAsia="Arial" w:hAnsi="Arial"/>
          <w:sz w:val="13"/>
          <w:szCs w:val="13"/>
          <w:color w:val="auto"/>
        </w:rPr>
        <w:t>blend of both.</w:t>
      </w:r>
    </w:p>
    <w:p>
      <w:pPr>
        <w:spacing w:after="0" w:line="36" w:lineRule="exact"/>
        <w:rPr>
          <w:rFonts w:ascii="Arial" w:cs="Arial" w:eastAsia="Arial" w:hAnsi="Arial"/>
          <w:sz w:val="13"/>
          <w:szCs w:val="13"/>
          <w:color w:val="auto"/>
        </w:rPr>
      </w:pPr>
    </w:p>
    <w:p>
      <w:pPr>
        <w:ind w:left="1500" w:right="140" w:hanging="207"/>
        <w:spacing w:after="0" w:line="294"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Mediation: </w:t>
      </w:r>
      <w:r>
        <w:rPr>
          <w:rFonts w:ascii="Arial" w:cs="Arial" w:eastAsia="Arial" w:hAnsi="Arial"/>
          <w:sz w:val="13"/>
          <w:szCs w:val="13"/>
          <w:color w:val="auto"/>
        </w:rPr>
        <w:t>enables service providers to address BSS/OSS data processing and event handling needs across all lines of business and to transform raw network data into</w:t>
      </w:r>
      <w:r>
        <w:rPr>
          <w:rFonts w:ascii="Arial" w:cs="Arial" w:eastAsia="Arial" w:hAnsi="Arial"/>
          <w:sz w:val="13"/>
          <w:szCs w:val="13"/>
          <w:i w:val="1"/>
          <w:iCs w:val="1"/>
          <w:color w:val="auto"/>
        </w:rPr>
        <w:t xml:space="preserve"> </w:t>
      </w:r>
      <w:r>
        <w:rPr>
          <w:rFonts w:ascii="Arial" w:cs="Arial" w:eastAsia="Arial" w:hAnsi="Arial"/>
          <w:sz w:val="13"/>
          <w:szCs w:val="13"/>
          <w:color w:val="auto"/>
        </w:rPr>
        <w:t>actionable business information that can be used to authorize events on the network, bill a customer or pay a content provider.</w:t>
      </w:r>
    </w:p>
    <w:p>
      <w:pPr>
        <w:spacing w:after="0" w:line="36" w:lineRule="exact"/>
        <w:rPr>
          <w:rFonts w:ascii="Arial" w:cs="Arial" w:eastAsia="Arial" w:hAnsi="Arial"/>
          <w:sz w:val="13"/>
          <w:szCs w:val="13"/>
          <w:color w:val="auto"/>
        </w:rPr>
      </w:pPr>
    </w:p>
    <w:p>
      <w:pPr>
        <w:ind w:left="1500" w:right="180" w:hanging="207"/>
        <w:spacing w:after="0" w:line="294" w:lineRule="auto"/>
        <w:tabs>
          <w:tab w:leader="none" w:pos="1500" w:val="left"/>
        </w:tabs>
        <w:numPr>
          <w:ilvl w:val="1"/>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Partner Settlements: </w:t>
      </w:r>
      <w:r>
        <w:rPr>
          <w:rFonts w:ascii="Arial" w:cs="Arial" w:eastAsia="Arial" w:hAnsi="Arial"/>
          <w:sz w:val="13"/>
          <w:szCs w:val="13"/>
          <w:color w:val="auto"/>
        </w:rPr>
        <w:t>allows service providers to manage an unlimited number of partners providing services over the network across several lines of business, such as</w:t>
      </w:r>
      <w:r>
        <w:rPr>
          <w:rFonts w:ascii="Arial" w:cs="Arial" w:eastAsia="Arial" w:hAnsi="Arial"/>
          <w:sz w:val="13"/>
          <w:szCs w:val="13"/>
          <w:i w:val="1"/>
          <w:iCs w:val="1"/>
          <w:color w:val="auto"/>
        </w:rPr>
        <w:t xml:space="preserve"> </w:t>
      </w:r>
      <w:r>
        <w:rPr>
          <w:rFonts w:ascii="Arial" w:cs="Arial" w:eastAsia="Arial" w:hAnsi="Arial"/>
          <w:sz w:val="13"/>
          <w:szCs w:val="13"/>
          <w:color w:val="auto"/>
        </w:rPr>
        <w:t>interconnect, roaming and mobile virtual network operator (MVNO) operations, as well as digital content and advertising.</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440" w:hanging="208"/>
        <w:spacing w:after="0" w:line="294"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Customer Management: </w:t>
      </w:r>
      <w:r>
        <w:rPr>
          <w:rFonts w:ascii="Arial" w:cs="Arial" w:eastAsia="Arial" w:hAnsi="Arial"/>
          <w:sz w:val="13"/>
          <w:szCs w:val="13"/>
          <w:color w:val="auto"/>
        </w:rPr>
        <w:t>Products that transform the way service providers deliver a cost-effective, superior customer experience across channels. Amdocs’ Customer</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offerings include:</w:t>
      </w:r>
    </w:p>
    <w:p>
      <w:pPr>
        <w:spacing w:after="0" w:line="46" w:lineRule="exact"/>
        <w:rPr>
          <w:rFonts w:ascii="Arial" w:cs="Arial" w:eastAsia="Arial" w:hAnsi="Arial"/>
          <w:sz w:val="13"/>
          <w:szCs w:val="13"/>
          <w:color w:val="auto"/>
        </w:rPr>
      </w:pPr>
    </w:p>
    <w:p>
      <w:pPr>
        <w:ind w:left="1500" w:right="380" w:hanging="207"/>
        <w:spacing w:after="0" w:line="294"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Contact Center and Retail Interaction Management: </w:t>
      </w:r>
      <w:r>
        <w:rPr>
          <w:rFonts w:ascii="Arial" w:cs="Arial" w:eastAsia="Arial" w:hAnsi="Arial"/>
          <w:sz w:val="13"/>
          <w:szCs w:val="13"/>
          <w:color w:val="auto"/>
        </w:rPr>
        <w:t>gives customer contact center agents and store representatives the information needed to easily and efficiently</w:t>
      </w:r>
      <w:r>
        <w:rPr>
          <w:rFonts w:ascii="Arial" w:cs="Arial" w:eastAsia="Arial" w:hAnsi="Arial"/>
          <w:sz w:val="13"/>
          <w:szCs w:val="13"/>
          <w:i w:val="1"/>
          <w:iCs w:val="1"/>
          <w:color w:val="auto"/>
        </w:rPr>
        <w:t xml:space="preserve"> </w:t>
      </w:r>
      <w:r>
        <w:rPr>
          <w:rFonts w:ascii="Arial" w:cs="Arial" w:eastAsia="Arial" w:hAnsi="Arial"/>
          <w:sz w:val="13"/>
          <w:szCs w:val="13"/>
          <w:color w:val="auto"/>
        </w:rPr>
        <w:t>execute all customer-facing activities.</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17"/>
        </w:numPr>
        <w:rPr>
          <w:rFonts w:ascii="Arial" w:cs="Arial" w:eastAsia="Arial" w:hAnsi="Arial"/>
          <w:sz w:val="12"/>
          <w:szCs w:val="12"/>
          <w:color w:val="auto"/>
        </w:rPr>
      </w:pPr>
      <w:r>
        <w:rPr>
          <w:rFonts w:ascii="Arial" w:cs="Arial" w:eastAsia="Arial" w:hAnsi="Arial"/>
          <w:sz w:val="12"/>
          <w:szCs w:val="12"/>
          <w:i w:val="1"/>
          <w:iCs w:val="1"/>
          <w:color w:val="auto"/>
        </w:rPr>
        <w:t xml:space="preserve">Service and Support: </w:t>
      </w:r>
      <w:r>
        <w:rPr>
          <w:rFonts w:ascii="Arial" w:cs="Arial" w:eastAsia="Arial" w:hAnsi="Arial"/>
          <w:sz w:val="12"/>
          <w:szCs w:val="12"/>
          <w:color w:val="auto"/>
        </w:rPr>
        <w:t>prioritizes case handling, enables support and closes the loop between the initial service request and problem resolution, including field service.</w:t>
      </w:r>
    </w:p>
    <w:p>
      <w:pPr>
        <w:spacing w:after="0" w:line="103" w:lineRule="exact"/>
        <w:rPr>
          <w:rFonts w:ascii="Arial" w:cs="Arial" w:eastAsia="Arial" w:hAnsi="Arial"/>
          <w:sz w:val="12"/>
          <w:szCs w:val="12"/>
          <w:color w:val="auto"/>
        </w:rPr>
      </w:pPr>
    </w:p>
    <w:p>
      <w:pPr>
        <w:ind w:left="1500" w:right="480" w:hanging="207"/>
        <w:spacing w:after="0" w:line="294"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Sales and Ordering: </w:t>
      </w:r>
      <w:r>
        <w:rPr>
          <w:rFonts w:ascii="Arial" w:cs="Arial" w:eastAsia="Arial" w:hAnsi="Arial"/>
          <w:sz w:val="13"/>
          <w:szCs w:val="13"/>
          <w:color w:val="auto"/>
        </w:rPr>
        <w:t>provides an end-to-end solution, across all customer channels, to complete an order-to-cash cycle from a business or an end customer across</w:t>
      </w:r>
      <w:r>
        <w:rPr>
          <w:rFonts w:ascii="Arial" w:cs="Arial" w:eastAsia="Arial" w:hAnsi="Arial"/>
          <w:sz w:val="13"/>
          <w:szCs w:val="13"/>
          <w:i w:val="1"/>
          <w:iCs w:val="1"/>
          <w:color w:val="auto"/>
        </w:rPr>
        <w:t xml:space="preserve"> </w:t>
      </w:r>
      <w:r>
        <w:rPr>
          <w:rFonts w:ascii="Arial" w:cs="Arial" w:eastAsia="Arial" w:hAnsi="Arial"/>
          <w:sz w:val="13"/>
          <w:szCs w:val="13"/>
          <w:color w:val="auto"/>
        </w:rPr>
        <w:t>multiple lines of business.</w:t>
      </w:r>
    </w:p>
    <w:p>
      <w:pPr>
        <w:spacing w:after="0" w:line="46" w:lineRule="exact"/>
        <w:rPr>
          <w:rFonts w:ascii="Arial" w:cs="Arial" w:eastAsia="Arial" w:hAnsi="Arial"/>
          <w:sz w:val="13"/>
          <w:szCs w:val="13"/>
          <w:color w:val="auto"/>
        </w:rPr>
      </w:pPr>
    </w:p>
    <w:p>
      <w:pPr>
        <w:ind w:left="1300" w:right="480" w:hanging="208"/>
        <w:spacing w:after="0" w:line="294"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Service and Resource Management (OSS): </w:t>
      </w:r>
      <w:r>
        <w:rPr>
          <w:rFonts w:ascii="Arial" w:cs="Arial" w:eastAsia="Arial" w:hAnsi="Arial"/>
          <w:sz w:val="13"/>
          <w:szCs w:val="13"/>
          <w:color w:val="auto"/>
        </w:rPr>
        <w:t>Products that comprise the core operational support systems, such as network planning, service fulfillment and assurance.</w:t>
      </w:r>
      <w:r>
        <w:rPr>
          <w:rFonts w:ascii="Arial" w:cs="Arial" w:eastAsia="Arial" w:hAnsi="Arial"/>
          <w:sz w:val="13"/>
          <w:szCs w:val="13"/>
          <w:i w:val="1"/>
          <w:iCs w:val="1"/>
          <w:color w:val="auto"/>
        </w:rPr>
        <w:t xml:space="preserve"> </w:t>
      </w:r>
      <w:r>
        <w:rPr>
          <w:rFonts w:ascii="Arial" w:cs="Arial" w:eastAsia="Arial" w:hAnsi="Arial"/>
          <w:sz w:val="13"/>
          <w:szCs w:val="13"/>
          <w:color w:val="auto"/>
        </w:rPr>
        <w:t>Amdocs’ Service and Resource Management (OSS) offerings include:</w:t>
      </w:r>
    </w:p>
    <w:p>
      <w:pPr>
        <w:spacing w:after="0" w:line="46" w:lineRule="exact"/>
        <w:rPr>
          <w:rFonts w:ascii="Arial" w:cs="Arial" w:eastAsia="Arial" w:hAnsi="Arial"/>
          <w:sz w:val="13"/>
          <w:szCs w:val="13"/>
          <w:color w:val="auto"/>
        </w:rPr>
      </w:pPr>
    </w:p>
    <w:p>
      <w:pPr>
        <w:ind w:left="1500" w:right="100" w:hanging="207"/>
        <w:spacing w:after="0" w:line="294"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Network Planning: </w:t>
      </w:r>
      <w:r>
        <w:rPr>
          <w:rFonts w:ascii="Arial" w:cs="Arial" w:eastAsia="Arial" w:hAnsi="Arial"/>
          <w:sz w:val="13"/>
          <w:szCs w:val="13"/>
          <w:color w:val="auto"/>
        </w:rPr>
        <w:t>enables network planners to analyze current, short- and long-term consumption trends of network resources and to plan and roll out a “service-ready</w:t>
      </w:r>
      <w:r>
        <w:rPr>
          <w:rFonts w:ascii="Arial" w:cs="Arial" w:eastAsia="Arial" w:hAnsi="Arial"/>
          <w:sz w:val="13"/>
          <w:szCs w:val="13"/>
          <w:i w:val="1"/>
          <w:iCs w:val="1"/>
          <w:color w:val="auto"/>
        </w:rPr>
        <w:t xml:space="preserve"> </w:t>
      </w:r>
      <w:r>
        <w:rPr>
          <w:rFonts w:ascii="Arial" w:cs="Arial" w:eastAsia="Arial" w:hAnsi="Arial"/>
          <w:sz w:val="13"/>
          <w:szCs w:val="13"/>
          <w:color w:val="auto"/>
        </w:rPr>
        <w:t>network.”</w:t>
      </w:r>
    </w:p>
    <w:p>
      <w:pPr>
        <w:spacing w:after="0" w:line="36" w:lineRule="exact"/>
        <w:rPr>
          <w:rFonts w:ascii="Arial" w:cs="Arial" w:eastAsia="Arial" w:hAnsi="Arial"/>
          <w:sz w:val="13"/>
          <w:szCs w:val="13"/>
          <w:color w:val="auto"/>
        </w:rPr>
      </w:pPr>
    </w:p>
    <w:p>
      <w:pPr>
        <w:ind w:left="1500" w:hanging="207"/>
        <w:spacing w:after="0" w:line="276"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Service Fulfillment: </w:t>
      </w:r>
      <w:r>
        <w:rPr>
          <w:rFonts w:ascii="Arial" w:cs="Arial" w:eastAsia="Arial" w:hAnsi="Arial"/>
          <w:sz w:val="13"/>
          <w:szCs w:val="13"/>
          <w:color w:val="auto"/>
        </w:rPr>
        <w:t>includes pre-packaged automation for specific services and lines of business, including broadband, satellite and cable; also supports the fulfillment of</w:t>
      </w:r>
      <w:r>
        <w:rPr>
          <w:rFonts w:ascii="Arial" w:cs="Arial" w:eastAsia="Arial" w:hAnsi="Arial"/>
          <w:sz w:val="13"/>
          <w:szCs w:val="13"/>
          <w:i w:val="1"/>
          <w:iCs w:val="1"/>
          <w:color w:val="auto"/>
        </w:rPr>
        <w:t xml:space="preserve"> </w:t>
      </w:r>
      <w:r>
        <w:rPr>
          <w:rFonts w:ascii="Arial" w:cs="Arial" w:eastAsia="Arial" w:hAnsi="Arial"/>
          <w:sz w:val="13"/>
          <w:szCs w:val="13"/>
          <w:color w:val="auto"/>
        </w:rPr>
        <w:t>multiple services, either to support a convergent services bundle, or to standardize fulfillment across the organization with a single interface to orchestrate all fulfillment processes.</w:t>
      </w:r>
    </w:p>
    <w:p>
      <w:pPr>
        <w:spacing w:after="0" w:line="48" w:lineRule="exact"/>
        <w:rPr>
          <w:rFonts w:ascii="Arial" w:cs="Arial" w:eastAsia="Arial" w:hAnsi="Arial"/>
          <w:sz w:val="13"/>
          <w:szCs w:val="13"/>
          <w:color w:val="auto"/>
        </w:rPr>
      </w:pPr>
    </w:p>
    <w:p>
      <w:pPr>
        <w:ind w:left="1500" w:hanging="207"/>
        <w:spacing w:after="0"/>
        <w:tabs>
          <w:tab w:leader="none" w:pos="1500" w:val="left"/>
        </w:tabs>
        <w:numPr>
          <w:ilvl w:val="1"/>
          <w:numId w:val="17"/>
        </w:numPr>
        <w:rPr>
          <w:rFonts w:ascii="Arial" w:cs="Arial" w:eastAsia="Arial" w:hAnsi="Arial"/>
          <w:sz w:val="12"/>
          <w:szCs w:val="12"/>
          <w:color w:val="auto"/>
        </w:rPr>
      </w:pPr>
      <w:r>
        <w:rPr>
          <w:rFonts w:ascii="Arial" w:cs="Arial" w:eastAsia="Arial" w:hAnsi="Arial"/>
          <w:sz w:val="12"/>
          <w:szCs w:val="12"/>
          <w:i w:val="1"/>
          <w:iCs w:val="1"/>
          <w:color w:val="auto"/>
        </w:rPr>
        <w:t xml:space="preserve">Service Assurance: </w:t>
      </w:r>
      <w:r>
        <w:rPr>
          <w:rFonts w:ascii="Arial" w:cs="Arial" w:eastAsia="Arial" w:hAnsi="Arial"/>
          <w:sz w:val="12"/>
          <w:szCs w:val="12"/>
          <w:color w:val="auto"/>
        </w:rPr>
        <w:t>supports service assurance by managing the problem resolution process, including impact analysis to assess what services are affected by outages.</w:t>
      </w:r>
    </w:p>
    <w:p>
      <w:pPr>
        <w:spacing w:after="0" w:line="103" w:lineRule="exact"/>
        <w:rPr>
          <w:rFonts w:ascii="Arial" w:cs="Arial" w:eastAsia="Arial" w:hAnsi="Arial"/>
          <w:sz w:val="12"/>
          <w:szCs w:val="12"/>
          <w:color w:val="auto"/>
        </w:rPr>
      </w:pPr>
    </w:p>
    <w:p>
      <w:pPr>
        <w:ind w:left="1500" w:right="360" w:hanging="207"/>
        <w:spacing w:after="0" w:line="294"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Inventory and Discovery: </w:t>
      </w:r>
      <w:r>
        <w:rPr>
          <w:rFonts w:ascii="Arial" w:cs="Arial" w:eastAsia="Arial" w:hAnsi="Arial"/>
          <w:sz w:val="13"/>
          <w:szCs w:val="13"/>
          <w:color w:val="auto"/>
        </w:rPr>
        <w:t>provides a single source of service and network inventory and performance data, to support network planning and service fulfillment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assurance.</w:t>
      </w:r>
    </w:p>
    <w:p>
      <w:pPr>
        <w:spacing w:after="0" w:line="36" w:lineRule="exact"/>
        <w:rPr>
          <w:rFonts w:ascii="Arial" w:cs="Arial" w:eastAsia="Arial" w:hAnsi="Arial"/>
          <w:sz w:val="13"/>
          <w:szCs w:val="13"/>
          <w:color w:val="auto"/>
        </w:rPr>
      </w:pPr>
    </w:p>
    <w:p>
      <w:pPr>
        <w:ind w:left="1500" w:right="520" w:hanging="207"/>
        <w:spacing w:after="0" w:line="294"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Service Management: </w:t>
      </w:r>
      <w:r>
        <w:rPr>
          <w:rFonts w:ascii="Arial" w:cs="Arial" w:eastAsia="Arial" w:hAnsi="Arial"/>
          <w:sz w:val="13"/>
          <w:szCs w:val="13"/>
          <w:color w:val="auto"/>
        </w:rPr>
        <w:t>provides an automated, end-to-end solution to manage the entire order fulfillment lifecycle, including multiple order channels and lines of</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w:t>
      </w:r>
    </w:p>
    <w:p>
      <w:pPr>
        <w:spacing w:after="0" w:line="46"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Personalized Portal and Value-Added Services: </w:t>
      </w:r>
      <w:r>
        <w:rPr>
          <w:rFonts w:ascii="Arial" w:cs="Arial" w:eastAsia="Arial" w:hAnsi="Arial"/>
          <w:sz w:val="13"/>
          <w:szCs w:val="13"/>
          <w:color w:val="auto"/>
        </w:rPr>
        <w:t>Solutions that help service providers create a personalized online experience for their subscribers and maximize profits from</w:t>
      </w:r>
      <w:r>
        <w:rPr>
          <w:rFonts w:ascii="Arial" w:cs="Arial" w:eastAsia="Arial" w:hAnsi="Arial"/>
          <w:sz w:val="13"/>
          <w:szCs w:val="13"/>
          <w:i w:val="1"/>
          <w:iCs w:val="1"/>
          <w:color w:val="auto"/>
        </w:rPr>
        <w:t xml:space="preserve"> </w:t>
      </w:r>
      <w:r>
        <w:rPr>
          <w:rFonts w:ascii="Arial" w:cs="Arial" w:eastAsia="Arial" w:hAnsi="Arial"/>
          <w:sz w:val="13"/>
          <w:szCs w:val="13"/>
          <w:color w:val="auto"/>
        </w:rPr>
        <w:t>content, value-added services and applications. Amdocs’ Portal and Value-Added Services offerings include:</w:t>
      </w:r>
    </w:p>
    <w:p>
      <w:pPr>
        <w:spacing w:after="0" w:line="46" w:lineRule="exact"/>
        <w:rPr>
          <w:rFonts w:ascii="Arial" w:cs="Arial" w:eastAsia="Arial" w:hAnsi="Arial"/>
          <w:sz w:val="13"/>
          <w:szCs w:val="13"/>
          <w:color w:val="auto"/>
        </w:rPr>
      </w:pPr>
    </w:p>
    <w:p>
      <w:pPr>
        <w:ind w:left="1500" w:right="180" w:hanging="207"/>
        <w:spacing w:after="0" w:line="294"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Commerce and Partner Collaboration: </w:t>
      </w:r>
      <w:r>
        <w:rPr>
          <w:rFonts w:ascii="Arial" w:cs="Arial" w:eastAsia="Arial" w:hAnsi="Arial"/>
          <w:sz w:val="13"/>
          <w:szCs w:val="13"/>
          <w:color w:val="auto"/>
        </w:rPr>
        <w:t>facilitates a personalized shopping experience for digital, physical and network goods. This offering spans e-commerce, digital</w:t>
      </w:r>
      <w:r>
        <w:rPr>
          <w:rFonts w:ascii="Arial" w:cs="Arial" w:eastAsia="Arial" w:hAnsi="Arial"/>
          <w:sz w:val="13"/>
          <w:szCs w:val="13"/>
          <w:i w:val="1"/>
          <w:iCs w:val="1"/>
          <w:color w:val="auto"/>
        </w:rPr>
        <w:t xml:space="preserve"> </w:t>
      </w:r>
      <w:r>
        <w:rPr>
          <w:rFonts w:ascii="Arial" w:cs="Arial" w:eastAsia="Arial" w:hAnsi="Arial"/>
          <w:sz w:val="13"/>
          <w:szCs w:val="13"/>
          <w:color w:val="auto"/>
        </w:rPr>
        <w:t>commerce and app stores, enabling service providers to benefit from emerging business models, such as converged online storefronts.</w:t>
      </w:r>
    </w:p>
    <w:p>
      <w:pPr>
        <w:spacing w:after="0" w:line="36" w:lineRule="exact"/>
        <w:rPr>
          <w:rFonts w:ascii="Arial" w:cs="Arial" w:eastAsia="Arial" w:hAnsi="Arial"/>
          <w:sz w:val="13"/>
          <w:szCs w:val="13"/>
          <w:color w:val="auto"/>
        </w:rPr>
      </w:pPr>
    </w:p>
    <w:p>
      <w:pPr>
        <w:ind w:left="1500" w:right="400" w:hanging="207"/>
        <w:spacing w:after="0" w:line="276"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Portal and Self-Service: </w:t>
      </w:r>
      <w:r>
        <w:rPr>
          <w:rFonts w:ascii="Arial" w:cs="Arial" w:eastAsia="Arial" w:hAnsi="Arial"/>
          <w:sz w:val="13"/>
          <w:szCs w:val="13"/>
          <w:color w:val="auto"/>
        </w:rPr>
        <w:t>enables service providers to deliver a mobile and web portal experience, providing personalized on- and off-portal browsing, self-directed</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and intelligent searching. It allows subscribers to manage their own services, bills across all lines of business and turns service interactions into cross-sell opportunities.</w:t>
      </w:r>
    </w:p>
    <w:p>
      <w:pPr>
        <w:spacing w:after="0" w:line="48" w:lineRule="exact"/>
        <w:rPr>
          <w:rFonts w:ascii="Arial" w:cs="Arial" w:eastAsia="Arial" w:hAnsi="Arial"/>
          <w:sz w:val="13"/>
          <w:szCs w:val="13"/>
          <w:color w:val="auto"/>
        </w:rPr>
      </w:pPr>
    </w:p>
    <w:p>
      <w:pPr>
        <w:ind w:left="1500" w:right="80" w:hanging="207"/>
        <w:spacing w:after="0" w:line="270"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Service Delivery and Control: </w:t>
      </w:r>
      <w:r>
        <w:rPr>
          <w:rFonts w:ascii="Arial" w:cs="Arial" w:eastAsia="Arial" w:hAnsi="Arial"/>
          <w:sz w:val="13"/>
          <w:szCs w:val="13"/>
          <w:color w:val="auto"/>
        </w:rPr>
        <w:t>provides a Next Generation Intelligent Network (IN) service delivery platform for the creation, delivery and control of products, value-added services and end-user applications. The solution includes a graphical service creation environment (SCE) for rapid service design and creation, dozens of pre-built value-added services, such as ringback tones and missed call notifications, a messaging platform (SMSC), a real-time service control point (SCP) and application and media servers, such as interactive voice response (IVR) and unstructured supplementary service data (USSD).</w:t>
      </w:r>
    </w:p>
    <w:p>
      <w:pPr>
        <w:spacing w:after="0" w:line="42" w:lineRule="exact"/>
        <w:rPr>
          <w:rFonts w:ascii="Arial" w:cs="Arial" w:eastAsia="Arial" w:hAnsi="Arial"/>
          <w:sz w:val="13"/>
          <w:szCs w:val="13"/>
          <w:color w:val="auto"/>
        </w:rPr>
      </w:pPr>
    </w:p>
    <w:p>
      <w:pPr>
        <w:ind w:left="1300" w:right="160" w:hanging="208"/>
        <w:spacing w:after="0" w:line="294"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Portfolio Management: </w:t>
      </w:r>
      <w:r>
        <w:rPr>
          <w:rFonts w:ascii="Arial" w:cs="Arial" w:eastAsia="Arial" w:hAnsi="Arial"/>
          <w:sz w:val="13"/>
          <w:szCs w:val="13"/>
          <w:color w:val="auto"/>
        </w:rPr>
        <w:t>Products and frameworks that are integrated within all our product offering areas and form the platform upon which our customers can implement,</w:t>
      </w:r>
      <w:r>
        <w:rPr>
          <w:rFonts w:ascii="Arial" w:cs="Arial" w:eastAsia="Arial" w:hAnsi="Arial"/>
          <w:sz w:val="13"/>
          <w:szCs w:val="13"/>
          <w:i w:val="1"/>
          <w:iCs w:val="1"/>
          <w:color w:val="auto"/>
        </w:rPr>
        <w:t xml:space="preserve"> </w:t>
      </w:r>
      <w:r>
        <w:rPr>
          <w:rFonts w:ascii="Arial" w:cs="Arial" w:eastAsia="Arial" w:hAnsi="Arial"/>
          <w:sz w:val="13"/>
          <w:szCs w:val="13"/>
          <w:color w:val="auto"/>
        </w:rPr>
        <w:t>integrate and centralize their operating environments. Our Portfolio Management offerings include:</w:t>
      </w:r>
    </w:p>
    <w:p>
      <w:pPr>
        <w:spacing w:after="0" w:line="16" w:lineRule="exact"/>
        <w:rPr>
          <w:rFonts w:ascii="Arial" w:cs="Arial" w:eastAsia="Arial" w:hAnsi="Arial"/>
          <w:sz w:val="13"/>
          <w:szCs w:val="13"/>
          <w:color w:val="auto"/>
        </w:rPr>
      </w:pPr>
    </w:p>
    <w:p>
      <w:pPr>
        <w:ind w:left="1500" w:right="280" w:hanging="207"/>
        <w:spacing w:after="0" w:line="294" w:lineRule="auto"/>
        <w:tabs>
          <w:tab w:leader="none" w:pos="1500" w:val="left"/>
        </w:tabs>
        <w:numPr>
          <w:ilvl w:val="1"/>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Product Management: </w:t>
      </w:r>
      <w:r>
        <w:rPr>
          <w:rFonts w:ascii="Arial" w:cs="Arial" w:eastAsia="Arial" w:hAnsi="Arial"/>
          <w:sz w:val="13"/>
          <w:szCs w:val="13"/>
          <w:color w:val="auto"/>
        </w:rPr>
        <w:t>consolidates a service provider’s product information into a central location, efficiently maintains the information and maximizes the value of</w:t>
      </w:r>
      <w:r>
        <w:rPr>
          <w:rFonts w:ascii="Arial" w:cs="Arial" w:eastAsia="Arial" w:hAnsi="Arial"/>
          <w:sz w:val="13"/>
          <w:szCs w:val="13"/>
          <w:i w:val="1"/>
          <w:iCs w:val="1"/>
          <w:color w:val="auto"/>
        </w:rPr>
        <w:t xml:space="preserve"> </w:t>
      </w:r>
      <w:r>
        <w:rPr>
          <w:rFonts w:ascii="Arial" w:cs="Arial" w:eastAsia="Arial" w:hAnsi="Arial"/>
          <w:sz w:val="13"/>
          <w:szCs w:val="13"/>
          <w:color w:val="auto"/>
        </w:rPr>
        <w:t>product assets.</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500" w:hanging="207"/>
        <w:spacing w:after="0"/>
        <w:tabs>
          <w:tab w:leader="none" w:pos="15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Application Framework: </w:t>
      </w:r>
      <w:r>
        <w:rPr>
          <w:rFonts w:ascii="Arial" w:cs="Arial" w:eastAsia="Arial" w:hAnsi="Arial"/>
          <w:sz w:val="13"/>
          <w:szCs w:val="13"/>
          <w:color w:val="auto"/>
        </w:rPr>
        <w:t>a common infrastructure designed to ease the integration of Amdocs and third-party applications.</w:t>
      </w:r>
    </w:p>
    <w:p>
      <w:pPr>
        <w:spacing w:after="0" w:line="62" w:lineRule="exact"/>
        <w:rPr>
          <w:rFonts w:ascii="Arial" w:cs="Arial" w:eastAsia="Arial" w:hAnsi="Arial"/>
          <w:sz w:val="13"/>
          <w:szCs w:val="13"/>
          <w:color w:val="auto"/>
        </w:rPr>
      </w:pPr>
    </w:p>
    <w:p>
      <w:pPr>
        <w:ind w:left="1500" w:hanging="207"/>
        <w:spacing w:after="0"/>
        <w:tabs>
          <w:tab w:leader="none" w:pos="15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Operational Framework: </w:t>
      </w:r>
      <w:r>
        <w:rPr>
          <w:rFonts w:ascii="Arial" w:cs="Arial" w:eastAsia="Arial" w:hAnsi="Arial"/>
          <w:sz w:val="13"/>
          <w:szCs w:val="13"/>
          <w:color w:val="auto"/>
        </w:rPr>
        <w:t>a unified operational tools environment, including a common interface to manage all portfolio applications.</w:t>
      </w:r>
    </w:p>
    <w:p>
      <w:pPr>
        <w:spacing w:after="0" w:line="62" w:lineRule="exact"/>
        <w:rPr>
          <w:rFonts w:ascii="Arial" w:cs="Arial" w:eastAsia="Arial" w:hAnsi="Arial"/>
          <w:sz w:val="13"/>
          <w:szCs w:val="13"/>
          <w:color w:val="auto"/>
        </w:rPr>
      </w:pPr>
    </w:p>
    <w:p>
      <w:pPr>
        <w:ind w:left="1500" w:hanging="207"/>
        <w:spacing w:after="0"/>
        <w:tabs>
          <w:tab w:leader="none" w:pos="150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Delivery Framework: </w:t>
      </w:r>
      <w:r>
        <w:rPr>
          <w:rFonts w:ascii="Arial" w:cs="Arial" w:eastAsia="Arial" w:hAnsi="Arial"/>
          <w:sz w:val="12"/>
          <w:szCs w:val="12"/>
          <w:color w:val="auto"/>
        </w:rPr>
        <w:t>a set of common tools, methodologies and web services that enable our customers to simplify the customization and deployment of our products.</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High-Growth Emerging Markets Systems</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designed Amdocs Compact Convergence as our offering for service providers in high-growth emerging markets. This integrated, end-to-end, network-connected service delivery solution provides the software and hardware needed to quickly and cost-effectively launch new lines of business or deploy new technologies. It includes operational- and business-support systems, a service delivery platform, and value-added services. Specifically, Amdocs Compact Convergence includes:</w:t>
      </w:r>
    </w:p>
    <w:p>
      <w:pPr>
        <w:spacing w:after="0" w:line="38" w:lineRule="exact"/>
        <w:rPr>
          <w:sz w:val="20"/>
          <w:szCs w:val="20"/>
          <w:color w:val="auto"/>
        </w:rPr>
      </w:pPr>
    </w:p>
    <w:p>
      <w:pPr>
        <w:ind w:left="1300" w:hanging="208"/>
        <w:spacing w:after="0" w:line="276"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Compact Business Platform: </w:t>
      </w:r>
      <w:r>
        <w:rPr>
          <w:rFonts w:ascii="Arial" w:cs="Arial" w:eastAsia="Arial" w:hAnsi="Arial"/>
          <w:sz w:val="13"/>
          <w:szCs w:val="13"/>
          <w:color w:val="auto"/>
        </w:rPr>
        <w:t>Provides out-of-the-box essential business functionality, such as invoicing and provisioning, and the ability to configure and apply new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processes, as needed. It includes customer care, self web-care and reporting capabilities, in addition to a set of system and operational tools for functions, such as network monitoring and analysis.</w:t>
      </w:r>
    </w:p>
    <w:p>
      <w:pPr>
        <w:spacing w:after="0" w:line="18" w:lineRule="exact"/>
        <w:rPr>
          <w:rFonts w:ascii="Arial" w:cs="Arial" w:eastAsia="Arial" w:hAnsi="Arial"/>
          <w:sz w:val="13"/>
          <w:szCs w:val="13"/>
          <w:color w:val="auto"/>
        </w:rPr>
      </w:pPr>
    </w:p>
    <w:p>
      <w:pPr>
        <w:ind w:left="1300" w:right="200" w:hanging="208"/>
        <w:spacing w:after="0" w:line="324" w:lineRule="auto"/>
        <w:tabs>
          <w:tab w:leader="none" w:pos="130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Compact Charging Platform: </w:t>
      </w:r>
      <w:r>
        <w:rPr>
          <w:rFonts w:ascii="Arial" w:cs="Arial" w:eastAsia="Arial" w:hAnsi="Arial"/>
          <w:sz w:val="12"/>
          <w:szCs w:val="12"/>
          <w:color w:val="auto"/>
        </w:rPr>
        <w:t>Supports convergent rating and real-time charging for services, including voice, messaging data and value-added services. It also provides</w:t>
      </w:r>
      <w:r>
        <w:rPr>
          <w:rFonts w:ascii="Arial" w:cs="Arial" w:eastAsia="Arial" w:hAnsi="Arial"/>
          <w:sz w:val="12"/>
          <w:szCs w:val="12"/>
          <w:i w:val="1"/>
          <w:iCs w:val="1"/>
          <w:color w:val="auto"/>
        </w:rPr>
        <w:t xml:space="preserve"> </w:t>
      </w:r>
      <w:r>
        <w:rPr>
          <w:rFonts w:ascii="Arial" w:cs="Arial" w:eastAsia="Arial" w:hAnsi="Arial"/>
          <w:sz w:val="12"/>
          <w:szCs w:val="12"/>
          <w:color w:val="auto"/>
        </w:rPr>
        <w:t>support for any payment method, allowing service providers to implement and execute a range of tariff plans and pricing strategies and to bill customers for service usage.</w:t>
      </w:r>
    </w:p>
    <w:p>
      <w:pPr>
        <w:ind w:left="1300" w:hanging="208"/>
        <w:spacing w:after="0"/>
        <w:tabs>
          <w:tab w:leader="none" w:pos="130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Service Platform: </w:t>
      </w:r>
      <w:r>
        <w:rPr>
          <w:rFonts w:ascii="Arial" w:cs="Arial" w:eastAsia="Arial" w:hAnsi="Arial"/>
          <w:sz w:val="12"/>
          <w:szCs w:val="12"/>
          <w:color w:val="auto"/>
        </w:rPr>
        <w:t>Provides value-added services out of the box and enables service providers to adjust services or create new ones using its service creation capabilities.</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Directory Systems</w:t>
      </w:r>
    </w:p>
    <w:p>
      <w:pPr>
        <w:spacing w:after="0" w:line="82" w:lineRule="exact"/>
        <w:rPr>
          <w:sz w:val="20"/>
          <w:szCs w:val="20"/>
          <w:color w:val="auto"/>
        </w:rPr>
      </w:pPr>
    </w:p>
    <w:p>
      <w:pPr>
        <w:ind w:left="680" w:right="260" w:firstLine="399"/>
        <w:spacing w:after="0" w:line="332" w:lineRule="auto"/>
        <w:rPr>
          <w:sz w:val="20"/>
          <w:szCs w:val="20"/>
          <w:color w:val="auto"/>
        </w:rPr>
      </w:pPr>
      <w:r>
        <w:rPr>
          <w:rFonts w:ascii="Arial" w:cs="Arial" w:eastAsia="Arial" w:hAnsi="Arial"/>
          <w:sz w:val="12"/>
          <w:szCs w:val="12"/>
          <w:color w:val="auto"/>
        </w:rPr>
        <w:t>Our directory systems, or advertising, media and entertainment offerings, are comprised of a comprehensive set of products and services designed to enable local content and advertising publishers to manage the entire advertising process across multiple electronic and print media and channels. Our directory systems offerings include:</w:t>
      </w:r>
    </w:p>
    <w:p>
      <w:pPr>
        <w:spacing w:after="0" w:line="1" w:lineRule="exact"/>
        <w:rPr>
          <w:sz w:val="20"/>
          <w:szCs w:val="20"/>
          <w:color w:val="auto"/>
        </w:rPr>
      </w:pPr>
    </w:p>
    <w:p>
      <w:pPr>
        <w:ind w:left="1300" w:right="40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Consumer Engagement: </w:t>
      </w:r>
      <w:r>
        <w:rPr>
          <w:rFonts w:ascii="Arial" w:cs="Arial" w:eastAsia="Arial" w:hAnsi="Arial"/>
          <w:sz w:val="13"/>
          <w:szCs w:val="13"/>
          <w:color w:val="auto"/>
        </w:rPr>
        <w:t>Offerings that allow directory publishers to launch an Internet directory or to extend their existing portal functionality, including personalized</w:t>
      </w:r>
      <w:r>
        <w:rPr>
          <w:rFonts w:ascii="Arial" w:cs="Arial" w:eastAsia="Arial" w:hAnsi="Arial"/>
          <w:sz w:val="13"/>
          <w:szCs w:val="13"/>
          <w:i w:val="1"/>
          <w:iCs w:val="1"/>
          <w:color w:val="auto"/>
        </w:rPr>
        <w:t xml:space="preserve"> </w:t>
      </w:r>
      <w:r>
        <w:rPr>
          <w:rFonts w:ascii="Arial" w:cs="Arial" w:eastAsia="Arial" w:hAnsi="Arial"/>
          <w:sz w:val="13"/>
          <w:szCs w:val="13"/>
          <w:color w:val="auto"/>
        </w:rPr>
        <w:t>Yellow Page content and advertising delivery, as well as advanced search capabilities across multiple channels.</w:t>
      </w:r>
    </w:p>
    <w:p>
      <w:pPr>
        <w:spacing w:after="0" w:line="6" w:lineRule="exact"/>
        <w:rPr>
          <w:rFonts w:ascii="Arial" w:cs="Arial" w:eastAsia="Arial" w:hAnsi="Arial"/>
          <w:sz w:val="13"/>
          <w:szCs w:val="13"/>
          <w:color w:val="auto"/>
        </w:rPr>
      </w:pPr>
    </w:p>
    <w:p>
      <w:pPr>
        <w:ind w:left="1300" w:right="44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Advertiser Engagement: </w:t>
      </w:r>
      <w:r>
        <w:rPr>
          <w:rFonts w:ascii="Arial" w:cs="Arial" w:eastAsia="Arial" w:hAnsi="Arial"/>
          <w:sz w:val="13"/>
          <w:szCs w:val="13"/>
          <w:color w:val="auto"/>
        </w:rPr>
        <w:t>Offerings that support any combination of traditional printed Yellow Pages and new interactive advertising products across multiple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channels, managing the complete lifecycle of advertisers and advertising products.</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Technology</w:t>
      </w:r>
    </w:p>
    <w:p>
      <w:pPr>
        <w:spacing w:after="0" w:line="7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Our portfolio architecture is designed to increase our customers’ business agility and lower their overall total cost of ownership. Our technology platform allows our applications to work in multiple customer environments, including:</w:t>
      </w:r>
    </w:p>
    <w:p>
      <w:pPr>
        <w:spacing w:after="0" w:line="17" w:lineRule="exact"/>
        <w:rPr>
          <w:sz w:val="20"/>
          <w:szCs w:val="20"/>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Hardware: </w:t>
      </w:r>
      <w:r>
        <w:rPr>
          <w:rFonts w:ascii="Arial" w:cs="Arial" w:eastAsia="Arial" w:hAnsi="Arial"/>
          <w:sz w:val="13"/>
          <w:szCs w:val="13"/>
          <w:color w:val="auto"/>
        </w:rPr>
        <w:t>IBM, Hewlett-Packard, Sun Microsystems</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Operating Systems: </w:t>
      </w:r>
      <w:r>
        <w:rPr>
          <w:rFonts w:ascii="Arial" w:cs="Arial" w:eastAsia="Arial" w:hAnsi="Arial"/>
          <w:sz w:val="13"/>
          <w:szCs w:val="13"/>
          <w:color w:val="auto"/>
        </w:rPr>
        <w:t>IBM AIX, HP-UX, Solaris, Windows</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Database Management Systems: </w:t>
      </w:r>
      <w:r>
        <w:rPr>
          <w:rFonts w:ascii="Arial" w:cs="Arial" w:eastAsia="Arial" w:hAnsi="Arial"/>
          <w:sz w:val="13"/>
          <w:szCs w:val="13"/>
          <w:color w:val="auto"/>
        </w:rPr>
        <w:t>Oracle, SQL Server, IBM UDB</w:t>
      </w:r>
    </w:p>
    <w:p>
      <w:pPr>
        <w:spacing w:after="0" w:line="6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Middleware: </w:t>
      </w:r>
      <w:r>
        <w:rPr>
          <w:rFonts w:ascii="Arial" w:cs="Arial" w:eastAsia="Arial" w:hAnsi="Arial"/>
          <w:sz w:val="13"/>
          <w:szCs w:val="13"/>
          <w:color w:val="auto"/>
        </w:rPr>
        <w:t>BEA WebLogic, IBM WebSphere</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believe our technology platform’s flexibility affords our customers the freedom to choose a preferred operating environment and to maximize return on existing infrastructure investments. To help service providers respond more quickly to changes in their markets and lower their integration costs, we employ service-oriented architecture principles in our portfolio design. For example, Amdocs Integration Framework includes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540"/>
        <w:spacing w:after="0" w:line="294" w:lineRule="auto"/>
        <w:rPr>
          <w:sz w:val="20"/>
          <w:szCs w:val="20"/>
          <w:color w:val="auto"/>
        </w:rPr>
      </w:pPr>
      <w:r>
        <w:rPr>
          <w:rFonts w:ascii="Arial" w:cs="Arial" w:eastAsia="Arial" w:hAnsi="Arial"/>
          <w:sz w:val="13"/>
          <w:szCs w:val="13"/>
          <w:color w:val="auto"/>
        </w:rPr>
        <w:t>a central service repository for defining business services for both Amdocs and external applications, allowing our applications to integrate with each other and with third party enterprise server bus or legacy applications.</w:t>
      </w:r>
    </w:p>
    <w:p>
      <w:pPr>
        <w:spacing w:after="0" w:line="47"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Our portfolio applications are based around consistent architectural guidelines and software infrastructure and they also leverage, where appropriate, consistent foundation tools and services for areas such as integration, process management, monitoring and control, security and information management. Our platform-agnostic foundation layer spans our applications and helps us evolve our products towards robust service-oriented architecture integration and business process support. With these tools, we aim to provide our customers a sound framework upon which to implement, integrate and centralize their operating environments. This allows service providers to mitigate many costs associated with deploying and operating new applications, such as those related to installation, configuration, integration and monitoring.</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 portfolio also includes the following key characteristics:</w:t>
      </w:r>
    </w:p>
    <w:p>
      <w:pPr>
        <w:spacing w:after="0" w:line="102" w:lineRule="exact"/>
        <w:rPr>
          <w:sz w:val="20"/>
          <w:szCs w:val="20"/>
          <w:color w:val="auto"/>
        </w:rPr>
      </w:pPr>
    </w:p>
    <w:p>
      <w:pPr>
        <w:ind w:left="1300" w:right="420" w:hanging="208"/>
        <w:spacing w:after="0" w:line="276" w:lineRule="auto"/>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Scalability. </w:t>
      </w:r>
      <w:r>
        <w:rPr>
          <w:rFonts w:ascii="Arial" w:cs="Arial" w:eastAsia="Arial" w:hAnsi="Arial"/>
          <w:sz w:val="13"/>
          <w:szCs w:val="13"/>
          <w:color w:val="auto"/>
        </w:rPr>
        <w:t>Our applications are designed to take full advantage of the scalability capabilities of the underlying platform, allowing progressive system expansion,</w:t>
      </w:r>
      <w:r>
        <w:rPr>
          <w:rFonts w:ascii="Arial" w:cs="Arial" w:eastAsia="Arial" w:hAnsi="Arial"/>
          <w:sz w:val="13"/>
          <w:szCs w:val="13"/>
          <w:i w:val="1"/>
          <w:iCs w:val="1"/>
          <w:color w:val="auto"/>
        </w:rPr>
        <w:t xml:space="preserve"> </w:t>
      </w:r>
      <w:r>
        <w:rPr>
          <w:rFonts w:ascii="Arial" w:cs="Arial" w:eastAsia="Arial" w:hAnsi="Arial"/>
          <w:sz w:val="13"/>
          <w:szCs w:val="13"/>
          <w:color w:val="auto"/>
        </w:rPr>
        <w:t>proportional with the customer’s growth in business volumes. Using the same software, our applications can support operations for small, as well as very large service providers.</w:t>
      </w:r>
    </w:p>
    <w:p>
      <w:pPr>
        <w:spacing w:after="0" w:line="48" w:lineRule="exact"/>
        <w:rPr>
          <w:rFonts w:ascii="Arial" w:cs="Arial" w:eastAsia="Arial" w:hAnsi="Arial"/>
          <w:sz w:val="13"/>
          <w:szCs w:val="13"/>
          <w:color w:val="auto"/>
        </w:rPr>
      </w:pPr>
    </w:p>
    <w:p>
      <w:pPr>
        <w:ind w:left="1300" w:hanging="208"/>
        <w:spacing w:after="0" w:line="270" w:lineRule="auto"/>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Modularity. </w:t>
      </w:r>
      <w:r>
        <w:rPr>
          <w:rFonts w:ascii="Arial" w:cs="Arial" w:eastAsia="Arial" w:hAnsi="Arial"/>
          <w:sz w:val="13"/>
          <w:szCs w:val="13"/>
          <w:color w:val="auto"/>
        </w:rPr>
        <w:t>Our product portfolio is comprised of sets of individual functional application products. Each of our applications can be installed on an individual stand-alone</w:t>
      </w:r>
      <w:r>
        <w:rPr>
          <w:rFonts w:ascii="Arial" w:cs="Arial" w:eastAsia="Arial" w:hAnsi="Arial"/>
          <w:sz w:val="13"/>
          <w:szCs w:val="13"/>
          <w:i w:val="1"/>
          <w:iCs w:val="1"/>
          <w:color w:val="auto"/>
        </w:rPr>
        <w:t xml:space="preserve"> </w:t>
      </w:r>
      <w:r>
        <w:rPr>
          <w:rFonts w:ascii="Arial" w:cs="Arial" w:eastAsia="Arial" w:hAnsi="Arial"/>
          <w:sz w:val="13"/>
          <w:szCs w:val="13"/>
          <w:color w:val="auto"/>
        </w:rPr>
        <w:t>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also preserves the customer’s initial investment in products, while minimizing future disruptions and the overall cost of system implementation.</w:t>
      </w:r>
    </w:p>
    <w:p>
      <w:pPr>
        <w:spacing w:after="0" w:line="52" w:lineRule="exact"/>
        <w:rPr>
          <w:rFonts w:ascii="Arial" w:cs="Arial" w:eastAsia="Arial" w:hAnsi="Arial"/>
          <w:sz w:val="13"/>
          <w:szCs w:val="13"/>
          <w:color w:val="auto"/>
        </w:rPr>
      </w:pPr>
    </w:p>
    <w:p>
      <w:pPr>
        <w:ind w:left="1300" w:right="60" w:hanging="208"/>
        <w:spacing w:after="0" w:line="276" w:lineRule="auto"/>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Portability. </w:t>
      </w:r>
      <w:r>
        <w:rPr>
          <w:rFonts w:ascii="Arial" w:cs="Arial" w:eastAsia="Arial" w:hAnsi="Arial"/>
          <w:sz w:val="13"/>
          <w:szCs w:val="13"/>
          <w:color w:val="auto"/>
        </w:rPr>
        <w:t>Our applications support diverse hardware and operating systems to ensure that our customers can choose from a variety of vendors, including Hewlett-Packard,</w:t>
      </w:r>
      <w:r>
        <w:rPr>
          <w:rFonts w:ascii="Arial" w:cs="Arial" w:eastAsia="Arial" w:hAnsi="Arial"/>
          <w:sz w:val="13"/>
          <w:szCs w:val="13"/>
          <w:i w:val="1"/>
          <w:iCs w:val="1"/>
          <w:color w:val="auto"/>
        </w:rPr>
        <w:t xml:space="preserve"> </w:t>
      </w:r>
      <w:r>
        <w:rPr>
          <w:rFonts w:ascii="Arial" w:cs="Arial" w:eastAsia="Arial" w:hAnsi="Arial"/>
          <w:sz w:val="13"/>
          <w:szCs w:val="13"/>
          <w:color w:val="auto"/>
        </w:rPr>
        <w:t>IBM and Sun Microsystems. Certain applications can also be deployed on the Windows NT platform. Our applications utilize, where applicable, Java-based design and programming to augment cross-platform portability.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Services</w:t>
      </w:r>
    </w:p>
    <w:p>
      <w:pPr>
        <w:spacing w:after="0" w:line="102" w:lineRule="exact"/>
        <w:rPr>
          <w:sz w:val="20"/>
          <w:szCs w:val="20"/>
          <w:color w:val="auto"/>
        </w:rPr>
      </w:pPr>
    </w:p>
    <w:p>
      <w:pPr>
        <w:ind w:left="680" w:right="120" w:firstLine="399"/>
        <w:spacing w:after="0" w:line="292" w:lineRule="auto"/>
        <w:rPr>
          <w:sz w:val="20"/>
          <w:szCs w:val="20"/>
          <w:color w:val="auto"/>
        </w:rPr>
      </w:pPr>
      <w:r>
        <w:rPr>
          <w:rFonts w:ascii="Arial" w:cs="Arial" w:eastAsia="Arial" w:hAnsi="Arial"/>
          <w:sz w:val="12"/>
          <w:szCs w:val="12"/>
          <w:color w:val="auto"/>
        </w:rPr>
        <w:t>As part of our effort to provide comprehensive offerings, we offer a broad suite of services. Because our customers’ projects are complex and require systems support expertise, we provide information technology, or IT, services, including extensive consulting, product and managed services to assist our customers with their business strategy, system implementation, integration, modification, consolidation, modernization and ongoing support, enhancement and maintenance services. In addition, we offer comprehensive training services to help our customers develop competency in their Amdocs systems and applications. Our services methodology incorporates rigorous focus on the people, processes and technology of an organization, and we invite active customer participation at all stages to help prioritize and implement time-critical system solutions that address the customer’s individual needs. We believe that our services methodology helps us to achieve the timeframe, budget and quality objectives we jointly set with our customers.</w:t>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services portfolio includes:</w:t>
      </w:r>
    </w:p>
    <w:p>
      <w:pPr>
        <w:spacing w:after="0" w:line="102" w:lineRule="exact"/>
        <w:rPr>
          <w:sz w:val="20"/>
          <w:szCs w:val="20"/>
          <w:color w:val="auto"/>
        </w:rPr>
      </w:pPr>
    </w:p>
    <w:p>
      <w:pPr>
        <w:ind w:left="1300" w:right="60" w:hanging="208"/>
        <w:spacing w:after="0" w:line="270"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Consulting and Technology Services </w:t>
      </w:r>
      <w:r>
        <w:rPr>
          <w:rFonts w:ascii="Arial" w:cs="Arial" w:eastAsia="Arial" w:hAnsi="Arial"/>
          <w:sz w:val="13"/>
          <w:szCs w:val="13"/>
          <w:color w:val="auto"/>
        </w:rPr>
        <w:t>— These services span assessment and advisory services designed to help our customers to achieve optimal results from their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transformation projects, drive additional revenue streams and control their operating costs. We have developed advanced methodologies, industry best-practices and pre-configured tools to deliver a cohesive implementation plan, including business and enterprise architecture, functional solution architecture, change management and business benefit realization.</w:t>
      </w:r>
    </w:p>
    <w:p>
      <w:pPr>
        <w:spacing w:after="0" w:line="52" w:lineRule="exact"/>
        <w:rPr>
          <w:rFonts w:ascii="Arial" w:cs="Arial" w:eastAsia="Arial" w:hAnsi="Arial"/>
          <w:sz w:val="13"/>
          <w:szCs w:val="13"/>
          <w:color w:val="auto"/>
        </w:rPr>
      </w:pPr>
    </w:p>
    <w:p>
      <w:pPr>
        <w:ind w:left="1300" w:right="180" w:hanging="208"/>
        <w:spacing w:after="0" w:line="29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Managed Services </w:t>
      </w:r>
      <w:r>
        <w:rPr>
          <w:rFonts w:ascii="Arial" w:cs="Arial" w:eastAsia="Arial" w:hAnsi="Arial"/>
          <w:sz w:val="13"/>
          <w:szCs w:val="13"/>
          <w:color w:val="auto"/>
        </w:rPr>
        <w:t>— This set of flexible strategic sourcing services is uniquely tailored for the service provider industry to outsource the performance and management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their support business functions,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right="40"/>
        <w:spacing w:after="0" w:line="276" w:lineRule="auto"/>
        <w:rPr>
          <w:sz w:val="20"/>
          <w:szCs w:val="20"/>
          <w:color w:val="auto"/>
        </w:rPr>
      </w:pPr>
      <w:r>
        <w:rPr>
          <w:rFonts w:ascii="Arial" w:cs="Arial" w:eastAsia="Arial" w:hAnsi="Arial"/>
          <w:sz w:val="13"/>
          <w:szCs w:val="13"/>
          <w:color w:val="auto"/>
        </w:rPr>
        <w:t>operations and infrastructure support across all environments, whether Amdocs systems or other implementations. Our services for managed services projects include IT and infrastructure management, application management and ongoing support, systems modernization and consolidation, business process operations support, end-to-end transformational business process outsourcing (BPO) and delivery.</w:t>
      </w:r>
    </w:p>
    <w:p>
      <w:pPr>
        <w:spacing w:after="0" w:line="59" w:lineRule="exact"/>
        <w:rPr>
          <w:sz w:val="20"/>
          <w:szCs w:val="20"/>
          <w:color w:val="auto"/>
        </w:rPr>
      </w:pPr>
    </w:p>
    <w:p>
      <w:pPr>
        <w:ind w:left="1300" w:right="200" w:hanging="208"/>
        <w:spacing w:after="0" w:line="294"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Product Services </w:t>
      </w:r>
      <w:r>
        <w:rPr>
          <w:rFonts w:ascii="Arial" w:cs="Arial" w:eastAsia="Arial" w:hAnsi="Arial"/>
          <w:sz w:val="13"/>
          <w:szCs w:val="13"/>
          <w:color w:val="auto"/>
        </w:rPr>
        <w:t>— Professional support and maintenance services designed to help our customers solve key challenges and to maximize their investment in our products</w:t>
      </w:r>
      <w:r>
        <w:rPr>
          <w:rFonts w:ascii="Arial" w:cs="Arial" w:eastAsia="Arial" w:hAnsi="Arial"/>
          <w:sz w:val="13"/>
          <w:szCs w:val="13"/>
          <w:i w:val="1"/>
          <w:iCs w:val="1"/>
          <w:color w:val="auto"/>
        </w:rPr>
        <w:t xml:space="preserve"> </w:t>
      </w:r>
      <w:r>
        <w:rPr>
          <w:rFonts w:ascii="Arial" w:cs="Arial" w:eastAsia="Arial" w:hAnsi="Arial"/>
          <w:sz w:val="13"/>
          <w:szCs w:val="13"/>
          <w:color w:val="auto"/>
        </w:rPr>
        <w:t>throughout the entire product life cycle.</w:t>
      </w:r>
    </w:p>
    <w:p>
      <w:pPr>
        <w:spacing w:after="0" w:line="47"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The extent of services provided varies from customer to customer. Our services engagements can range in size and scope from deploying single point solutions to orchestrating large-scale transformation projects. We have invested considerable research and development efforts in upgrading our applications suite to address this market requirement and to meet each customer’s unique needs.</w:t>
      </w:r>
    </w:p>
    <w:p>
      <w:pPr>
        <w:spacing w:after="0" w:line="59"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Depending on the customer’s needs, system implementation and integration activities often are conducted jointly by teams from Amdocs and the customer in parallel with the customization effort. Implementation and integration activities include project management, development of training methods and procedures, design of work flows, hardware planning and installation, network and system design and installation, system conversion and documentation. In some cases, Amdocs personnel provide support services to the customer’s own implementation and integration team, which has primary responsibility for the task. In other cases, we take a primary role in facilitating implementation and integration. In yet other instances, customers require turnkey solutions, in which case we are able to provide full system implementation and integration services.</w:t>
      </w:r>
    </w:p>
    <w:p>
      <w:pPr>
        <w:spacing w:after="0" w:line="49" w:lineRule="exact"/>
        <w:rPr>
          <w:sz w:val="20"/>
          <w:szCs w:val="20"/>
          <w:color w:val="auto"/>
        </w:rPr>
      </w:pPr>
    </w:p>
    <w:p>
      <w:pPr>
        <w:jc w:val="both"/>
        <w:ind w:left="680" w:right="140" w:firstLine="399"/>
        <w:spacing w:after="0" w:line="270" w:lineRule="auto"/>
        <w:rPr>
          <w:sz w:val="20"/>
          <w:szCs w:val="20"/>
          <w:color w:val="auto"/>
        </w:rPr>
      </w:pPr>
      <w:r>
        <w:rPr>
          <w:rFonts w:ascii="Arial" w:cs="Arial" w:eastAsia="Arial" w:hAnsi="Arial"/>
          <w:sz w:val="13"/>
          <w:szCs w:val="13"/>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system has been followed by the sale of additional systems and modules. In recent years, we have established long-term maintenance and support contracts with a number of our customers. These contracts have generally involved an expansion in the scope of support provided, while also providing us with recurring revenue.</w:t>
      </w:r>
    </w:p>
    <w:p>
      <w:pPr>
        <w:spacing w:after="0" w:line="63"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Our business is conducted on a global basis. We maintain development and support facilities worldwide, including Brazil, China, Cyprus, India, Ireland, Israel and the United States, and have operations in North America, Europe, Israel, Latin America and the Asia-Pacific region.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102"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Our sales and marketing activities are primarily directed at major communications, media and entertainment companies. As a result of the strategic importance of our customer experience systems to the operations of these companies,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the United Kingdom and several other countries.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sales activities are supported by marketing efforts and increasing cooperation with strategic partners. We reorganized our marketing organization in fiscal 2009 to better align it with our sales functions and to provide an increased focus on emerging markets. Our marketing activities also continue to support projects with partner companies, such as IBM, Alcatel-Lucent, Hewlett-Packard and others.</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Customers</w:t>
      </w:r>
    </w:p>
    <w:p>
      <w:pPr>
        <w:spacing w:after="0" w:line="10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Our target market is comprised of service providers in the communication, media and entertainment industry that require customer experience systems with advanced functionality and technology. The companies in our target segment are typically market leaders. By working with such companies, we help ensure that we remain at the forefront of developments in the communication, media and entertainment industry and that our product offerings continue to address the market’s most sophisticated needs. We have an international orientation. The broad base of our customers is in North America and Europe, however, with our expansion in emerging markets, we also have customers in geographies as diverse as China, the Commonwealth of Independent States, India, Latin America and Southeast Asia.</w:t>
      </w:r>
    </w:p>
    <w:p>
      <w:pPr>
        <w:spacing w:after="0" w:line="65"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Our customers include global communications leaders and leading network operators and service providers, as well as directory publishers in the United States and around the world. Our customers include:</w:t>
      </w:r>
    </w:p>
    <w:p>
      <w:pPr>
        <w:sectPr>
          <w:pgSz w:w="11900" w:h="16838" w:orient="portrait"/>
          <w:cols w:equalWidth="0" w:num="1">
            <w:col w:w="10660"/>
          </w:cols>
          <w:pgMar w:left="220" w:top="349" w:right="1019" w:bottom="1440" w:gutter="0" w:footer="0" w:header="0"/>
        </w:sectPr>
      </w:pP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America Movil</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AT&amp;T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Bakcell</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Bell Canada</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Cablevision</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China Mobile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Clearwire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Comcast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Deutsche Telekom</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DIRECTV</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Elisa</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Excelcom</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Instituto Costarricense de Electricidad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J:COM</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Kazakhtelecom</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KPN Mobile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MetroPCS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RH Donnelley</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Rogers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Sprint Nextel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Svyazinvest</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Telefonica de Espana/Germany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Telkom South Africa</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Telstra</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TELUS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T-Mobile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Verizon Communications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VimpelCom</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Virgin Media</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Vodafone D2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Vodafone Netherlands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Vodafone UK</w:t>
      </w:r>
    </w:p>
    <w:p>
      <w:pPr>
        <w:spacing w:after="0" w:line="253" w:lineRule="exact"/>
        <w:rPr>
          <w:sz w:val="20"/>
          <w:szCs w:val="20"/>
          <w:color w:val="auto"/>
        </w:rPr>
      </w:pPr>
    </w:p>
    <w:p>
      <w:pPr>
        <w:sectPr>
          <w:pgSz w:w="11900" w:h="16838" w:orient="portrait"/>
          <w:cols w:equalWidth="0" w:num="2">
            <w:col w:w="5160" w:space="720"/>
            <w:col w:w="4780"/>
          </w:cols>
          <w:pgMar w:left="220" w:top="349" w:right="1019" w:bottom="1440" w:gutter="0" w:footer="0" w:header="0"/>
          <w:type w:val="continuous"/>
        </w:sectPr>
      </w:pPr>
    </w:p>
    <w:p>
      <w:pPr>
        <w:ind w:left="680" w:right="160" w:firstLine="399"/>
        <w:spacing w:after="0" w:line="270" w:lineRule="auto"/>
        <w:rPr>
          <w:sz w:val="20"/>
          <w:szCs w:val="20"/>
          <w:color w:val="auto"/>
        </w:rPr>
      </w:pPr>
      <w:r>
        <w:rPr>
          <w:rFonts w:ascii="Arial" w:cs="Arial" w:eastAsia="Arial" w:hAnsi="Arial"/>
          <w:sz w:val="13"/>
          <w:szCs w:val="13"/>
          <w:color w:val="auto"/>
        </w:rPr>
        <w:t>Our business is dependent on a limited number of significant customers, of which AT&amp;T was our largest in fiscal 2009, accounting for 33% of fiscal 2009 revenue. In fiscal 2009, our two next largest customers were Bell Canada and Sprint Nextel, and certain of their subsidiaries, each of which accounted for approximately 10% of our revenue in fiscal 2009. Aggregate revenue derived from the multiple business arrangements we have with our ten largest customers accounted for approximately 76% of our revenue in fiscal 2009 and 75% of our revenue in fiscal 2008.</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revenue by geographic area. Revenue is attributed to geographic region based on the location of the customer:</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060" w:type="dxa"/>
            <w:vAlign w:val="bottom"/>
          </w:tcPr>
          <w:p>
            <w:pPr>
              <w:spacing w:after="0"/>
              <w:rPr>
                <w:sz w:val="11"/>
                <w:szCs w:val="11"/>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2009</w:t>
            </w:r>
          </w:p>
        </w:tc>
        <w:tc>
          <w:tcPr>
            <w:tcW w:w="280" w:type="dxa"/>
            <w:vAlign w:val="bottom"/>
          </w:tcPr>
          <w:p>
            <w:pPr>
              <w:spacing w:after="0"/>
              <w:rPr>
                <w:sz w:val="11"/>
                <w:szCs w:val="11"/>
                <w:color w:val="auto"/>
              </w:rPr>
            </w:pPr>
          </w:p>
        </w:tc>
        <w:tc>
          <w:tcPr>
            <w:tcW w:w="4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2008</w:t>
            </w:r>
          </w:p>
        </w:tc>
        <w:tc>
          <w:tcPr>
            <w:tcW w:w="280" w:type="dxa"/>
            <w:vAlign w:val="bottom"/>
          </w:tcPr>
          <w:p>
            <w:pPr>
              <w:spacing w:after="0"/>
              <w:rPr>
                <w:sz w:val="11"/>
                <w:szCs w:val="11"/>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2007</w:t>
            </w:r>
          </w:p>
        </w:tc>
      </w:tr>
      <w:tr>
        <w:trPr>
          <w:trHeight w:val="181"/>
        </w:trPr>
        <w:tc>
          <w:tcPr>
            <w:tcW w:w="8060" w:type="dxa"/>
            <w:vAlign w:val="bottom"/>
          </w:tcPr>
          <w:p>
            <w:pPr>
              <w:spacing w:after="0"/>
              <w:rPr>
                <w:sz w:val="20"/>
                <w:szCs w:val="20"/>
                <w:color w:val="auto"/>
              </w:rPr>
            </w:pPr>
            <w:r>
              <w:rPr>
                <w:rFonts w:ascii="Arial" w:cs="Arial" w:eastAsia="Arial" w:hAnsi="Arial"/>
                <w:sz w:val="13"/>
                <w:szCs w:val="13"/>
                <w:color w:val="auto"/>
              </w:rPr>
              <w:t>North America</w:t>
            </w:r>
          </w:p>
        </w:tc>
        <w:tc>
          <w:tcPr>
            <w:tcW w:w="460" w:type="dxa"/>
            <w:vAlign w:val="bottom"/>
          </w:tcPr>
          <w:p>
            <w:pPr>
              <w:jc w:val="right"/>
              <w:spacing w:after="0"/>
              <w:rPr>
                <w:sz w:val="20"/>
                <w:szCs w:val="20"/>
                <w:color w:val="auto"/>
              </w:rPr>
            </w:pPr>
            <w:r>
              <w:rPr>
                <w:rFonts w:ascii="Arial" w:cs="Arial" w:eastAsia="Arial" w:hAnsi="Arial"/>
                <w:sz w:val="13"/>
                <w:szCs w:val="13"/>
                <w:color w:val="auto"/>
              </w:rPr>
              <w:t>75.3%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68.7%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66.6%</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Europe</w:t>
            </w: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13.8</w:t>
            </w:r>
          </w:p>
        </w:tc>
        <w:tc>
          <w:tcPr>
            <w:tcW w:w="720" w:type="dxa"/>
            <w:vAlign w:val="bottom"/>
            <w:gridSpan w:val="2"/>
          </w:tcPr>
          <w:p>
            <w:pPr>
              <w:jc w:val="right"/>
              <w:ind w:right="66"/>
              <w:spacing w:after="0"/>
              <w:rPr>
                <w:sz w:val="20"/>
                <w:szCs w:val="20"/>
                <w:color w:val="auto"/>
              </w:rPr>
            </w:pPr>
            <w:r>
              <w:rPr>
                <w:rFonts w:ascii="Arial" w:cs="Arial" w:eastAsia="Arial" w:hAnsi="Arial"/>
                <w:sz w:val="13"/>
                <w:szCs w:val="13"/>
                <w:color w:val="auto"/>
              </w:rPr>
              <w:t>17.3</w:t>
            </w:r>
          </w:p>
        </w:tc>
        <w:tc>
          <w:tcPr>
            <w:tcW w:w="740" w:type="dxa"/>
            <w:vAlign w:val="bottom"/>
            <w:gridSpan w:val="2"/>
          </w:tcPr>
          <w:p>
            <w:pPr>
              <w:jc w:val="right"/>
              <w:ind w:right="66"/>
              <w:spacing w:after="0"/>
              <w:rPr>
                <w:sz w:val="20"/>
                <w:szCs w:val="20"/>
                <w:color w:val="auto"/>
              </w:rPr>
            </w:pPr>
            <w:r>
              <w:rPr>
                <w:rFonts w:ascii="Arial" w:cs="Arial" w:eastAsia="Arial" w:hAnsi="Arial"/>
                <w:sz w:val="13"/>
                <w:szCs w:val="13"/>
                <w:color w:val="auto"/>
              </w:rPr>
              <w:t>21.5</w:t>
            </w:r>
          </w:p>
        </w:tc>
      </w:tr>
      <w:tr>
        <w:trPr>
          <w:trHeight w:val="172"/>
        </w:trPr>
        <w:tc>
          <w:tcPr>
            <w:tcW w:w="8060" w:type="dxa"/>
            <w:vAlign w:val="bottom"/>
          </w:tcPr>
          <w:p>
            <w:pPr>
              <w:spacing w:after="0"/>
              <w:rPr>
                <w:sz w:val="20"/>
                <w:szCs w:val="20"/>
                <w:color w:val="auto"/>
              </w:rPr>
            </w:pPr>
            <w:r>
              <w:rPr>
                <w:rFonts w:ascii="Arial" w:cs="Arial" w:eastAsia="Arial" w:hAnsi="Arial"/>
                <w:sz w:val="13"/>
                <w:szCs w:val="13"/>
                <w:color w:val="auto"/>
              </w:rPr>
              <w:t>Rest of the World</w:t>
            </w: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10.9</w:t>
            </w:r>
          </w:p>
        </w:tc>
        <w:tc>
          <w:tcPr>
            <w:tcW w:w="720" w:type="dxa"/>
            <w:vAlign w:val="bottom"/>
            <w:gridSpan w:val="2"/>
          </w:tcPr>
          <w:p>
            <w:pPr>
              <w:jc w:val="right"/>
              <w:ind w:right="66"/>
              <w:spacing w:after="0"/>
              <w:rPr>
                <w:sz w:val="20"/>
                <w:szCs w:val="20"/>
                <w:color w:val="auto"/>
              </w:rPr>
            </w:pPr>
            <w:r>
              <w:rPr>
                <w:rFonts w:ascii="Arial" w:cs="Arial" w:eastAsia="Arial" w:hAnsi="Arial"/>
                <w:sz w:val="13"/>
                <w:szCs w:val="13"/>
                <w:color w:val="auto"/>
              </w:rPr>
              <w:t>14.0</w:t>
            </w:r>
          </w:p>
        </w:tc>
        <w:tc>
          <w:tcPr>
            <w:tcW w:w="740" w:type="dxa"/>
            <w:vAlign w:val="bottom"/>
            <w:gridSpan w:val="2"/>
          </w:tcPr>
          <w:p>
            <w:pPr>
              <w:jc w:val="right"/>
              <w:ind w:right="66"/>
              <w:spacing w:after="0"/>
              <w:rPr>
                <w:sz w:val="20"/>
                <w:szCs w:val="20"/>
                <w:color w:val="auto"/>
              </w:rPr>
            </w:pPr>
            <w:r>
              <w:rPr>
                <w:rFonts w:ascii="Arial" w:cs="Arial" w:eastAsia="Arial" w:hAnsi="Arial"/>
                <w:sz w:val="13"/>
                <w:szCs w:val="13"/>
                <w:color w:val="auto"/>
              </w:rPr>
              <w:t>11.9</w:t>
            </w: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w:t>
      </w:r>
    </w:p>
    <w:p>
      <w:pPr>
        <w:spacing w:after="0" w:line="10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market for customer experience systems and services in the communication, media and entertainment industry continues to become increasingly more competitive. Amdocs’ competitive landscape is comprised of</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type w:val="continuous"/>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internal IT departments of large communication companies as well as independent competitors that can be categorized as follows:</w:t>
      </w:r>
    </w:p>
    <w:p>
      <w:pPr>
        <w:spacing w:after="0" w:line="102" w:lineRule="exact"/>
        <w:rPr>
          <w:sz w:val="20"/>
          <w:szCs w:val="20"/>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providers of OSS/BSS systems, including Comverse, Convergys, CSG Systems International, NetCracker, Oracle Corporation and Telecordia;</w:t>
      </w:r>
    </w:p>
    <w:p>
      <w:pPr>
        <w:spacing w:after="0" w:line="92" w:lineRule="exact"/>
        <w:rPr>
          <w:rFonts w:ascii="Arial" w:cs="Arial" w:eastAsia="Arial" w:hAnsi="Arial"/>
          <w:sz w:val="13"/>
          <w:szCs w:val="13"/>
          <w:color w:val="auto"/>
        </w:rPr>
      </w:pPr>
    </w:p>
    <w:p>
      <w:pPr>
        <w:ind w:left="1300" w:right="140" w:hanging="208"/>
        <w:spacing w:after="0" w:line="294"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system integrators and providers of IT services, such as Accenture, Cognizant, Hewlett-Packard, IBM Global Services, Infosys, Tata Consultancy Services, Tech Mahindra Ltd and Wipro (some of whom we also cooperate with in certain opportunities and projects); and</w:t>
      </w:r>
    </w:p>
    <w:p>
      <w:pPr>
        <w:spacing w:after="0" w:line="36" w:lineRule="exact"/>
        <w:rPr>
          <w:rFonts w:ascii="Arial" w:cs="Arial" w:eastAsia="Arial" w:hAnsi="Arial"/>
          <w:sz w:val="13"/>
          <w:szCs w:val="13"/>
          <w:color w:val="auto"/>
        </w:rPr>
      </w:pPr>
    </w:p>
    <w:p>
      <w:pPr>
        <w:ind w:left="1080" w:right="200" w:firstLine="12"/>
        <w:spacing w:after="0" w:line="404" w:lineRule="auto"/>
        <w:tabs>
          <w:tab w:leader="none" w:pos="1286"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network equipment providers such as Alcatel-Lucent, Ericsson, Huawei and Nokia Siemens (some of whom we also cooperate with in certain opportunities and projects). We expect the competition in our industry to increase from such companies.</w:t>
      </w:r>
    </w:p>
    <w:p>
      <w:pPr>
        <w:ind w:left="1080"/>
        <w:spacing w:after="0"/>
        <w:rPr>
          <w:rFonts w:ascii="Arial" w:cs="Arial" w:eastAsia="Arial" w:hAnsi="Arial"/>
          <w:sz w:val="13"/>
          <w:szCs w:val="13"/>
          <w:color w:val="auto"/>
        </w:rPr>
      </w:pPr>
      <w:r>
        <w:rPr>
          <w:rFonts w:ascii="Arial" w:cs="Arial" w:eastAsia="Arial" w:hAnsi="Arial"/>
          <w:sz w:val="13"/>
          <w:szCs w:val="13"/>
          <w:color w:val="auto"/>
        </w:rPr>
        <w:t>We believe that we are able to differentiate ourselves from these competitors by, among other things:</w:t>
      </w:r>
    </w:p>
    <w:p>
      <w:pPr>
        <w:spacing w:after="0" w:line="102" w:lineRule="exact"/>
        <w:rPr>
          <w:rFonts w:ascii="Arial" w:cs="Arial" w:eastAsia="Arial" w:hAnsi="Arial"/>
          <w:sz w:val="13"/>
          <w:szCs w:val="13"/>
          <w:color w:val="auto"/>
        </w:rPr>
      </w:pPr>
    </w:p>
    <w:p>
      <w:pPr>
        <w:ind w:left="1300" w:right="300" w:hanging="208"/>
        <w:spacing w:after="0" w:line="294"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applying our 25-plus-year heritage to the development and delivery of products and professional services that enable our customers to achieve service differentiation by means of an intentional customer experience,</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focusing on communications service providers and continuing to design and develop solutions targeted specifically to this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innovating and enabling our customers to adopt new business models that will improve their ability to drive new revenues, and compete and win in a changing market,</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providing high-quality, reliable, scalable, integrated, yet modular applications,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offering customers end-to-end accountability from a single vendor.</w:t>
      </w:r>
    </w:p>
    <w:p>
      <w:pPr>
        <w:spacing w:after="0" w:line="102"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We compete with a number of companies that have long operating histories, large customer bases, substantial financial, technical, sales, marketing and other resources, and strong name recognition. Some of these companies are continuing their attempts to expand their communications industry market penetration. Current and potential competitors have established, and may establish in the future, cooperative relationships among themselves or with third parties to increase their ability to address the needs of our existing or prospective customers. Accordingly, new competitors or alliances among competitors may emerge and rapidly acquire significant market share. There can be no assurance that we will be able to compete successfully with existing or new competitors. Our failure to adapt to changing market conditions and compete successfully with established or new competitors would have a material adverse effect on our results of operations and financial condition.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Employees</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invest significant resources in training, retention and motivation of high quality personnel. Training programs cover areas such as technology, applications, development methodology, project methodology, programming standards, industry background, business aspects,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 and outstanding leaders.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“Directors, Senior Management and Employees — Employees” for further details regarding our employees and our relationships with them.</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Patents and Licenses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Our research and development activities involve the development of new software architecture, modules and product offerings in response to an identified market demand, either as part of our internal product</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20"/>
        <w:spacing w:after="0" w:line="294" w:lineRule="auto"/>
        <w:rPr>
          <w:sz w:val="20"/>
          <w:szCs w:val="20"/>
          <w:color w:val="auto"/>
        </w:rPr>
      </w:pPr>
      <w:r>
        <w:rPr>
          <w:rFonts w:ascii="Arial" w:cs="Arial" w:eastAsia="Arial" w:hAnsi="Arial"/>
          <w:sz w:val="13"/>
          <w:szCs w:val="13"/>
          <w:color w:val="auto"/>
        </w:rPr>
        <w:t>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47"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While we have continued to upgrade our existing systems over the last several years, we have also devoted significant research and development efforts to the integration between our products. In fiscal 2009, we invested in several additional releases of our last major release, Amdocs CES 7.5, as well as on our next major product release. Amdocs CES</w:t>
      </w:r>
    </w:p>
    <w:p>
      <w:pPr>
        <w:spacing w:after="0" w:line="1" w:lineRule="exact"/>
        <w:rPr>
          <w:sz w:val="20"/>
          <w:szCs w:val="20"/>
          <w:color w:val="auto"/>
        </w:rPr>
      </w:pPr>
    </w:p>
    <w:p>
      <w:pPr>
        <w:ind w:left="680" w:right="60"/>
        <w:spacing w:after="0" w:line="261" w:lineRule="auto"/>
        <w:rPr>
          <w:sz w:val="20"/>
          <w:szCs w:val="20"/>
          <w:color w:val="auto"/>
        </w:rPr>
      </w:pPr>
      <w:r>
        <w:rPr>
          <w:rFonts w:ascii="Arial" w:cs="Arial" w:eastAsia="Arial" w:hAnsi="Arial"/>
          <w:sz w:val="13"/>
          <w:szCs w:val="13"/>
          <w:color w:val="auto"/>
        </w:rPr>
        <w:t>7.5 expanded the capabilities of our previous Amdocs 7 release by improving subscriber management through a unified user interface, providing support for seamless service ordering across all channels, delivering real-time rating and charging across postpaid and prepaid services through turbo charging technology, and offering a single source for all product and subscriber information and comprehensive support for critical service provider business processes. Amdocs CES 7.5 comprises an enhanced portfolio of modular billing, CRM, self-service, order management, mediation, OSS and content management software products. Amdocs CES 7.5 enhanced our portfolio in various areas, including billing, self service, digital commerce and the personalization engine we acquired from ChangingWorlds. Our next major product release will address additional challenges and opportunities of the Connected World by further personalizing the mobile Internet experience, enhancing retail processes, providing more effective smart device support, enabling a personalized one-stop shopping experience and driving operational efficiencies with advanced network management capabilities.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majority of our research and development expenditures is directed at our customer experience systems, and the remainder to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59"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Our products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the discussion under “Operating and Financial Review and Prospects — Research and Development, Patents and Licenses.”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Plants and Equipment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Facilities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lease land and buildings for our executive offices, sales, marketing, administrative, development and support centers. We lease an aggregate of approximately</w:t>
      </w:r>
    </w:p>
    <w:p>
      <w:pPr>
        <w:spacing w:after="0" w:line="22" w:lineRule="exact"/>
        <w:rPr>
          <w:sz w:val="20"/>
          <w:szCs w:val="20"/>
          <w:color w:val="auto"/>
        </w:rPr>
      </w:pPr>
    </w:p>
    <w:p>
      <w:pPr>
        <w:jc w:val="both"/>
        <w:ind w:left="680" w:right="100"/>
        <w:spacing w:after="0" w:line="268" w:lineRule="auto"/>
        <w:rPr>
          <w:sz w:val="20"/>
          <w:szCs w:val="20"/>
          <w:color w:val="auto"/>
        </w:rPr>
      </w:pPr>
      <w:r>
        <w:rPr>
          <w:rFonts w:ascii="Arial" w:cs="Arial" w:eastAsia="Arial" w:hAnsi="Arial"/>
          <w:sz w:val="13"/>
          <w:szCs w:val="13"/>
          <w:color w:val="auto"/>
        </w:rPr>
        <w:t>2,843,373 square feet worldwide, including significant leases in the United States, Israel, Canada, China, Cyprus, India and the United Kingdom. Our aggregate annual lease costs with respect to our properties as of November 30, 2009, including maintenance and other related costs, were approximately $59.2 million. The following table summarizes information with respect to the principal facilities leased by us and our subsidiaries as of November 30, 2009:</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91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Location</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Area</w:t>
            </w:r>
          </w:p>
        </w:tc>
        <w:tc>
          <w:tcPr>
            <w:tcW w:w="0" w:type="dxa"/>
            <w:vAlign w:val="bottom"/>
          </w:tcPr>
          <w:p>
            <w:pPr>
              <w:spacing w:after="0"/>
              <w:rPr>
                <w:sz w:val="1"/>
                <w:szCs w:val="1"/>
                <w:color w:val="auto"/>
              </w:rPr>
            </w:pPr>
          </w:p>
        </w:tc>
      </w:tr>
      <w:tr>
        <w:trPr>
          <w:trHeight w:val="128"/>
        </w:trPr>
        <w:tc>
          <w:tcPr>
            <w:tcW w:w="9100" w:type="dxa"/>
            <w:vAlign w:val="bottom"/>
            <w:gridSpan w:val="3"/>
            <w:vMerge w:val="continue"/>
          </w:tcPr>
          <w:p>
            <w:pPr>
              <w:spacing w:after="0"/>
              <w:rPr>
                <w:sz w:val="11"/>
                <w:szCs w:val="11"/>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(Sq. Feet)</w:t>
            </w:r>
          </w:p>
        </w:tc>
        <w:tc>
          <w:tcPr>
            <w:tcW w:w="0" w:type="dxa"/>
            <w:vAlign w:val="bottom"/>
          </w:tcPr>
          <w:p>
            <w:pPr>
              <w:spacing w:after="0"/>
              <w:rPr>
                <w:sz w:val="1"/>
                <w:szCs w:val="1"/>
                <w:color w:val="auto"/>
              </w:rPr>
            </w:pPr>
          </w:p>
        </w:tc>
      </w:tr>
      <w:tr>
        <w:trPr>
          <w:trHeight w:val="30"/>
        </w:trPr>
        <w:tc>
          <w:tcPr>
            <w:tcW w:w="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United States: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gridSpan w:val="2"/>
          </w:tcPr>
          <w:p>
            <w:pPr>
              <w:ind w:left="40"/>
              <w:spacing w:after="0"/>
              <w:rPr>
                <w:sz w:val="20"/>
                <w:szCs w:val="20"/>
                <w:color w:val="auto"/>
              </w:rPr>
            </w:pPr>
            <w:r>
              <w:rPr>
                <w:rFonts w:ascii="Arial" w:cs="Arial" w:eastAsia="Arial" w:hAnsi="Arial"/>
                <w:sz w:val="13"/>
                <w:szCs w:val="13"/>
                <w:color w:val="auto"/>
              </w:rPr>
              <w:t>St. Louis, MO</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113,625</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112,120</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gridSpan w:val="2"/>
          </w:tcPr>
          <w:p>
            <w:pPr>
              <w:ind w:left="40"/>
              <w:spacing w:after="0"/>
              <w:rPr>
                <w:sz w:val="20"/>
                <w:szCs w:val="20"/>
                <w:color w:val="auto"/>
              </w:rPr>
            </w:pPr>
            <w:r>
              <w:rPr>
                <w:rFonts w:ascii="Arial" w:cs="Arial" w:eastAsia="Arial" w:hAnsi="Arial"/>
                <w:sz w:val="13"/>
                <w:szCs w:val="13"/>
                <w:color w:val="auto"/>
              </w:rPr>
              <w:t>Champaign, IL</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195,183</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Eldorado Hills, CA(*)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113,291</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gridSpan w:val="2"/>
          </w:tcPr>
          <w:p>
            <w:pPr>
              <w:ind w:left="40"/>
              <w:spacing w:after="0"/>
              <w:rPr>
                <w:sz w:val="20"/>
                <w:szCs w:val="20"/>
                <w:color w:val="auto"/>
              </w:rPr>
            </w:pPr>
            <w:r>
              <w:rPr>
                <w:rFonts w:ascii="Arial" w:cs="Arial" w:eastAsia="Arial" w:hAnsi="Arial"/>
                <w:sz w:val="13"/>
                <w:szCs w:val="13"/>
                <w:color w:val="auto"/>
              </w:rPr>
              <w:t>Others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202,268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736,487</w:t>
            </w:r>
          </w:p>
        </w:tc>
        <w:tc>
          <w:tcPr>
            <w:tcW w:w="0" w:type="dxa"/>
            <w:vAlign w:val="bottom"/>
          </w:tcPr>
          <w:p>
            <w:pPr>
              <w:spacing w:after="0"/>
              <w:rPr>
                <w:sz w:val="1"/>
                <w:szCs w:val="1"/>
                <w:color w:val="auto"/>
              </w:rPr>
            </w:pPr>
          </w:p>
        </w:tc>
      </w:tr>
      <w:tr>
        <w:trPr>
          <w:trHeight w:val="161"/>
        </w:trPr>
        <w:tc>
          <w:tcPr>
            <w:tcW w:w="9100" w:type="dxa"/>
            <w:vAlign w:val="bottom"/>
            <w:gridSpan w:val="3"/>
          </w:tcPr>
          <w:p>
            <w:pPr>
              <w:spacing w:after="0"/>
              <w:rPr>
                <w:sz w:val="20"/>
                <w:szCs w:val="20"/>
                <w:color w:val="auto"/>
              </w:rPr>
            </w:pPr>
            <w:r>
              <w:rPr>
                <w:rFonts w:ascii="Arial" w:cs="Arial" w:eastAsia="Arial" w:hAnsi="Arial"/>
                <w:sz w:val="13"/>
                <w:szCs w:val="13"/>
                <w:color w:val="auto"/>
              </w:rPr>
              <w:t>Israel:</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Ra’anana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641,443</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gridSpan w:val="2"/>
          </w:tcPr>
          <w:p>
            <w:pPr>
              <w:ind w:left="40"/>
              <w:spacing w:after="0"/>
              <w:rPr>
                <w:sz w:val="20"/>
                <w:szCs w:val="20"/>
                <w:color w:val="auto"/>
              </w:rPr>
            </w:pPr>
            <w:r>
              <w:rPr>
                <w:rFonts w:ascii="Arial" w:cs="Arial" w:eastAsia="Arial" w:hAnsi="Arial"/>
                <w:sz w:val="13"/>
                <w:szCs w:val="13"/>
                <w:color w:val="auto"/>
              </w:rPr>
              <w:t>Hod-Hasharon</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81,052</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Haifa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74,608</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gridSpan w:val="2"/>
          </w:tcPr>
          <w:p>
            <w:pPr>
              <w:ind w:left="40"/>
              <w:spacing w:after="0"/>
              <w:rPr>
                <w:sz w:val="20"/>
                <w:szCs w:val="20"/>
                <w:color w:val="auto"/>
              </w:rPr>
            </w:pPr>
            <w:r>
              <w:rPr>
                <w:rFonts w:ascii="Arial" w:cs="Arial" w:eastAsia="Arial" w:hAnsi="Arial"/>
                <w:sz w:val="13"/>
                <w:szCs w:val="13"/>
                <w:color w:val="auto"/>
              </w:rPr>
              <w:t>Others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108,406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905,508</w:t>
            </w:r>
          </w:p>
        </w:tc>
        <w:tc>
          <w:tcPr>
            <w:tcW w:w="0" w:type="dxa"/>
            <w:vAlign w:val="bottom"/>
          </w:tcPr>
          <w:p>
            <w:pPr>
              <w:spacing w:after="0"/>
              <w:rPr>
                <w:sz w:val="1"/>
                <w:szCs w:val="1"/>
                <w:color w:val="auto"/>
              </w:rPr>
            </w:pPr>
          </w:p>
        </w:tc>
      </w:tr>
      <w:tr>
        <w:trPr>
          <w:trHeight w:val="161"/>
        </w:trPr>
        <w:tc>
          <w:tcPr>
            <w:tcW w:w="9100" w:type="dxa"/>
            <w:vAlign w:val="bottom"/>
            <w:gridSpan w:val="3"/>
          </w:tcPr>
          <w:p>
            <w:pPr>
              <w:spacing w:after="0"/>
              <w:rPr>
                <w:sz w:val="20"/>
                <w:szCs w:val="20"/>
                <w:color w:val="auto"/>
              </w:rPr>
            </w:pPr>
            <w:r>
              <w:rPr>
                <w:rFonts w:ascii="Arial" w:cs="Arial" w:eastAsia="Arial" w:hAnsi="Arial"/>
                <w:sz w:val="13"/>
                <w:szCs w:val="13"/>
                <w:color w:val="auto"/>
              </w:rPr>
              <w:t>Canada:</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Toronto(*)</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58,446</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gridSpan w:val="2"/>
          </w:tcPr>
          <w:p>
            <w:pPr>
              <w:ind w:left="40"/>
              <w:spacing w:after="0"/>
              <w:rPr>
                <w:sz w:val="20"/>
                <w:szCs w:val="20"/>
                <w:color w:val="auto"/>
              </w:rPr>
            </w:pPr>
            <w:r>
              <w:rPr>
                <w:rFonts w:ascii="Arial" w:cs="Arial" w:eastAsia="Arial" w:hAnsi="Arial"/>
                <w:sz w:val="13"/>
                <w:szCs w:val="13"/>
                <w:color w:val="auto"/>
              </w:rPr>
              <w:t>Montreal</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55,414</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24,931</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138,791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China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96,579</w:t>
            </w:r>
          </w:p>
        </w:tc>
        <w:tc>
          <w:tcPr>
            <w:tcW w:w="0" w:type="dxa"/>
            <w:vAlign w:val="bottom"/>
          </w:tcPr>
          <w:p>
            <w:pPr>
              <w:spacing w:after="0"/>
              <w:rPr>
                <w:sz w:val="1"/>
                <w:szCs w:val="1"/>
                <w:color w:val="auto"/>
              </w:rPr>
            </w:pPr>
          </w:p>
        </w:tc>
      </w:tr>
      <w:tr>
        <w:trPr>
          <w:trHeight w:val="161"/>
        </w:trPr>
        <w:tc>
          <w:tcPr>
            <w:tcW w:w="9100" w:type="dxa"/>
            <w:vAlign w:val="bottom"/>
            <w:gridSpan w:val="3"/>
          </w:tcPr>
          <w:p>
            <w:pPr>
              <w:spacing w:after="0"/>
              <w:rPr>
                <w:sz w:val="20"/>
                <w:szCs w:val="20"/>
                <w:color w:val="auto"/>
              </w:rPr>
            </w:pPr>
            <w:r>
              <w:rPr>
                <w:rFonts w:ascii="Arial" w:cs="Arial" w:eastAsia="Arial" w:hAnsi="Arial"/>
                <w:sz w:val="13"/>
                <w:szCs w:val="13"/>
                <w:color w:val="auto"/>
              </w:rPr>
              <w:t>Cyprus (Limassol)</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103,892</w:t>
            </w:r>
          </w:p>
        </w:tc>
        <w:tc>
          <w:tcPr>
            <w:tcW w:w="0" w:type="dxa"/>
            <w:vAlign w:val="bottom"/>
          </w:tcPr>
          <w:p>
            <w:pPr>
              <w:spacing w:after="0"/>
              <w:rPr>
                <w:sz w:val="1"/>
                <w:szCs w:val="1"/>
                <w:color w:val="auto"/>
              </w:rPr>
            </w:pPr>
          </w:p>
        </w:tc>
      </w:tr>
      <w:tr>
        <w:trPr>
          <w:trHeight w:val="161"/>
        </w:trPr>
        <w:tc>
          <w:tcPr>
            <w:tcW w:w="9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India:</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gridSpan w:val="2"/>
          </w:tcPr>
          <w:p>
            <w:pPr>
              <w:ind w:left="40"/>
              <w:spacing w:after="0"/>
              <w:rPr>
                <w:sz w:val="20"/>
                <w:szCs w:val="20"/>
                <w:color w:val="auto"/>
              </w:rPr>
            </w:pPr>
            <w:r>
              <w:rPr>
                <w:rFonts w:ascii="Arial" w:cs="Arial" w:eastAsia="Arial" w:hAnsi="Arial"/>
                <w:sz w:val="13"/>
                <w:szCs w:val="13"/>
                <w:color w:val="auto"/>
              </w:rPr>
              <w:t>Pune</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449,951</w:t>
            </w:r>
          </w:p>
        </w:tc>
        <w:tc>
          <w:tcPr>
            <w:tcW w:w="0" w:type="dxa"/>
            <w:vAlign w:val="bottom"/>
          </w:tcPr>
          <w:p>
            <w:pPr>
              <w:spacing w:after="0"/>
              <w:rPr>
                <w:sz w:val="1"/>
                <w:szCs w:val="1"/>
                <w:color w:val="auto"/>
              </w:rPr>
            </w:pPr>
          </w:p>
        </w:tc>
      </w:tr>
      <w:tr>
        <w:trPr>
          <w:trHeight w:val="161"/>
        </w:trPr>
        <w:tc>
          <w:tcPr>
            <w:tcW w:w="100" w:type="dxa"/>
            <w:vAlign w:val="bottom"/>
            <w:shd w:val="clear" w:color="auto" w:fill="CCEEFF"/>
          </w:tcPr>
          <w:p>
            <w:pPr>
              <w:spacing w:after="0"/>
              <w:rPr>
                <w:sz w:val="14"/>
                <w:szCs w:val="14"/>
                <w:color w:val="auto"/>
              </w:rPr>
            </w:pPr>
          </w:p>
        </w:tc>
        <w:tc>
          <w:tcPr>
            <w:tcW w:w="9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Delhi</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122,416</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00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572,367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103,569</w:t>
            </w:r>
          </w:p>
        </w:tc>
        <w:tc>
          <w:tcPr>
            <w:tcW w:w="0" w:type="dxa"/>
            <w:vAlign w:val="bottom"/>
          </w:tcPr>
          <w:p>
            <w:pPr>
              <w:spacing w:after="0"/>
              <w:rPr>
                <w:sz w:val="1"/>
                <w:szCs w:val="1"/>
                <w:color w:val="auto"/>
              </w:rPr>
            </w:pPr>
          </w:p>
        </w:tc>
      </w:tr>
      <w:tr>
        <w:trPr>
          <w:trHeight w:val="161"/>
        </w:trPr>
        <w:tc>
          <w:tcPr>
            <w:tcW w:w="9100" w:type="dxa"/>
            <w:vAlign w:val="bottom"/>
            <w:gridSpan w:val="3"/>
          </w:tcPr>
          <w:p>
            <w:pPr>
              <w:spacing w:after="0"/>
              <w:rPr>
                <w:sz w:val="20"/>
                <w:szCs w:val="20"/>
                <w:color w:val="auto"/>
              </w:rPr>
            </w:pPr>
            <w:r>
              <w:rPr>
                <w:rFonts w:ascii="Arial" w:cs="Arial" w:eastAsia="Arial" w:hAnsi="Arial"/>
                <w:sz w:val="13"/>
                <w:szCs w:val="13"/>
                <w:color w:val="auto"/>
              </w:rPr>
              <w:t>Rest of the world(**)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186,180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2,843,373</w:t>
            </w:r>
          </w:p>
        </w:tc>
        <w:tc>
          <w:tcPr>
            <w:tcW w:w="0" w:type="dxa"/>
            <w:vAlign w:val="bottom"/>
          </w:tcPr>
          <w:p>
            <w:pPr>
              <w:spacing w:after="0"/>
              <w:rPr>
                <w:sz w:val="1"/>
                <w:szCs w:val="1"/>
                <w:color w:val="auto"/>
              </w:rPr>
            </w:pPr>
          </w:p>
        </w:tc>
      </w:tr>
      <w:tr>
        <w:trPr>
          <w:trHeight w:val="101"/>
        </w:trPr>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space sublet to third parties.</w:t>
      </w:r>
    </w:p>
    <w:p>
      <w:pPr>
        <w:spacing w:after="0" w:line="62" w:lineRule="exact"/>
        <w:rPr>
          <w:rFonts w:ascii="Arial" w:cs="Arial" w:eastAsia="Arial" w:hAnsi="Arial"/>
          <w:sz w:val="13"/>
          <w:szCs w:val="13"/>
          <w:color w:val="auto"/>
        </w:rPr>
      </w:pPr>
    </w:p>
    <w:p>
      <w:pPr>
        <w:ind w:left="1100" w:right="140" w:hanging="333"/>
        <w:spacing w:after="0" w:line="294" w:lineRule="auto"/>
        <w:tabs>
          <w:tab w:leader="none" w:pos="11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Includes Austria, Australia, Brazil, Costa Rica, Czech Republic, Denmark, France, Germany, Greece, Hungary, Indonesia, Ireland, Italy, Japan, Kazakhstan, Malaysia, Mexico, Netherlands, Russia, Singapore, South Africa, Spain, Sweden, Thailand, Turkey, and Vietnam.</w:t>
      </w:r>
    </w:p>
    <w:p>
      <w:pPr>
        <w:spacing w:after="0" w:line="46"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Our leases expire on various dates between 2010 and 2020, not including various options to terminate or extend lease terms.</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Equipment</w:t>
      </w:r>
    </w:p>
    <w:p>
      <w:pPr>
        <w:spacing w:after="0" w:line="102"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develop our customer experience systems over a system of UNIX, MVS, Linux and Windows 2000/2003 servers owned or leased by us. We use a variety of software products in our development centers, including products by Microsoft, Oracle, Synscsort, CA, IBM, Hewlett-Packard, SUN and BEA. Our data storage is based on equipment from EMC, SUN, NetApp and Hewlett-Packard. Our development servers are connected to more than 20,000 personal computers owned or leased by us.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Automatic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or WAN, using telecommunication equipment manufactured by, among others, Cisco and Nortel.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distributed development sites that we operate worldwide are also connected by a high speed WAN.</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3"/>
          <w:szCs w:val="13"/>
          <w:b w:val="1"/>
          <w:bCs w:val="1"/>
          <w:color w:val="auto"/>
        </w:rPr>
        <w:t>OPERATING AND FINANCIAL REVIEW AND PROSPECTS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Introduction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this section, we discuss the general financial condition and the results of operations for Amdocs Limited and its subsidiaries, including:</w:t>
      </w:r>
    </w:p>
    <w:p>
      <w:pPr>
        <w:spacing w:after="0" w:line="102" w:lineRule="exact"/>
        <w:rPr>
          <w:sz w:val="20"/>
          <w:szCs w:val="20"/>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factors that affect our business,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revenue and costs for the fiscal years ended September 30, 2009, 2008 and 2007,</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reasons why specific line items in our consolidated statements of income were different from year to year,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sources of our revenue,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how all of this affects our overall financial condition,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capital expenditures for the fiscal years ended September 30, 2009, 2008 and 2007,</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changes in our business, including those resulting from acquisitions of other businesses,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sources of our cash to pay for future capital expenditures and possible acquisitions.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should read this section in conjunction with our consolidated financial statements and the notes thereto, which follow.</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of Business and Trend Information</w:t>
      </w:r>
    </w:p>
    <w:p>
      <w:pPr>
        <w:spacing w:after="0" w:line="104"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Amdocs is a leading provider of software and services for communications, media and entertainment industry service providers. Although our market focus has traditionally been primarily on Tier 1 and Tier 2 service providers in developed markets, we have also focused in the last several years on Tier 3 and 4 providers in developed markets, and on providers in emerging markets, such as China, the Commonwealth of Independent States, India, Latin America and Southeast Asia.</w:t>
      </w:r>
    </w:p>
    <w:p>
      <w:pPr>
        <w:spacing w:after="0" w:line="59" w:lineRule="exact"/>
        <w:rPr>
          <w:sz w:val="20"/>
          <w:szCs w:val="20"/>
          <w:color w:val="auto"/>
        </w:rPr>
      </w:pPr>
    </w:p>
    <w:p>
      <w:pPr>
        <w:jc w:val="both"/>
        <w:ind w:left="680" w:right="380" w:firstLine="399"/>
        <w:spacing w:after="0" w:line="309" w:lineRule="auto"/>
        <w:rPr>
          <w:sz w:val="20"/>
          <w:szCs w:val="20"/>
          <w:color w:val="auto"/>
        </w:rPr>
      </w:pPr>
      <w:r>
        <w:rPr>
          <w:rFonts w:ascii="Arial" w:cs="Arial" w:eastAsia="Arial" w:hAnsi="Arial"/>
          <w:sz w:val="12"/>
          <w:szCs w:val="12"/>
          <w:color w:val="auto"/>
        </w:rPr>
        <w:t>We develop, implement and manage software and services associated with business support systems, or BSS, and operational support systems, or OSS, that enable service providers to introduce new products quickly, understand their customers more deeply, process orders more efficiently and support new business models. We refer to these systems collectively as customer experience systems because of the crucial impact that these systems have on the service providers’ end-user experience.</w:t>
      </w:r>
    </w:p>
    <w:p>
      <w:pPr>
        <w:spacing w:after="0" w:line="41" w:lineRule="exact"/>
        <w:rPr>
          <w:sz w:val="20"/>
          <w:szCs w:val="20"/>
          <w:color w:val="auto"/>
        </w:rPr>
      </w:pPr>
    </w:p>
    <w:p>
      <w:pPr>
        <w:ind w:left="680" w:right="820" w:firstLine="399"/>
        <w:spacing w:after="0" w:line="338" w:lineRule="auto"/>
        <w:rPr>
          <w:sz w:val="20"/>
          <w:szCs w:val="20"/>
          <w:color w:val="auto"/>
        </w:rPr>
      </w:pPr>
      <w:r>
        <w:rPr>
          <w:rFonts w:ascii="Arial" w:cs="Arial" w:eastAsia="Arial" w:hAnsi="Arial"/>
          <w:sz w:val="12"/>
          <w:szCs w:val="12"/>
          <w:color w:val="auto"/>
        </w:rPr>
        <w:t>We believe the demand for our customer experience systems is driven by the need of service providers to anticipate and respond to consumer demands. In a global communications industry impacted by the move toward convergence of services and devices and increasing network capacity, consumers expect immediate and</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constant connectivity to personalized services, information and applications. We refer to these developments as the evolution to the “Connected World.”</w:t>
      </w:r>
    </w:p>
    <w:p>
      <w:pPr>
        <w:spacing w:after="0" w:line="102" w:lineRule="exact"/>
        <w:rPr>
          <w:sz w:val="20"/>
          <w:szCs w:val="20"/>
          <w:color w:val="auto"/>
        </w:rPr>
      </w:pPr>
    </w:p>
    <w:p>
      <w:pPr>
        <w:ind w:left="680" w:right="40" w:firstLine="399"/>
        <w:spacing w:after="0" w:line="288" w:lineRule="auto"/>
        <w:rPr>
          <w:sz w:val="20"/>
          <w:szCs w:val="20"/>
          <w:color w:val="auto"/>
        </w:rPr>
      </w:pPr>
      <w:r>
        <w:rPr>
          <w:rFonts w:ascii="Arial" w:cs="Arial" w:eastAsia="Arial" w:hAnsi="Arial"/>
          <w:sz w:val="12"/>
          <w:szCs w:val="12"/>
          <w:color w:val="auto"/>
        </w:rPr>
        <w:t>In established markets, service providers are transforming their businesses as they attempt to derive revenue and profit from IP-based content services, while confronting increased competition from non-traditional competitors, including major Internet companies and handset manufacturers. In emerging markets, many startup operations are introducing communications services to markets for the first time, coping with massive scale and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in 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 Our goal is to supply cost-effective, scalable software products and services that provide functionality and flexibility to service providers as they — and their markets — grow and change.</w:t>
      </w:r>
    </w:p>
    <w:p>
      <w:pPr>
        <w:spacing w:after="0" w:line="56"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In part, we have sought to expand both our functionality and geographic markets through acquisitions. Since 1999, we have completed numerous acquisitions, which, among other things, have expanded our business into customer care and billing solutions for cable and satellite companies and enhanced our offerings in the OSS market. In fiscal 2006, we acquired Qpass Inc. and Cramer Systems Group Limited — in order to offer software products for the digital content and commerce markets and to enhance our end-to-end BSS/OSS offerings. In fiscal 2007, we acquired SigValue Technologies Inc. to add expertise in providing integrated billing and customer care systems in high-growth emerging markets. In fiscal 2008, we acquired JacobsRimell Ltd., a provider of fulfillment solutions for the broadband cable industry, to enrich our OSS offering for cable, in fiscal 2009, we acquired ChangingWorlds, a provider of mobile device personalization technology, and in fiscal year 2010, we acquired jNetX, a provider in the service delivery platform market to enable service providers to combine converged network services with IT and Web domain services for innovative and valuable applications. As part of our strategy, we may continue to pursue acquisitions and other initiatives in order to offer new products or services, or otherwise enhance our market position or strategic strengths.</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Please see Note 3 to our consolidated financial statements for more information regarding our acquisitions.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Offerings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offerings of software and related services consist of:</w:t>
      </w:r>
    </w:p>
    <w:p>
      <w:pPr>
        <w:spacing w:after="0" w:line="102" w:lineRule="exact"/>
        <w:rPr>
          <w:sz w:val="20"/>
          <w:szCs w:val="20"/>
          <w:color w:val="auto"/>
        </w:rPr>
      </w:pPr>
    </w:p>
    <w:p>
      <w:pPr>
        <w:ind w:left="1300" w:hanging="208"/>
        <w:spacing w:after="0" w:line="267" w:lineRule="auto"/>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complete, modular yet integrated portfolio of customer experience systems, including revenue management (billing and charging, mediation, and partner settlements), customer management (contact center and retail interaction management, service and support, and sales and ordering), service and resource management (OSS) (network planning, service fulfillment, service assurance, inventory and discovery, and service management), personalized portal and value-added services (commerce and partner collaboration, portal and self-service, and service delivery and control), and portfolio management (product management, application framework, operational framework and delivery framework).</w:t>
      </w:r>
    </w:p>
    <w:p>
      <w:pPr>
        <w:spacing w:after="0" w:line="55" w:lineRule="exact"/>
        <w:rPr>
          <w:rFonts w:ascii="Arial" w:cs="Arial" w:eastAsia="Arial" w:hAnsi="Arial"/>
          <w:sz w:val="13"/>
          <w:szCs w:val="13"/>
          <w:color w:val="auto"/>
        </w:rPr>
      </w:pPr>
    </w:p>
    <w:p>
      <w:pPr>
        <w:ind w:left="1300" w:right="40" w:hanging="208"/>
        <w:spacing w:after="0" w:line="270" w:lineRule="auto"/>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comprehensive line of services. Because our customers’ projects are complex and require systems support expertise, we provide information technology, or IT, services, including extensive consulting, product and managed services to assist our customers with their business strategy, system implementation, integration, modification, consolidation, modernization, ongoing support, enhancement and maintenance services. In addition, we offer comprehensive training services to help our customers develop competency in their Amdocs systems and applications.</w:t>
      </w:r>
    </w:p>
    <w:p>
      <w:pPr>
        <w:spacing w:after="0" w:line="63"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We have designed our customer experience systems to meet the high-volume, complex needs of Tier 1 and Tier 2 service providers and to address the unique issues of service providers in emerging markets. We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spacing w:after="0" w:line="294" w:lineRule="auto"/>
        <w:rPr>
          <w:sz w:val="20"/>
          <w:szCs w:val="20"/>
          <w:color w:val="auto"/>
        </w:rPr>
      </w:pPr>
      <w:r>
        <w:rPr>
          <w:rFonts w:ascii="Arial" w:cs="Arial" w:eastAsia="Arial" w:hAnsi="Arial"/>
          <w:sz w:val="13"/>
          <w:szCs w:val="13"/>
          <w:color w:val="auto"/>
        </w:rPr>
        <w:t>support our customers’ various lines of business, including wireline, wireless, cable and satellite, and a wide range of communication services, including voice, video, data, broadband, content, electronic and mobile commerce applications. We also support companies that offer bundled or convergent service packages.</w:t>
      </w:r>
    </w:p>
    <w:p>
      <w:pPr>
        <w:spacing w:after="0" w:line="4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also offer a full range of directory systems and related services for publishers of both traditional printed Yellow Page and white page directories and electronic Internet directories. We have expanded our range of directory services to include support for three-screen Yellow Pages, video advertising, voice and mobile, search applications, and personalization and advertising serving services.</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conduct our business globally, and as a result we are subject to the effects of global economic conditions and, in particular, market conditions in the communications, media and entertainment industry. In fiscal 2009, customers in North America accounted for 75.3% of our revenue, while customers in Europe and the rest of the world accounted for 13.8% and 10.9%, respectively. We maintain development facilities in China, Cyprus, India, Ireland, Israel and the United States. AT&amp;T was our largest customer in fiscal 2009, accounting for 33% of our revenue, and aggregate revenue derived from the multiple business arrangements we have with our ten largest customers accounted for approximately 76% of our revenue in fiscal 2009 and 75% of our revenue in fiscal 2008.</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demand for our customer experience systems is primarily driven by the following key factors:</w:t>
      </w:r>
    </w:p>
    <w:p>
      <w:pPr>
        <w:spacing w:after="0" w:line="102" w:lineRule="exact"/>
        <w:rPr>
          <w:sz w:val="20"/>
          <w:szCs w:val="20"/>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Industry transformation, including:</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increasing use of communications and content services,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widespread access to content, information and applications,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continued rapid growth in emerging markets,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consolidation among service providers in established markets, often including companies with multi-national operations,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increased competition, including non-traditional players,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continued bundling and blending of communications and entertainment, and</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continued commoditization and pricing pressure.</w:t>
      </w:r>
    </w:p>
    <w:p>
      <w:pPr>
        <w:spacing w:after="0" w:line="102" w:lineRule="exact"/>
        <w:rPr>
          <w:rFonts w:ascii="Arial" w:cs="Arial" w:eastAsia="Arial" w:hAnsi="Arial"/>
          <w:sz w:val="13"/>
          <w:szCs w:val="13"/>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Technology advances, such as:</w:t>
      </w:r>
    </w:p>
    <w:p>
      <w:pPr>
        <w:spacing w:after="0" w:line="102" w:lineRule="exact"/>
        <w:rPr>
          <w:rFonts w:ascii="Arial" w:cs="Arial" w:eastAsia="Arial" w:hAnsi="Arial"/>
          <w:sz w:val="13"/>
          <w:szCs w:val="13"/>
          <w:color w:val="auto"/>
        </w:rPr>
      </w:pPr>
    </w:p>
    <w:p>
      <w:pPr>
        <w:ind w:left="1500" w:right="400" w:hanging="207"/>
        <w:spacing w:after="0" w:line="338" w:lineRule="auto"/>
        <w:tabs>
          <w:tab w:leader="none" w:pos="1500" w:val="left"/>
        </w:tabs>
        <w:numPr>
          <w:ilvl w:val="1"/>
          <w:numId w:val="29"/>
        </w:numPr>
        <w:rPr>
          <w:rFonts w:ascii="Arial" w:cs="Arial" w:eastAsia="Arial" w:hAnsi="Arial"/>
          <w:sz w:val="12"/>
          <w:szCs w:val="12"/>
          <w:color w:val="auto"/>
        </w:rPr>
      </w:pPr>
      <w:r>
        <w:rPr>
          <w:rFonts w:ascii="Arial" w:cs="Arial" w:eastAsia="Arial" w:hAnsi="Arial"/>
          <w:sz w:val="12"/>
          <w:szCs w:val="12"/>
          <w:color w:val="auto"/>
        </w:rPr>
        <w:t>emergence and development of new communications products and services, such as web services, video, broadband, data and content services, including IP-based services, such as Internet Protocol (IP) Television (IPTV), worldwide interoperability for microwave access (WiMax) and Voice over IP (VoIP),</w:t>
      </w:r>
    </w:p>
    <w:p>
      <w:pPr>
        <w:spacing w:after="0" w:line="14" w:lineRule="exact"/>
        <w:rPr>
          <w:rFonts w:ascii="Arial" w:cs="Arial" w:eastAsia="Arial" w:hAnsi="Arial"/>
          <w:sz w:val="12"/>
          <w:szCs w:val="12"/>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evolution to next-generation networks, such as IP Multimedia Subsystem (IMS), that enable converged services offerings, such as fixed-mobile convergence,</w:t>
      </w:r>
    </w:p>
    <w:p>
      <w:pPr>
        <w:spacing w:after="0" w:line="92" w:lineRule="exact"/>
        <w:rPr>
          <w:rFonts w:ascii="Arial" w:cs="Arial" w:eastAsia="Arial" w:hAnsi="Arial"/>
          <w:sz w:val="13"/>
          <w:szCs w:val="13"/>
          <w:color w:val="auto"/>
        </w:rPr>
      </w:pPr>
    </w:p>
    <w:p>
      <w:pPr>
        <w:ind w:left="1500" w:right="820" w:hanging="207"/>
        <w:spacing w:after="0" w:line="294" w:lineRule="auto"/>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technological changes, such as the introduction of 3G and 4G wireless technology, next-generation content systems, WiFi, WiMax-, and LTE-based access technologies, and</w:t>
      </w:r>
    </w:p>
    <w:p>
      <w:pPr>
        <w:spacing w:after="0" w:line="36" w:lineRule="exact"/>
        <w:rPr>
          <w:rFonts w:ascii="Arial" w:cs="Arial" w:eastAsia="Arial" w:hAnsi="Arial"/>
          <w:sz w:val="13"/>
          <w:szCs w:val="13"/>
          <w:color w:val="auto"/>
        </w:rPr>
      </w:pPr>
    </w:p>
    <w:p>
      <w:pPr>
        <w:ind w:left="1500" w:right="80" w:hanging="207"/>
        <w:spacing w:after="0" w:line="294" w:lineRule="auto"/>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evolution to and expansion of more sophisticated and interconnected communication devices, such as smart devices, personal computers and home security systems that enable communication across devices and widespread access to information.</w:t>
      </w:r>
    </w:p>
    <w:p>
      <w:pPr>
        <w:spacing w:after="0" w:line="46" w:lineRule="exact"/>
        <w:rPr>
          <w:rFonts w:ascii="Arial" w:cs="Arial" w:eastAsia="Arial" w:hAnsi="Arial"/>
          <w:sz w:val="13"/>
          <w:szCs w:val="13"/>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Customer focus, such as:</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the need for service providers to focus on their customers in order to build profitable customer relationships,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the need for service providers to have a unified view of the customer across multiple services, devices and channels,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500" w:right="80" w:hanging="207"/>
        <w:spacing w:after="0" w:line="294" w:lineRule="auto"/>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“authority shift” toward the consumer, with increased customer expectations for new, innovative services and applications that are personally relevant and that can be accessed anytime, anywhere and from any device,</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the ever-increasing expectation of customer service and support, including access to self-service options that are convenient and consistent across all channels, and</w:t>
      </w:r>
    </w:p>
    <w:p>
      <w:pPr>
        <w:spacing w:after="0" w:line="103" w:lineRule="exact"/>
        <w:rPr>
          <w:rFonts w:ascii="Arial" w:cs="Arial" w:eastAsia="Arial" w:hAnsi="Arial"/>
          <w:sz w:val="12"/>
          <w:szCs w:val="12"/>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need for service providers to differentiate themselves by creating a unique and mutually-valuable customer experience.</w:t>
      </w:r>
    </w:p>
    <w:p>
      <w:pPr>
        <w:spacing w:after="0" w:line="102" w:lineRule="exact"/>
        <w:rPr>
          <w:rFonts w:ascii="Arial" w:cs="Arial" w:eastAsia="Arial" w:hAnsi="Arial"/>
          <w:sz w:val="13"/>
          <w:szCs w:val="13"/>
          <w:color w:val="auto"/>
        </w:rPr>
      </w:pPr>
    </w:p>
    <w:p>
      <w:pPr>
        <w:ind w:left="1300" w:hanging="208"/>
        <w:spacing w:after="0"/>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need for operational efficiency, including:</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shift from in-house management to vendor solutions,</w:t>
      </w:r>
    </w:p>
    <w:p>
      <w:pPr>
        <w:spacing w:after="0" w:line="92" w:lineRule="exact"/>
        <w:rPr>
          <w:rFonts w:ascii="Arial" w:cs="Arial" w:eastAsia="Arial" w:hAnsi="Arial"/>
          <w:sz w:val="13"/>
          <w:szCs w:val="13"/>
          <w:color w:val="auto"/>
        </w:rPr>
      </w:pPr>
    </w:p>
    <w:p>
      <w:pPr>
        <w:ind w:left="1500" w:right="200" w:hanging="207"/>
        <w:spacing w:after="0" w:line="294" w:lineRule="auto"/>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business needs of service providers to reduce costs and lower total cost of ownership of software systems while retaining high-value customers in a highly competitive environment,</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automating and integrating business processes that span service providers’ BSS and OSS systems and create a simple, one-company face to customers,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integrating and implementing new next-generation networks (and retiring legacy networks) to deploy new technologies, and</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transforming fragmented legacy OSS systems to introduce new services in a timely and cost-effective manner.</w:t>
      </w:r>
    </w:p>
    <w:p>
      <w:pPr>
        <w:spacing w:after="0" w:line="102"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In fiscal 2009, our total revenue was $2,862.6 million, of which $2,685.5 million, or 93.8%, was attributable to the sale of customer experience systems. Revenue from managed services arrangements (for customer experience systems and directory systems) is included in both license and service revenue. Revenue generated in connection with managed services arrangements is a significant part of our business, accounting for slightly more than 40% of our fiscal 2009 revenue and slightly less than 40% of our fiscal 2008 revenues,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Managed services projects can be less profitable in the initial period, however, margins tend to improve over time as we derive benefit from the operational efficiencies and from changes in the geographical mix of our resources.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Patents and Licenses</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$210.4 million, $225.5 million and $230.4 million in the fiscal years 2009, 2008 and 2007, respectively, representing 7.3%, 7.1% and 8.1%, respectively, of our revenue in these fiscal years.</w:t>
      </w:r>
    </w:p>
    <w:p>
      <w:pPr>
        <w:spacing w:after="0" w:line="65" w:lineRule="exact"/>
        <w:rPr>
          <w:sz w:val="20"/>
          <w:szCs w:val="20"/>
          <w:color w:val="auto"/>
        </w:rPr>
      </w:pPr>
    </w:p>
    <w:p>
      <w:pPr>
        <w:ind w:left="680" w:right="160" w:firstLine="399"/>
        <w:spacing w:after="0" w:line="292" w:lineRule="auto"/>
        <w:rPr>
          <w:sz w:val="20"/>
          <w:szCs w:val="20"/>
          <w:color w:val="auto"/>
        </w:rPr>
      </w:pPr>
      <w:r>
        <w:rPr>
          <w:rFonts w:ascii="Arial" w:cs="Arial" w:eastAsia="Arial" w:hAnsi="Arial"/>
          <w:sz w:val="12"/>
          <w:szCs w:val="12"/>
          <w:color w:val="auto"/>
        </w:rPr>
        <w:t>While we have continued to upgrade our existing systems over the last several years, we have also devoted significant research and development efforts to the integration between our products. In fiscal 2009, we invested in several additional releases of our last major release, Amdocs CES 7.5, as well as on our next major product release. Amdocs CES 7.5 expanded the capabilities of our previous Amdocs 7 release by improving subscriber management through a unified user interface, providing support for seamless service ordering across all channels, delivering real-time rating and charging across postpaid and prepaid services through turbo charging technology, and offering a single source for all product and subscriber information and comprehensive support for critical service provider business processes. Amdocs CES 7.5 comprises an enhanced portfolio of modular billing, CRM, self-service, order management, mediation, OSS and content management software products. Amdocs CES 7.5 enhanced our portfolio in various areas, including billing,</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60"/>
        <w:spacing w:after="0" w:line="276" w:lineRule="auto"/>
        <w:rPr>
          <w:sz w:val="20"/>
          <w:szCs w:val="20"/>
          <w:color w:val="auto"/>
        </w:rPr>
      </w:pPr>
      <w:r>
        <w:rPr>
          <w:rFonts w:ascii="Arial" w:cs="Arial" w:eastAsia="Arial" w:hAnsi="Arial"/>
          <w:sz w:val="13"/>
          <w:szCs w:val="13"/>
          <w:color w:val="auto"/>
        </w:rPr>
        <w:t>self service, digital commerce and the personalization engine we acquired from ChangingWorlds. Our next major product release will address additional challenges and opportunities of the Connected World by further personalizing the mobile Internet experience, enhancing retail processes, providing more effective smart device support, enabling a personalized one-stop shopping experience and driving operational efficiencies with advanced network management capabilities.</w:t>
      </w:r>
    </w:p>
    <w:p>
      <w:pPr>
        <w:spacing w:after="0" w:line="59"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majority of our research and development expenditures is directed at our customer experience systems, and the remainder to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Operational Efficiency and Cost Reduction Program</w:t>
      </w:r>
    </w:p>
    <w:p>
      <w:pPr>
        <w:spacing w:after="0" w:line="104" w:lineRule="exact"/>
        <w:rPr>
          <w:sz w:val="20"/>
          <w:szCs w:val="20"/>
          <w:color w:val="auto"/>
        </w:rPr>
      </w:pPr>
    </w:p>
    <w:p>
      <w:pPr>
        <w:ind w:left="680" w:right="840" w:firstLine="399"/>
        <w:spacing w:after="0" w:line="267" w:lineRule="auto"/>
        <w:rPr>
          <w:sz w:val="20"/>
          <w:szCs w:val="20"/>
          <w:color w:val="auto"/>
        </w:rPr>
      </w:pPr>
      <w:r>
        <w:rPr>
          <w:rFonts w:ascii="Arial" w:cs="Arial" w:eastAsia="Arial" w:hAnsi="Arial"/>
          <w:sz w:val="13"/>
          <w:szCs w:val="13"/>
          <w:color w:val="auto"/>
        </w:rPr>
        <w:t>In the first quarter of fiscal 2009, the fourth quarter of fiscal 2008 and in the second quarter of fiscal 2007, we commenced a series of measures designed to improve efficiency and to align our operational structure to our expected level of future activities, including reductions in headcount, subcontractors, travel and other discretionary costs. As part of these plans, we recorded a charge of $15.1, $12.1 million and $6.0 million in fiscal 2009, 2008 and fiscal 2007, respectively, consisting primarily of employee separation costs in connection with the termination of the employment of software and information technology specialists and administrative professionals at various locations around the world and, in fiscal 2007, for rent obligations.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Repurchase Program</w:t>
      </w:r>
    </w:p>
    <w:p>
      <w:pPr>
        <w:spacing w:after="0" w:line="104" w:lineRule="exact"/>
        <w:rPr>
          <w:sz w:val="20"/>
          <w:szCs w:val="20"/>
          <w:color w:val="auto"/>
        </w:rPr>
      </w:pPr>
    </w:p>
    <w:p>
      <w:pPr>
        <w:jc w:val="both"/>
        <w:ind w:left="680" w:right="820" w:firstLine="399"/>
        <w:spacing w:after="0" w:line="276" w:lineRule="auto"/>
        <w:rPr>
          <w:sz w:val="20"/>
          <w:szCs w:val="20"/>
          <w:color w:val="auto"/>
        </w:rPr>
      </w:pPr>
      <w:r>
        <w:rPr>
          <w:rFonts w:ascii="Arial" w:cs="Arial" w:eastAsia="Arial" w:hAnsi="Arial"/>
          <w:sz w:val="13"/>
          <w:szCs w:val="13"/>
          <w:color w:val="auto"/>
        </w:rPr>
        <w:t>During fiscal 2009, using proceeds from our revolving credit facility, we purchased $449.0 million aggregate principal amount of our 0.50% convertible notes at an average price of 99.5% of the principal amount, excluding accrued interest and transaction fees. As of September 30, 2009, $1.0 million principal amount of the notes remain as our obligations, due in 2024, in accordance with their terms.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Results</w:t>
      </w:r>
    </w:p>
    <w:p>
      <w:pPr>
        <w:spacing w:after="0" w:line="104" w:lineRule="exact"/>
        <w:rPr>
          <w:sz w:val="20"/>
          <w:szCs w:val="20"/>
          <w:color w:val="auto"/>
        </w:rPr>
      </w:pPr>
    </w:p>
    <w:p>
      <w:pPr>
        <w:ind w:left="680" w:right="920" w:firstLine="399"/>
        <w:spacing w:after="0" w:line="294" w:lineRule="auto"/>
        <w:rPr>
          <w:sz w:val="20"/>
          <w:szCs w:val="20"/>
          <w:color w:val="auto"/>
        </w:rPr>
      </w:pPr>
      <w:r>
        <w:rPr>
          <w:rFonts w:ascii="Arial" w:cs="Arial" w:eastAsia="Arial" w:hAnsi="Arial"/>
          <w:sz w:val="13"/>
          <w:szCs w:val="13"/>
          <w:color w:val="auto"/>
        </w:rPr>
        <w:t>The following table sets forth for the fiscal years ended September 30, 2009, 2008 and 2007, certain items in our consolidated statements of income reflected as a percentage of total revenue: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7"/>
              </w:rPr>
              <w:t>Year ended September 30,</w:t>
            </w: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80" w:type="dxa"/>
            <w:vAlign w:val="bottom"/>
            <w:tcBorders>
              <w:bottom w:val="single" w:sz="8" w:color="auto"/>
            </w:tcBorders>
          </w:tcPr>
          <w:p>
            <w:pPr>
              <w:jc w:val="right"/>
              <w:ind w:right="15"/>
              <w:spacing w:after="0" w:line="101" w:lineRule="exact"/>
              <w:rPr>
                <w:sz w:val="20"/>
                <w:szCs w:val="20"/>
                <w:color w:val="auto"/>
              </w:rPr>
            </w:pPr>
            <w:r>
              <w:rPr>
                <w:rFonts w:ascii="Arial" w:cs="Arial" w:eastAsia="Arial" w:hAnsi="Arial"/>
                <w:sz w:val="11"/>
                <w:szCs w:val="11"/>
                <w:b w:val="1"/>
                <w:bCs w:val="1"/>
                <w:color w:val="auto"/>
              </w:rPr>
              <w:t>2009</w:t>
            </w:r>
          </w:p>
        </w:tc>
        <w:tc>
          <w:tcPr>
            <w:tcW w:w="420" w:type="dxa"/>
            <w:vAlign w:val="bottom"/>
          </w:tcPr>
          <w:p>
            <w:pPr>
              <w:spacing w:after="0"/>
              <w:rPr>
                <w:sz w:val="8"/>
                <w:szCs w:val="8"/>
                <w:color w:val="auto"/>
              </w:rPr>
            </w:pPr>
          </w:p>
        </w:tc>
        <w:tc>
          <w:tcPr>
            <w:tcW w:w="400" w:type="dxa"/>
            <w:vAlign w:val="bottom"/>
            <w:tcBorders>
              <w:bottom w:val="single" w:sz="8" w:color="auto"/>
            </w:tcBorders>
          </w:tcPr>
          <w:p>
            <w:pPr>
              <w:jc w:val="right"/>
              <w:ind w:right="34"/>
              <w:spacing w:after="0" w:line="101" w:lineRule="exact"/>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8"/>
                <w:szCs w:val="8"/>
                <w:color w:val="auto"/>
              </w:rPr>
            </w:pPr>
          </w:p>
        </w:tc>
        <w:tc>
          <w:tcPr>
            <w:tcW w:w="400" w:type="dxa"/>
            <w:vAlign w:val="bottom"/>
            <w:tcBorders>
              <w:bottom w:val="single" w:sz="8" w:color="auto"/>
            </w:tcBorders>
          </w:tcPr>
          <w:p>
            <w:pPr>
              <w:jc w:val="right"/>
              <w:ind w:right="14"/>
              <w:spacing w:after="0" w:line="101" w:lineRule="exact"/>
              <w:rPr>
                <w:sz w:val="20"/>
                <w:szCs w:val="20"/>
                <w:color w:val="auto"/>
              </w:rPr>
            </w:pPr>
            <w:r>
              <w:rPr>
                <w:rFonts w:ascii="Arial" w:cs="Arial" w:eastAsia="Arial" w:hAnsi="Arial"/>
                <w:sz w:val="11"/>
                <w:szCs w:val="11"/>
                <w:b w:val="1"/>
                <w:bCs w:val="1"/>
                <w:color w:val="auto"/>
              </w:rPr>
              <w:t>2007</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License</w:t>
            </w:r>
          </w:p>
        </w:tc>
        <w:tc>
          <w:tcPr>
            <w:tcW w:w="4420" w:type="dxa"/>
            <w:vAlign w:val="bottom"/>
            <w:gridSpan w:val="3"/>
          </w:tcPr>
          <w:p>
            <w:pPr>
              <w:jc w:val="right"/>
              <w:ind w:right="246"/>
              <w:spacing w:after="0"/>
              <w:rPr>
                <w:sz w:val="20"/>
                <w:szCs w:val="20"/>
                <w:color w:val="auto"/>
              </w:rPr>
            </w:pPr>
            <w:r>
              <w:rPr>
                <w:rFonts w:ascii="Arial" w:cs="Arial" w:eastAsia="Arial" w:hAnsi="Arial"/>
                <w:sz w:val="13"/>
                <w:szCs w:val="13"/>
                <w:color w:val="auto"/>
              </w:rPr>
              <w:t>4.7%</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4.3%</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5.6%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95.3</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4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4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3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4420" w:type="dxa"/>
            <w:vAlign w:val="bottom"/>
            <w:gridSpan w:val="3"/>
          </w:tcPr>
          <w:p>
            <w:pPr>
              <w:jc w:val="right"/>
              <w:ind w:right="346"/>
              <w:spacing w:after="0"/>
              <w:rPr>
                <w:sz w:val="20"/>
                <w:szCs w:val="20"/>
                <w:color w:val="auto"/>
              </w:rPr>
            </w:pPr>
            <w:r>
              <w:rPr>
                <w:rFonts w:ascii="Arial" w:cs="Arial" w:eastAsia="Arial" w:hAnsi="Arial"/>
                <w:sz w:val="13"/>
                <w:szCs w:val="13"/>
                <w:color w:val="auto"/>
              </w:rPr>
              <w:t>0.1</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0.1</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64.0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4420" w:type="dxa"/>
            <w:vAlign w:val="bottom"/>
            <w:gridSpan w:val="3"/>
          </w:tcPr>
          <w:p>
            <w:pPr>
              <w:jc w:val="right"/>
              <w:ind w:right="346"/>
              <w:spacing w:after="0"/>
              <w:rPr>
                <w:sz w:val="20"/>
                <w:szCs w:val="20"/>
                <w:color w:val="auto"/>
              </w:rPr>
            </w:pPr>
            <w:r>
              <w:rPr>
                <w:rFonts w:ascii="Arial" w:cs="Arial" w:eastAsia="Arial" w:hAnsi="Arial"/>
                <w:sz w:val="13"/>
                <w:szCs w:val="13"/>
                <w:color w:val="auto"/>
              </w:rPr>
              <w:t>7.3</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8.1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12.0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w:t>
            </w:r>
          </w:p>
        </w:tc>
        <w:tc>
          <w:tcPr>
            <w:tcW w:w="4420" w:type="dxa"/>
            <w:vAlign w:val="bottom"/>
            <w:gridSpan w:val="3"/>
          </w:tcPr>
          <w:p>
            <w:pPr>
              <w:jc w:val="right"/>
              <w:ind w:right="346"/>
              <w:spacing w:after="0"/>
              <w:rPr>
                <w:sz w:val="20"/>
                <w:szCs w:val="20"/>
                <w:color w:val="auto"/>
              </w:rPr>
            </w:pPr>
            <w:r>
              <w:rPr>
                <w:rFonts w:ascii="Arial" w:cs="Arial" w:eastAsia="Arial" w:hAnsi="Arial"/>
                <w:sz w:val="13"/>
                <w:szCs w:val="13"/>
                <w:color w:val="auto"/>
              </w:rPr>
              <w:t>3.0</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and in-process research and development</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0.8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4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4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87.4</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12.8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Interest (expense) income and other, net</w:t>
            </w:r>
          </w:p>
        </w:tc>
        <w:tc>
          <w:tcPr>
            <w:tcW w:w="362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0.4</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3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12.8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Income taxes</w:t>
            </w:r>
          </w:p>
        </w:tc>
        <w:tc>
          <w:tcPr>
            <w:tcW w:w="362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1.4</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11.4%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20" w:type="dxa"/>
            <w:vAlign w:val="bottom"/>
            <w:vMerge w:val="restart"/>
          </w:tcPr>
          <w:p>
            <w:pPr>
              <w:jc w:val="right"/>
              <w:ind w:right="2733"/>
              <w:spacing w:after="0"/>
              <w:rPr>
                <w:sz w:val="20"/>
                <w:szCs w:val="20"/>
                <w:color w:val="auto"/>
              </w:rPr>
            </w:pPr>
            <w:r>
              <w:rPr>
                <w:rFonts w:ascii="Arial" w:cs="Arial" w:eastAsia="Arial" w:hAnsi="Arial"/>
                <w:sz w:val="13"/>
                <w:szCs w:val="13"/>
                <w:color w:val="auto"/>
              </w:rPr>
              <w:t>32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September 30, 2009 and 2008</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tabular presentation of our results of operations for the fiscal year ended September 30, 2009, compared to the fiscal year ended September 30, 2008.</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Following the table is a discussion and analysis of our business and results of operations for these years.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gridSpan w:val="5"/>
          </w:tcPr>
          <w:p>
            <w:pPr>
              <w:jc w:val="right"/>
              <w:ind w:right="860"/>
              <w:spacing w:after="0"/>
              <w:rPr>
                <w:sz w:val="20"/>
                <w:szCs w:val="20"/>
                <w:color w:val="auto"/>
              </w:rPr>
            </w:pPr>
            <w:r>
              <w:rPr>
                <w:rFonts w:ascii="Arial" w:cs="Arial" w:eastAsia="Arial" w:hAnsi="Arial"/>
                <w:sz w:val="11"/>
                <w:szCs w:val="11"/>
                <w:b w:val="1"/>
                <w:bCs w:val="1"/>
                <w:color w:val="auto"/>
              </w:rPr>
              <w:t>Year ended September 30,</w:t>
            </w:r>
          </w:p>
        </w:tc>
        <w:tc>
          <w:tcPr>
            <w:tcW w:w="140" w:type="dxa"/>
            <w:vAlign w:val="bottom"/>
          </w:tcPr>
          <w:p>
            <w:pPr>
              <w:spacing w:after="0"/>
              <w:rPr>
                <w:sz w:val="11"/>
                <w:szCs w:val="11"/>
                <w:color w:val="auto"/>
              </w:rPr>
            </w:pPr>
          </w:p>
        </w:tc>
        <w:tc>
          <w:tcPr>
            <w:tcW w:w="1160" w:type="dxa"/>
            <w:vAlign w:val="bottom"/>
            <w:gridSpan w:val="3"/>
          </w:tcPr>
          <w:p>
            <w:pPr>
              <w:ind w:left="260"/>
              <w:spacing w:after="0"/>
              <w:rPr>
                <w:sz w:val="20"/>
                <w:szCs w:val="20"/>
                <w:color w:val="auto"/>
              </w:rPr>
            </w:pPr>
            <w:r>
              <w:rPr>
                <w:rFonts w:ascii="Arial" w:cs="Arial" w:eastAsia="Arial" w:hAnsi="Arial"/>
                <w:sz w:val="11"/>
                <w:szCs w:val="11"/>
                <w:b w:val="1"/>
                <w:bCs w:val="1"/>
                <w:color w:val="auto"/>
                <w:w w:val="84"/>
              </w:rPr>
              <w:t>Increase (Decrease)</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01"/>
        </w:trPr>
        <w:tc>
          <w:tcPr>
            <w:tcW w:w="56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ind w:left="140"/>
              <w:spacing w:after="0" w:line="101" w:lineRule="exact"/>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3"/>
          </w:tcPr>
          <w:p>
            <w:pPr>
              <w:ind w:left="80"/>
              <w:spacing w:after="0" w:line="101" w:lineRule="exact"/>
              <w:rPr>
                <w:sz w:val="20"/>
                <w:szCs w:val="20"/>
                <w:color w:val="auto"/>
              </w:rPr>
            </w:pPr>
            <w:r>
              <w:rPr>
                <w:rFonts w:ascii="Arial" w:cs="Arial" w:eastAsia="Arial" w:hAnsi="Arial"/>
                <w:sz w:val="11"/>
                <w:szCs w:val="11"/>
                <w:b w:val="1"/>
                <w:bCs w:val="1"/>
                <w:color w:val="auto"/>
              </w:rPr>
              <w:t>Amount</w:t>
            </w:r>
          </w:p>
        </w:tc>
        <w:tc>
          <w:tcPr>
            <w:tcW w:w="360" w:type="dxa"/>
            <w:vAlign w:val="bottom"/>
            <w:tcBorders>
              <w:top w:val="single" w:sz="8" w:color="auto"/>
            </w:tcBorders>
          </w:tcPr>
          <w:p>
            <w:pPr>
              <w:jc w:val="right"/>
              <w:ind w:right="114"/>
              <w:spacing w:after="0" w:line="101"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r>
      <w:tr>
        <w:trPr>
          <w:trHeight w:val="101"/>
        </w:trPr>
        <w:tc>
          <w:tcPr>
            <w:tcW w:w="56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top w:val="single" w:sz="8" w:color="auto"/>
              <w:bottom w:val="single" w:sz="8" w:color="auto"/>
            </w:tcBorders>
            <w:gridSpan w:val="2"/>
          </w:tcPr>
          <w:p>
            <w:pPr>
              <w:jc w:val="right"/>
              <w:ind w:right="114"/>
              <w:spacing w:after="0" w:line="101" w:lineRule="exact"/>
              <w:rPr>
                <w:sz w:val="20"/>
                <w:szCs w:val="20"/>
                <w:color w:val="auto"/>
              </w:rPr>
            </w:pPr>
            <w:r>
              <w:rPr>
                <w:rFonts w:ascii="Arial" w:cs="Arial" w:eastAsia="Arial" w:hAnsi="Arial"/>
                <w:sz w:val="11"/>
                <w:szCs w:val="11"/>
                <w:b w:val="1"/>
                <w:bCs w:val="1"/>
                <w:color w:val="auto"/>
                <w:w w:val="89"/>
              </w:rPr>
              <w:t>(in thousands)</w:t>
            </w:r>
          </w:p>
        </w:tc>
        <w:tc>
          <w:tcPr>
            <w:tcW w:w="380" w:type="dxa"/>
            <w:vAlign w:val="bottom"/>
            <w:tcBorders>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30"/>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License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135,146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135,487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(341)</w:t>
            </w: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(0.3)%</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2,727,461</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3,026,609</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(299,148)</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w:t>
            </w:r>
          </w:p>
        </w:tc>
      </w:tr>
      <w:tr>
        <w:trPr>
          <w:trHeight w:val="162"/>
        </w:trPr>
        <w:tc>
          <w:tcPr>
            <w:tcW w:w="56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2,862,607</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3,162,096</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(299,489)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(9.5)</w:t>
            </w: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2,686</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2,729</w:t>
            </w: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1,831,947</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2,023,562</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(191,615)</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w:t>
            </w: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210,387</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225,492</w:t>
            </w: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(15,105)</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(6.7)</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344,335</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404,134</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(59,799)</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(14.8)</w:t>
            </w: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85,153</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86,687</w:t>
            </w: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(1,534)</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(1.8)</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and in-process research and development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20,780</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13,896</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6,884</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49.5</w:t>
            </w:r>
          </w:p>
        </w:tc>
      </w:tr>
      <w:tr>
        <w:trPr>
          <w:trHeight w:val="162"/>
        </w:trPr>
        <w:tc>
          <w:tcPr>
            <w:tcW w:w="56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2,495,288</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2,756,500</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(261,212)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(9.5)</w:t>
            </w: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367,319</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405,596</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(38,277)</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w:t>
            </w:r>
          </w:p>
        </w:tc>
      </w:tr>
      <w:tr>
        <w:trPr>
          <w:trHeight w:val="161"/>
        </w:trPr>
        <w:tc>
          <w:tcPr>
            <w:tcW w:w="5600" w:type="dxa"/>
            <w:vAlign w:val="bottom"/>
          </w:tcPr>
          <w:p>
            <w:pPr>
              <w:spacing w:after="0"/>
              <w:rPr>
                <w:sz w:val="20"/>
                <w:szCs w:val="20"/>
                <w:color w:val="auto"/>
              </w:rPr>
            </w:pPr>
            <w:r>
              <w:rPr>
                <w:rFonts w:ascii="Arial" w:cs="Arial" w:eastAsia="Arial" w:hAnsi="Arial"/>
                <w:sz w:val="13"/>
                <w:szCs w:val="13"/>
                <w:color w:val="auto"/>
              </w:rPr>
              <w:t>Interest (expense) income and other, net</w:t>
            </w:r>
          </w:p>
        </w:tc>
        <w:tc>
          <w:tcPr>
            <w:tcW w:w="2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(1,165)</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11,955</w:t>
            </w: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(13,120)</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(109.7)</w:t>
            </w: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366,154</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417,551</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(51,397)</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w:t>
            </w:r>
          </w:p>
        </w:tc>
      </w:tr>
      <w:tr>
        <w:trPr>
          <w:trHeight w:val="161"/>
        </w:trPr>
        <w:tc>
          <w:tcPr>
            <w:tcW w:w="5600" w:type="dxa"/>
            <w:vAlign w:val="bottom"/>
          </w:tcPr>
          <w:p>
            <w:pPr>
              <w:spacing w:after="0"/>
              <w:rPr>
                <w:sz w:val="20"/>
                <w:szCs w:val="20"/>
                <w:color w:val="auto"/>
              </w:rPr>
            </w:pPr>
            <w:r>
              <w:rPr>
                <w:rFonts w:ascii="Arial" w:cs="Arial" w:eastAsia="Arial" w:hAnsi="Arial"/>
                <w:sz w:val="13"/>
                <w:szCs w:val="13"/>
                <w:color w:val="auto"/>
              </w:rPr>
              <w:t>Income taxes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39,978</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38,645</w:t>
            </w: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1,333</w:t>
            </w:r>
          </w:p>
        </w:tc>
        <w:tc>
          <w:tcPr>
            <w:tcW w:w="1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3.4</w:t>
            </w: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326,176</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378,906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(52,730)</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w:t>
            </w: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Total revenue decreased by $299.5 million, or 9.5%, to $2,862.6 million in fiscal 2009, from $3,162.1 million in fiscal 2008. Of the 9.5% decrease in revenue, 3.5%</w:t>
      </w:r>
      <w:r>
        <w:rPr>
          <w:rFonts w:ascii="Arial" w:cs="Arial" w:eastAsia="Arial" w:hAnsi="Arial"/>
          <w:sz w:val="13"/>
          <w:szCs w:val="13"/>
          <w:i w:val="1"/>
          <w:iCs w:val="1"/>
          <w:color w:val="auto"/>
        </w:rPr>
        <w:t xml:space="preserve"> </w:t>
      </w:r>
      <w:r>
        <w:rPr>
          <w:rFonts w:ascii="Arial" w:cs="Arial" w:eastAsia="Arial" w:hAnsi="Arial"/>
          <w:sz w:val="13"/>
          <w:szCs w:val="13"/>
          <w:color w:val="auto"/>
        </w:rPr>
        <w:t>was attributable to foreign exchange impacts. The decrease in revenue in fiscal 2009 was also attributable to the downturn in macroeconomic conditions, which resulted in a slower pace of new project signings and fewer transformation deals, as well as a decrease in revenue from directory systems customers. The decrease was partially offset by increases in revenue from cable and satellite customers and from managed services telecommunication customers.</w:t>
      </w:r>
    </w:p>
    <w:p>
      <w:pPr>
        <w:spacing w:after="0" w:line="63"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License and service revenue attributable to the sale of customer experience systems was $2,685.5 million in fiscal 2009, a decrease of $208.9 million, or 7.2%, from fiscal 2008. The decrease was primarily attributable to a decrease in revenue from transformation projects and to foreign exchange impacts, partially offset by an increase in revenue attributable to cable and satellite customers and from managed services arrangements. License and service revenue resulting from the sale of customer experience systems represented 93.8% and 91.5% of our total revenue in fiscal 2009 and 2008, respectively.</w:t>
      </w:r>
    </w:p>
    <w:p>
      <w:pPr>
        <w:spacing w:after="0" w:line="6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License and service revenue from the sale of directory systems was $177.1 million for fiscal 2009, a decrease of $90.6 million, or 33.8%, from fiscal 2008. The decrease was primarily attributable to a decrease in revenue from existing directory systems customers. License and service revenue from the sale of directory systems represented 6.2% and 8.5% of our total revenue in fiscal 2009 and 2008, respectively.</w:t>
      </w:r>
    </w:p>
    <w:p>
      <w:pPr>
        <w:spacing w:after="0" w:line="59"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In fiscal 2009, revenue from customers in North America, Europe and the rest of the world accounted for 75.3%, 13.8% and 10.9%, respectively, of total revenue, compared to 68.7%, 17.3% and 14.0%, respectively, for fiscal 2008. Revenue from customers in North America, in absolute amount, was relatively stable in fiscal 2009 compared to fiscal 2008, which resulted in an increase in revenue from customers in North America as a percentage of total revenue. The decrease in revenue from customers in Europe was primarily attributable to</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completion of projects, a decrease in the pace of new project commitments and foreign exchange impacts. The decrease in revenue from customers in the rest of the world was primarily attributable to completion of projects, a decrease in the pace of new project commitments, a decrease in revenue attributable to the sale of directory systems and foreign exchange impacts.</w:t>
      </w:r>
    </w:p>
    <w:p>
      <w:pPr>
        <w:spacing w:after="0" w:line="59"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i w:val="1"/>
          <w:iCs w:val="1"/>
          <w:color w:val="auto"/>
        </w:rPr>
        <w:t xml:space="preserve">Cost of License and Service. </w:t>
      </w:r>
      <w:r>
        <w:rPr>
          <w:rFonts w:ascii="Arial" w:cs="Arial" w:eastAsia="Arial" w:hAnsi="Arial"/>
          <w:sz w:val="12"/>
          <w:szCs w:val="12"/>
          <w:color w:val="auto"/>
        </w:rPr>
        <w:t>Cost of license includes license fees and royalty payments to software suppliers. Cost of service consists primarily of costs associated with</w:t>
      </w:r>
      <w:r>
        <w:rPr>
          <w:rFonts w:ascii="Arial" w:cs="Arial" w:eastAsia="Arial" w:hAnsi="Arial"/>
          <w:sz w:val="12"/>
          <w:szCs w:val="12"/>
          <w:i w:val="1"/>
          <w:iCs w:val="1"/>
          <w:color w:val="auto"/>
        </w:rPr>
        <w:t xml:space="preserve"> </w:t>
      </w:r>
      <w:r>
        <w:rPr>
          <w:rFonts w:ascii="Arial" w:cs="Arial" w:eastAsia="Arial" w:hAnsi="Arial"/>
          <w:sz w:val="12"/>
          <w:szCs w:val="12"/>
          <w:color w:val="auto"/>
        </w:rPr>
        <w:t>providing services to customers, including compensation expense and costs of third-party products. Cost of license and service decreased by $191.7 million, or 9.5%, to $1,834.6 million in fiscal 2009, from $2,026.3 million in fiscal 2008. As a percentage of revenue, cost of license and service was 64.1% in fiscal 2009, the same level as in fiscal 2008. Cost of service in fiscal 2009, as a percentage of revenue, was affected by the decrease in revenue which was offset by the effects of our cost savings programs, including reductions in headcount, subcontractors, travel and other costs, our expansion into lower cost jurisdictions, foreign exchange impacts and higher margins from existing managed services arrangements. Margins from existing managed services tend to improve over time as we realize synergies, create cost efficiencies and improve business processes.</w:t>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is primarily comprised of compensation expense. Research and development expense decreased in absolute amount by</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$15.1 million, or 6.7%, to $210.4 million in fiscal 2009, from $225.5 million in fiscal 2008, primarily as a result of our cost savings measures and changes in the geographical mix of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research and development resources. However, as a percentage of revenue, research and development expense increased to 7.3% in fiscal 2009, compared to 7.1% in fiscal 2008.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research and development efforts are a key element of our strategy and are essential to our success and we intend to maintain our commitment to research and development. An increase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or a decrease in our total revenue would not necessarily result in a proportional increase or decrease in the levels of our research and development expenditures, which could affect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operating margin. The majority of our research and development expenditures is directed at our customer experience systems, and the remainder to directory systems. Please see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“Research and Development, Patents and Licenses.”</w:t>
      </w:r>
    </w:p>
    <w:p>
      <w:pPr>
        <w:spacing w:after="0" w:line="9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decreased by $59.8 million, or 14.8%, to $344.3 million in fiscal 2009, from $404.1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2008. Selling, general and administrative expense is primarily comprised of compensation expense. The decrease in selling, general and administrative expense was primarily attributable to the effects of our cost savings programs and foreign exchange impacts.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Restructuring Charges and In-Process Research and Development. </w:t>
      </w:r>
      <w:r>
        <w:rPr>
          <w:rFonts w:ascii="Arial" w:cs="Arial" w:eastAsia="Arial" w:hAnsi="Arial"/>
          <w:sz w:val="12"/>
          <w:szCs w:val="12"/>
          <w:color w:val="auto"/>
        </w:rPr>
        <w:t>Restructuring charges and in-process research and development increased by $6.9 million, or 49.5%, to</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$20.8 million in fiscal 2009, from $13.9 million in fiscal 2008. Restructuring charges and in-process research and development in fiscal 2009 consisted of a $15.1 million restructuring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charge related primarily to our restructuring plan in the first quarter of fiscal 2009 and a $5.7 million charge for the write-off of purchased in-process research and development related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 small acquisition during fiscal 2009. Restructuring charges and in-process research and development in fiscal 2008 consisted of a $12.1 million restructuring charge related to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restructuring plan in the fourth quarter of fiscal 2008 and a $1.8 million charge for the write-off of purchased in-process research and development related to a small acquisition during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2008.</w:t>
      </w:r>
    </w:p>
    <w:p>
      <w:pPr>
        <w:spacing w:after="0" w:line="92" w:lineRule="exact"/>
        <w:rPr>
          <w:sz w:val="20"/>
          <w:szCs w:val="20"/>
          <w:color w:val="auto"/>
        </w:rPr>
      </w:pPr>
    </w:p>
    <w:p>
      <w:pPr>
        <w:jc w:val="both"/>
        <w:ind w:left="680" w:right="180" w:firstLine="399"/>
        <w:spacing w:after="0" w:line="276" w:lineRule="auto"/>
        <w:rPr>
          <w:sz w:val="20"/>
          <w:szCs w:val="20"/>
          <w:color w:val="auto"/>
        </w:rPr>
      </w:pPr>
      <w:r>
        <w:rPr>
          <w:rFonts w:ascii="Arial" w:cs="Arial" w:eastAsia="Arial" w:hAnsi="Arial"/>
          <w:sz w:val="13"/>
          <w:szCs w:val="13"/>
          <w:color w:val="auto"/>
        </w:rPr>
        <w:t>In-process research and development was written off as of the closing dates of the acquisitions. The in-process research and development had no alternative future use and had not reached technological feasibility as of the closing dates of the acquisitions. Effective October 1, 2009, we adopted new accounting rules for business combinations and as a result will capitalize in-process research and development.</w:t>
      </w:r>
    </w:p>
    <w:p>
      <w:pPr>
        <w:spacing w:after="0" w:line="59"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decreased by $38.3 million, or 9.4%, to $367.3 million in fiscal 2009, from $405.6 million in fiscal 2008. As a percentage of revenue,</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income was 12.8% in fiscal 2009, the same level as in fiscal 2008. Operating income in fiscal 2009 was affected by the decrease in revenue, foreign exchange impacts and increase in restructuring and in-process research and development charges, which was offset by the effects of our cost savings programs, our expansion into lower cost jurisdictions and higher margins from existing managed services arrangements.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Interest (Expense) Income and Other, Net. </w:t>
      </w:r>
      <w:r>
        <w:rPr>
          <w:rFonts w:ascii="Arial" w:cs="Arial" w:eastAsia="Arial" w:hAnsi="Arial"/>
          <w:sz w:val="13"/>
          <w:szCs w:val="13"/>
          <w:color w:val="auto"/>
        </w:rPr>
        <w:t>Interest (expense) income and other, net decreased by $13.1 million to expense of $1.2 million in fiscal 2009, from income of</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$12.0 million in fiscal 2008. The decrease in interest (expense) income and other, net, was primarily attributable to lower income on our short-term interest-bearing investments due to</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market conditions, offset by an improvement in foreign exchange effects.</w:t>
      </w:r>
    </w:p>
    <w:p>
      <w:pPr>
        <w:spacing w:after="0" w:line="92" w:lineRule="exact"/>
        <w:rPr>
          <w:sz w:val="20"/>
          <w:szCs w:val="20"/>
          <w:color w:val="auto"/>
        </w:rPr>
      </w:pPr>
    </w:p>
    <w:p>
      <w:pPr>
        <w:ind w:left="680" w:right="820" w:firstLine="399"/>
        <w:spacing w:after="0" w:line="292"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Income taxes for fiscal 2009 were $40.0 million on pre-tax income of $366.2 million, resulting in an effective tax rate of 10.9%, compared to 9.3% in fiscal 2008.</w:t>
      </w:r>
      <w:r>
        <w:rPr>
          <w:rFonts w:ascii="Arial" w:cs="Arial" w:eastAsia="Arial" w:hAnsi="Arial"/>
          <w:sz w:val="12"/>
          <w:szCs w:val="12"/>
          <w:i w:val="1"/>
          <w:iCs w:val="1"/>
          <w:color w:val="auto"/>
        </w:rPr>
        <w:t xml:space="preserve"> </w:t>
      </w:r>
      <w:r>
        <w:rPr>
          <w:rFonts w:ascii="Arial" w:cs="Arial" w:eastAsia="Arial" w:hAnsi="Arial"/>
          <w:sz w:val="12"/>
          <w:szCs w:val="12"/>
          <w:color w:val="auto"/>
        </w:rPr>
        <w:t>Of the increase in our effective tax rate, approximately 4.5% was attributable to changes in our tax reserves, approximately 1.8% was attributable to a tax benefit in fiscal 2008, resulting from a lapse of statute of limitations and approximately 0.4% attributable to changes in our valuation allowances, which was partially offset by a decrease of approximately 5.2% attributable to the geographical distribution of earnings from global operations and the remaining difference was attributable to the net effect of acquisition-related costs (which include amortization of purchased intangible assets, and in-process research and development), restructuring charges and equity-based compensation expense. Our effective tax rate may fluctuate between quarters as a result of discrete items that may affect a specific quarter. Please see Note 11 to our consolidated financial statements.</w:t>
      </w:r>
    </w:p>
    <w:p>
      <w:pPr>
        <w:spacing w:after="0" w:line="51" w:lineRule="exact"/>
        <w:rPr>
          <w:sz w:val="20"/>
          <w:szCs w:val="20"/>
          <w:color w:val="auto"/>
        </w:rPr>
      </w:pPr>
    </w:p>
    <w:p>
      <w:pPr>
        <w:ind w:left="680" w:right="880" w:firstLine="399"/>
        <w:spacing w:after="0" w:line="294"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decreased by $52.7 million, or 13.9%, to $326.2 million in fiscal 2009, from $378.9 million in fiscal 2008. The decrease in net income was attributable</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to the decrease in operating income and the decrease in interest (expense) income and other, net.</w:t>
      </w:r>
    </w:p>
    <w:p>
      <w:pPr>
        <w:spacing w:after="0" w:line="47" w:lineRule="exact"/>
        <w:rPr>
          <w:sz w:val="20"/>
          <w:szCs w:val="20"/>
          <w:color w:val="auto"/>
        </w:rPr>
      </w:pPr>
    </w:p>
    <w:p>
      <w:pPr>
        <w:jc w:val="both"/>
        <w:ind w:left="680" w:right="1100" w:firstLine="399"/>
        <w:spacing w:after="0" w:line="309" w:lineRule="auto"/>
        <w:rPr>
          <w:sz w:val="20"/>
          <w:szCs w:val="20"/>
          <w:color w:val="auto"/>
        </w:rPr>
      </w:pPr>
      <w:r>
        <w:rPr>
          <w:rFonts w:ascii="Arial" w:cs="Arial" w:eastAsia="Arial" w:hAnsi="Arial"/>
          <w:sz w:val="12"/>
          <w:szCs w:val="12"/>
          <w:i w:val="1"/>
          <w:iCs w:val="1"/>
          <w:color w:val="auto"/>
        </w:rPr>
        <w:t xml:space="preserve">Diluted Earnings Per Share. </w:t>
      </w:r>
      <w:r>
        <w:rPr>
          <w:rFonts w:ascii="Arial" w:cs="Arial" w:eastAsia="Arial" w:hAnsi="Arial"/>
          <w:sz w:val="12"/>
          <w:szCs w:val="12"/>
          <w:color w:val="auto"/>
        </w:rPr>
        <w:t>Diluted earnings per share decreased by $0.16, or 9.2%, to $1.58 in fiscal 2009, from $1.74 in fiscal 2008. The decrease in diluted earnings per</w:t>
      </w:r>
      <w:r>
        <w:rPr>
          <w:rFonts w:ascii="Arial" w:cs="Arial" w:eastAsia="Arial" w:hAnsi="Arial"/>
          <w:sz w:val="12"/>
          <w:szCs w:val="12"/>
          <w:i w:val="1"/>
          <w:iCs w:val="1"/>
          <w:color w:val="auto"/>
        </w:rPr>
        <w:t xml:space="preserve"> </w:t>
      </w:r>
      <w:r>
        <w:rPr>
          <w:rFonts w:ascii="Arial" w:cs="Arial" w:eastAsia="Arial" w:hAnsi="Arial"/>
          <w:sz w:val="12"/>
          <w:szCs w:val="12"/>
          <w:color w:val="auto"/>
        </w:rPr>
        <w:t>share resulted primarily from the decrease in net income, partially offset by the decrease in diluted weighted average shares outstanding resulting primarily from the repurchase and redemption of our convertible notes and the full impact of the repurchase of our ordinary shares in fiscal 2008. Please see Note 20 to our consolidated financial statements.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September 30, 2008 and 2007</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tabular presentation of our results of operations for the fiscal year ended September 30, 2008, compared to the fiscal year ended September 30, 2007.</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Following the table is a discussion and analysis of our business and results of operations for these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gridSpan w:val="5"/>
          </w:tcPr>
          <w:p>
            <w:pPr>
              <w:ind w:left="300"/>
              <w:spacing w:after="0"/>
              <w:rPr>
                <w:sz w:val="20"/>
                <w:szCs w:val="20"/>
                <w:color w:val="auto"/>
              </w:rPr>
            </w:pPr>
            <w:r>
              <w:rPr>
                <w:rFonts w:ascii="Arial" w:cs="Arial" w:eastAsia="Arial" w:hAnsi="Arial"/>
                <w:sz w:val="11"/>
                <w:szCs w:val="11"/>
                <w:b w:val="1"/>
                <w:bCs w:val="1"/>
                <w:color w:val="auto"/>
              </w:rPr>
              <w:t>Year ended September 30,</w:t>
            </w:r>
          </w:p>
        </w:tc>
        <w:tc>
          <w:tcPr>
            <w:tcW w:w="120" w:type="dxa"/>
            <w:vAlign w:val="bottom"/>
          </w:tcPr>
          <w:p>
            <w:pPr>
              <w:spacing w:after="0"/>
              <w:rPr>
                <w:sz w:val="11"/>
                <w:szCs w:val="11"/>
                <w:color w:val="auto"/>
              </w:rPr>
            </w:pPr>
          </w:p>
        </w:tc>
        <w:tc>
          <w:tcPr>
            <w:tcW w:w="1500" w:type="dxa"/>
            <w:vAlign w:val="bottom"/>
            <w:gridSpan w:val="4"/>
          </w:tcPr>
          <w:p>
            <w:pPr>
              <w:jc w:val="right"/>
              <w:ind w:right="440"/>
              <w:spacing w:after="0"/>
              <w:rPr>
                <w:sz w:val="20"/>
                <w:szCs w:val="20"/>
                <w:color w:val="auto"/>
              </w:rPr>
            </w:pPr>
            <w:r>
              <w:rPr>
                <w:rFonts w:ascii="Arial" w:cs="Arial" w:eastAsia="Arial" w:hAnsi="Arial"/>
                <w:sz w:val="11"/>
                <w:szCs w:val="11"/>
                <w:b w:val="1"/>
                <w:bCs w:val="1"/>
                <w:color w:val="auto"/>
              </w:rPr>
              <w:t>Increase (Decrease)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2008</w:t>
            </w: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tcPr>
          <w:p>
            <w:pPr>
              <w:jc w:val="right"/>
              <w:ind w:right="520"/>
              <w:spacing w:after="0" w:line="101" w:lineRule="exact"/>
              <w:rPr>
                <w:sz w:val="20"/>
                <w:szCs w:val="20"/>
                <w:color w:val="auto"/>
              </w:rPr>
            </w:pPr>
            <w:r>
              <w:rPr>
                <w:rFonts w:ascii="Arial" w:cs="Arial" w:eastAsia="Arial" w:hAnsi="Arial"/>
                <w:sz w:val="11"/>
                <w:szCs w:val="11"/>
                <w:b w:val="1"/>
                <w:bCs w:val="1"/>
                <w:color w:val="auto"/>
                <w:w w:val="96"/>
              </w:rPr>
              <w:t>Amount</w:t>
            </w:r>
          </w:p>
        </w:tc>
        <w:tc>
          <w:tcPr>
            <w:tcW w:w="400" w:type="dxa"/>
            <w:vAlign w:val="bottom"/>
            <w:tcBorders>
              <w:top w:val="single" w:sz="8" w:color="auto"/>
            </w:tcBorders>
          </w:tcPr>
          <w:p>
            <w:pPr>
              <w:jc w:val="right"/>
              <w:ind w:right="74"/>
              <w:spacing w:after="0" w:line="101"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top w:val="single" w:sz="8" w:color="auto"/>
              <w:bottom w:val="single" w:sz="8" w:color="auto"/>
            </w:tcBorders>
            <w:gridSpan w:val="2"/>
          </w:tcPr>
          <w:p>
            <w:pPr>
              <w:ind w:left="20"/>
              <w:spacing w:after="0" w:line="101" w:lineRule="exact"/>
              <w:rPr>
                <w:sz w:val="20"/>
                <w:szCs w:val="20"/>
                <w:color w:val="auto"/>
              </w:rPr>
            </w:pPr>
            <w:r>
              <w:rPr>
                <w:rFonts w:ascii="Arial" w:cs="Arial" w:eastAsia="Arial" w:hAnsi="Arial"/>
                <w:sz w:val="11"/>
                <w:szCs w:val="11"/>
                <w:b w:val="1"/>
                <w:bCs w:val="1"/>
                <w:color w:val="auto"/>
              </w:rPr>
              <w:t>(in thousands)</w:t>
            </w:r>
          </w:p>
        </w:tc>
        <w:tc>
          <w:tcPr>
            <w:tcW w:w="38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tcPr>
          <w:p>
            <w:pPr>
              <w:ind w:left="140"/>
              <w:spacing w:after="0"/>
              <w:rPr>
                <w:sz w:val="20"/>
                <w:szCs w:val="20"/>
                <w:color w:val="auto"/>
              </w:rPr>
            </w:pPr>
            <w:r>
              <w:rPr>
                <w:rFonts w:ascii="Arial" w:cs="Arial" w:eastAsia="Arial" w:hAnsi="Arial"/>
                <w:sz w:val="13"/>
                <w:szCs w:val="13"/>
                <w:color w:val="auto"/>
              </w:rPr>
              <w:t>License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135,487</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159,357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(23,870)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3,026,609</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2,676,816</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349,793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3,162,096</w:t>
            </w:r>
          </w:p>
        </w:tc>
        <w:tc>
          <w:tcPr>
            <w:tcW w:w="3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2,836,173</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325,923</w:t>
            </w:r>
          </w:p>
        </w:tc>
        <w:tc>
          <w:tcPr>
            <w:tcW w:w="3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2,729</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3,914</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(1,185)</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(30.3)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2,023,562</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1,792,468</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231,094</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225,492</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230,444</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(4,952)</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404,134</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370,194</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33,940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86,687</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74,959</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11,728</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15.6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in-process research and development and other acquisition related costs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13,896</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6,761</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7,135</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2,756,500</w:t>
            </w:r>
          </w:p>
        </w:tc>
        <w:tc>
          <w:tcPr>
            <w:tcW w:w="3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2,478,740</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277,760</w:t>
            </w:r>
          </w:p>
        </w:tc>
        <w:tc>
          <w:tcPr>
            <w:tcW w:w="3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405,596</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357,433</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48,163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Interest income and other, net</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11,955</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50,566</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(38,611)</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(76.4)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417,551</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407,999</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9,552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Income taxes</w:t>
            </w: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38,645</w:t>
            </w:r>
          </w:p>
        </w:tc>
        <w:tc>
          <w:tcPr>
            <w:tcW w:w="2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43,062</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(4,417)</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378,906</w:t>
            </w: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364,937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13,969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0" w:type="dxa"/>
            <w:vAlign w:val="bottom"/>
            <w:vMerge w:val="restart"/>
          </w:tcPr>
          <w:p>
            <w:pPr>
              <w:ind w:left="4920"/>
              <w:spacing w:after="0"/>
              <w:rPr>
                <w:sz w:val="20"/>
                <w:szCs w:val="20"/>
                <w:color w:val="auto"/>
              </w:rPr>
            </w:pPr>
            <w:r>
              <w:rPr>
                <w:rFonts w:ascii="Arial" w:cs="Arial" w:eastAsia="Arial" w:hAnsi="Arial"/>
                <w:sz w:val="13"/>
                <w:szCs w:val="13"/>
                <w:color w:val="auto"/>
              </w:rPr>
              <w:t>35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5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80" w:firstLine="399"/>
        <w:spacing w:after="0" w:line="309"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increased by $325.9 million, or 11.5%, to $3,162.1 million in fiscal 2008, from $2,836.2 million in fiscal 2007. Approximately 48% of the increase was</w:t>
      </w:r>
      <w:r>
        <w:rPr>
          <w:rFonts w:ascii="Arial" w:cs="Arial" w:eastAsia="Arial" w:hAnsi="Arial"/>
          <w:sz w:val="12"/>
          <w:szCs w:val="12"/>
          <w:i w:val="1"/>
          <w:iCs w:val="1"/>
          <w:color w:val="auto"/>
        </w:rPr>
        <w:t xml:space="preserve"> </w:t>
      </w:r>
      <w:r>
        <w:rPr>
          <w:rFonts w:ascii="Arial" w:cs="Arial" w:eastAsia="Arial" w:hAnsi="Arial"/>
          <w:sz w:val="12"/>
          <w:szCs w:val="12"/>
          <w:color w:val="auto"/>
        </w:rPr>
        <w:t>attributable to an increase in business related to managed services customers and the remainder was primarily attributable to additional revenue from consolidation and transformation projects for Tier 1 and for cable and satellite customers, from revenue related to OSS projects and from revenue contributed by customers in emerging markets.</w:t>
      </w:r>
    </w:p>
    <w:p>
      <w:pPr>
        <w:spacing w:after="0" w:line="41"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License revenue decreased by $23.9 million, or 15.0%, to $135.5 million in fiscal 2008, from $159.4 million in fiscal 2007. The decrease in license revenue was attributable primarily to completion of some projects.</w:t>
      </w:r>
    </w:p>
    <w:p>
      <w:pPr>
        <w:spacing w:after="0" w:line="47" w:lineRule="exact"/>
        <w:rPr>
          <w:sz w:val="20"/>
          <w:szCs w:val="20"/>
          <w:color w:val="auto"/>
        </w:rPr>
      </w:pPr>
    </w:p>
    <w:p>
      <w:pPr>
        <w:ind w:left="680" w:right="140" w:firstLine="399"/>
        <w:spacing w:after="0" w:line="309" w:lineRule="auto"/>
        <w:rPr>
          <w:sz w:val="20"/>
          <w:szCs w:val="20"/>
          <w:color w:val="auto"/>
        </w:rPr>
      </w:pPr>
      <w:r>
        <w:rPr>
          <w:rFonts w:ascii="Arial" w:cs="Arial" w:eastAsia="Arial" w:hAnsi="Arial"/>
          <w:sz w:val="12"/>
          <w:szCs w:val="12"/>
          <w:color w:val="auto"/>
        </w:rPr>
        <w:t>License and service revenue attributable to the sale of customer experience systems was $2,894.3 million in fiscal 2008, an increase of $342.6 million, or 13.4%, from fiscal 2007. The increase was primarily attributable to revenue related to the expansion of our managed services activities, revenue from consolidation and transformation projects for Tier 1 and for cable and satellite customers, from revenue related to OSS projects and from revenue contributed by customers in emerging markets.</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License and service revenue from the sale of customer experience systems represented 91.5% and 90.0% of our total revenue in fiscal 2008 and 2007, respectively.</w:t>
      </w:r>
    </w:p>
    <w:p>
      <w:pPr>
        <w:spacing w:after="0" w:line="10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License and service revenue from the sale of directory systems was $267.8 million for fiscal 2008, a decrease of $16.7 million, or 5.9%, from fiscal 2007. The decrease was primarily attributable to decrease in activities related to our existing customers. License and service revenue from the sale of directory systems represented 8.5% and 10.0% of our total revenue in fiscal 2008 and 2007, respectively.</w:t>
      </w:r>
    </w:p>
    <w:p>
      <w:pPr>
        <w:spacing w:after="0" w:line="59"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In fiscal 2008, revenue from customers in North America, Europe and the rest of the world accounted for 68.7%, 17.3% and 14.0%, respectively, of total revenue, compared to 66.6%, 21.5% and 11.9%, respectively, for fiscal 2007. The decrease in revenue contributed from customers in Europe was attributable primarily to completion of projects. The increase in the percentage of revenue contributed from customers in the rest of the world in fiscal 2008 was attributable primarily to revenue contributed by customers in the Asia-Pacific region and emerging markets.</w:t>
      </w:r>
    </w:p>
    <w:p>
      <w:pPr>
        <w:spacing w:after="0" w:line="63"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i w:val="1"/>
          <w:iCs w:val="1"/>
          <w:color w:val="auto"/>
        </w:rPr>
        <w:t xml:space="preserve">Cost of License and Service. </w:t>
      </w:r>
      <w:r>
        <w:rPr>
          <w:rFonts w:ascii="Arial" w:cs="Arial" w:eastAsia="Arial" w:hAnsi="Arial"/>
          <w:sz w:val="13"/>
          <w:szCs w:val="13"/>
          <w:color w:val="auto"/>
        </w:rPr>
        <w:t>Cost of license mainly includes royalty payments to software suppliers. Cost of service consists primarily of costs associated with providing</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to customers, including compensation expense and costs of third-party products. The increase in cost of license and service in fiscal 2008 was $229.9 million or, 12.8%, which is higher than the increase in our total revenue in fiscal 2008. As a percentage of revenue, cost of license and service was 64.1% in fiscal 2008, compared to 63.3% in fiscal 2007. Our cost of service in fiscal 2008 was affected by expansion of our managed services activities, partially offset by cost savings resulting from our expansion into lower cost jurisdictions and increased efficiencies in our overall operations.</w:t>
      </w:r>
    </w:p>
    <w:p>
      <w:pPr>
        <w:spacing w:after="0" w:line="65"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 is primarily comprised of compensation expense. Research and development expense decreased by $4.9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or 2.1%, to $225.5 million in fiscal 2008, from $230.4 million in fiscal 2007. Research and development expense decreased as a percentage of revenue from 8.1% in fiscal 2007 to 7.1% in fiscal 2008.</w:t>
      </w:r>
    </w:p>
    <w:p>
      <w:pPr>
        <w:spacing w:after="0" w:line="59"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by $33.9 million, or 9.2%, to $404.1 million in fiscal 2008, from $370.2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2007. Selling, general and administrative expense is primarily comprised of compensation expense. Selling, general and administrative expense increased at a lower rate than the 11.5% increase in our total revenue, which resulted in a decrease as a percentage of revenue, from 13.1% in fiscal 2007 to 12.8% in fiscal 2008. The increase in selling, general and administrative expense was attributable to an overall increase in our operations.</w:t>
      </w:r>
    </w:p>
    <w:p>
      <w:pPr>
        <w:spacing w:after="0" w:line="63" w:lineRule="exact"/>
        <w:rPr>
          <w:sz w:val="20"/>
          <w:szCs w:val="20"/>
          <w:color w:val="auto"/>
        </w:rPr>
      </w:pPr>
    </w:p>
    <w:p>
      <w:pPr>
        <w:ind w:left="680" w:right="400" w:firstLine="399"/>
        <w:spacing w:after="0" w:line="338" w:lineRule="auto"/>
        <w:rPr>
          <w:sz w:val="20"/>
          <w:szCs w:val="20"/>
          <w:color w:val="auto"/>
        </w:rPr>
      </w:pPr>
      <w:r>
        <w:rPr>
          <w:rFonts w:ascii="Arial" w:cs="Arial" w:eastAsia="Arial" w:hAnsi="Arial"/>
          <w:sz w:val="12"/>
          <w:szCs w:val="12"/>
          <w:i w:val="1"/>
          <w:iCs w:val="1"/>
          <w:color w:val="auto"/>
        </w:rPr>
        <w:t xml:space="preserve">Amortization of Purchased Intangible Assets. </w:t>
      </w:r>
      <w:r>
        <w:rPr>
          <w:rFonts w:ascii="Arial" w:cs="Arial" w:eastAsia="Arial" w:hAnsi="Arial"/>
          <w:sz w:val="12"/>
          <w:szCs w:val="12"/>
          <w:color w:val="auto"/>
        </w:rPr>
        <w:t>Amortization of purchased intangible assets in fiscal 2008 was $86.7 million, compared to $74.9 million in fiscal 2007. The</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in amortization of purchased intangible assets was primarily due to purchased intangible assets acquired in our fiscal 2006, 2007 and 2008 acquisitions.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i w:val="1"/>
          <w:iCs w:val="1"/>
          <w:color w:val="auto"/>
        </w:rPr>
        <w:t xml:space="preserve">Restructuring Charges, In-Process Research and Development and Other. </w:t>
      </w:r>
      <w:r>
        <w:rPr>
          <w:rFonts w:ascii="Arial" w:cs="Arial" w:eastAsia="Arial" w:hAnsi="Arial"/>
          <w:sz w:val="12"/>
          <w:szCs w:val="12"/>
          <w:color w:val="auto"/>
        </w:rPr>
        <w:t>Restructuring charges, in-process research and development and other increased by $7.1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105.5%, to $13.9 million in fiscal 2008, from $6.8 million in fiscal 2007. Restructuring charges, in-process research and development and other in fiscal 2008 consisted of a</w:t>
      </w:r>
    </w:p>
    <w:p>
      <w:pPr>
        <w:spacing w:after="0" w:line="1" w:lineRule="exact"/>
        <w:rPr>
          <w:sz w:val="20"/>
          <w:szCs w:val="20"/>
          <w:color w:val="auto"/>
        </w:rPr>
      </w:pPr>
    </w:p>
    <w:p>
      <w:pPr>
        <w:ind w:left="680" w:right="180"/>
        <w:spacing w:after="0" w:line="293" w:lineRule="auto"/>
        <w:rPr>
          <w:sz w:val="20"/>
          <w:szCs w:val="20"/>
          <w:color w:val="auto"/>
        </w:rPr>
      </w:pPr>
      <w:r>
        <w:rPr>
          <w:rFonts w:ascii="Arial" w:cs="Arial" w:eastAsia="Arial" w:hAnsi="Arial"/>
          <w:sz w:val="12"/>
          <w:szCs w:val="12"/>
          <w:color w:val="auto"/>
        </w:rPr>
        <w:t>$12.1 million restructuring charge related to our restructuring plan in the fourth quarter of fiscal 2008 and a $1.8 million charge for the write-off of purchased in-process research and development related to an immaterial acquisition during fiscal 2008. Restructuring charges, in-process research and development and other in fiscal 2007 consisted of a $6.0 million restructuring charge related to our restructuring plan in the second quarter of fiscal 2007, and a $0.8 million net charge for the write-off of purchased in-process research and development and other related to a fiscal 2007 acquisition. Please see the discussion above under the caption “Operational Efficiency and Cost Reduction Program.”</w:t>
      </w:r>
    </w:p>
    <w:p>
      <w:pPr>
        <w:spacing w:after="0" w:line="51"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In-process research and development was written off as of the closing dates of the acquisitions. The in-process research and development had no alternative future use and had not reached technological feasibility as of the closing dates of the acquisitions.</w:t>
      </w:r>
    </w:p>
    <w:p>
      <w:pPr>
        <w:spacing w:after="0" w:line="47"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by $48.2 million, or 13.5%, to $405.6 million in fiscal 2008, from $357.4 million in fiscal 2007. Operating expense grew at a</w:t>
      </w:r>
      <w:r>
        <w:rPr>
          <w:rFonts w:ascii="Arial" w:cs="Arial" w:eastAsia="Arial" w:hAnsi="Arial"/>
          <w:sz w:val="13"/>
          <w:szCs w:val="13"/>
          <w:i w:val="1"/>
          <w:iCs w:val="1"/>
          <w:color w:val="auto"/>
        </w:rPr>
        <w:t xml:space="preserve"> </w:t>
      </w:r>
      <w:r>
        <w:rPr>
          <w:rFonts w:ascii="Arial" w:cs="Arial" w:eastAsia="Arial" w:hAnsi="Arial"/>
          <w:sz w:val="13"/>
          <w:szCs w:val="13"/>
          <w:color w:val="auto"/>
        </w:rPr>
        <w:t>slightly lower rate than the 11.5% increase in revenue during fiscal 2008, which resulted in a slight increase in operating income as a percentage of revenue.</w:t>
      </w:r>
    </w:p>
    <w:p>
      <w:pPr>
        <w:spacing w:after="0" w:line="47" w:lineRule="exact"/>
        <w:rPr>
          <w:sz w:val="20"/>
          <w:szCs w:val="20"/>
          <w:color w:val="auto"/>
        </w:rPr>
      </w:pPr>
    </w:p>
    <w:p>
      <w:pPr>
        <w:jc w:val="both"/>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Interest Income and Other, Net. </w:t>
      </w:r>
      <w:r>
        <w:rPr>
          <w:rFonts w:ascii="Arial" w:cs="Arial" w:eastAsia="Arial" w:hAnsi="Arial"/>
          <w:sz w:val="13"/>
          <w:szCs w:val="13"/>
          <w:color w:val="auto"/>
        </w:rPr>
        <w:t>Interest income and other, net decreased by $38.6 million to $12.0 million in fiscal 2008, from $50.6 million in fiscal 2007. The decrease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income and other, net, was primarily attributable to the impact of foreign exchange losses and to lower income on our short-term interest-bearing investments due to current market conditions.</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Income taxes for fiscal 2008 were $38.6 million on pre-tax income of $417.6 million, resulting in an effective tax rate of 9.3%, compared to 10.6% in fiscal 2007.</w:t>
      </w:r>
      <w:r>
        <w:rPr>
          <w:rFonts w:ascii="Arial" w:cs="Arial" w:eastAsia="Arial" w:hAnsi="Arial"/>
          <w:sz w:val="13"/>
          <w:szCs w:val="13"/>
          <w:i w:val="1"/>
          <w:iCs w:val="1"/>
          <w:color w:val="auto"/>
        </w:rPr>
        <w:t xml:space="preserve"> </w:t>
      </w:r>
      <w:r>
        <w:rPr>
          <w:rFonts w:ascii="Arial" w:cs="Arial" w:eastAsia="Arial" w:hAnsi="Arial"/>
          <w:sz w:val="13"/>
          <w:szCs w:val="13"/>
          <w:color w:val="auto"/>
        </w:rPr>
        <w:t>Of the decrease in our effective tax rate, approximately 2.1% was attributable to adjustments made during fiscal 2007 to deferred tax liabilities related to two fiscal 2006 acquisitions, approximately 1.8% was attributable to a tax benefit resulting from a lapse of statute of limitations and approximately 1.1% was attributable to the changes in our tax reserves. These decreases were partially offset by increases of approximately 3.7% attributable to changes in the valuation allowances and approximately 0.3% attributable to the effect of acquisition-related costs (which include amortization of purchased intangible assets, and in-process research and development and other), restructuring charges and equity-based compensation expense, and the remaining difference was primarily attributable to a decrease in our effective tax rate due to the geographical distribution of earnings from global operations. Please see Note 11 to our consolidated financial statements.</w:t>
      </w:r>
    </w:p>
    <w:p>
      <w:pPr>
        <w:spacing w:after="0" w:line="68"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was $378.9 million in fiscal 2008, compared to net income of $364.9 million in fiscal 2007. The increase in net income was attributable to the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in our operating income and to the decrease of our effective tax rate, offset by the decrease in interest income and other, net.</w:t>
      </w:r>
    </w:p>
    <w:p>
      <w:pPr>
        <w:spacing w:after="0" w:line="47"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i w:val="1"/>
          <w:iCs w:val="1"/>
          <w:color w:val="auto"/>
        </w:rPr>
        <w:t xml:space="preserve">Diluted Earnings Per Share. </w:t>
      </w:r>
      <w:r>
        <w:rPr>
          <w:rFonts w:ascii="Arial" w:cs="Arial" w:eastAsia="Arial" w:hAnsi="Arial"/>
          <w:sz w:val="12"/>
          <w:szCs w:val="12"/>
          <w:color w:val="auto"/>
        </w:rPr>
        <w:t>Diluted earnings per share increased by $0.09, or 5.5%, to $1.74 in fiscal 2008, from $1.65 in fiscal 2007. The increase in diluted earnings per share</w:t>
      </w:r>
      <w:r>
        <w:rPr>
          <w:rFonts w:ascii="Arial" w:cs="Arial" w:eastAsia="Arial" w:hAnsi="Arial"/>
          <w:sz w:val="12"/>
          <w:szCs w:val="12"/>
          <w:i w:val="1"/>
          <w:iCs w:val="1"/>
          <w:color w:val="auto"/>
        </w:rPr>
        <w:t xml:space="preserve"> </w:t>
      </w:r>
      <w:r>
        <w:rPr>
          <w:rFonts w:ascii="Arial" w:cs="Arial" w:eastAsia="Arial" w:hAnsi="Arial"/>
          <w:sz w:val="12"/>
          <w:szCs w:val="12"/>
          <w:color w:val="auto"/>
        </w:rPr>
        <w:t>resulted from the increase in net income and the decrease in diluted weighted average shares outstanding. Please see Note 20 to our consolidated financial statements.</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4" w:lineRule="exact"/>
        <w:rPr>
          <w:sz w:val="20"/>
          <w:szCs w:val="20"/>
          <w:color w:val="auto"/>
        </w:rPr>
      </w:pPr>
    </w:p>
    <w:p>
      <w:pPr>
        <w:jc w:val="both"/>
        <w:ind w:left="680" w:right="140" w:firstLine="399"/>
        <w:spacing w:after="0" w:line="267" w:lineRule="auto"/>
        <w:rPr>
          <w:sz w:val="20"/>
          <w:szCs w:val="20"/>
          <w:color w:val="auto"/>
        </w:rPr>
      </w:pPr>
      <w:r>
        <w:rPr>
          <w:rFonts w:ascii="Arial" w:cs="Arial" w:eastAsia="Arial" w:hAnsi="Arial"/>
          <w:sz w:val="13"/>
          <w:szCs w:val="13"/>
          <w:color w:val="auto"/>
        </w:rPr>
        <w:t>Cash, cash equivalents and short-term interest-bearing investments totaled $1,173.0 million as of September 30, 2009, compared to $1,244.4 million as of September 30, 2008. The decrease during fiscal 2009 was mainly attributable to $446.8 million used for the redemption and repurchase of our convertible notes, $82.3 million for net capital expenditures, $65.9 million in net cash paid for acquisitions and $20.0 million used to repurchase our ordinary shares pursuant to our share repurchase program, partially offset by $519.2 million in positive cash flows from operations and $27.9 million in proceeds from the exercise of employee stock options. Net cash provided by operating activities amounted to $519.2 million and $483.0 million for fiscal 2009 and 2008, respectively.</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4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interest-bearing investments are classified as available-for-sale securities. Unrealized gains or losses are reported as a separate component of accumulated other comprehensive income, net of tax. Such short-term interest-bearing investments consist primarily of money market funds, U.S. government treasuries, U.S. agency securities and government guaranteed debt. We have conservative investment policy guidelines and consistent with these guidelines, in prior years, we also purchased AAA-rated asset-backed obligations and mortgages. Our interest-bearing investments are stated at fair value. Our interest-bearing investments are priced by pricing vendors and are classified as Level 1 or Level 2 investments, since these vendors either provide a quoted market price in an active market or use observable inputs. Please see Note 4 to the consolidated financial statements. In the third quarter of fiscal 2009, we adopted the April 2009 accounting pronouncement that provides guidance on recognition and presentation of other-than-temporary impairments and assessed whether the unrealized losses for the investments in our portfolio were other-than-temporary under this guidance. For securities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the credit loss. To the extent that the net present value of the projected cash flows was less than the amortized cost of the securities, the difference is considered credit loss and is recorded through earnings. The inputs on the future performance of the underlying assets used in the cash flow models include prepayments, defaults and loss severity assumptions. Based on this assessment, we recognized a credit loss of $1.1 million in fiscal 2009. As of September 30, 2009, unrealized losses of $3.5 million related to other-than-temporarily impaired securities was included in accumulated other comprehensive loss.</w:t>
      </w:r>
    </w:p>
    <w:p>
      <w:pPr>
        <w:spacing w:after="0" w:line="56"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In November 2007, we entered into an unsecured $500.0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September 30, 2009, we were in compliance with the financial covenants under the revolving credit facility. During the first half of fiscal 2009, we borrowed $450.0 million under the facility at an average interest rate equal to LIBOR plus 40 basis points and used the proceeds to acquire our outstanding notes as described below. During the second half of fiscal 2009, we repaid all of the $450.0 million outstanding under our credit facility.</w:t>
      </w:r>
    </w:p>
    <w:p>
      <w:pPr>
        <w:spacing w:after="0" w:line="6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During fiscal 2009, using proceeds from our revolving credit facility, we purchased $449.0 million aggregate principal amount of our 0.50% convertible notes at an average price of 99.5% of the principal amount, excluding accrued interest and transaction fees. As of September 30, 2009, $1.0 million principal amount of the notes remain as our obligations, due in 2024, in accordance with their terms.</w:t>
      </w:r>
    </w:p>
    <w:p>
      <w:pPr>
        <w:spacing w:after="0" w:line="59"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As of September 30, 2009, we had outstanding letters of credit and bank guarantees from various banks totaling $15.1 million. As of September 30, 2009, we had outstanding obligations of $0.9 million in connection with leasing arrangements.</w:t>
      </w:r>
    </w:p>
    <w:p>
      <w:pPr>
        <w:spacing w:after="0" w:line="47"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Our capital expenditures were approximately $83.3 million in fiscal 2009. Approximately 86% of these expenditures consisted of purchases of computer equipment with the remainder attributable mainly to leasehold improvements. Our fiscal 2009 capital expenditures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63"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From time to time, we have engaged in share repurchase programs in which we repurchase our shares in the open market or privately negotiated transactions and at times and prices we deem appropriate.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80" w:firstLine="399"/>
        <w:spacing w:after="0" w:line="299" w:lineRule="auto"/>
        <w:rPr>
          <w:sz w:val="20"/>
          <w:szCs w:val="20"/>
          <w:color w:val="auto"/>
        </w:rPr>
      </w:pPr>
      <w:r>
        <w:rPr>
          <w:rFonts w:ascii="Arial" w:cs="Arial" w:eastAsia="Arial" w:hAnsi="Arial"/>
          <w:sz w:val="12"/>
          <w:szCs w:val="12"/>
          <w:color w:val="auto"/>
        </w:rPr>
        <w:t>In August 2007, our board of directors authorized a share repurchase plan allowing the repurchase of up to $400 million of our outstanding ordinary shares. The authorization permitted us to purchase our ordinary shares in open market or privately negotiated transactions at times and prices that we considered appropriate. In fiscal 2008, we repurchased 8.4 million ordinary shares at an average price of $30.45 per share (excluding broker and transaction fees). In the first quarter of fiscal 2009, we repurchased approximately 0.5 million ordinary shares at an average price of $26.90 per share excluding broker and transaction fees. As of August 2009, our authority to repurchase our ordinary shares expired.</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have any off-balance sheet arrangements.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4"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following table summarizes our contractual obligations as of September 30, 2009, and the effect such obligations are expected to have on our liquidity and cash flows in future periods (in millions):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w w:val="96"/>
              </w:rPr>
              <w:t>Cash Payments Due by Period</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Contractual Obligations</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gridSpan w:val="3"/>
          </w:tcPr>
          <w:p>
            <w:pPr>
              <w:jc w:val="center"/>
              <w:ind w:right="380"/>
              <w:spacing w:after="0" w:line="94" w:lineRule="exact"/>
              <w:rPr>
                <w:sz w:val="20"/>
                <w:szCs w:val="20"/>
                <w:color w:val="auto"/>
              </w:rPr>
            </w:pPr>
            <w:r>
              <w:rPr>
                <w:rFonts w:ascii="Arial" w:cs="Arial" w:eastAsia="Arial" w:hAnsi="Arial"/>
                <w:sz w:val="10"/>
                <w:szCs w:val="10"/>
                <w:b w:val="1"/>
                <w:bCs w:val="1"/>
                <w:color w:val="auto"/>
                <w:w w:val="96"/>
              </w:rPr>
              <w:t>Less Than</w:t>
            </w:r>
          </w:p>
        </w:tc>
        <w:tc>
          <w:tcPr>
            <w:tcW w:w="80" w:type="dxa"/>
            <w:vAlign w:val="bottom"/>
          </w:tcPr>
          <w:p>
            <w:pPr>
              <w:spacing w:after="0"/>
              <w:rPr>
                <w:sz w:val="8"/>
                <w:szCs w:val="8"/>
                <w:color w:val="auto"/>
              </w:rPr>
            </w:pPr>
          </w:p>
        </w:tc>
        <w:tc>
          <w:tcPr>
            <w:tcW w:w="240" w:type="dxa"/>
            <w:vAlign w:val="bottom"/>
          </w:tcPr>
          <w:p>
            <w:pPr>
              <w:jc w:val="right"/>
              <w:ind w:right="16"/>
              <w:spacing w:after="0" w:line="94" w:lineRule="exact"/>
              <w:rPr>
                <w:sz w:val="20"/>
                <w:szCs w:val="20"/>
                <w:color w:val="auto"/>
              </w:rPr>
            </w:pPr>
            <w:r>
              <w:rPr>
                <w:rFonts w:ascii="Arial" w:cs="Arial" w:eastAsia="Arial" w:hAnsi="Arial"/>
                <w:sz w:val="10"/>
                <w:szCs w:val="10"/>
                <w:b w:val="1"/>
                <w:bCs w:val="1"/>
                <w:color w:val="auto"/>
                <w:w w:val="96"/>
              </w:rPr>
              <w:t>1-3</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jc w:val="right"/>
              <w:ind w:right="16"/>
              <w:spacing w:after="0" w:line="94" w:lineRule="exact"/>
              <w:rPr>
                <w:sz w:val="20"/>
                <w:szCs w:val="20"/>
                <w:color w:val="auto"/>
              </w:rPr>
            </w:pPr>
            <w:r>
              <w:rPr>
                <w:rFonts w:ascii="Arial" w:cs="Arial" w:eastAsia="Arial" w:hAnsi="Arial"/>
                <w:sz w:val="10"/>
                <w:szCs w:val="10"/>
                <w:b w:val="1"/>
                <w:bCs w:val="1"/>
                <w:color w:val="auto"/>
                <w:w w:val="96"/>
              </w:rPr>
              <w:t>4-5</w:t>
            </w:r>
          </w:p>
        </w:tc>
        <w:tc>
          <w:tcPr>
            <w:tcW w:w="380" w:type="dxa"/>
            <w:vAlign w:val="bottom"/>
          </w:tcPr>
          <w:p>
            <w:pPr>
              <w:spacing w:after="0"/>
              <w:rPr>
                <w:sz w:val="8"/>
                <w:szCs w:val="8"/>
                <w:color w:val="auto"/>
              </w:rPr>
            </w:pPr>
          </w:p>
        </w:tc>
        <w:tc>
          <w:tcPr>
            <w:tcW w:w="400" w:type="dxa"/>
            <w:vAlign w:val="bottom"/>
            <w:gridSpan w:val="2"/>
          </w:tcPr>
          <w:p>
            <w:pPr>
              <w:jc w:val="center"/>
              <w:spacing w:after="0" w:line="94" w:lineRule="exact"/>
              <w:rPr>
                <w:sz w:val="20"/>
                <w:szCs w:val="20"/>
                <w:color w:val="auto"/>
              </w:rPr>
            </w:pPr>
            <w:r>
              <w:rPr>
                <w:rFonts w:ascii="Arial" w:cs="Arial" w:eastAsia="Arial" w:hAnsi="Arial"/>
                <w:sz w:val="10"/>
                <w:szCs w:val="10"/>
                <w:b w:val="1"/>
                <w:bCs w:val="1"/>
                <w:color w:val="auto"/>
              </w:rPr>
              <w:t>Over 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83"/>
              </w:rPr>
              <w:t>Total</w:t>
            </w:r>
          </w:p>
        </w:tc>
        <w:tc>
          <w:tcPr>
            <w:tcW w:w="120" w:type="dxa"/>
            <w:vAlign w:val="bottom"/>
          </w:tcPr>
          <w:p>
            <w:pPr>
              <w:spacing w:after="0"/>
              <w:rPr>
                <w:sz w:val="11"/>
                <w:szCs w:val="11"/>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0"/>
              </w:rPr>
              <w:t>1 Year</w:t>
            </w:r>
          </w:p>
        </w:tc>
        <w:tc>
          <w:tcPr>
            <w:tcW w:w="72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6"/>
              </w:rPr>
              <w:t>Years</w:t>
            </w:r>
          </w:p>
        </w:tc>
        <w:tc>
          <w:tcPr>
            <w:tcW w:w="7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79"/>
              </w:rPr>
              <w:t>Years</w:t>
            </w:r>
          </w:p>
        </w:tc>
        <w:tc>
          <w:tcPr>
            <w:tcW w:w="4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6"/>
              </w:rPr>
              <w:t>Years</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notes including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1"/>
        </w:trPr>
        <w:tc>
          <w:tcPr>
            <w:tcW w:w="6300" w:type="dxa"/>
            <w:vAlign w:val="bottom"/>
            <w:gridSpan w:val="2"/>
          </w:tcPr>
          <w:p>
            <w:pPr>
              <w:spacing w:after="0"/>
              <w:rPr>
                <w:sz w:val="20"/>
                <w:szCs w:val="20"/>
                <w:color w:val="auto"/>
              </w:rPr>
            </w:pPr>
            <w:r>
              <w:rPr>
                <w:rFonts w:ascii="Arial" w:cs="Arial" w:eastAsia="Arial" w:hAnsi="Arial"/>
                <w:sz w:val="13"/>
                <w:szCs w:val="13"/>
                <w:color w:val="auto"/>
              </w:rPr>
              <w:t>Pension funding</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3.5</w:t>
            </w:r>
          </w:p>
        </w:tc>
        <w:tc>
          <w:tcPr>
            <w:tcW w:w="1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61"/>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Obligations</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11.4</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300" w:type="dxa"/>
            <w:vAlign w:val="bottom"/>
            <w:gridSpan w:val="2"/>
          </w:tcPr>
          <w:p>
            <w:pPr>
              <w:spacing w:after="0"/>
              <w:rPr>
                <w:sz w:val="20"/>
                <w:szCs w:val="20"/>
                <w:color w:val="auto"/>
              </w:rPr>
            </w:pPr>
            <w:r>
              <w:rPr>
                <w:rFonts w:ascii="Arial" w:cs="Arial" w:eastAsia="Arial" w:hAnsi="Arial"/>
                <w:sz w:val="13"/>
                <w:szCs w:val="13"/>
                <w:color w:val="auto"/>
              </w:rPr>
              <w:t>Non-cancelable operating leases</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159.0</w:t>
            </w:r>
          </w:p>
        </w:tc>
        <w:tc>
          <w:tcPr>
            <w:tcW w:w="12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64.9</w:t>
            </w: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79.6</w:t>
            </w:r>
          </w:p>
        </w:tc>
        <w:tc>
          <w:tcPr>
            <w:tcW w:w="80" w:type="dxa"/>
            <w:vAlign w:val="bottom"/>
          </w:tcPr>
          <w:p>
            <w:pPr>
              <w:spacing w:after="0"/>
              <w:rPr>
                <w:sz w:val="14"/>
                <w:szCs w:val="14"/>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w w:val="86"/>
              </w:rPr>
              <w:t>14.5</w:t>
            </w:r>
          </w:p>
        </w:tc>
        <w:tc>
          <w:tcPr>
            <w:tcW w:w="1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shd w:val="clear" w:color="auto" w:fill="CCEEFF"/>
          </w:tcPr>
          <w:p>
            <w:pPr>
              <w:spacing w:after="0"/>
              <w:rPr>
                <w:sz w:val="14"/>
                <w:szCs w:val="14"/>
                <w:color w:val="auto"/>
              </w:rPr>
            </w:pPr>
          </w:p>
        </w:tc>
        <w:tc>
          <w:tcPr>
            <w:tcW w:w="6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213.3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95.8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6"/>
              </w:rPr>
              <w:t>18.0</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560" w:firstLine="399"/>
        <w:spacing w:after="0" w:line="338" w:lineRule="auto"/>
        <w:rPr>
          <w:sz w:val="20"/>
          <w:szCs w:val="20"/>
          <w:color w:val="auto"/>
        </w:rPr>
      </w:pPr>
      <w:r>
        <w:rPr>
          <w:rFonts w:ascii="Arial" w:cs="Arial" w:eastAsia="Arial" w:hAnsi="Arial"/>
          <w:sz w:val="12"/>
          <w:szCs w:val="12"/>
          <w:color w:val="auto"/>
        </w:rPr>
        <w:t>The total amount of unrecognized tax benefits for uncertain tax positions was $103.3 million as of September 30, 2009. Payment of these obligations would result from settlements with taxing authorities. Due to the difficulty in determining the timing of resolution of audits, these obligations are not included in the above table.</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Deferred Tax Assets</w:t>
      </w:r>
    </w:p>
    <w:p>
      <w:pPr>
        <w:spacing w:after="0" w:line="10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of September 30, 2009, we had deferred tax assets of $82.8 million, derived primarily from net capital and operating loss carryforwards related to some of our subsidiaries, which were offset by valuation allowances due to the uncertainty of the realizing any tax benefit for such losses. When realization of the tax benefits associated with such net capital and operating losses is deemed more likely than not, the valuation allowance will be released through income taxes.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4" w:lineRule="exact"/>
        <w:rPr>
          <w:sz w:val="20"/>
          <w:szCs w:val="20"/>
          <w:color w:val="auto"/>
        </w:rPr>
      </w:pPr>
    </w:p>
    <w:p>
      <w:pPr>
        <w:ind w:left="680" w:right="140" w:firstLine="399"/>
        <w:spacing w:after="0" w:line="295" w:lineRule="auto"/>
        <w:rPr>
          <w:sz w:val="20"/>
          <w:szCs w:val="20"/>
          <w:color w:val="auto"/>
        </w:rPr>
      </w:pPr>
      <w:r>
        <w:rPr>
          <w:rFonts w:ascii="Arial" w:cs="Arial" w:eastAsia="Arial" w:hAnsi="Arial"/>
          <w:sz w:val="12"/>
          <w:szCs w:val="12"/>
          <w:color w:val="auto"/>
        </w:rPr>
        <w:t>Our discussion and analysis of our consolidated financial condition and results of operations are based upon our consolidated financial statements, which have been prepared in accordance with U.S. generally accepted accounting principles.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49"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We believe that the estimates, assumptions and judgments involved in the accounting policies described below have the greatest potential impact on our financial statements, so we consider these to be our critical</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accounting policies. These policies require that we make estimates in the preparation of our financial statements as of a given date. Our critical accounting policies are as follows:</w:t>
      </w:r>
    </w:p>
    <w:p>
      <w:pPr>
        <w:spacing w:after="0" w:line="114" w:lineRule="exact"/>
        <w:rPr>
          <w:sz w:val="20"/>
          <w:szCs w:val="20"/>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Revenue recognition and contract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Tax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Business combinations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Share-based compensation expense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Goodwill and intangible assets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Derivative and hedge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Short-term interest-bearing investments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Realizability of long-lived assets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Accounts receivable reserves</w:t>
      </w:r>
    </w:p>
    <w:p>
      <w:pPr>
        <w:spacing w:after="0" w:line="10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 and Contract Accounting</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derive our revenue principally from:</w:t>
      </w:r>
    </w:p>
    <w:p>
      <w:pPr>
        <w:spacing w:after="0" w:line="102" w:lineRule="exact"/>
        <w:rPr>
          <w:sz w:val="20"/>
          <w:szCs w:val="20"/>
          <w:color w:val="auto"/>
        </w:rPr>
      </w:pPr>
    </w:p>
    <w:p>
      <w:pPr>
        <w:ind w:left="1300" w:hanging="208"/>
        <w:spacing w:after="0"/>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initial sales of licenses to use our products and related services, including modification, implementation, integration and customization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providing managed services and other related services for our solutions, and</w:t>
      </w:r>
    </w:p>
    <w:p>
      <w:pPr>
        <w:spacing w:after="0" w:line="92" w:lineRule="exact"/>
        <w:rPr>
          <w:rFonts w:ascii="Arial" w:cs="Arial" w:eastAsia="Arial" w:hAnsi="Arial"/>
          <w:sz w:val="13"/>
          <w:szCs w:val="13"/>
          <w:color w:val="auto"/>
        </w:rPr>
      </w:pPr>
    </w:p>
    <w:p>
      <w:pPr>
        <w:ind w:left="1300" w:right="260" w:hanging="208"/>
        <w:spacing w:after="0" w:line="294" w:lineRule="auto"/>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recurring revenue from ongoing support and maintenance provided to our customers, and from incremental license fees resulting from increases in a customer’s business volume.</w:t>
      </w:r>
    </w:p>
    <w:p>
      <w:pPr>
        <w:spacing w:after="0" w:line="4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 significant portion of our revenue is recognized over the course of long-term projects under the percentage of completion method of accounting. The percentage of completion method requires the exercise of judgment, such as with respect to estimations of progress-to-completion,</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contract revenue, loss contracts and contract costs. Progress in completing such projects may significantly affect our annual and quarterly operating results.</w:t>
      </w:r>
    </w:p>
    <w:p>
      <w:pPr>
        <w:spacing w:after="0" w:line="102"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We follow very specific and detailed guidelines, several of which are discussed above, in measuring revenue; however, certain judgments affect the application of our revenue recognition policy.</w:t>
      </w:r>
    </w:p>
    <w:p>
      <w:pPr>
        <w:spacing w:after="0" w:line="47"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 We regularly review the allowance for doubtful accounts by considering factors that may affect a customer’s ability to pay, such as historical experience, credit quality, age of the accounts receivable balances, and current economic conditions.</w:t>
      </w:r>
    </w:p>
    <w:p>
      <w:pPr>
        <w:spacing w:after="0" w:line="65"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For arrangements with multiple deliverables, we allocate revenue to each component based upon its relative fair value, which is determined in reliance on the Vendor Specific Objective Evidence (“VSOE”) of fair value for that element. Such determination is judgmental and for most contracts is based on normal pricing and discounting practices for those elements when sold separately in similar arrangements. We use the residual method in accordance with software revenue recognition and revenue arrangements with multiple deliverables guidance. In the absence of fair value for a delivered element we first allocate revenue to the fair value of the undelivered elements and residual revenue to the delivered elements. The residual method is used mainly in multiple element arrangements that include license for the sale of software solutions that do not require significant customization, modification and implementation and maintenance to determine the appropriate value for the license component. Beginning October 1, 2009, we adopted the new authoritative guidance for revenue arrangements with multiple deliverables that are outside the scope of the software revenue recognition guidance. Please See “ — Recent Accounting Pronouncements.”</w:t>
      </w:r>
    </w:p>
    <w:p>
      <w:pPr>
        <w:spacing w:after="0" w:line="52"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Accounting</w:t>
      </w:r>
    </w:p>
    <w:p>
      <w:pPr>
        <w:spacing w:after="0" w:line="102"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51"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63"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2"/>
          <w:szCs w:val="12"/>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49" w:lineRule="exact"/>
        <w:rPr>
          <w:sz w:val="20"/>
          <w:szCs w:val="20"/>
          <w:color w:val="auto"/>
        </w:rPr>
      </w:pPr>
    </w:p>
    <w:p>
      <w:pPr>
        <w:ind w:left="680" w:right="80" w:firstLine="399"/>
        <w:spacing w:after="0" w:line="338" w:lineRule="auto"/>
        <w:rPr>
          <w:sz w:val="20"/>
          <w:szCs w:val="20"/>
          <w:color w:val="auto"/>
        </w:rPr>
      </w:pPr>
      <w:r>
        <w:rPr>
          <w:rFonts w:ascii="Arial" w:cs="Arial" w:eastAsia="Arial" w:hAnsi="Arial"/>
          <w:sz w:val="12"/>
          <w:szCs w:val="12"/>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w:t>
      </w:r>
    </w:p>
    <w:p>
      <w:pPr>
        <w:spacing w:after="0" w:line="59"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Management makes estimates of fair value based upon assumptions believed to be reasonable. These estimates are based on historical experience and information obtained from the management of the acquired companies and are inherently uncertain. Critical estimates in valuing certain assets acquired and liabilities assumed include, but are not limited to: future expected cash flows from license and service sales, maintenance and hosting agreements,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49"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As discussed above under “Tax Accounting,” we may establish a valuation allowance for certain deferred tax assets of a newly acquired entity. This process requires significant judgment and analysis.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Expense</w:t>
      </w:r>
    </w:p>
    <w:p>
      <w:pPr>
        <w:spacing w:after="0" w:line="102" w:lineRule="exact"/>
        <w:rPr>
          <w:sz w:val="20"/>
          <w:szCs w:val="20"/>
          <w:color w:val="auto"/>
        </w:rPr>
      </w:pPr>
    </w:p>
    <w:p>
      <w:pPr>
        <w:jc w:val="both"/>
        <w:ind w:left="680" w:right="40" w:firstLine="399"/>
        <w:spacing w:after="0" w:line="309" w:lineRule="auto"/>
        <w:rPr>
          <w:sz w:val="20"/>
          <w:szCs w:val="20"/>
          <w:color w:val="auto"/>
        </w:rPr>
      </w:pPr>
      <w:r>
        <w:rPr>
          <w:rFonts w:ascii="Arial" w:cs="Arial" w:eastAsia="Arial" w:hAnsi="Arial"/>
          <w:sz w:val="12"/>
          <w:szCs w:val="12"/>
          <w:color w:val="auto"/>
        </w:rPr>
        <w:t>Share-based compensation cost is measured at the grant date based on the value of the award and is recognized as expense over the requisite service periods. We estimate the fair value of employee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41"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Share-based compensation expense recognized in our consolidated statements of income was reduced for estimated forfeitures.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Determining the fair value of share-based awards at the grant date requires the exercise of judgment. In addition, the exercise of judgment is also required in estimating the amount of share-based awards that are expected to be forfeited. If actual results differ significantly from these estimates, share-based compensation expense and our results of operations could be materially affected. Please see Note 19 to our consolidated financial statements.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Goodwill is measured as the excess of the cost of acquisition over the sum of the amounts assigned to tangible and identifiable intangible assets acquired less liabilities assumed.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Goodwill is subject to periodic impairment tests. Goodwill impairment is deemed to exist if the net book value of a reporting unit exceeds its estimated fair value.</w:t>
      </w:r>
    </w:p>
    <w:p>
      <w:pPr>
        <w:spacing w:after="0" w:line="6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perform an annual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2009, 2008 and 2007.</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and Hedge Accounting</w:t>
      </w:r>
    </w:p>
    <w:p>
      <w:pPr>
        <w:spacing w:after="0" w:line="72"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2"/>
          <w:szCs w:val="12"/>
          <w:color w:val="auto"/>
        </w:rPr>
        <w:t>Approximately 70% to 80% of our revenue and 50% to 60% of our operating expenses are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income (loss). We estimate the fair value of such derivative contracts by reference to forward and spot rates quoted in active markets.</w:t>
      </w:r>
    </w:p>
    <w:p>
      <w:pPr>
        <w:spacing w:after="0" w:line="18"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27"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Interest-Bearing Investments</w:t>
      </w:r>
    </w:p>
    <w:p>
      <w:pPr>
        <w:spacing w:after="0" w:line="82"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Our short-term interest-bearing investments are classified as available-for-sale securities. Unrealized gains or losses are reported as a separate component of accumulated other comprehensive income, net of tax. Such short-term interest-bearing investments consist primarily of money market funds, U.S. government treasuries, U.S. agency securities and government guaranteed debt. We have conservative investment policy guidelines and, consistent with these guidelines, in prior years, we also purchased only AAA-rated asset-backed obligations and mortgages. Our interest-bearing investments are stated at fair value. Our interest-bearing investments are priced by pricing vendors and are classified as Level 1 or Level 2 investments, since these vendors either provide a quoted market price in an active market or use observable inputs. In the third quarter of fiscal 2009, we adopted the April 2009 accounting pronouncement that provides guidance on recognition and presentation of other-than-temporary impairments and assessed whether the unrealized losses for the investments in our portfolio were other-than-temporary under this guidance. For securities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the credit loss. To the extent that the net present value of the projected cash flows was less than the amortized cost of the security, the difference is considered credit loss and is recorded through earnings. The inputs on the future performance of the underlying assets used in the cash flow models include prepayments, defaults and loss severity assumptions. Prior to April 2009, we reviewed various factors in determining whether we should recognize an impairment charge for our short-term interest-bearing investments, including our intent and ability to hold the investment for a period of time sufficient to allow for any anticipated recovery in market value, the length of time and extent to which the fair value has been less than our cost basis, the credit ratings of the securities and the financial condition and near-term prospects of the issuers. The other-than-temporary impairment on our short-term interest-bearing investments was immaterial during fiscal 2009, 2008 and 2007.</w:t>
      </w:r>
    </w:p>
    <w:p>
      <w:pPr>
        <w:spacing w:after="0" w:line="26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Given the relative reliability of the inputs we use to value our investment portfolio, and because substantially all of our valuation inputs are obtained using quoted market price in an active market or observable inputs, we do not believe that the nature of estimates and assumptions affected by levels of subjectivity and judgment was material to the valuation of the investment portfolio as of September 30, 2009.</w:t>
      </w:r>
    </w:p>
    <w:p>
      <w:pPr>
        <w:spacing w:after="0" w:line="38"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Realizability of Long-Lived Assets</w:t>
      </w:r>
    </w:p>
    <w:p>
      <w:pPr>
        <w:spacing w:after="0" w:line="8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w:t>
      </w:r>
    </w:p>
    <w:p>
      <w:pPr>
        <w:spacing w:after="0" w:line="28"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2009, 2008 and 2007.</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Reserves</w:t>
      </w:r>
    </w:p>
    <w:p>
      <w:pPr>
        <w:spacing w:after="0" w:line="7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 The allowance for doubtful accounts is established either through a charge to selling, general and administrative expenses or as a reduction to revenue.</w:t>
      </w:r>
    </w:p>
    <w:p>
      <w:pPr>
        <w:spacing w:after="0" w:line="37"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Within the context of these critical accounting policies, we are not currently aware of any reasonably likely events or circumstances that would result in materially different amounts being reported.</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74"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October 2009, the Financial Accounting Standards Board, or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the software revenue recognition guidance, and will now be subject to other relevant revenue recognition guidance. Additionally, the FASB superseded its authoritative guidance for revenue arrangements with multiple deliverables that are outside the scope of the software revenue recognition guidance. The new guidance eliminates the residual method of revenue recognition and allows the use of management’s best estimate of selling price for individual elements of an arrangement when vendor specific objective evidence or third-party evidence is unavailable. Both guidance pronouncements will be effective for fiscal years starting June 15, 2010 and early adoption is permitted. We adopted the pronouncements effective October 1, 2009.</w:t>
      </w:r>
    </w:p>
    <w:p>
      <w:pPr>
        <w:spacing w:after="0" w:line="4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June 2009, the FASB issued authoritative guidance on the consolidation of variable interest entities, which is effective for us beginning October 1, 2010. The new guidance requires revised evaluations of whether entities represent variable interest entities, ongoing assessments of control over such entities, and additional disclosures for variable interests. We believe that the adoption of this new guidance will not have a material impact on our financial statements.</w:t>
      </w:r>
    </w:p>
    <w:p>
      <w:pPr>
        <w:spacing w:after="0" w:line="28"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In June 2008, the FASB issued authoritative guidance for determining whether instruments granted in share-based payment transactions are participating securities. According to this guidance, unvested share-based payment awards that contain nonforfeitable rights to dividends or dividend equivalents are considered</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participating securities. As such, they should be included in the computation of basic earnings per share, or EPS, using the two-class method. This guidance became effective for us beginning after October 1, 2009. Once effective, all prior-period EPS data presented must be adjusted retrospectively. We believe that the adoption of this guidance will reduce previously reported basic and diluted earnings per share by up to $0.01 per share for fiscal 2009 and 2008.</w:t>
      </w:r>
    </w:p>
    <w:p>
      <w:pPr>
        <w:spacing w:after="0" w:line="38" w:lineRule="exact"/>
        <w:rPr>
          <w:sz w:val="20"/>
          <w:szCs w:val="20"/>
          <w:color w:val="auto"/>
        </w:rPr>
      </w:pPr>
    </w:p>
    <w:p>
      <w:pPr>
        <w:ind w:left="680" w:right="180" w:firstLine="399"/>
        <w:spacing w:after="0" w:line="309" w:lineRule="auto"/>
        <w:rPr>
          <w:sz w:val="20"/>
          <w:szCs w:val="20"/>
          <w:color w:val="auto"/>
        </w:rPr>
      </w:pPr>
      <w:r>
        <w:rPr>
          <w:rFonts w:ascii="Arial" w:cs="Arial" w:eastAsia="Arial" w:hAnsi="Arial"/>
          <w:sz w:val="12"/>
          <w:szCs w:val="12"/>
          <w:color w:val="auto"/>
        </w:rPr>
        <w:t>In February 2008, FASB delayed until the beginning of fiscal 2010, the effective date of the fair value measurements guidance for non-financial assets and non-financial liabilities, except those that are recognized or disclosed in the financial statements at fair value on a recurring basis (at least annually). We do not expect that the application of the fair value measurements guidance, when applied to non-financial assets and liabilities, will have a material impact on our results of operations or financial position.</w:t>
      </w:r>
    </w:p>
    <w:p>
      <w:pPr>
        <w:spacing w:after="0" w:line="11" w:lineRule="exact"/>
        <w:rPr>
          <w:sz w:val="20"/>
          <w:szCs w:val="20"/>
          <w:color w:val="auto"/>
        </w:rPr>
      </w:pPr>
    </w:p>
    <w:p>
      <w:pPr>
        <w:ind w:left="680" w:right="60" w:firstLine="399"/>
        <w:spacing w:after="0" w:line="288" w:lineRule="auto"/>
        <w:rPr>
          <w:sz w:val="20"/>
          <w:szCs w:val="20"/>
          <w:color w:val="auto"/>
        </w:rPr>
      </w:pPr>
      <w:r>
        <w:rPr>
          <w:rFonts w:ascii="Arial" w:cs="Arial" w:eastAsia="Arial" w:hAnsi="Arial"/>
          <w:sz w:val="12"/>
          <w:szCs w:val="12"/>
          <w:color w:val="auto"/>
        </w:rPr>
        <w:t>In December 2007, the FASB issued authoritative guidance on business combinations. The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of this guidance, acquired in-process research and development will be capitalized and upon completion amortized over its 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 and liabilities assumed in a business combination that arise from contingencies. This guidance applies to us prospectively for business combinations for which the acquisition date is on or after October 1, 2009.</w:t>
      </w:r>
    </w:p>
    <w:p>
      <w:pPr>
        <w:spacing w:after="0" w:line="26"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In December 2007, the FASB issued authoritative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This guidance became effective for us starting October 1, 2009. We do not expect that the application of this guidance will have a material impact on our consolidated results of operations or financial condition.</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Adoption of New Accounting Standards</w:t>
      </w:r>
    </w:p>
    <w:p>
      <w:pPr>
        <w:spacing w:after="0" w:line="7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On July 1, 2009, the FASB issued the FASB Accounting Standards Codification, or the Codification. The Codification became the single source of authoritative nongovernmental U.S. GAAP, superseding existing pronouncements issued by the FASB, the American Institute of Certified Public Accountants, the Emerging Issues Task Force and related literature. The Codification eliminates the previous U.S. GAAP hierarchy and establishes one level of authoritative GAAP. Rules and interpretive releases issued by the SEC under authority of federal securities law are also sources of the authoritative GAAP for SEC registrants. All other literature is considered non-authoritative. The Codification is effective for interim and annual periods ending after September 15, 2009.</w:t>
      </w:r>
    </w:p>
    <w:p>
      <w:pPr>
        <w:spacing w:after="0" w:line="45"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In May 2009, the FASB issued authoritative guidance on subsequent events, which sets forth the period after the balance sheet date during which management of a reporting entity should evaluate events or transactions that may have occurred for potential recognition or disclosure in the financial statements. The guidance also sets forth the circumstances under which an entity should recognize events or transactions occurring after the balance sheet date in its financial statements and the disclosures that an entity should make about events or transactions that occurred after the balance sheet date. We adopted this guidance during the quarter ended June 30, 2009. Please see Note 2 to our consolidated financial statements.</w:t>
      </w:r>
    </w:p>
    <w:p>
      <w:pPr>
        <w:spacing w:after="0" w:line="18" w:lineRule="exact"/>
        <w:rPr>
          <w:sz w:val="20"/>
          <w:szCs w:val="20"/>
          <w:color w:val="auto"/>
        </w:rPr>
      </w:pPr>
    </w:p>
    <w:p>
      <w:pPr>
        <w:jc w:val="both"/>
        <w:ind w:left="680" w:right="40" w:firstLine="399"/>
        <w:spacing w:after="0" w:line="309" w:lineRule="auto"/>
        <w:rPr>
          <w:sz w:val="20"/>
          <w:szCs w:val="20"/>
          <w:color w:val="auto"/>
        </w:rPr>
      </w:pPr>
      <w:r>
        <w:rPr>
          <w:rFonts w:ascii="Arial" w:cs="Arial" w:eastAsia="Arial" w:hAnsi="Arial"/>
          <w:sz w:val="12"/>
          <w:szCs w:val="12"/>
          <w:color w:val="auto"/>
        </w:rPr>
        <w:t>In April 2009, the FASB issued authoritative guidance on how to determine the fair value of an asset and liability when the volume and level of activity for such asset or liability has significantly decreased in relation to normal market activity for such asset or liability. It also provides guidance on identifying circumstances that indicate a transaction is not orderly and when the use of multiple (or different) valuation techniques may be warranted and considered. In addition, this guidance requires disclosure in interim and annual periods of the</w:t>
      </w:r>
    </w:p>
    <w:p>
      <w:pPr>
        <w:spacing w:after="0" w:line="24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spacing w:after="0" w:line="294" w:lineRule="auto"/>
        <w:rPr>
          <w:sz w:val="20"/>
          <w:szCs w:val="20"/>
          <w:color w:val="auto"/>
        </w:rPr>
      </w:pPr>
      <w:r>
        <w:rPr>
          <w:rFonts w:ascii="Arial" w:cs="Arial" w:eastAsia="Arial" w:hAnsi="Arial"/>
          <w:sz w:val="13"/>
          <w:szCs w:val="13"/>
          <w:color w:val="auto"/>
        </w:rPr>
        <w:t>inputs and valuation techniques used to measure fair value and a discussion of changes in valuation techniques. Our adoption of this guidance on April 1, 2009, did not have a material impact on our financial statements.</w:t>
      </w:r>
    </w:p>
    <w:p>
      <w:pPr>
        <w:spacing w:after="0" w:line="27" w:lineRule="exact"/>
        <w:rPr>
          <w:sz w:val="20"/>
          <w:szCs w:val="20"/>
          <w:color w:val="auto"/>
        </w:rPr>
      </w:pPr>
    </w:p>
    <w:p>
      <w:pPr>
        <w:ind w:left="680" w:right="40" w:firstLine="399"/>
        <w:spacing w:after="0" w:line="288" w:lineRule="auto"/>
        <w:rPr>
          <w:sz w:val="20"/>
          <w:szCs w:val="20"/>
          <w:color w:val="auto"/>
        </w:rPr>
      </w:pPr>
      <w:r>
        <w:rPr>
          <w:rFonts w:ascii="Arial" w:cs="Arial" w:eastAsia="Arial" w:hAnsi="Arial"/>
          <w:sz w:val="12"/>
          <w:szCs w:val="12"/>
          <w:color w:val="auto"/>
        </w:rPr>
        <w:t>In April 2009, the FASB issued authoritative guidance on recognition and presentation of other-than-temporary impairments. This guidance clarifies the interaction of the factors that should be considered when determining whether a debt security is other than temporarily impaired; provides guidance on the amount of an other-than-temporary impairment recognized in earnings and other comprehensive income; and expands the disclosures required for other-than-temporary impairments for debt and equity securities. The guidance requires an entity to assess whether it intends to sell, or it is more likely than not that it will be required to sell a security before recovery of its amortized cost basis. If either of those criteria is met, the entire difference between amortized cost and fair value is recognized in earnings. For securities that do not meet these criteria, the amount of impairment recognized in earnings is limited to the amount related to credit losses, while impairment related to other factors is recognized in other comprehensive income. We adopted this guidance on April 1, 2009, and reclassified the $1,783 non-credit related portion of other-than-temporary impairment losses recognized in prior period earnings as a cumulative effect adjustment that increased retained earnings and decreased accumulated other comprehensive income at April 1, 2009. Please see Note 5 to our consolidated financial statements.</w:t>
      </w:r>
    </w:p>
    <w:p>
      <w:pPr>
        <w:spacing w:after="0" w:line="26"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April 2009, the FASB issued authoritative guidance regarding interim disclosures about fair value of financial instruments which were previously only disclosed on an annual basis. Entities are now required to disclose the fair value of financial instruments that are not recorded at fair value in the financial statements in both their interim and annual financial statements. Additionally, a disclosure of the methods and significant assumptions used to estimate the fair value of financial instruments on an interim basis as well as changes of the methods and significant assumptions from prior periods is required. This guidance does not change the accounting treatment for these financial instruments. We adopted this guidance on April 1, 2009. Please see Notes 2 and 4 to our consolidated financial statements.</w:t>
      </w:r>
    </w:p>
    <w:p>
      <w:pPr>
        <w:spacing w:after="0" w:line="35"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2"/>
          <w:szCs w:val="12"/>
          <w:color w:val="auto"/>
        </w:rPr>
        <w:t>In March 2008, the FASB issued amended guidance on disclosures about derivative instruments and hedging activities. This guidance applies to all derivative instruments and non-derivative instruments that are designated and qualify as hedging instruments and related hedged items. This guidance requires entities to provide greater transparency through additional disclosures about how and why an entity uses derivative instruments, how derivative instruments and related hedged items are accounted for, and how derivative instruments and related hedged items affect an entity’s financial position, results of operations and cash flows. We adopted this guidance on January 1, 2009. Our adoption of this guidance did not impact our consolidated financial results as it requires additional disclosure, rather than a change in accounting. Please see Note 6 to our consolidated financial statements.</w:t>
      </w:r>
    </w:p>
    <w:p>
      <w:pPr>
        <w:spacing w:after="0" w:line="29"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In February 2007, the FASB issued authoritative guidance on the fair value option for financial assets and financial liabilities,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Effective October 1, 2008, we adopted this guidance, but we have not elected the fair value option for any eligible financial instruments as of September 30, 2009.</w:t>
      </w:r>
    </w:p>
    <w:p>
      <w:pPr>
        <w:spacing w:after="0" w:line="3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In September 2006, the FASB issued authoritative guidance on fair value measurements, which defines fair value, establishes a framework for measuring fair value in generally accepted accounting principles, and expands disclosures about fair value measurements. In October 2008, the FASB issued additional guidance clarifying the application of the fair value measurements guidance in a market that is not active, and providing guidance on the key considerations in determining the fair value of a financial asset in such a market. Effective October 1, 2008, we adopted the measurement and disclosure requirements related to financial assets and financial liabilities. The adoption of this guidance for financial assets and financial liabilities did not have a material impact on our results of operations or the fair values of our financial assets and liabilities. Please see Note 4 to our consolidated financial statements.</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3"/>
          <w:szCs w:val="13"/>
          <w:b w:val="1"/>
          <w:bCs w:val="1"/>
          <w:color w:val="auto"/>
        </w:rPr>
        <w:t>DIRECTORS, SENIOR MANAGEMENT AND EMPLOYEES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and Senior Management</w:t>
      </w:r>
    </w:p>
    <w:p>
      <w:pPr>
        <w:spacing w:after="0" w:line="104"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November 30, 2009, our directors and senior managers were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40"/>
        </w:trPr>
        <w:tc>
          <w:tcPr>
            <w:tcW w:w="3040" w:type="dxa"/>
            <w:vAlign w:val="bottom"/>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1860" w:type="dxa"/>
            <w:vAlign w:val="bottom"/>
          </w:tcPr>
          <w:p>
            <w:pPr>
              <w:jc w:val="right"/>
              <w:ind w:right="14"/>
              <w:spacing w:after="0"/>
              <w:rPr>
                <w:sz w:val="20"/>
                <w:szCs w:val="20"/>
                <w:color w:val="auto"/>
              </w:rPr>
            </w:pPr>
            <w:r>
              <w:rPr>
                <w:rFonts w:ascii="Arial" w:cs="Arial" w:eastAsia="Arial" w:hAnsi="Arial"/>
                <w:sz w:val="11"/>
                <w:szCs w:val="11"/>
                <w:b w:val="1"/>
                <w:bCs w:val="1"/>
                <w:color w:val="auto"/>
              </w:rPr>
              <w:t>Age</w:t>
            </w:r>
          </w:p>
        </w:tc>
        <w:tc>
          <w:tcPr>
            <w:tcW w:w="5080" w:type="dxa"/>
            <w:vAlign w:val="bottom"/>
          </w:tcPr>
          <w:p>
            <w:pPr>
              <w:ind w:left="256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r>
      <w:tr>
        <w:trPr>
          <w:trHeight w:val="49"/>
        </w:trPr>
        <w:tc>
          <w:tcPr>
            <w:tcW w:w="30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5080" w:type="dxa"/>
            <w:vAlign w:val="bottom"/>
          </w:tcPr>
          <w:p>
            <w:pPr>
              <w:spacing w:after="0"/>
              <w:rPr>
                <w:sz w:val="4"/>
                <w:szCs w:val="4"/>
                <w:color w:val="auto"/>
              </w:rPr>
            </w:pPr>
          </w:p>
        </w:tc>
      </w:tr>
      <w:tr>
        <w:trPr>
          <w:trHeight w:val="161"/>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Bruce K. Anderson(2)(4)(5)</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69</w:t>
            </w: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Chairman of the Board, Amdocs Limited</w:t>
            </w:r>
          </w:p>
        </w:tc>
      </w:tr>
      <w:tr>
        <w:trPr>
          <w:trHeight w:val="161"/>
        </w:trPr>
        <w:tc>
          <w:tcPr>
            <w:tcW w:w="3040" w:type="dxa"/>
            <w:vAlign w:val="bottom"/>
          </w:tcPr>
          <w:p>
            <w:pPr>
              <w:spacing w:after="0"/>
              <w:rPr>
                <w:sz w:val="20"/>
                <w:szCs w:val="20"/>
                <w:color w:val="auto"/>
              </w:rPr>
            </w:pPr>
            <w:r>
              <w:rPr>
                <w:rFonts w:ascii="Arial" w:cs="Arial" w:eastAsia="Arial" w:hAnsi="Arial"/>
                <w:sz w:val="13"/>
                <w:szCs w:val="13"/>
                <w:color w:val="auto"/>
              </w:rPr>
              <w:t>Adrian Gardner(1)(3)</w:t>
            </w:r>
          </w:p>
        </w:tc>
        <w:tc>
          <w:tcPr>
            <w:tcW w:w="1860" w:type="dxa"/>
            <w:vAlign w:val="bottom"/>
          </w:tcPr>
          <w:p>
            <w:pPr>
              <w:jc w:val="right"/>
              <w:ind w:right="114"/>
              <w:spacing w:after="0"/>
              <w:rPr>
                <w:sz w:val="20"/>
                <w:szCs w:val="20"/>
                <w:color w:val="auto"/>
              </w:rPr>
            </w:pPr>
            <w:r>
              <w:rPr>
                <w:rFonts w:ascii="Arial" w:cs="Arial" w:eastAsia="Arial" w:hAnsi="Arial"/>
                <w:sz w:val="13"/>
                <w:szCs w:val="13"/>
                <w:color w:val="auto"/>
              </w:rPr>
              <w:t>47</w:t>
            </w:r>
          </w:p>
        </w:tc>
        <w:tc>
          <w:tcPr>
            <w:tcW w:w="5080" w:type="dxa"/>
            <w:vAlign w:val="bottom"/>
          </w:tcPr>
          <w:p>
            <w:pPr>
              <w:ind w:left="100"/>
              <w:spacing w:after="0"/>
              <w:rPr>
                <w:sz w:val="20"/>
                <w:szCs w:val="20"/>
                <w:color w:val="auto"/>
              </w:rPr>
            </w:pPr>
            <w:r>
              <w:rPr>
                <w:rFonts w:ascii="Arial" w:cs="Arial" w:eastAsia="Arial" w:hAnsi="Arial"/>
                <w:sz w:val="13"/>
                <w:szCs w:val="13"/>
                <w:color w:val="auto"/>
              </w:rPr>
              <w:t>Director and Chairman of the Audit Committee, Amdocs Limited</w:t>
            </w:r>
          </w:p>
        </w:tc>
      </w:tr>
      <w:tr>
        <w:trPr>
          <w:trHeight w:val="150"/>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Charles E. Foster(1)(3)</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73</w:t>
            </w: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5"/>
              </w:rPr>
              <w:t>Director and Chairman of the Nominating and Corporate Governance Committee, Amdocs</w:t>
            </w:r>
          </w:p>
        </w:tc>
      </w:tr>
      <w:tr>
        <w:trPr>
          <w:trHeight w:val="172"/>
        </w:trPr>
        <w:tc>
          <w:tcPr>
            <w:tcW w:w="30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Limited</w:t>
            </w:r>
          </w:p>
        </w:tc>
      </w:tr>
      <w:tr>
        <w:trPr>
          <w:trHeight w:val="161"/>
        </w:trPr>
        <w:tc>
          <w:tcPr>
            <w:tcW w:w="3040" w:type="dxa"/>
            <w:vAlign w:val="bottom"/>
          </w:tcPr>
          <w:p>
            <w:pPr>
              <w:spacing w:after="0"/>
              <w:rPr>
                <w:sz w:val="20"/>
                <w:szCs w:val="20"/>
                <w:color w:val="auto"/>
              </w:rPr>
            </w:pPr>
            <w:r>
              <w:rPr>
                <w:rFonts w:ascii="Arial" w:cs="Arial" w:eastAsia="Arial" w:hAnsi="Arial"/>
                <w:sz w:val="13"/>
                <w:szCs w:val="13"/>
                <w:color w:val="auto"/>
              </w:rPr>
              <w:t>James S. Kahan(2)(3)(4)</w:t>
            </w:r>
          </w:p>
        </w:tc>
        <w:tc>
          <w:tcPr>
            <w:tcW w:w="1860" w:type="dxa"/>
            <w:vAlign w:val="bottom"/>
          </w:tcPr>
          <w:p>
            <w:pPr>
              <w:jc w:val="right"/>
              <w:ind w:right="114"/>
              <w:spacing w:after="0"/>
              <w:rPr>
                <w:sz w:val="20"/>
                <w:szCs w:val="20"/>
                <w:color w:val="auto"/>
              </w:rPr>
            </w:pPr>
            <w:r>
              <w:rPr>
                <w:rFonts w:ascii="Arial" w:cs="Arial" w:eastAsia="Arial" w:hAnsi="Arial"/>
                <w:sz w:val="13"/>
                <w:szCs w:val="13"/>
                <w:color w:val="auto"/>
              </w:rPr>
              <w:t>62</w:t>
            </w:r>
          </w:p>
        </w:tc>
        <w:tc>
          <w:tcPr>
            <w:tcW w:w="5080" w:type="dxa"/>
            <w:vAlign w:val="bottom"/>
          </w:tcPr>
          <w:p>
            <w:pPr>
              <w:ind w:left="100"/>
              <w:spacing w:after="0"/>
              <w:rPr>
                <w:sz w:val="20"/>
                <w:szCs w:val="20"/>
                <w:color w:val="auto"/>
              </w:rPr>
            </w:pPr>
            <w:r>
              <w:rPr>
                <w:rFonts w:ascii="Arial" w:cs="Arial" w:eastAsia="Arial" w:hAnsi="Arial"/>
                <w:sz w:val="13"/>
                <w:szCs w:val="13"/>
                <w:color w:val="auto"/>
              </w:rPr>
              <w:t>Director and Chairman of the Compensation Committee, Amdocs Limited</w:t>
            </w:r>
          </w:p>
        </w:tc>
      </w:tr>
      <w:tr>
        <w:trPr>
          <w:trHeight w:val="161"/>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Zohar Zisapel(5)</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60</w:t>
            </w: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 and Chairman of the Technology and Innovation Committee, Amdocs Limited</w:t>
            </w:r>
          </w:p>
        </w:tc>
      </w:tr>
      <w:tr>
        <w:trPr>
          <w:trHeight w:val="161"/>
        </w:trPr>
        <w:tc>
          <w:tcPr>
            <w:tcW w:w="3040" w:type="dxa"/>
            <w:vAlign w:val="bottom"/>
          </w:tcPr>
          <w:p>
            <w:pPr>
              <w:spacing w:after="0"/>
              <w:rPr>
                <w:sz w:val="20"/>
                <w:szCs w:val="20"/>
                <w:color w:val="auto"/>
              </w:rPr>
            </w:pPr>
            <w:r>
              <w:rPr>
                <w:rFonts w:ascii="Arial" w:cs="Arial" w:eastAsia="Arial" w:hAnsi="Arial"/>
                <w:sz w:val="13"/>
                <w:szCs w:val="13"/>
                <w:color w:val="auto"/>
              </w:rPr>
              <w:t>Julian A. Brodsky(3)</w:t>
            </w:r>
          </w:p>
        </w:tc>
        <w:tc>
          <w:tcPr>
            <w:tcW w:w="1860" w:type="dxa"/>
            <w:vAlign w:val="bottom"/>
          </w:tcPr>
          <w:p>
            <w:pPr>
              <w:jc w:val="right"/>
              <w:ind w:right="114"/>
              <w:spacing w:after="0"/>
              <w:rPr>
                <w:sz w:val="20"/>
                <w:szCs w:val="20"/>
                <w:color w:val="auto"/>
              </w:rPr>
            </w:pPr>
            <w:r>
              <w:rPr>
                <w:rFonts w:ascii="Arial" w:cs="Arial" w:eastAsia="Arial" w:hAnsi="Arial"/>
                <w:sz w:val="13"/>
                <w:szCs w:val="13"/>
                <w:color w:val="auto"/>
              </w:rPr>
              <w:t>76</w:t>
            </w:r>
          </w:p>
        </w:tc>
        <w:tc>
          <w:tcPr>
            <w:tcW w:w="5080" w:type="dxa"/>
            <w:vAlign w:val="bottom"/>
          </w:tcPr>
          <w:p>
            <w:pPr>
              <w:ind w:left="100"/>
              <w:spacing w:after="0"/>
              <w:rPr>
                <w:sz w:val="20"/>
                <w:szCs w:val="20"/>
                <w:color w:val="auto"/>
              </w:rPr>
            </w:pPr>
            <w:r>
              <w:rPr>
                <w:rFonts w:ascii="Arial" w:cs="Arial" w:eastAsia="Arial" w:hAnsi="Arial"/>
                <w:sz w:val="13"/>
                <w:szCs w:val="13"/>
                <w:color w:val="auto"/>
              </w:rPr>
              <w:t>Director, Amdocs Limited</w:t>
            </w:r>
          </w:p>
        </w:tc>
      </w:tr>
      <w:tr>
        <w:trPr>
          <w:trHeight w:val="161"/>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Eli Gelman(5)</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51</w:t>
            </w: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 Amdocs Limited</w:t>
            </w:r>
          </w:p>
        </w:tc>
      </w:tr>
      <w:tr>
        <w:trPr>
          <w:trHeight w:val="161"/>
        </w:trPr>
        <w:tc>
          <w:tcPr>
            <w:tcW w:w="3040" w:type="dxa"/>
            <w:vAlign w:val="bottom"/>
          </w:tcPr>
          <w:p>
            <w:pPr>
              <w:spacing w:after="0"/>
              <w:rPr>
                <w:sz w:val="20"/>
                <w:szCs w:val="20"/>
                <w:color w:val="auto"/>
              </w:rPr>
            </w:pPr>
            <w:r>
              <w:rPr>
                <w:rFonts w:ascii="Arial" w:cs="Arial" w:eastAsia="Arial" w:hAnsi="Arial"/>
                <w:sz w:val="13"/>
                <w:szCs w:val="13"/>
                <w:color w:val="auto"/>
              </w:rPr>
              <w:t>Nehemia Lemelbaum(4)(5)</w:t>
            </w:r>
          </w:p>
        </w:tc>
        <w:tc>
          <w:tcPr>
            <w:tcW w:w="1860" w:type="dxa"/>
            <w:vAlign w:val="bottom"/>
          </w:tcPr>
          <w:p>
            <w:pPr>
              <w:jc w:val="right"/>
              <w:ind w:right="114"/>
              <w:spacing w:after="0"/>
              <w:rPr>
                <w:sz w:val="20"/>
                <w:szCs w:val="20"/>
                <w:color w:val="auto"/>
              </w:rPr>
            </w:pPr>
            <w:r>
              <w:rPr>
                <w:rFonts w:ascii="Arial" w:cs="Arial" w:eastAsia="Arial" w:hAnsi="Arial"/>
                <w:sz w:val="13"/>
                <w:szCs w:val="13"/>
                <w:color w:val="auto"/>
              </w:rPr>
              <w:t>67</w:t>
            </w:r>
          </w:p>
        </w:tc>
        <w:tc>
          <w:tcPr>
            <w:tcW w:w="5080" w:type="dxa"/>
            <w:vAlign w:val="bottom"/>
          </w:tcPr>
          <w:p>
            <w:pPr>
              <w:ind w:left="100"/>
              <w:spacing w:after="0"/>
              <w:rPr>
                <w:sz w:val="20"/>
                <w:szCs w:val="20"/>
                <w:color w:val="auto"/>
              </w:rPr>
            </w:pPr>
            <w:r>
              <w:rPr>
                <w:rFonts w:ascii="Arial" w:cs="Arial" w:eastAsia="Arial" w:hAnsi="Arial"/>
                <w:sz w:val="13"/>
                <w:szCs w:val="13"/>
                <w:color w:val="auto"/>
              </w:rPr>
              <w:t>Director, Amdocs Limited</w:t>
            </w:r>
          </w:p>
        </w:tc>
      </w:tr>
      <w:tr>
        <w:trPr>
          <w:trHeight w:val="161"/>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John T. McLennan(1)</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64</w:t>
            </w: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 Amdocs Limited</w:t>
            </w:r>
          </w:p>
        </w:tc>
      </w:tr>
      <w:tr>
        <w:trPr>
          <w:trHeight w:val="161"/>
        </w:trPr>
        <w:tc>
          <w:tcPr>
            <w:tcW w:w="3040" w:type="dxa"/>
            <w:vAlign w:val="bottom"/>
          </w:tcPr>
          <w:p>
            <w:pPr>
              <w:spacing w:after="0"/>
              <w:rPr>
                <w:sz w:val="20"/>
                <w:szCs w:val="20"/>
                <w:color w:val="auto"/>
              </w:rPr>
            </w:pPr>
            <w:r>
              <w:rPr>
                <w:rFonts w:ascii="Arial" w:cs="Arial" w:eastAsia="Arial" w:hAnsi="Arial"/>
                <w:sz w:val="13"/>
                <w:szCs w:val="13"/>
                <w:color w:val="auto"/>
              </w:rPr>
              <w:t>Robert A. Minicucci(2)(4)</w:t>
            </w:r>
          </w:p>
        </w:tc>
        <w:tc>
          <w:tcPr>
            <w:tcW w:w="1860" w:type="dxa"/>
            <w:vAlign w:val="bottom"/>
          </w:tcPr>
          <w:p>
            <w:pPr>
              <w:jc w:val="right"/>
              <w:ind w:right="114"/>
              <w:spacing w:after="0"/>
              <w:rPr>
                <w:sz w:val="20"/>
                <w:szCs w:val="20"/>
                <w:color w:val="auto"/>
              </w:rPr>
            </w:pPr>
            <w:r>
              <w:rPr>
                <w:rFonts w:ascii="Arial" w:cs="Arial" w:eastAsia="Arial" w:hAnsi="Arial"/>
                <w:sz w:val="13"/>
                <w:szCs w:val="13"/>
                <w:color w:val="auto"/>
              </w:rPr>
              <w:t>57</w:t>
            </w:r>
          </w:p>
        </w:tc>
        <w:tc>
          <w:tcPr>
            <w:tcW w:w="5080" w:type="dxa"/>
            <w:vAlign w:val="bottom"/>
          </w:tcPr>
          <w:p>
            <w:pPr>
              <w:ind w:left="100"/>
              <w:spacing w:after="0"/>
              <w:rPr>
                <w:sz w:val="20"/>
                <w:szCs w:val="20"/>
                <w:color w:val="auto"/>
              </w:rPr>
            </w:pPr>
            <w:r>
              <w:rPr>
                <w:rFonts w:ascii="Arial" w:cs="Arial" w:eastAsia="Arial" w:hAnsi="Arial"/>
                <w:sz w:val="13"/>
                <w:szCs w:val="13"/>
                <w:color w:val="auto"/>
              </w:rPr>
              <w:t>Director, Amdocs Limited</w:t>
            </w:r>
          </w:p>
        </w:tc>
      </w:tr>
      <w:tr>
        <w:trPr>
          <w:trHeight w:val="161"/>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Simon Olswang(1)</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65</w:t>
            </w: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 Amdocs Limited</w:t>
            </w:r>
          </w:p>
        </w:tc>
      </w:tr>
      <w:tr>
        <w:trPr>
          <w:trHeight w:val="161"/>
        </w:trPr>
        <w:tc>
          <w:tcPr>
            <w:tcW w:w="3040" w:type="dxa"/>
            <w:vAlign w:val="bottom"/>
          </w:tcPr>
          <w:p>
            <w:pPr>
              <w:spacing w:after="0"/>
              <w:rPr>
                <w:sz w:val="20"/>
                <w:szCs w:val="20"/>
                <w:color w:val="auto"/>
              </w:rPr>
            </w:pPr>
            <w:r>
              <w:rPr>
                <w:rFonts w:ascii="Arial" w:cs="Arial" w:eastAsia="Arial" w:hAnsi="Arial"/>
                <w:sz w:val="13"/>
                <w:szCs w:val="13"/>
                <w:color w:val="auto"/>
              </w:rPr>
              <w:t>Giora Yaron</w:t>
            </w:r>
          </w:p>
        </w:tc>
        <w:tc>
          <w:tcPr>
            <w:tcW w:w="1860" w:type="dxa"/>
            <w:vAlign w:val="bottom"/>
          </w:tcPr>
          <w:p>
            <w:pPr>
              <w:jc w:val="right"/>
              <w:ind w:right="114"/>
              <w:spacing w:after="0"/>
              <w:rPr>
                <w:sz w:val="20"/>
                <w:szCs w:val="20"/>
                <w:color w:val="auto"/>
              </w:rPr>
            </w:pPr>
            <w:r>
              <w:rPr>
                <w:rFonts w:ascii="Arial" w:cs="Arial" w:eastAsia="Arial" w:hAnsi="Arial"/>
                <w:sz w:val="13"/>
                <w:szCs w:val="13"/>
                <w:color w:val="auto"/>
              </w:rPr>
              <w:t>60</w:t>
            </w:r>
          </w:p>
        </w:tc>
        <w:tc>
          <w:tcPr>
            <w:tcW w:w="5080" w:type="dxa"/>
            <w:vAlign w:val="bottom"/>
          </w:tcPr>
          <w:p>
            <w:pPr>
              <w:ind w:left="100"/>
              <w:spacing w:after="0"/>
              <w:rPr>
                <w:sz w:val="20"/>
                <w:szCs w:val="20"/>
                <w:color w:val="auto"/>
              </w:rPr>
            </w:pPr>
            <w:r>
              <w:rPr>
                <w:rFonts w:ascii="Arial" w:cs="Arial" w:eastAsia="Arial" w:hAnsi="Arial"/>
                <w:sz w:val="13"/>
                <w:szCs w:val="13"/>
                <w:color w:val="auto"/>
              </w:rPr>
              <w:t>Director, Amdocs Limited</w:t>
            </w:r>
          </w:p>
        </w:tc>
      </w:tr>
      <w:tr>
        <w:trPr>
          <w:trHeight w:val="150"/>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Dov Baharav(4)</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59</w:t>
            </w: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Director, Amdocs Limited; President and Chief Executive Officer, Amdocs Management</w:t>
            </w:r>
          </w:p>
        </w:tc>
      </w:tr>
      <w:tr>
        <w:trPr>
          <w:trHeight w:val="172"/>
        </w:trPr>
        <w:tc>
          <w:tcPr>
            <w:tcW w:w="30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Limited</w:t>
            </w:r>
          </w:p>
        </w:tc>
      </w:tr>
      <w:tr>
        <w:trPr>
          <w:trHeight w:val="161"/>
        </w:trPr>
        <w:tc>
          <w:tcPr>
            <w:tcW w:w="3040" w:type="dxa"/>
            <w:vAlign w:val="bottom"/>
          </w:tcPr>
          <w:p>
            <w:pPr>
              <w:spacing w:after="0"/>
              <w:rPr>
                <w:sz w:val="20"/>
                <w:szCs w:val="20"/>
                <w:color w:val="auto"/>
              </w:rPr>
            </w:pPr>
            <w:r>
              <w:rPr>
                <w:rFonts w:ascii="Arial" w:cs="Arial" w:eastAsia="Arial" w:hAnsi="Arial"/>
                <w:sz w:val="13"/>
                <w:szCs w:val="13"/>
                <w:color w:val="auto"/>
              </w:rPr>
              <w:t>Tamar Rapaport Dagim</w:t>
            </w:r>
          </w:p>
        </w:tc>
        <w:tc>
          <w:tcPr>
            <w:tcW w:w="1860" w:type="dxa"/>
            <w:vAlign w:val="bottom"/>
          </w:tcPr>
          <w:p>
            <w:pPr>
              <w:jc w:val="right"/>
              <w:ind w:right="114"/>
              <w:spacing w:after="0"/>
              <w:rPr>
                <w:sz w:val="20"/>
                <w:szCs w:val="20"/>
                <w:color w:val="auto"/>
              </w:rPr>
            </w:pPr>
            <w:r>
              <w:rPr>
                <w:rFonts w:ascii="Arial" w:cs="Arial" w:eastAsia="Arial" w:hAnsi="Arial"/>
                <w:sz w:val="13"/>
                <w:szCs w:val="13"/>
                <w:color w:val="auto"/>
              </w:rPr>
              <w:t>38</w:t>
            </w:r>
          </w:p>
        </w:tc>
        <w:tc>
          <w:tcPr>
            <w:tcW w:w="5080" w:type="dxa"/>
            <w:vAlign w:val="bottom"/>
          </w:tcPr>
          <w:p>
            <w:pPr>
              <w:ind w:left="100"/>
              <w:spacing w:after="0"/>
              <w:rPr>
                <w:sz w:val="20"/>
                <w:szCs w:val="20"/>
                <w:color w:val="auto"/>
              </w:rPr>
            </w:pPr>
            <w:r>
              <w:rPr>
                <w:rFonts w:ascii="Arial" w:cs="Arial" w:eastAsia="Arial" w:hAnsi="Arial"/>
                <w:sz w:val="13"/>
                <w:szCs w:val="13"/>
                <w:color w:val="auto"/>
              </w:rPr>
              <w:t>Senior Vice President and Chief Financial Officer, Amdocs Management Limited</w:t>
            </w:r>
          </w:p>
        </w:tc>
      </w:tr>
      <w:tr>
        <w:trPr>
          <w:trHeight w:val="161"/>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James Liang</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52</w:t>
            </w: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Senior Vice President and Chief Strategy Officer, Amdocs Management Limited</w:t>
            </w:r>
          </w:p>
        </w:tc>
      </w:tr>
      <w:tr>
        <w:trPr>
          <w:trHeight w:val="150"/>
        </w:trPr>
        <w:tc>
          <w:tcPr>
            <w:tcW w:w="3040" w:type="dxa"/>
            <w:vAlign w:val="bottom"/>
          </w:tcPr>
          <w:p>
            <w:pPr>
              <w:spacing w:after="0"/>
              <w:rPr>
                <w:sz w:val="20"/>
                <w:szCs w:val="20"/>
                <w:color w:val="auto"/>
              </w:rPr>
            </w:pPr>
            <w:r>
              <w:rPr>
                <w:rFonts w:ascii="Arial" w:cs="Arial" w:eastAsia="Arial" w:hAnsi="Arial"/>
                <w:sz w:val="13"/>
                <w:szCs w:val="13"/>
                <w:color w:val="auto"/>
              </w:rPr>
              <w:t>Ayal Shiran</w:t>
            </w:r>
          </w:p>
        </w:tc>
        <w:tc>
          <w:tcPr>
            <w:tcW w:w="1860" w:type="dxa"/>
            <w:vAlign w:val="bottom"/>
          </w:tcPr>
          <w:p>
            <w:pPr>
              <w:jc w:val="right"/>
              <w:ind w:right="114"/>
              <w:spacing w:after="0"/>
              <w:rPr>
                <w:sz w:val="20"/>
                <w:szCs w:val="20"/>
                <w:color w:val="auto"/>
              </w:rPr>
            </w:pPr>
            <w:r>
              <w:rPr>
                <w:rFonts w:ascii="Arial" w:cs="Arial" w:eastAsia="Arial" w:hAnsi="Arial"/>
                <w:sz w:val="13"/>
                <w:szCs w:val="13"/>
                <w:color w:val="auto"/>
              </w:rPr>
              <w:t>44</w:t>
            </w:r>
          </w:p>
        </w:tc>
        <w:tc>
          <w:tcPr>
            <w:tcW w:w="5080" w:type="dxa"/>
            <w:vAlign w:val="bottom"/>
          </w:tcPr>
          <w:p>
            <w:pPr>
              <w:ind w:left="100"/>
              <w:spacing w:after="0"/>
              <w:rPr>
                <w:sz w:val="20"/>
                <w:szCs w:val="20"/>
                <w:color w:val="auto"/>
              </w:rPr>
            </w:pPr>
            <w:r>
              <w:rPr>
                <w:rFonts w:ascii="Arial" w:cs="Arial" w:eastAsia="Arial" w:hAnsi="Arial"/>
                <w:sz w:val="13"/>
                <w:szCs w:val="13"/>
                <w:color w:val="auto"/>
              </w:rPr>
              <w:t>Senior Vice President and Head of Customer Business Group, Amdocs Management</w:t>
            </w:r>
          </w:p>
        </w:tc>
      </w:tr>
      <w:tr>
        <w:trPr>
          <w:trHeight w:val="172"/>
        </w:trPr>
        <w:tc>
          <w:tcPr>
            <w:tcW w:w="3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Arial" w:cs="Arial" w:eastAsia="Arial" w:hAnsi="Arial"/>
                <w:sz w:val="13"/>
                <w:szCs w:val="13"/>
                <w:color w:val="auto"/>
              </w:rPr>
              <w:t>Limited</w:t>
            </w:r>
          </w:p>
        </w:tc>
      </w:tr>
      <w:tr>
        <w:trPr>
          <w:trHeight w:val="161"/>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Anshoo Gaur</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41</w:t>
            </w:r>
          </w:p>
        </w:tc>
        <w:tc>
          <w:tcPr>
            <w:tcW w:w="5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Division President, Amdocs Development Center India Pvt. Ltd.</w:t>
            </w:r>
          </w:p>
        </w:tc>
      </w:tr>
      <w:tr>
        <w:trPr>
          <w:trHeight w:val="172"/>
        </w:trPr>
        <w:tc>
          <w:tcPr>
            <w:tcW w:w="3040" w:type="dxa"/>
            <w:vAlign w:val="bottom"/>
          </w:tcPr>
          <w:p>
            <w:pPr>
              <w:spacing w:after="0"/>
              <w:rPr>
                <w:sz w:val="20"/>
                <w:szCs w:val="20"/>
                <w:color w:val="auto"/>
              </w:rPr>
            </w:pPr>
            <w:r>
              <w:rPr>
                <w:rFonts w:ascii="Arial" w:cs="Arial" w:eastAsia="Arial" w:hAnsi="Arial"/>
                <w:sz w:val="13"/>
                <w:szCs w:val="13"/>
                <w:color w:val="auto"/>
              </w:rPr>
              <w:t>Thomas G. O’Brien</w:t>
            </w:r>
          </w:p>
        </w:tc>
        <w:tc>
          <w:tcPr>
            <w:tcW w:w="1860" w:type="dxa"/>
            <w:vAlign w:val="bottom"/>
          </w:tcPr>
          <w:p>
            <w:pPr>
              <w:jc w:val="right"/>
              <w:ind w:right="114"/>
              <w:spacing w:after="0"/>
              <w:rPr>
                <w:sz w:val="20"/>
                <w:szCs w:val="20"/>
                <w:color w:val="auto"/>
              </w:rPr>
            </w:pPr>
            <w:r>
              <w:rPr>
                <w:rFonts w:ascii="Arial" w:cs="Arial" w:eastAsia="Arial" w:hAnsi="Arial"/>
                <w:sz w:val="13"/>
                <w:szCs w:val="13"/>
                <w:color w:val="auto"/>
              </w:rPr>
              <w:t>48</w:t>
            </w:r>
          </w:p>
        </w:tc>
        <w:tc>
          <w:tcPr>
            <w:tcW w:w="5080" w:type="dxa"/>
            <w:vAlign w:val="bottom"/>
          </w:tcPr>
          <w:p>
            <w:pPr>
              <w:ind w:left="100"/>
              <w:spacing w:after="0"/>
              <w:rPr>
                <w:sz w:val="20"/>
                <w:szCs w:val="20"/>
                <w:color w:val="auto"/>
              </w:rPr>
            </w:pPr>
            <w:r>
              <w:rPr>
                <w:rFonts w:ascii="Arial" w:cs="Arial" w:eastAsia="Arial" w:hAnsi="Arial"/>
                <w:sz w:val="13"/>
                <w:szCs w:val="13"/>
                <w:color w:val="auto"/>
              </w:rPr>
              <w:t>Treasurer and Secretary, Amdocs 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000" w:hanging="266"/>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92" w:lineRule="exact"/>
        <w:rPr>
          <w:rFonts w:ascii="Arial" w:cs="Arial" w:eastAsia="Arial" w:hAnsi="Arial"/>
          <w:sz w:val="13"/>
          <w:szCs w:val="13"/>
          <w:color w:val="auto"/>
        </w:rPr>
      </w:pPr>
    </w:p>
    <w:p>
      <w:pPr>
        <w:ind w:left="1000" w:hanging="266"/>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92" w:lineRule="exact"/>
        <w:rPr>
          <w:rFonts w:ascii="Arial" w:cs="Arial" w:eastAsia="Arial" w:hAnsi="Arial"/>
          <w:sz w:val="13"/>
          <w:szCs w:val="13"/>
          <w:color w:val="auto"/>
        </w:rPr>
      </w:pPr>
    </w:p>
    <w:p>
      <w:pPr>
        <w:ind w:left="1000" w:hanging="266"/>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92" w:lineRule="exact"/>
        <w:rPr>
          <w:rFonts w:ascii="Arial" w:cs="Arial" w:eastAsia="Arial" w:hAnsi="Arial"/>
          <w:sz w:val="13"/>
          <w:szCs w:val="13"/>
          <w:color w:val="auto"/>
        </w:rPr>
      </w:pPr>
    </w:p>
    <w:p>
      <w:pPr>
        <w:ind w:left="1000" w:hanging="266"/>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Member of the Executive Committee</w:t>
      </w:r>
    </w:p>
    <w:p>
      <w:pPr>
        <w:spacing w:after="0" w:line="92" w:lineRule="exact"/>
        <w:rPr>
          <w:rFonts w:ascii="Arial" w:cs="Arial" w:eastAsia="Arial" w:hAnsi="Arial"/>
          <w:sz w:val="13"/>
          <w:szCs w:val="13"/>
          <w:color w:val="auto"/>
        </w:rPr>
      </w:pPr>
    </w:p>
    <w:p>
      <w:pPr>
        <w:ind w:left="1000" w:hanging="266"/>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Member of the Technology and Innovation Committee</w:t>
      </w:r>
    </w:p>
    <w:p>
      <w:pPr>
        <w:spacing w:after="0" w:line="102" w:lineRule="exact"/>
        <w:rPr>
          <w:sz w:val="20"/>
          <w:szCs w:val="20"/>
          <w:color w:val="auto"/>
        </w:rPr>
      </w:pPr>
    </w:p>
    <w:p>
      <w:pPr>
        <w:ind w:left="680" w:right="280" w:firstLine="399"/>
        <w:spacing w:after="0" w:line="270" w:lineRule="auto"/>
        <w:rPr>
          <w:sz w:val="20"/>
          <w:szCs w:val="20"/>
          <w:color w:val="auto"/>
        </w:rPr>
      </w:pPr>
      <w:r>
        <w:rPr>
          <w:rFonts w:ascii="Arial" w:cs="Arial" w:eastAsia="Arial" w:hAnsi="Arial"/>
          <w:sz w:val="13"/>
          <w:szCs w:val="13"/>
          <w:color w:val="auto"/>
        </w:rPr>
        <w:t>Bruce K. Anderson has been Chairman of the Board of Directors of Amdocs since September 1997. Since August 1978, Mr. Anderson has been a general partner of Welsh, Carson, Anderson &amp; Stowe (“WCAS”), an investment firm that specializes in the acquisition of companies in the information and business services and health care industries. Until September 2003, investment partnerships affiliated with WCAS had been among our largest shareholders. Mr. Anderson served for nine years with Automated Data Processing, Inc. (“ADP”) until his resignation as Executive Vice President and a director of ADP, and President of ADP</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spacing w:after="0" w:line="294" w:lineRule="auto"/>
        <w:rPr>
          <w:sz w:val="20"/>
          <w:szCs w:val="20"/>
          <w:color w:val="auto"/>
        </w:rPr>
      </w:pPr>
      <w:r>
        <w:rPr>
          <w:rFonts w:ascii="Arial" w:cs="Arial" w:eastAsia="Arial" w:hAnsi="Arial"/>
          <w:sz w:val="13"/>
          <w:szCs w:val="13"/>
          <w:color w:val="auto"/>
        </w:rPr>
        <w:t>International, effective August 1978. Mr. Anderson serves on the board of Alliance Data Systems, Inc., a publicly-held company that provides transaction, credit and marketing services to large consumer based businesses.</w:t>
      </w:r>
    </w:p>
    <w:p>
      <w:pPr>
        <w:spacing w:after="0" w:line="47"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Adrian Gardner has been a director of Amdocs since April 1998 and is Chairman of the Audit Committee. Since November 2007, Mr. Gardner has been Chief Financial Officer of PA Consulting Group, a London-based business consulting firm. From April until November 2007, Mr. Gardner was a private investor. Mr. Gardner was Chief Financial Officer of ProStrakan Group plc, a pharmaceuticals company based in the United Kingdom and listed on the London Stock Exchange, from 2002 until April 2007 and a director from 2002 until June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68"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Charles E. Foster has been a director of Amdocs since December 2001 and is Chairman of the Nominating and Corporate Governance Committee.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In 2005, SBC acquired AT&amp;T Corp. and became AT&amp;T Inc. AT&amp;T is our most significant customer. Mr. Foster serves as trustee of the Southwest Foundation for Bio-Medical Research, a non-profit research institute. Mr. Foster is a former member of the Texas Society of Professional Engineers and a director of Morningside Ministries Foundation, a non-profit operator of nursing homes in the San Antonio area.</w:t>
      </w:r>
    </w:p>
    <w:p>
      <w:pPr>
        <w:spacing w:after="0" w:line="68"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James S. Kahan has been a director of Amdocs since April 1998 and is Chairman of the Compensation Committee, and a member of the Executive and Nominating and Corporate Governance Committees. From 1983 until his June 2007 retirement, he worked at SBC, which is now AT&amp;T, and served as a Senior Executive Vice President from 1992 until June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Inc., the world’s largest producer of live music concerts and events.</w:t>
      </w:r>
    </w:p>
    <w:p>
      <w:pPr>
        <w:spacing w:after="0" w:line="48"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Zohar Zisapel has been a director of Amdocs since July 2008 and is the Chairman of the Technology and Innovation Committee. Mr. Zisapel co-founded RAD Data Communications Ltd. and has been its chairman since 1982, a privately-held voice and data communications company and part of the RAD Group, a family of independent networking and telecommunications companies. Mr. Zisapel also serves as chairman of Ceragon Networks Ltd., RADVision Ltd. and RADCOM Ltd., each of which is a publicly-traded member of the RAD Group, as well as on the boards of directors of several privately-held companies. Mr. Zisapel previously served as head of the electronics research and development department in the Israeli Ministry of Defense from 1978 until 1982 and as chairman of the Israel Association of Electronic Industries from 1998 until 2001.</w:t>
      </w:r>
    </w:p>
    <w:p>
      <w:pPr>
        <w:spacing w:after="0" w:line="49"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Julian A. Brodsky has been a director of Amdocs since July 2003. Mr. Brodsky has served as a director and as Vice Chairman of Comcast Corporation since 1989. From 1989 to May 2004, Mr. Brodsky was Chairman of Comcast Interactive Capital, LP, a venture fund affiliated with Comcast. He is a director of RBB Fund, Inc.</w:t>
      </w:r>
    </w:p>
    <w:p>
      <w:pPr>
        <w:spacing w:after="0" w:line="47"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Eli Gelman has been a director of Amdocs since 2002. Since April 2008, Mr. Gelman has devoted his time to charitable matters focused on youth education. He served as Executive Vice President of Amdocs Management Limited from October 2002 until April 2008 and as our Chief Operating Officer from October 2006 until April 2008. Prior to October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Mr. Gelman has more than 28 years of experience in</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0"/>
        <w:spacing w:after="0" w:line="294" w:lineRule="auto"/>
        <w:rPr>
          <w:sz w:val="20"/>
          <w:szCs w:val="20"/>
          <w:color w:val="auto"/>
        </w:rPr>
      </w:pPr>
      <w:r>
        <w:rPr>
          <w:rFonts w:ascii="Arial" w:cs="Arial" w:eastAsia="Arial" w:hAnsi="Arial"/>
          <w:sz w:val="13"/>
          <w:szCs w:val="13"/>
          <w:color w:val="auto"/>
        </w:rPr>
        <w:t>the software industry, including more than 20 years with Amdocs. Before joining Amdocs, Mr. Gelman was involved in the development of real-time software systems for communications networks.</w:t>
      </w:r>
    </w:p>
    <w:p>
      <w:pPr>
        <w:spacing w:after="0" w:line="47"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Nehemia Lemelbaum has been a director of Amdocs since December 2001 and was a Senior Vice President of Amdocs Management Limited from 1985 until January 2005. Since 2005, Mr. Lemelbaum has been a private investor and since December 2006, Mr. Lemelbaum has been a director and the Chief Executive Officer of EHYN, a privately-held investment company.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w:t>
      </w:r>
    </w:p>
    <w:p>
      <w:pPr>
        <w:spacing w:after="0" w:line="51"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John T. McLennan has been a director of Amdocs since November 1999.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Air Canada Jazz, a publicly-held regional airline company, Chairman of Emera Inc., a Canadian publicly-held energy services company, and director of Nova Scotia Power Inc., a wholly-owned subsidiary of Emera Inc.</w:t>
      </w:r>
    </w:p>
    <w:p>
      <w:pPr>
        <w:spacing w:after="0" w:line="65"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Robert A. Minicucci has been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Retalix Ltd., and several private companies.</w:t>
      </w:r>
    </w:p>
    <w:p>
      <w:pPr>
        <w:spacing w:after="0" w:line="6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Simon Olswang has been a director of Amdocs since November 2004. In 2002, Mr. Olswang retired as Chairman of Olswang, a media and communications law firm in the United Kingdom that he founded in 1981. He is a member of the Advisory Board of Palamon Capital Partners LLP. Mr. Olswang was a member of the Board of Directors of The British Library until March 2008 and has served as a non-executive director of a number of companies and organizations, including Aegis Group plc, The Press Association and the British Film Institute. Mr. Olswang serves as Trustee of Langdon College of Further (Special) Education in Salford, of which he is a co-founder.</w:t>
      </w:r>
    </w:p>
    <w:p>
      <w:pPr>
        <w:spacing w:after="0" w:line="63" w:lineRule="exact"/>
        <w:rPr>
          <w:sz w:val="20"/>
          <w:szCs w:val="20"/>
          <w:color w:val="auto"/>
        </w:rPr>
      </w:pPr>
    </w:p>
    <w:p>
      <w:pPr>
        <w:ind w:left="680" w:right="120" w:firstLine="399"/>
        <w:spacing w:after="0" w:line="263" w:lineRule="auto"/>
        <w:rPr>
          <w:sz w:val="20"/>
          <w:szCs w:val="20"/>
          <w:color w:val="auto"/>
        </w:rPr>
      </w:pPr>
      <w:r>
        <w:rPr>
          <w:rFonts w:ascii="Arial" w:cs="Arial" w:eastAsia="Arial" w:hAnsi="Arial"/>
          <w:sz w:val="13"/>
          <w:szCs w:val="13"/>
          <w:color w:val="auto"/>
        </w:rPr>
        <w:t>Dr. Giora Yaron has been a director of Amdocs since July 2009. Dr. Yaron co-founded Itamar Medical Ltd., a publicly-traded medical technology company, and has been its co-chairman since 1997. Dr. Yaron provides consulting services to Itamar Medical and to various other technology companies. He also co-founded Exanet, Inc., a privately-held company focused on building single entity scalable storage networks, and has been its chairman since 2000. Since 2004, Dr. Yaron has been the chairman of Yissum Research Development Company, the technology transfer company of the Hebrew University of Jerusalem. Dr. Yaron also has served on the advisory board of Rafael Advanced Defense Systems, Ltd., a developer of high-tech defense systems, since 2008. In addition, Dr. Yaron previously co-founded and served as chairman of Qumranet Inc. from 2006 to 2008, a privately-held enterprise software company acquired by Red Hat, Mercury Interactive from 1996 to 2006, a publicly-traded IT optimization software company acquired by Hewlett-Packard, P-cube Inc., a privately-held company focused on content-based switching for smart networks acquired by Cisco, Comsys Communication and Signal Processing Ltd., a semiconductor company.</w:t>
      </w:r>
    </w:p>
    <w:p>
      <w:pPr>
        <w:spacing w:after="0" w:line="70"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Dov Baharav has been a director of Amdocs and the President and Chief Executive Officer of Amdocs Management Limited, our wholly-owned subsidiary, since July 2002. Mr. Baharav has overall coordination responsibilities for the operations and activities of our operating subsidiaries. In 1991, Mr. Baharav joined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200"/>
        <w:spacing w:after="0" w:line="276" w:lineRule="auto"/>
        <w:rPr>
          <w:sz w:val="20"/>
          <w:szCs w:val="20"/>
          <w:color w:val="auto"/>
        </w:rPr>
      </w:pPr>
      <w:r>
        <w:rPr>
          <w:rFonts w:ascii="Arial" w:cs="Arial" w:eastAsia="Arial" w:hAnsi="Arial"/>
          <w:sz w:val="13"/>
          <w:szCs w:val="13"/>
          <w:color w:val="auto"/>
        </w:rPr>
        <w:t>Amdocs, Inc., our principal wholly-owned U.S. subsidiary, serving as its Vice President and then President in St. Louis, Missouri until 1995. From 1995 until July 2002, Mr. Baharav was a Senior Vice President and the Chief Financial Officer of Amdocs Management Limited. Prior to joining Amdocs, Mr. Baharav served as Chief Operating Officer of Optrotech Ltd., a publicly-held company that develops, manufactures and markets electro-optical devices.</w:t>
      </w:r>
    </w:p>
    <w:p>
      <w:pPr>
        <w:spacing w:after="0" w:line="59"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Tamar Rapaport-Dagim has been Senior Vice President and Chief Financial Officer of Amdocs Management Limited since November 2007. Ms. Rapaport-Dagim joined Amdocs in 2004 and served as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63"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James L. Liang has been our Senior Vice President and Chief Strategy Officer since July 2008. Mr. Liang is responsible for guiding our corporate strategy and strategic alliances, as well as for leading the company’s acquisitions and divestitures work. From January 2005 to June 2008, Mr. Liang served as Vice President of Strategy of IBM’s Global Technology Services Division, where he was responsible for charting the overall strategic direction for this division. From January 1993 to December 2004, Mr. Liang served as an investment banker at Morgan Stanley, providing capital raising and advisory services to technology industry clients.</w:t>
      </w:r>
    </w:p>
    <w:p>
      <w:pPr>
        <w:spacing w:after="0" w:line="63" w:lineRule="exact"/>
        <w:rPr>
          <w:sz w:val="20"/>
          <w:szCs w:val="20"/>
          <w:color w:val="auto"/>
        </w:rPr>
      </w:pPr>
    </w:p>
    <w:p>
      <w:pPr>
        <w:ind w:left="680" w:right="240" w:firstLine="399"/>
        <w:spacing w:after="0" w:line="267" w:lineRule="auto"/>
        <w:rPr>
          <w:sz w:val="20"/>
          <w:szCs w:val="20"/>
          <w:color w:val="auto"/>
        </w:rPr>
      </w:pPr>
      <w:r>
        <w:rPr>
          <w:rFonts w:ascii="Arial" w:cs="Arial" w:eastAsia="Arial" w:hAnsi="Arial"/>
          <w:sz w:val="13"/>
          <w:szCs w:val="13"/>
          <w:color w:val="auto"/>
        </w:rPr>
        <w:t>Ayal Shiran has been Senior Vice President and Head of the Customer Business Group since August 2008. Mr. Shiran joined Amdocs in 2004, with initial responsibility as President of our Customer Business Unit responsible for Amdocs business with Cingular Wireless and later as Division President, responsible for Amdocs business with the AT&amp;T group of companies, including SBC, Bellsouth and Cingular. Prior to joining Amdocs, Mr. Shiran served as Acting Vice President at TTI Team Telecom International, a telecommunications company. He also served in the Israel Air Force, where he was responsible for various projects concerning the development of computer systems for the F-15 jet airplane, and software development laboratories for the F-15 at Boeing.</w:t>
      </w:r>
    </w:p>
    <w:p>
      <w:pPr>
        <w:spacing w:after="0" w:line="6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Anshoo Gaur has been our Division President for India operations since August 2007. From 2006 to 2007, Mr. Gaur was the President of IT Infrastructure Management of EDS/MphasiS, a technology services company. From 2005 to 2006, Mr. Gaur served as the Managing Director of EDS India Enterprise (“EDS”), where he was responsible for India strategy and operations. From 2003 to 2005, Mr. Gaur was the Global Transformation Director for Desktop Services of EDS.</w:t>
      </w:r>
    </w:p>
    <w:p>
      <w:pPr>
        <w:spacing w:after="0" w:line="59"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Thomas G. O’Brien has been Treasurer and Secretary of Amdocs Limited since 1998 and has held other financial management positions within Amdocs since 1995. From 1993 to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w:t>
      </w:r>
    </w:p>
    <w:p>
      <w:pPr>
        <w:spacing w:after="0" w:line="104"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For 2010, we recently revised our compensation program for our directors who are not our employees, which we refer to as our Non-Employee Directors. For their services as directors during fiscal 2009, our Non-Employee Directors received compensation in the form of cash and options to purchase ordinary shares. During fiscal 2009, each Non-Employee Director received an annual cash payment of $31,500, reflecting a $3,500 reduction in compensation from prior years, which was approved by our Board of Directors. Each member of our Audit and Executive Committees who is a Non-Employee Director received an annual cash payment of $10,000. In addition, the Chairman of the Board of Directors received $75,000 in cash and options to purchase 16,910 ordinary shares. The Chairmen of our Audit and Executive Committees each received an annual cash payment of $10,000 and the Chairmen of our Compensation, Nominating and Corporate Governance and Technology and Innovation Committees each received an annual cash payment of $5,000. Each Non-Employee Director received $1,500 per meeting of the Board of Directors and $1,000 per meeting of a committee of the Board of Directors, except for Non-Employee Directors who are members of our Audit Committee or Executive Committee, who each received $2,000 per meeting. During fiscal 2009, upon election</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299" w:lineRule="auto"/>
        <w:rPr>
          <w:sz w:val="20"/>
          <w:szCs w:val="20"/>
          <w:color w:val="auto"/>
        </w:rPr>
      </w:pPr>
      <w:r>
        <w:rPr>
          <w:rFonts w:ascii="Arial" w:cs="Arial" w:eastAsia="Arial" w:hAnsi="Arial"/>
          <w:sz w:val="12"/>
          <w:szCs w:val="12"/>
          <w:color w:val="auto"/>
        </w:rPr>
        <w:t>or appointment to our Board of Directors, each Non-Employee Director also received an initial option grant for the purchase of 12,000 ordinary shares, followed by annual option grants for the purchase of 11,500 ordinary shares. All option grants to our Non-Employee Directors vest as to one-quarter of the shares immediately, with the remainder vesting annually in three equal installments. The exercise price of all options granted to our Non-Employee Directors is the NYSE closing price of our shares on the last trading day preceding the grant date. We reimburse all of our directors for their reasonable travel expenses incurred in connection with attending Board or committee meetings.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Commencing in fiscal 2010, our Non-Employee Directors will receive compensation for their services as directors in the form of cash and restricted shares. Our new</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policy provides that each Non-Employee Director will receive an annual cash payment of $80,000. Each member of our Audit and Executive Committees who is a Non-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Employee Director and who is not the chairman of such committees will receive an annual cash payment of $5,000. Each member of our Compensation, Nominating and Corporate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Governance and Technology and Innovation Committees, who is a Non-Employee Director and who is not the chairman of such committees, will receive an annual cash payment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$1,000. The Chairmen of our Audit and Executive Committees will each receive an annual cash payment of $10,000 and the Chairmen of our Compensation, Nominating and Corporate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Governance and Technology and Innovation Committees will each receive an annual cash payment of $5,000. Non-Employee Directors will receive an annual grant of restricted shares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at a total value of $150,000. The Chairman of the Board of Directors will receive an additional annual amount equal to $200,000, of which $75,000 will be paid in cash and $125,000</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will be awarded in the form of restricted shares. All restricted share awards to our Non-Employee Directors will be immediately vested with respect to 25%, with the remainder vesting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annually in three equal installments. The price per share for the purpose of determining the value of the grants to our Non-Employee Directors will be the NYSE closing price of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shares on the last trading day preceding the grant date. We will continue to reimburse all of our Non-Employee Directors for their reasonable travel expenses incurred in connection with</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attending Board or committee meetings.</w:t>
      </w:r>
    </w:p>
    <w:p>
      <w:pPr>
        <w:spacing w:after="0" w:line="9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 total of 19 persons who served either as directors of Amdocs or members of its senior management during all or part of fiscal 2009 received remuneration from Amdocs. The aggregate remuneration paid by us to such persons was approximately $4.4 million,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2009, we granted to such persons options to purchase an aggregate of 730,577 ordinary shares at a weighted average price of $19.23 per share with vesting generally over three to four-year terms and expiring ten years from the date of grant, and an aggregate of 115,824 restricted shares subject to two four-year vesting. All options and restricted share awards were granted pursuant to our 1998 Stock Option and Incentive Plan, as amended. See discussion below — “Share Ownership — Employee Stock Option and Incentive Plan.”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Practices</w:t>
      </w:r>
    </w:p>
    <w:p>
      <w:pPr>
        <w:spacing w:after="0" w:line="102" w:lineRule="exact"/>
        <w:rPr>
          <w:sz w:val="20"/>
          <w:szCs w:val="20"/>
          <w:color w:val="auto"/>
        </w:rPr>
      </w:pPr>
    </w:p>
    <w:p>
      <w:pPr>
        <w:ind w:left="680" w:right="180" w:firstLine="399"/>
        <w:spacing w:after="0" w:line="309" w:lineRule="auto"/>
        <w:rPr>
          <w:sz w:val="20"/>
          <w:szCs w:val="20"/>
          <w:color w:val="auto"/>
        </w:rPr>
      </w:pPr>
      <w:r>
        <w:rPr>
          <w:rFonts w:ascii="Arial" w:cs="Arial" w:eastAsia="Arial" w:hAnsi="Arial"/>
          <w:sz w:val="12"/>
          <w:szCs w:val="12"/>
          <w:color w:val="auto"/>
        </w:rPr>
        <w:t>Our Board of Directors is comprised of 13 directors, 12 of whom were elected to our Board of Directors at our annual meeting of shareholders on January 22, 2009. Dr. Yaron was elected by our Board of Directors in July 2009 to fill a vacancy on our Board of Directors.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41" w:lineRule="exact"/>
        <w:rPr>
          <w:sz w:val="20"/>
          <w:szCs w:val="20"/>
          <w:color w:val="auto"/>
        </w:rPr>
      </w:pPr>
    </w:p>
    <w:p>
      <w:pPr>
        <w:ind w:left="680" w:right="180" w:firstLine="399"/>
        <w:spacing w:after="0" w:line="338" w:lineRule="auto"/>
        <w:rPr>
          <w:sz w:val="20"/>
          <w:szCs w:val="20"/>
          <w:color w:val="auto"/>
        </w:rPr>
      </w:pPr>
      <w:r>
        <w:rPr>
          <w:rFonts w:ascii="Arial" w:cs="Arial" w:eastAsia="Arial" w:hAnsi="Arial"/>
          <w:sz w:val="12"/>
          <w:szCs w:val="12"/>
          <w:color w:val="auto"/>
        </w:rPr>
        <w:t>The executive officers of Amdocs Limited and each of its subsidiaries are elected by the board of directors of the relevant company on an annual basis and serve until the next annual meeting of such board of directors or until their respective successors have been duly elected and qualified or their positions are earlier vacated by resignation or otherwise.</w:t>
      </w:r>
    </w:p>
    <w:p>
      <w:pPr>
        <w:spacing w:after="0" w:line="2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Other than the employment agreement between us and the President and Chief Executive Officer of Amdocs Management Limited, which provides for immediate cash severance upon termination of</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employment, there are currently no service contracts in effect between us and any of our directors providing for immediate cash severance upon termination of their employment.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Committees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Board of Directors has formed five committees set forth below. Members of each committee are appointed by the Board of Directors.</w:t>
      </w:r>
    </w:p>
    <w:p>
      <w:pPr>
        <w:spacing w:after="0" w:line="102" w:lineRule="exact"/>
        <w:rPr>
          <w:sz w:val="20"/>
          <w:szCs w:val="20"/>
          <w:color w:val="auto"/>
        </w:rPr>
      </w:pPr>
    </w:p>
    <w:p>
      <w:pPr>
        <w:ind w:left="680" w:right="100" w:firstLine="399"/>
        <w:spacing w:after="0" w:line="284" w:lineRule="auto"/>
        <w:rPr>
          <w:sz w:val="20"/>
          <w:szCs w:val="20"/>
          <w:color w:val="auto"/>
        </w:rPr>
      </w:pPr>
      <w:r>
        <w:rPr>
          <w:rFonts w:ascii="Arial" w:cs="Arial" w:eastAsia="Arial" w:hAnsi="Arial"/>
          <w:sz w:val="12"/>
          <w:szCs w:val="12"/>
          <w:color w:val="auto"/>
        </w:rPr>
        <w:t>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and Olswang, all of whom are independent directors, as defined by the rules of the NYSE, and pursuant to the categorical director independence standards adopted by our Board of Directors. The Board of Directors has determined that</w:t>
      </w:r>
    </w:p>
    <w:p>
      <w:pPr>
        <w:ind w:left="680"/>
        <w:spacing w:after="0" w:line="277" w:lineRule="auto"/>
        <w:rPr>
          <w:sz w:val="20"/>
          <w:szCs w:val="20"/>
          <w:color w:val="auto"/>
        </w:rPr>
      </w:pPr>
      <w:r>
        <w:rPr>
          <w:rFonts w:ascii="Arial" w:cs="Arial" w:eastAsia="Arial" w:hAnsi="Arial"/>
          <w:sz w:val="13"/>
          <w:szCs w:val="13"/>
          <w:color w:val="auto"/>
        </w:rPr>
        <w:t xml:space="preserve">Mr. Gardner is an “audit committee financial expert” as defined by rules promulgated by the SEC, and that each member of the Audit Committee is financially literate as required by the rules of the NYSE. The Audit Committee written charter is available on our website at </w:t>
      </w:r>
      <w:r>
        <w:rPr>
          <w:rFonts w:ascii="Arial" w:cs="Arial" w:eastAsia="Arial" w:hAnsi="Arial"/>
          <w:sz w:val="13"/>
          <w:szCs w:val="13"/>
          <w:i w:val="1"/>
          <w:iCs w:val="1"/>
          <w:color w:val="auto"/>
        </w:rPr>
        <w:t>www.amdocs.com.</w:t>
      </w:r>
    </w:p>
    <w:p>
      <w:pPr>
        <w:spacing w:after="0" w:line="58"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 xml:space="preserve">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Brodsky, Gardner and Kahan, all of whom are independent directors, as required by the NYSE listing standards, and pursuant to the categorical director independence standards adopted by our Board of Directors. The Nominating and Corporate Governance Committee written charter is available on our website at </w:t>
      </w:r>
      <w:r>
        <w:rPr>
          <w:rFonts w:ascii="Arial" w:cs="Arial" w:eastAsia="Arial" w:hAnsi="Arial"/>
          <w:sz w:val="12"/>
          <w:szCs w:val="12"/>
          <w:i w:val="1"/>
          <w:iCs w:val="1"/>
          <w:color w:val="auto"/>
        </w:rPr>
        <w:t>www.amdocs.com.</w:t>
      </w:r>
      <w:r>
        <w:rPr>
          <w:rFonts w:ascii="Arial" w:cs="Arial" w:eastAsia="Arial" w:hAnsi="Arial"/>
          <w:sz w:val="12"/>
          <w:szCs w:val="12"/>
          <w:color w:val="auto"/>
        </w:rPr>
        <w:t xml:space="preserve"> The Nominating and Corporate Governance Committee has approved corporate governance guidelines that are also available on our website at </w:t>
      </w:r>
      <w:r>
        <w:rPr>
          <w:rFonts w:ascii="Arial" w:cs="Arial" w:eastAsia="Arial" w:hAnsi="Arial"/>
          <w:sz w:val="12"/>
          <w:szCs w:val="12"/>
          <w:i w:val="1"/>
          <w:iCs w:val="1"/>
          <w:color w:val="auto"/>
        </w:rPr>
        <w:t>www.amdocs.com.</w:t>
      </w:r>
    </w:p>
    <w:p>
      <w:pPr>
        <w:spacing w:after="0" w:line="51"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 xml:space="preserve">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defined by the rules of the NYSE, and pursuant to the categorical director independence standards adopted by our Board of Directors. The Compensation Committee written charter is available on our website at </w:t>
      </w:r>
      <w:r>
        <w:rPr>
          <w:rFonts w:ascii="Arial" w:cs="Arial" w:eastAsia="Arial" w:hAnsi="Arial"/>
          <w:sz w:val="12"/>
          <w:szCs w:val="12"/>
          <w:i w:val="1"/>
          <w:iCs w:val="1"/>
          <w:color w:val="auto"/>
        </w:rPr>
        <w:t>www.amdocs.com.</w:t>
      </w:r>
    </w:p>
    <w:p>
      <w:pPr>
        <w:spacing w:after="0" w:line="48"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Executive Committee has such responsibilities as may be delegated to it from time to time by the Board of Directors. The current members of our Executive Committee are Messrs. Anderson (Chair), Baharav, Kahan, Lemelbaum and Minicucci.</w:t>
      </w:r>
    </w:p>
    <w:p>
      <w:pPr>
        <w:spacing w:after="0" w:line="4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Anderson, Gelman and Lemelbaum.</w:t>
      </w:r>
    </w:p>
    <w:p>
      <w:pPr>
        <w:spacing w:after="0" w:line="59"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Our independent directors receive no compensation from us, except in connection with their membership on the Board of Directors and its committees as described above regarding Non-Employee Directors under “— Compensation.”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Workforce Personnel</w:t>
      </w:r>
    </w:p>
    <w:p>
      <w:pPr>
        <w:spacing w:after="0" w:line="104"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The following table presents the approximate number of our workforce as of each date indicated, by function and by geographical location (in each of which we operate at multiple sites):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As of September 30,</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600" w:type="dxa"/>
            <w:vAlign w:val="bottom"/>
          </w:tcPr>
          <w:p>
            <w:pPr>
              <w:spacing w:after="0"/>
              <w:rPr>
                <w:sz w:val="8"/>
                <w:szCs w:val="8"/>
                <w:color w:val="auto"/>
              </w:rPr>
            </w:pPr>
          </w:p>
        </w:tc>
        <w:tc>
          <w:tcPr>
            <w:tcW w:w="500" w:type="dxa"/>
            <w:vAlign w:val="bottom"/>
          </w:tcPr>
          <w:p>
            <w:pPr>
              <w:jc w:val="right"/>
              <w:ind w:right="75"/>
              <w:spacing w:after="0" w:line="101" w:lineRule="exact"/>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8"/>
                <w:szCs w:val="8"/>
                <w:color w:val="auto"/>
              </w:rPr>
            </w:pPr>
          </w:p>
        </w:tc>
        <w:tc>
          <w:tcPr>
            <w:tcW w:w="880" w:type="dxa"/>
            <w:vAlign w:val="bottom"/>
            <w:gridSpan w:val="2"/>
          </w:tcPr>
          <w:p>
            <w:pPr>
              <w:jc w:val="right"/>
              <w:ind w:right="73"/>
              <w:spacing w:after="0" w:line="101" w:lineRule="exact"/>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8"/>
                <w:szCs w:val="8"/>
                <w:color w:val="auto"/>
              </w:rPr>
            </w:pPr>
          </w:p>
        </w:tc>
        <w:tc>
          <w:tcPr>
            <w:tcW w:w="500" w:type="dxa"/>
            <w:vAlign w:val="bottom"/>
          </w:tcPr>
          <w:p>
            <w:pPr>
              <w:jc w:val="right"/>
              <w:ind w:right="75"/>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r>
      <w:tr>
        <w:trPr>
          <w:trHeight w:val="30"/>
        </w:trPr>
        <w:tc>
          <w:tcPr>
            <w:tcW w:w="76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Software and Information Technology</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North America</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4,547</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5,351</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4,541</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Israel</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3,616</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4,314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4,588</w:t>
            </w: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India</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4,418</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3,767</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3,091</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the World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3,290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3,668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3,758</w:t>
            </w:r>
          </w:p>
        </w:tc>
      </w:tr>
      <w:tr>
        <w:trPr>
          <w:trHeight w:val="161"/>
        </w:trPr>
        <w:tc>
          <w:tcPr>
            <w:tcW w:w="76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15,871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17,100</w:t>
            </w:r>
          </w:p>
        </w:tc>
        <w:tc>
          <w:tcPr>
            <w:tcW w:w="4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15,978</w:t>
            </w:r>
          </w:p>
        </w:tc>
        <w:tc>
          <w:tcPr>
            <w:tcW w:w="80" w:type="dxa"/>
            <w:vAlign w:val="bottom"/>
          </w:tcPr>
          <w:p>
            <w:pPr>
              <w:spacing w:after="0"/>
              <w:rPr>
                <w:sz w:val="14"/>
                <w:szCs w:val="14"/>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Management and Administration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1,373</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1,435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1,483</w:t>
            </w: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Total Workforce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17,244</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18,535</w:t>
            </w:r>
          </w:p>
        </w:tc>
        <w:tc>
          <w:tcPr>
            <w:tcW w:w="4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17,461</w:t>
            </w:r>
          </w:p>
        </w:tc>
        <w:tc>
          <w:tcPr>
            <w:tcW w:w="80" w:type="dxa"/>
            <w:vAlign w:val="bottom"/>
          </w:tcPr>
          <w:p>
            <w:pPr>
              <w:spacing w:after="0"/>
              <w:rPr>
                <w:sz w:val="14"/>
                <w:szCs w:val="14"/>
                <w:color w:val="auto"/>
              </w:rPr>
            </w:pPr>
          </w:p>
        </w:tc>
      </w:tr>
      <w:tr>
        <w:trPr>
          <w:trHeight w:val="20"/>
        </w:trPr>
        <w:tc>
          <w:tcPr>
            <w:tcW w:w="7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As a company with global operations, we are required to comply with various labor and immigration laws throughout the world, including laws and regulations in Australia, Brazil, Canada, China, Cyprus, France, Germany, India, Israel, Japan, Mexico, South Africa, the United Kingdom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63"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Our principal operating subsidiaries are not party to any collective bargaining agreements. However, our Israeli subsidiaries are subject to certain labor-related statutes and to certain provisions of general extension orders issued by the Israeli Ministry of Labor and Welfare. A significant provision applicable to all employees in Israel under collective bargaining agreements and extension orders is an adjustment of wages in relation to increases in the consumer price index, or CPI. The amount and frequency of these adjustments are modified from time to time.</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Some employees in Canada have union representation. In addition, all employees in Brazil, including local senior employees, are represented by unions. Collective bargaining between employers and unions is mandatory, negotiated annually, and covers work conditions, including cost of living increases, minimum wages that exceed government thresholds and overtime pay. In the Netherlands we have a works council which represents the employees. We work closely with the works council to ensure compliance with the local law. In France, we have employee representatives.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consider our relationship with our employees to be good and have never experienced an organized labor dispute, strike or work stoppage.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Share Ownership</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Security Ownership of Directors and Senior Management and Certain Key Employees</w:t>
      </w:r>
    </w:p>
    <w:p>
      <w:pPr>
        <w:spacing w:after="0" w:line="10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As of November 23, 2009, the aggregate number of our ordinary shares beneficially owned by our directors and senior management was 6,088,728 shares. As of November 23, 2009, none of our directors or members of senior management beneficially owned 1% or more of our outstanding ordinary shares.</w:t>
      </w:r>
    </w:p>
    <w:p>
      <w:pPr>
        <w:spacing w:after="0" w:line="47"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Beneficial ownership by a person, as of a particular date, assumes the exercise of all options and warrants held by such person that are currently exercisable or are exercisable within 60 days of such date.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 and Incentive Plan</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Our Board of Directors has adopted, and our shareholders have approved, our 1998 Stock Option and Incentive Plan, as amended, which we refer to as the 1998 Plan, pursuant to which up to 55,300,000 of our ordinary shares may be issued. The 1998 Plan expires on January 17, 2016.</w:t>
      </w:r>
    </w:p>
    <w:p>
      <w:pPr>
        <w:spacing w:after="0" w:line="47"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The 1998 Plan provides for the grant of restricted shares, stock options and other stock-based awards to our directors, officers, employees and consultants. The purpose of the 1998 Plan is to enable us to attract and retain qualified personnel and to motivate such persons by providing them with an equity participation in Amdocs. As of September 30, 2009, of the 55,300,000 ordinary shares available for issuance under the 1998 Plan, 21,111,216 ordinary shares had been issued as a result of option exercises and restricted share issuances under the provisions of the 1998 Plan, and 12,983,096 ordinary shares remained available for future grants. As of October 31, 2009, there were outstanding options to purchase an aggregate of 22,523,935 ordinary shares at exercise prices ranging from $6.40 to $78.31 per share.</w:t>
      </w:r>
    </w:p>
    <w:p>
      <w:pPr>
        <w:spacing w:after="0" w:line="65"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The 1998 Plan is administered by a committee, which determines all the terms of the awards (subject to the above), including which employees, directors or consultants are granted awards. The Board of Directors may amend or terminate the 1998 Plan, provided that shareholder approval is required to increase the number of ordinary shares available under the 1998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No awards may be granted after January 2016.</w:t>
      </w:r>
    </w:p>
    <w:p>
      <w:pPr>
        <w:spacing w:after="0" w:line="49"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As a result of acquisitions, as of September 30, 2009, we are obligated to issue (and have reserved for issuance) an additional 115,749 ordinary shares upon exercise of options that had previously been granted under the option plans of the acquired companies and were exchanged for options to purchase our ordinary shares. These options have exercise prices ranging from $0.38 to $37.66 per share. No additional options have been or will be granted under these predecessor plans.</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color w:val="auto"/>
        </w:rPr>
        <w:t>MAJOR SHAREHOLDERS AND RELATED PARTY TRANSACTIONS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Major Shareholders</w:t>
      </w:r>
    </w:p>
    <w:p>
      <w:pPr>
        <w:spacing w:after="0" w:line="104" w:lineRule="exact"/>
        <w:rPr>
          <w:sz w:val="20"/>
          <w:szCs w:val="20"/>
          <w:color w:val="auto"/>
        </w:rPr>
      </w:pPr>
    </w:p>
    <w:p>
      <w:pPr>
        <w:ind w:left="680" w:right="80" w:firstLine="399"/>
        <w:spacing w:after="0" w:line="295" w:lineRule="auto"/>
        <w:rPr>
          <w:sz w:val="20"/>
          <w:szCs w:val="20"/>
          <w:color w:val="auto"/>
        </w:rPr>
      </w:pPr>
      <w:r>
        <w:rPr>
          <w:rFonts w:ascii="Arial" w:cs="Arial" w:eastAsia="Arial" w:hAnsi="Arial"/>
          <w:sz w:val="12"/>
          <w:szCs w:val="12"/>
          <w:color w:val="auto"/>
        </w:rPr>
        <w:t>The following table sets forth specified information with respect to the beneficial ownership of the ordinary shares as of November 23, 2009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205,612,198 ordinary shares outstanding as of November 23, 2009. Information concerning shareholders is based on periodic public filings made by such shareholders and may not necessarily be accurate as of November 23, 2009.</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1"/>
              </w:rPr>
              <w:t>Shares</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97"/>
              </w:rPr>
              <w:t>Percentage</w:t>
            </w:r>
          </w:p>
        </w:tc>
        <w:tc>
          <w:tcPr>
            <w:tcW w:w="0" w:type="dxa"/>
            <w:vAlign w:val="bottom"/>
          </w:tcPr>
          <w:p>
            <w:pPr>
              <w:spacing w:after="0"/>
              <w:rPr>
                <w:sz w:val="1"/>
                <w:szCs w:val="1"/>
                <w:color w:val="auto"/>
              </w:rPr>
            </w:pPr>
          </w:p>
        </w:tc>
      </w:tr>
      <w:tr>
        <w:trPr>
          <w:trHeight w:val="121"/>
        </w:trPr>
        <w:tc>
          <w:tcPr>
            <w:tcW w:w="79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28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8"/>
              </w:rPr>
              <w:t>Beneficially</w:t>
            </w: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900" w:type="dxa"/>
            <w:vAlign w:val="bottom"/>
            <w:gridSpan w:val="3"/>
            <w:vMerge w:val="continue"/>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2"/>
              </w:rPr>
              <w:t>Owned</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0"/>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Thornburg Investment Management Inc.(1)</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20,963,453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1"/>
        </w:trPr>
        <w:tc>
          <w:tcPr>
            <w:tcW w:w="7900" w:type="dxa"/>
            <w:vAlign w:val="bottom"/>
            <w:gridSpan w:val="3"/>
          </w:tcPr>
          <w:p>
            <w:pPr>
              <w:spacing w:after="0"/>
              <w:rPr>
                <w:sz w:val="20"/>
                <w:szCs w:val="20"/>
                <w:color w:val="auto"/>
              </w:rPr>
            </w:pPr>
            <w:r>
              <w:rPr>
                <w:rFonts w:ascii="Arial" w:cs="Arial" w:eastAsia="Arial" w:hAnsi="Arial"/>
                <w:sz w:val="13"/>
                <w:szCs w:val="13"/>
                <w:color w:val="auto"/>
              </w:rPr>
              <w:t>Ameriprise Financial, Inc.(2)</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13,248,322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1"/>
        </w:trPr>
        <w:tc>
          <w:tcPr>
            <w:tcW w:w="7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(18 persons)(3)</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6,088,728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01"/>
        </w:trPr>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60" w:hanging="266"/>
        <w:spacing w:after="0" w:line="291"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address of Thornburg Investment Management Inc., or Thornburg, is 2300 North Ridgetop Road, Santa Fe, New Mexico 87506. Based on a Schedule 13G filed by Thornburg with the SEC on March 10, 2009, Thornburg had sole voting and dispositive power over all of these ordinary shares.</w:t>
      </w:r>
    </w:p>
    <w:p>
      <w:pPr>
        <w:ind w:left="1000" w:right="80" w:hanging="266"/>
        <w:spacing w:after="0" w:line="294"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a Schedule 13G filed by Ameriprise Financial, Inc., or Ameriprise, and RiverSource Investments, LLC, or RiverSource, with the SEC on February 12, 2009, Ameriprise and RiverSource had shared voting power over 299 of our ordinary shares and shared dispositive power over 13,248,322 of our</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right="300"/>
        <w:spacing w:after="0" w:line="291" w:lineRule="auto"/>
        <w:rPr>
          <w:sz w:val="20"/>
          <w:szCs w:val="20"/>
          <w:color w:val="auto"/>
        </w:rPr>
      </w:pPr>
      <w:r>
        <w:rPr>
          <w:rFonts w:ascii="Arial" w:cs="Arial" w:eastAsia="Arial" w:hAnsi="Arial"/>
          <w:sz w:val="13"/>
          <w:szCs w:val="13"/>
          <w:color w:val="auto"/>
        </w:rPr>
        <w:t>ordinary shares. Ameriprise is the parent company of RiverSource. Ameriprise and RiverSource disclaim beneficial ownership of these shares. The address of Ameriprise and RiverSource is 145 Ameriprise Financial Center, Minneapolis, Minnesota 55474.</w:t>
      </w:r>
    </w:p>
    <w:p>
      <w:pPr>
        <w:ind w:left="740"/>
        <w:spacing w:after="0"/>
        <w:rPr>
          <w:sz w:val="20"/>
          <w:szCs w:val="20"/>
          <w:color w:val="auto"/>
        </w:rPr>
      </w:pPr>
      <w:r>
        <w:rPr>
          <w:rFonts w:ascii="Arial" w:cs="Arial" w:eastAsia="Arial" w:hAnsi="Arial"/>
          <w:sz w:val="13"/>
          <w:szCs w:val="13"/>
          <w:color w:val="auto"/>
        </w:rPr>
        <w:t>(3)  Includes options held by such directors and executive officers that are exercisable within 60 days after November 23, 2009.</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Over the last three years, our major shareholders have included our directors and executive officers as a group, AT&amp;T and its affiliates, and other institutional investors, including T. Rowe Price, Massachusetts Financial Services Company (“MFS”), Janus Capital Management LLC (“Janus”), J &amp;W Seligman &amp; Co. Incorporated (“Seligman”) and Glenview Capital Management, LLC (“Glenview”). AT&amp;T’s share ownership has decreased below 5.0% as of November 23, 2009 from 5.2% in November 2006. MFS ceased to be a major shareholder in fiscal 2008. T. Rowe Price, Janus and Glenview Capital Management, LLC ceased to be major shareholders in fiscal 2009. Seligman was acquired by Ameriprise in 2008. None of our major shareholders have voting rights that are different from those of any other shareholder.</w:t>
      </w:r>
    </w:p>
    <w:p>
      <w:pPr>
        <w:spacing w:after="0" w:line="65"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As of November 23, 2009, our ordinary shares were held by 1,920 record holders. Based on a review of the information provided to us by our transfer agent, 925 record holders, holding approximately 99.96% of our outstanding ordinary shares held of record, were residents of the United States.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4"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AT&amp;T, together with some of its operating subsidiaries, is our most significant customer. During fiscal 2009, AT&amp;T and those subsidiaries accounted for approximately 33% of our revenue. AT&amp;T is also a beneficial owner of companies that provide certain miscellaneous support services to us in United States.</w:t>
      </w:r>
    </w:p>
    <w:p>
      <w:pPr>
        <w:spacing w:after="0" w:line="12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3"/>
          <w:szCs w:val="13"/>
          <w:b w:val="1"/>
          <w:bCs w:val="1"/>
          <w:color w:val="auto"/>
        </w:rPr>
        <w:t>FINANCIAL INFORMATION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Statements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“Financial Statements” for our audited Consolidated Financial Statements and Financial Statement Schedule filed as part of this Annual Report.</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4"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We are involved in various legal proceedings arising in the normal course of our business. Based upon the advice of counsel, we do not believe that the ultimate resolution of these matters will have a material adverse effect on our consolidated financial position, results of operations or cash flows.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4"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After the payment of dividends in 1998 that followed a corporate reorganization, we decided in general to retain earnings to finance the development of our business, and we have not paid any cash dividends on our ordinary shares since that time. The payment of any future dividends will be paid by us based on conditions then existing, including our earnings, financial condition and capital requirements, as well as other conditions we deem relevant. The terms of our revolving credit facility restrict, and the terms of any other debt that we may incur could effectively limit, our ability to pay dividends.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3"/>
          <w:szCs w:val="13"/>
          <w:b w:val="1"/>
          <w:bCs w:val="1"/>
          <w:color w:val="auto"/>
        </w:rPr>
        <w:t>THE OFFER AND LISTING</w:t>
      </w:r>
    </w:p>
    <w:p>
      <w:pPr>
        <w:spacing w:after="0" w:line="104"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Our ordinary shares have been quoted on the NYSE since June 19, 1998, under the symbol “DOX.” The following table sets forth the high and low reported sale prices for our ordinary shares for the periods indicated:</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00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High</w:t>
            </w:r>
          </w:p>
        </w:tc>
        <w:tc>
          <w:tcPr>
            <w:tcW w:w="100" w:type="dxa"/>
            <w:vAlign w:val="bottom"/>
          </w:tcPr>
          <w:p>
            <w:pPr>
              <w:spacing w:after="0"/>
              <w:rPr>
                <w:sz w:val="11"/>
                <w:szCs w:val="11"/>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Low</w:t>
            </w:r>
          </w:p>
        </w:tc>
      </w:tr>
      <w:tr>
        <w:trPr>
          <w:trHeight w:val="30"/>
        </w:trPr>
        <w:tc>
          <w:tcPr>
            <w:tcW w:w="10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2005</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20.70</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2006</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24.30</w:t>
            </w: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2007</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40.74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32.50</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24.65</w:t>
            </w: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2009</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14.61</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1000" w:type="dxa"/>
            <w:vAlign w:val="bottom"/>
          </w:tcPr>
          <w:p>
            <w:pPr>
              <w:spacing w:after="0"/>
              <w:rPr>
                <w:sz w:val="20"/>
                <w:szCs w:val="20"/>
                <w:color w:val="auto"/>
              </w:rPr>
            </w:pPr>
            <w:r>
              <w:rPr>
                <w:rFonts w:ascii="Arial" w:cs="Arial" w:eastAsia="Arial" w:hAnsi="Arial"/>
                <w:sz w:val="13"/>
                <w:szCs w:val="13"/>
                <w:i w:val="1"/>
                <w:iCs w:val="1"/>
                <w:color w:val="auto"/>
              </w:rPr>
              <w:t>Fiscal 2008:</w:t>
            </w: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30.42</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w w:val="91"/>
              </w:rPr>
              <w:t>Second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27.18</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27.20</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w w:val="98"/>
              </w:rPr>
              <w:t>Fourth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31.37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24.65</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Fiscal 2009:</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15.62</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1"/>
              </w:rPr>
              <w:t>Second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14.61</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22.55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18.15</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Fourth Quarter</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19.88</w:t>
            </w:r>
          </w:p>
        </w:tc>
      </w:tr>
      <w:tr>
        <w:trPr>
          <w:trHeight w:val="161"/>
        </w:trPr>
        <w:tc>
          <w:tcPr>
            <w:tcW w:w="1000" w:type="dxa"/>
            <w:vAlign w:val="bottom"/>
          </w:tcPr>
          <w:p>
            <w:pPr>
              <w:spacing w:after="0"/>
              <w:rPr>
                <w:sz w:val="20"/>
                <w:szCs w:val="20"/>
                <w:color w:val="auto"/>
              </w:rPr>
            </w:pPr>
            <w:r>
              <w:rPr>
                <w:rFonts w:ascii="Arial" w:cs="Arial" w:eastAsia="Arial" w:hAnsi="Arial"/>
                <w:sz w:val="13"/>
                <w:szCs w:val="13"/>
                <w:i w:val="1"/>
                <w:iCs w:val="1"/>
                <w:color w:val="auto"/>
              </w:rPr>
              <w:t>Fiscal 2010:</w:t>
            </w: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First Quarter (through November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24.10</w:t>
            </w: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b w:val="1"/>
                <w:bCs w:val="1"/>
                <w:color w:val="auto"/>
              </w:rPr>
              <w:t>Most Recent Six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June 2009</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20.07</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July 2009</w:t>
            </w:r>
          </w:p>
        </w:tc>
        <w:tc>
          <w:tcPr>
            <w:tcW w:w="7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19.88</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August 2009</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23.23</w:t>
            </w:r>
          </w:p>
        </w:tc>
      </w:tr>
      <w:tr>
        <w:trPr>
          <w:trHeight w:val="161"/>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September 2009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23.57</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October 2009</w:t>
            </w:r>
          </w:p>
        </w:tc>
        <w:tc>
          <w:tcPr>
            <w:tcW w:w="7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24.76</w:t>
            </w:r>
          </w:p>
        </w:tc>
      </w:tr>
      <w:tr>
        <w:trPr>
          <w:trHeight w:val="172"/>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November 2009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24.10</w:t>
            </w:r>
          </w:p>
        </w:tc>
      </w:tr>
      <w:tr>
        <w:trPr>
          <w:trHeight w:val="322"/>
        </w:trPr>
        <w:tc>
          <w:tcPr>
            <w:tcW w:w="100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7500" w:type="dxa"/>
            <w:vAlign w:val="bottom"/>
          </w:tcPr>
          <w:p>
            <w:pPr>
              <w:spacing w:after="0"/>
              <w:rPr>
                <w:sz w:val="20"/>
                <w:szCs w:val="20"/>
                <w:color w:val="auto"/>
              </w:rPr>
            </w:pPr>
            <w:r>
              <w:rPr>
                <w:rFonts w:ascii="Arial" w:cs="Arial" w:eastAsia="Arial" w:hAnsi="Arial"/>
                <w:sz w:val="13"/>
                <w:szCs w:val="13"/>
                <w:b w:val="1"/>
                <w:bCs w:val="1"/>
                <w:color w:val="auto"/>
              </w:rPr>
              <w:t>ADDITIONAL INFORMATION</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7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Memorandum and Articles of Incorporation</w:t>
      </w:r>
    </w:p>
    <w:p>
      <w:pPr>
        <w:spacing w:after="0" w:line="104" w:lineRule="exact"/>
        <w:rPr>
          <w:sz w:val="20"/>
          <w:szCs w:val="20"/>
          <w:color w:val="auto"/>
        </w:rPr>
      </w:pPr>
    </w:p>
    <w:p>
      <w:pPr>
        <w:jc w:val="both"/>
        <w:ind w:left="680" w:right="260" w:firstLine="399"/>
        <w:spacing w:after="0" w:line="294" w:lineRule="auto"/>
        <w:rPr>
          <w:sz w:val="20"/>
          <w:szCs w:val="20"/>
          <w:color w:val="auto"/>
        </w:rPr>
      </w:pPr>
      <w:r>
        <w:rPr>
          <w:rFonts w:ascii="Arial" w:cs="Arial" w:eastAsia="Arial" w:hAnsi="Arial"/>
          <w:sz w:val="13"/>
          <w:szCs w:val="13"/>
          <w:color w:val="auto"/>
        </w:rPr>
        <w:t>Amdocs Limited is registered at the Companies Registry in Guernsey and has been assigned company number 19528, with its registered office situated at Suite 5, Tower Hill House, Le Bordage, St Peter Port, Guernsey, GY1 3QT. The telephone number at that location is +44-1481-728444.</w:t>
      </w:r>
    </w:p>
    <w:p>
      <w:pPr>
        <w:spacing w:after="0" w:line="47" w:lineRule="exact"/>
        <w:rPr>
          <w:sz w:val="20"/>
          <w:szCs w:val="20"/>
          <w:color w:val="auto"/>
        </w:rPr>
      </w:pPr>
    </w:p>
    <w:p>
      <w:pPr>
        <w:jc w:val="both"/>
        <w:ind w:left="680" w:right="260" w:firstLine="399"/>
        <w:spacing w:after="0" w:line="276" w:lineRule="auto"/>
        <w:rPr>
          <w:sz w:val="20"/>
          <w:szCs w:val="20"/>
          <w:color w:val="auto"/>
        </w:rPr>
      </w:pPr>
      <w:r>
        <w:rPr>
          <w:rFonts w:ascii="Arial" w:cs="Arial" w:eastAsia="Arial" w:hAnsi="Arial"/>
          <w:sz w:val="13"/>
          <w:szCs w:val="13"/>
          <w:color w:val="auto"/>
        </w:rPr>
        <w:t>Our Memorandum of Incorporation, or the Memorandum, provides that the objects and powers of Amdocs Limited are not restricted and our Articles of Incorporation, or the Articles, provides that our business is to engage in any lawful act or activity for which companies may be organized under the Companies (Guernsey) Law, 2008, as amended, or the Companies Law.</w:t>
      </w:r>
    </w:p>
    <w:p>
      <w:pPr>
        <w:spacing w:after="0" w:line="59"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spacing w:after="0" w:line="299" w:lineRule="auto"/>
        <w:rPr>
          <w:sz w:val="20"/>
          <w:szCs w:val="20"/>
          <w:color w:val="auto"/>
        </w:rPr>
      </w:pPr>
      <w:r>
        <w:rPr>
          <w:rFonts w:ascii="Arial" w:cs="Arial" w:eastAsia="Arial" w:hAnsi="Arial"/>
          <w:sz w:val="12"/>
          <w:szCs w:val="12"/>
          <w:color w:val="auto"/>
        </w:rPr>
        <w:t>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the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 who have until 2013 to be in compliance with the guidelines.</w:t>
      </w:r>
    </w:p>
    <w:p>
      <w:pPr>
        <w:spacing w:after="0" w:line="48"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On July 1, 2008, the Companies Law was introduced, repealing the existing legislation in Guernsey governing companies. In order to comply with the provisions of the Companies Law, we adopted a new Memorandum and Articles at our annual meeting of shareholders on January 22, 2009.</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significant amendments were to:</w:t>
      </w:r>
    </w:p>
    <w:p>
      <w:pPr>
        <w:spacing w:after="0" w:line="102" w:lineRule="exact"/>
        <w:rPr>
          <w:sz w:val="20"/>
          <w:szCs w:val="20"/>
          <w:color w:val="auto"/>
        </w:rPr>
      </w:pPr>
    </w:p>
    <w:p>
      <w:pPr>
        <w:ind w:left="1640" w:hanging="170"/>
        <w:spacing w:after="0"/>
        <w:tabs>
          <w:tab w:leader="none" w:pos="16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amend the Memorandum to state that the objects and powers of Amdocs Limited are unrestricted;</w:t>
      </w:r>
    </w:p>
    <w:p>
      <w:pPr>
        <w:spacing w:after="0" w:line="102" w:lineRule="exact"/>
        <w:rPr>
          <w:rFonts w:ascii="Arial" w:cs="Arial" w:eastAsia="Arial" w:hAnsi="Arial"/>
          <w:sz w:val="13"/>
          <w:szCs w:val="13"/>
          <w:color w:val="auto"/>
        </w:rPr>
      </w:pPr>
    </w:p>
    <w:p>
      <w:pPr>
        <w:ind w:left="1080" w:right="540" w:firstLine="390"/>
        <w:spacing w:after="0" w:line="294" w:lineRule="auto"/>
        <w:tabs>
          <w:tab w:leader="none" w:pos="1661" w:val="left"/>
        </w:tabs>
        <w:numPr>
          <w:ilvl w:val="0"/>
          <w:numId w:val="35"/>
        </w:numPr>
        <w:rPr>
          <w:rFonts w:ascii="Arial" w:cs="Arial" w:eastAsia="Arial" w:hAnsi="Arial"/>
          <w:sz w:val="13"/>
          <w:szCs w:val="13"/>
          <w:color w:val="auto"/>
        </w:rPr>
      </w:pPr>
      <w:r>
        <w:rPr>
          <w:rFonts w:ascii="Arial" w:cs="Arial" w:eastAsia="Arial" w:hAnsi="Arial"/>
          <w:sz w:val="13"/>
          <w:szCs w:val="13"/>
          <w:color w:val="auto"/>
        </w:rPr>
        <w:t>eliminate certain provisions of the previous articles that are set forth in substantially the same terms in the Companies Law, including provisions dealing with transactions between a director and Amdocs Limited and the rights of shareholders to receive certificates for their shares;</w:t>
      </w:r>
    </w:p>
    <w:p>
      <w:pPr>
        <w:spacing w:after="0" w:line="46" w:lineRule="exact"/>
        <w:rPr>
          <w:rFonts w:ascii="Arial" w:cs="Arial" w:eastAsia="Arial" w:hAnsi="Arial"/>
          <w:sz w:val="13"/>
          <w:szCs w:val="13"/>
          <w:color w:val="auto"/>
        </w:rPr>
      </w:pPr>
    </w:p>
    <w:p>
      <w:pPr>
        <w:ind w:left="1080" w:right="400" w:firstLine="390"/>
        <w:spacing w:after="0" w:line="294" w:lineRule="auto"/>
        <w:tabs>
          <w:tab w:leader="none" w:pos="1698" w:val="left"/>
        </w:tabs>
        <w:numPr>
          <w:ilvl w:val="0"/>
          <w:numId w:val="35"/>
        </w:numPr>
        <w:rPr>
          <w:rFonts w:ascii="Arial" w:cs="Arial" w:eastAsia="Arial" w:hAnsi="Arial"/>
          <w:sz w:val="13"/>
          <w:szCs w:val="13"/>
          <w:color w:val="auto"/>
        </w:rPr>
      </w:pPr>
      <w:r>
        <w:rPr>
          <w:rFonts w:ascii="Arial" w:cs="Arial" w:eastAsia="Arial" w:hAnsi="Arial"/>
          <w:sz w:val="13"/>
          <w:szCs w:val="13"/>
          <w:color w:val="auto"/>
        </w:rPr>
        <w:t>permit our Board of Directors to issue up to 700 million ordinary shares and 25 million preferred shares for a period of up to five years, subject to the ability of shareholders to revoke such authority or approve extensions of such authority for further periods not exceeding five years;</w:t>
      </w:r>
    </w:p>
    <w:p>
      <w:pPr>
        <w:spacing w:after="0" w:line="46" w:lineRule="exact"/>
        <w:rPr>
          <w:rFonts w:ascii="Arial" w:cs="Arial" w:eastAsia="Arial" w:hAnsi="Arial"/>
          <w:sz w:val="13"/>
          <w:szCs w:val="13"/>
          <w:color w:val="auto"/>
        </w:rPr>
      </w:pPr>
    </w:p>
    <w:p>
      <w:pPr>
        <w:ind w:left="1700" w:hanging="230"/>
        <w:spacing w:after="0"/>
        <w:tabs>
          <w:tab w:leader="none" w:pos="17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conform the provisions of the Articles dealing with the indemnification of directors and officers to the requirements of the Companies Law;</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expressly authorize Amdocs Limited to obtain insurance to cover claims against directors and officers to the fullest extent permitted by the Companies Law;</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permit our Board of Directors to determine the compensation of all directors, whether or not employed by Amdocs Limited; and</w:t>
      </w:r>
    </w:p>
    <w:p>
      <w:pPr>
        <w:spacing w:after="0" w:line="102" w:lineRule="exact"/>
        <w:rPr>
          <w:rFonts w:ascii="Arial" w:cs="Arial" w:eastAsia="Arial" w:hAnsi="Arial"/>
          <w:sz w:val="13"/>
          <w:szCs w:val="13"/>
          <w:color w:val="auto"/>
        </w:rPr>
      </w:pPr>
    </w:p>
    <w:p>
      <w:pPr>
        <w:ind w:left="1080" w:right="20" w:firstLine="390"/>
        <w:spacing w:after="0" w:line="294" w:lineRule="auto"/>
        <w:tabs>
          <w:tab w:leader="none" w:pos="1728" w:val="left"/>
        </w:tabs>
        <w:numPr>
          <w:ilvl w:val="0"/>
          <w:numId w:val="35"/>
        </w:numPr>
        <w:rPr>
          <w:rFonts w:ascii="Arial" w:cs="Arial" w:eastAsia="Arial" w:hAnsi="Arial"/>
          <w:sz w:val="13"/>
          <w:szCs w:val="13"/>
          <w:color w:val="auto"/>
        </w:rPr>
      </w:pPr>
      <w:r>
        <w:rPr>
          <w:rFonts w:ascii="Arial" w:cs="Arial" w:eastAsia="Arial" w:hAnsi="Arial"/>
          <w:sz w:val="13"/>
          <w:szCs w:val="13"/>
          <w:color w:val="auto"/>
        </w:rPr>
        <w:t>state that the Board of Directors will have all the powers necessary for managing, directing and supervising the management of our business and affairs and delete the specification of powers contained in the previous articles.</w:t>
      </w:r>
    </w:p>
    <w:p>
      <w:pPr>
        <w:spacing w:after="0" w:line="47"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Our current share capital is £5,250,000, which is comprised of (i) 25,000,000 preferred shares with a par value of £0.01 per share and (ii) 700,000,000 ordinary shares with a par value of £0.01 per share, consisting of voting and non-voting ordinary shares. As of September 30, 2009, 205,072,590 ordinary shares were outstanding (net of treasury shares) and no non-voting ordinary shares or preferred shares were outstanding. The rights, preferences and restrictions attaching to each class of the shares were not changed by the amendment to our charter documents and are set out in the Memorandum and Articles and are as follows: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Preferred Shares</w:t>
      </w:r>
    </w:p>
    <w:p>
      <w:pPr>
        <w:spacing w:after="0" w:line="102" w:lineRule="exact"/>
        <w:rPr>
          <w:sz w:val="20"/>
          <w:szCs w:val="20"/>
          <w:color w:val="auto"/>
        </w:rPr>
      </w:pPr>
    </w:p>
    <w:p>
      <w:pPr>
        <w:ind w:left="1300" w:hanging="208"/>
        <w:spacing w:after="0"/>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Issue </w:t>
      </w:r>
      <w:r>
        <w:rPr>
          <w:rFonts w:ascii="Arial" w:cs="Arial" w:eastAsia="Arial" w:hAnsi="Arial"/>
          <w:sz w:val="13"/>
          <w:szCs w:val="13"/>
          <w:color w:val="auto"/>
        </w:rPr>
        <w:t>— the preferred shares may be issued from time to time in one or more series of any number of shares up to the amount authorized.</w:t>
      </w:r>
    </w:p>
    <w:p>
      <w:pPr>
        <w:spacing w:after="0" w:line="92" w:lineRule="exact"/>
        <w:rPr>
          <w:rFonts w:ascii="Arial" w:cs="Arial" w:eastAsia="Arial" w:hAnsi="Arial"/>
          <w:sz w:val="13"/>
          <w:szCs w:val="13"/>
          <w:color w:val="auto"/>
        </w:rPr>
      </w:pPr>
    </w:p>
    <w:p>
      <w:pPr>
        <w:ind w:left="1300" w:right="60" w:hanging="208"/>
        <w:spacing w:after="0" w:line="338" w:lineRule="auto"/>
        <w:tabs>
          <w:tab w:leader="none" w:pos="130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Authorization to Issue Preferred Shares </w:t>
      </w:r>
      <w:r>
        <w:rPr>
          <w:rFonts w:ascii="Arial" w:cs="Arial" w:eastAsia="Arial" w:hAnsi="Arial"/>
          <w:sz w:val="12"/>
          <w:szCs w:val="12"/>
          <w:color w:val="auto"/>
        </w:rPr>
        <w:t>— authority is vested in the directors from time to time to authorize the issue of one or more series of preferred shares and to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designations, powers, preferences and relative participating, optional or other special rights and qualifications, limitations or restrictions thereon.</w:t>
      </w:r>
    </w:p>
    <w:p>
      <w:pPr>
        <w:spacing w:after="0" w:line="14" w:lineRule="exact"/>
        <w:rPr>
          <w:rFonts w:ascii="Arial" w:cs="Arial" w:eastAsia="Arial" w:hAnsi="Arial"/>
          <w:sz w:val="12"/>
          <w:szCs w:val="12"/>
          <w:color w:val="auto"/>
        </w:rPr>
      </w:pPr>
    </w:p>
    <w:p>
      <w:pPr>
        <w:ind w:left="1300" w:hanging="208"/>
        <w:spacing w:after="0" w:line="294" w:lineRule="auto"/>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Relative Rights </w:t>
      </w:r>
      <w:r>
        <w:rPr>
          <w:rFonts w:ascii="Arial" w:cs="Arial" w:eastAsia="Arial" w:hAnsi="Arial"/>
          <w:sz w:val="13"/>
          <w:szCs w:val="13"/>
          <w:color w:val="auto"/>
        </w:rPr>
        <w:t>— all shares of any one series of preferred shares must be identical with each other in all respects, except that shares of any one series issued at different times</w:t>
      </w:r>
      <w:r>
        <w:rPr>
          <w:rFonts w:ascii="Arial" w:cs="Arial" w:eastAsia="Arial" w:hAnsi="Arial"/>
          <w:sz w:val="13"/>
          <w:szCs w:val="13"/>
          <w:i w:val="1"/>
          <w:iCs w:val="1"/>
          <w:color w:val="auto"/>
        </w:rPr>
        <w:t xml:space="preserve"> </w:t>
      </w:r>
      <w:r>
        <w:rPr>
          <w:rFonts w:ascii="Arial" w:cs="Arial" w:eastAsia="Arial" w:hAnsi="Arial"/>
          <w:sz w:val="13"/>
          <w:szCs w:val="13"/>
          <w:color w:val="auto"/>
        </w:rPr>
        <w:t>may differ as to the dates from which dividends shall accrue.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60" w:hanging="208"/>
        <w:spacing w:after="0" w:line="267" w:lineRule="auto"/>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Liquidation </w:t>
      </w:r>
      <w:r>
        <w:rPr>
          <w:rFonts w:ascii="Arial" w:cs="Arial" w:eastAsia="Arial" w:hAnsi="Arial"/>
          <w:sz w:val="13"/>
          <w:szCs w:val="13"/>
          <w:color w:val="auto"/>
        </w:rPr>
        <w:t>— in the event of any liquidation, dissolution or winding-up of Amdocs Limited, the holders of preferred shares are entitled to a preference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55"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 except as otherwise provided for by the directors upon the issue of any new series of preferred shares, the holders of preferred shares have no right or power</w:t>
      </w:r>
      <w:r>
        <w:rPr>
          <w:rFonts w:ascii="Arial" w:cs="Arial" w:eastAsia="Arial" w:hAnsi="Arial"/>
          <w:sz w:val="13"/>
          <w:szCs w:val="13"/>
          <w:i w:val="1"/>
          <w:iCs w:val="1"/>
          <w:color w:val="auto"/>
        </w:rPr>
        <w:t xml:space="preserve"> </w:t>
      </w:r>
      <w:r>
        <w:rPr>
          <w:rFonts w:ascii="Arial" w:cs="Arial" w:eastAsia="Arial" w:hAnsi="Arial"/>
          <w:sz w:val="13"/>
          <w:szCs w:val="13"/>
          <w:color w:val="auto"/>
        </w:rPr>
        <w:t>to vote on any question or in any proceeding or to be represented at, or to receive notice of, any meeting of shareholders.</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Ordinary Shares and Non-Voting Ordinary Shares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Except as otherwise provided by the Memorandum and Articles, the ordinary shares and non-voting ordinary shares are identical and entitle holders thereof to the same rights and privileges.</w:t>
      </w:r>
    </w:p>
    <w:p>
      <w:pPr>
        <w:spacing w:after="0" w:line="47" w:lineRule="exact"/>
        <w:rPr>
          <w:sz w:val="20"/>
          <w:szCs w:val="20"/>
          <w:color w:val="auto"/>
        </w:rPr>
      </w:pPr>
    </w:p>
    <w:p>
      <w:pPr>
        <w:jc w:val="both"/>
        <w:ind w:left="1300" w:right="160" w:hanging="208"/>
        <w:spacing w:after="0" w:line="276" w:lineRule="auto"/>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 when and as dividends are declared on our shares, the holders of voting ordinary shares and non-voting shares are entitled to share equally, share for share, in</w:t>
      </w:r>
      <w:r>
        <w:rPr>
          <w:rFonts w:ascii="Arial" w:cs="Arial" w:eastAsia="Arial" w:hAnsi="Arial"/>
          <w:sz w:val="13"/>
          <w:szCs w:val="13"/>
          <w:i w:val="1"/>
          <w:iCs w:val="1"/>
          <w:color w:val="auto"/>
        </w:rPr>
        <w:t xml:space="preserve"> </w:t>
      </w:r>
      <w:r>
        <w:rPr>
          <w:rFonts w:ascii="Arial" w:cs="Arial" w:eastAsia="Arial" w:hAnsi="Arial"/>
          <w:sz w:val="13"/>
          <w:szCs w:val="13"/>
          <w:color w:val="auto"/>
        </w:rPr>
        <w:t>such dividends except that if dividends are declared that are payable in voting ordinary shares or non-voting ordinary shares, dividends must be declared that are payable at the same rate in both classes of shares.</w:t>
      </w:r>
    </w:p>
    <w:p>
      <w:pPr>
        <w:spacing w:after="0" w:line="48" w:lineRule="exact"/>
        <w:rPr>
          <w:rFonts w:ascii="Arial" w:cs="Arial" w:eastAsia="Arial" w:hAnsi="Arial"/>
          <w:sz w:val="13"/>
          <w:szCs w:val="13"/>
          <w:color w:val="auto"/>
        </w:rPr>
      </w:pPr>
    </w:p>
    <w:p>
      <w:pPr>
        <w:jc w:val="both"/>
        <w:ind w:left="1300" w:right="20" w:hanging="208"/>
        <w:spacing w:after="0" w:line="276" w:lineRule="auto"/>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Conversion of Non-Voting Ordinary Shares into Voting Ordinary Shares </w:t>
      </w:r>
      <w:r>
        <w:rPr>
          <w:rFonts w:ascii="Arial" w:cs="Arial" w:eastAsia="Arial" w:hAnsi="Arial"/>
          <w:sz w:val="13"/>
          <w:szCs w:val="13"/>
          <w:color w:val="auto"/>
        </w:rPr>
        <w:t>— upon the transfer of non-voting ordinary shares from the original holder thereof to any third party</w:t>
      </w:r>
      <w:r>
        <w:rPr>
          <w:rFonts w:ascii="Arial" w:cs="Arial" w:eastAsia="Arial" w:hAnsi="Arial"/>
          <w:sz w:val="13"/>
          <w:szCs w:val="13"/>
          <w:i w:val="1"/>
          <w:iCs w:val="1"/>
          <w:color w:val="auto"/>
        </w:rPr>
        <w:t xml:space="preserve"> </w:t>
      </w:r>
      <w:r>
        <w:rPr>
          <w:rFonts w:ascii="Arial" w:cs="Arial" w:eastAsia="Arial" w:hAnsi="Arial"/>
          <w:sz w:val="13"/>
          <w:szCs w:val="13"/>
          <w:color w:val="auto"/>
        </w:rPr>
        <w:t>not affiliated with such original holder, non-voting ordinary shares are redesignated in our books as voting ordinary shares and automatically convert into the same number of voting ordinary shares.</w:t>
      </w:r>
    </w:p>
    <w:p>
      <w:pPr>
        <w:spacing w:after="0" w:line="48" w:lineRule="exact"/>
        <w:rPr>
          <w:rFonts w:ascii="Arial" w:cs="Arial" w:eastAsia="Arial" w:hAnsi="Arial"/>
          <w:sz w:val="13"/>
          <w:szCs w:val="13"/>
          <w:color w:val="auto"/>
        </w:rPr>
      </w:pPr>
    </w:p>
    <w:p>
      <w:pPr>
        <w:ind w:left="1300" w:right="240" w:hanging="208"/>
        <w:spacing w:after="0" w:line="294" w:lineRule="auto"/>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Liquidation </w:t>
      </w:r>
      <w:r>
        <w:rPr>
          <w:rFonts w:ascii="Arial" w:cs="Arial" w:eastAsia="Arial" w:hAnsi="Arial"/>
          <w:sz w:val="13"/>
          <w:szCs w:val="13"/>
          <w:color w:val="auto"/>
        </w:rPr>
        <w:t>— upon any liquidation, dissolution or winding-up, any assets remaining after creditors and the holders of any preferred shares have been paid in full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distributed to the holders of voting ordinary shares and non-voting ordinary shares equally share for share.</w:t>
      </w:r>
    </w:p>
    <w:p>
      <w:pPr>
        <w:spacing w:after="0" w:line="36" w:lineRule="exact"/>
        <w:rPr>
          <w:rFonts w:ascii="Arial" w:cs="Arial" w:eastAsia="Arial" w:hAnsi="Arial"/>
          <w:sz w:val="13"/>
          <w:szCs w:val="13"/>
          <w:color w:val="auto"/>
        </w:rPr>
      </w:pPr>
    </w:p>
    <w:p>
      <w:pPr>
        <w:ind w:left="1300" w:right="80" w:hanging="208"/>
        <w:spacing w:after="0" w:line="294" w:lineRule="auto"/>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 the holders of voting ordinary shares are entitled to vote on all matters to be voted on by the shareholders, and the holders of non-voting ordinary shares are</w:t>
      </w:r>
      <w:r>
        <w:rPr>
          <w:rFonts w:ascii="Arial" w:cs="Arial" w:eastAsia="Arial" w:hAnsi="Arial"/>
          <w:sz w:val="13"/>
          <w:szCs w:val="13"/>
          <w:i w:val="1"/>
          <w:iCs w:val="1"/>
          <w:color w:val="auto"/>
        </w:rPr>
        <w:t xml:space="preserve"> </w:t>
      </w:r>
      <w:r>
        <w:rPr>
          <w:rFonts w:ascii="Arial" w:cs="Arial" w:eastAsia="Arial" w:hAnsi="Arial"/>
          <w:sz w:val="13"/>
          <w:szCs w:val="13"/>
          <w:color w:val="auto"/>
        </w:rPr>
        <w:t>not entitled to any voting rights.</w:t>
      </w:r>
    </w:p>
    <w:p>
      <w:pPr>
        <w:spacing w:after="0" w:line="36" w:lineRule="exact"/>
        <w:rPr>
          <w:rFonts w:ascii="Arial" w:cs="Arial" w:eastAsia="Arial" w:hAnsi="Arial"/>
          <w:sz w:val="13"/>
          <w:szCs w:val="13"/>
          <w:color w:val="auto"/>
        </w:rPr>
      </w:pPr>
    </w:p>
    <w:p>
      <w:pPr>
        <w:ind w:left="1300" w:right="100" w:hanging="208"/>
        <w:spacing w:after="0" w:line="294" w:lineRule="auto"/>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Preferences </w:t>
      </w:r>
      <w:r>
        <w:rPr>
          <w:rFonts w:ascii="Arial" w:cs="Arial" w:eastAsia="Arial" w:hAnsi="Arial"/>
          <w:sz w:val="13"/>
          <w:szCs w:val="13"/>
          <w:color w:val="auto"/>
        </w:rPr>
        <w:t>— the voting ordinary shares and non-voting ordinary shares are subject to all the powers, rights, privileges, preferences and priorities of the preferred shares as</w:t>
      </w:r>
      <w:r>
        <w:rPr>
          <w:rFonts w:ascii="Arial" w:cs="Arial" w:eastAsia="Arial" w:hAnsi="Arial"/>
          <w:sz w:val="13"/>
          <w:szCs w:val="13"/>
          <w:i w:val="1"/>
          <w:iCs w:val="1"/>
          <w:color w:val="auto"/>
        </w:rPr>
        <w:t xml:space="preserve"> </w:t>
      </w:r>
      <w:r>
        <w:rPr>
          <w:rFonts w:ascii="Arial" w:cs="Arial" w:eastAsia="Arial" w:hAnsi="Arial"/>
          <w:sz w:val="13"/>
          <w:szCs w:val="13"/>
          <w:color w:val="auto"/>
        </w:rPr>
        <w:t>are set out in the Articles.</w:t>
      </w:r>
    </w:p>
    <w:p>
      <w:pPr>
        <w:spacing w:after="0" w:line="47"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As regards both preferred shares and voting and non-voting ordinary shares, we have the power to purchase any of our own shares, whether or not they are redeemable and may make a payment out of capital for such purchase. Where our shares are repurchased by us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63" w:lineRule="exact"/>
        <w:rPr>
          <w:sz w:val="20"/>
          <w:szCs w:val="20"/>
          <w:color w:val="auto"/>
        </w:rPr>
      </w:pPr>
    </w:p>
    <w:p>
      <w:pPr>
        <w:ind w:left="680" w:right="60" w:firstLine="399"/>
        <w:spacing w:after="0" w:line="338" w:lineRule="auto"/>
        <w:rPr>
          <w:sz w:val="20"/>
          <w:szCs w:val="20"/>
          <w:color w:val="auto"/>
        </w:rPr>
      </w:pPr>
      <w:r>
        <w:rPr>
          <w:rFonts w:ascii="Arial" w:cs="Arial" w:eastAsia="Arial" w:hAnsi="Arial"/>
          <w:sz w:val="12"/>
          <w:szCs w:val="12"/>
          <w:color w:val="auto"/>
        </w:rPr>
        <w:t>The Articles now provide that our directors, officers and other agents will be indemnified by us from and against all liabilities sustained in connection with their performance of their duties, except to the extent prohibited by the Companies Law. Under the Companies Law, Amdocs Limited may not indemnify a director for certain excluded liabilities, which are:</w:t>
      </w:r>
    </w:p>
    <w:p>
      <w:pPr>
        <w:spacing w:after="0" w:line="24" w:lineRule="exact"/>
        <w:rPr>
          <w:sz w:val="20"/>
          <w:szCs w:val="20"/>
          <w:color w:val="auto"/>
        </w:rPr>
      </w:pPr>
    </w:p>
    <w:p>
      <w:pPr>
        <w:ind w:left="1300" w:hanging="208"/>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fines imposed in criminal proceedings;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regulatory fines;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expenses incurred in defending criminal proceedings resulting in a conviction;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expenses incurred in defending civil proceedings brought by Amdocs Limited or an affiliated company in which judgment is rendered against the director;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expenses incurred in unsuccessfully seeking judicial relief from claims of a breach of duty.</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Although the directors may not be exempted from, or indemnified for, liabilities to Amdocs Limited arising out of negligence, default, breach of duty or breach of trust, liabilities to third parties (including to our shareholders) arising out of negligence, default, breach of duty or breach of trust may be indemnified by us and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provisions in the Memorandum or Articles that provide for a classified board of directors or for cumulative voting for directors.</w:t>
      </w:r>
    </w:p>
    <w:p>
      <w:pPr>
        <w:spacing w:after="0" w:line="10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59"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47"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68"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49"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63"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shareholder is entitled to appoint another person as his proxy to exercise all or any of his rights to attend and to speak and vote at a meeting of Amdocs Limited.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Limited may pass resolutions by way of written resolution.</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limitations on the rights to own securities, including the rights of non-resident or foreign shareholders to hold or exercise voting rights on the securities.</w:t>
      </w:r>
    </w:p>
    <w:p>
      <w:pPr>
        <w:spacing w:after="0" w:line="102"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There are no provisions in the Memorandum or Articles that would have the effect of delaying, deferring or preventing a change in control of Amdocs Limited and that would operate only with respect to a merger, acquisition or corporate restructuring involving us (or any of our subsidiaries).</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63" w:lineRule="exact"/>
        <w:rPr>
          <w:sz w:val="20"/>
          <w:szCs w:val="20"/>
          <w:color w:val="auto"/>
        </w:rPr>
      </w:pPr>
    </w:p>
    <w:p>
      <w:pPr>
        <w:ind w:left="680" w:right="120" w:firstLine="399"/>
        <w:spacing w:after="0" w:line="338" w:lineRule="auto"/>
        <w:rPr>
          <w:sz w:val="20"/>
          <w:szCs w:val="20"/>
          <w:color w:val="auto"/>
        </w:rPr>
      </w:pPr>
      <w:r>
        <w:rPr>
          <w:rFonts w:ascii="Arial" w:cs="Arial" w:eastAsia="Arial" w:hAnsi="Arial"/>
          <w:sz w:val="12"/>
          <w:szCs w:val="12"/>
          <w:color w:val="auto"/>
        </w:rPr>
        <w:t>Pursuant to Article 19 of the Articles, we may from time to time, by ordinary resolution, increase our share capital by such sum, to be divided into shares of such amount, as the resolution prescribes. The directors may reduce our share capital or any other capital subject to us satisfying the solvency requirements set out in the Companies Law.</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 Contracts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November 27, 2007, we entered into a Credit Agreement among us, certain of our subsidiaries, the lenders from time to time party thereto, JPMorgan Chase Bank, N.A., as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administrative agent, J.P. Morgan Europe Limited, as London agent, and JPMorgan Chase Bank, N.A., Toronto branch, as Canadian agent. The agreement provides for an unsecured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$500 million five-year revolving credit facility with a syndicate of banks, which is available for general corporate purposes, including acquisitions and repurchases of our ordinary shares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we may consider from time to time.</w:t>
      </w:r>
    </w:p>
    <w:p>
      <w:pPr>
        <w:spacing w:after="0" w:line="9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On December 28, 2007, we entered into an Amended and Restated Information Technology Services Agreement, which amends and restates in its entirety the Information Technology Services Agreement that we entered into with AT&amp;T Services, Inc. effective April 17, 2007. The agreement provides that Amdocs will provide services for application software to AT&amp;T for fees as specified therein.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two years, we have not entered into any other material contracts other than contracts entered into in the ordinary course of our business.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Taxation of the Company</w:t>
      </w:r>
    </w:p>
    <w:p>
      <w:pPr>
        <w:spacing w:after="0" w:line="102"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General</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effective tax rate was 10.9% for fiscal 2009, compared to 9.3% for fiscal 2008 and 10.6% for fiscal 2007.</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Guernsey Tax Considerations</w:t>
      </w:r>
    </w:p>
    <w:p>
      <w:pPr>
        <w:spacing w:after="0" w:line="102"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Tax legislation enacted in Guernsey with effect from January 1, 2008 subjected us to a zero percent corporate tax rate. In October 2009, Guernsey officials announced that Guernsey’s corporate income tax regime was under review.</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Indian Tax Considerations</w:t>
      </w:r>
    </w:p>
    <w:p>
      <w:pPr>
        <w:spacing w:after="0" w:line="10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Through subsidiaries, we operate a development center and a business processing operations center in Pune, India, and another development center in Delhi, India. In 2009, the corporation tax rate applicable in India on trading activities was 34%. Our subsidiaries in India operate under specific favorable tax entitlements that are based upon pre-approved information technology related services activity. As a result, our subsidiaries based in Pune are entitled to considerable corporate income tax exemptions on all income derived from such pre-approved information technology activity, provided they continue to meet the conditions required for such tax benefits. The benefits applicable for our Pune-based subsidiaries are scheduled to expire on April 1, 2011. However, as of April 1, 2007, the Minimum Alternative Tax, or MAT, became applicable to our Indian subsidiaries based in Pune. The MAT is levied on book profits at the rate of 17% (during the Indian fiscal year commencing on April 1, 2009) and can be carried forward for 10 years to be credited against corporate income tax. Our-Delhi based subsidiary is subject to a separate tax entitlement under which it is exempt from tax on its tax incentive-eligible activity for its first five years of operation and it will enjoy 50% reduction on its corporate income tax for such activity for the following five years. After 10 years of operations, such 50% reduction may be available for an additional five years, subject to further investment-related undertakings that we would be required to make. Under Indian laws, any dividend distribution by our Indian subsidiaries would be subject to a dividend distribution tax at the rate of 17% to be paid by such subsidiaries. Recently, the Indian government published a preliminary draft for the replacement of the country’s tax code. This draft, if enacted, would substantially change Indian tax laws, and might reduce or eliminate the availability of these beneficial tax rates for our Indian subsidiaries.</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Israeli Tax Considerations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Israeli subsidiary, Amdocs (Israel) Limited, operates one of our largest development centers. Discussed below are certain Israeli tax considerations relating to this subsidiary.</w:t>
      </w:r>
    </w:p>
    <w:p>
      <w:pPr>
        <w:spacing w:after="0" w:line="114"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i w:val="1"/>
          <w:iCs w:val="1"/>
          <w:color w:val="auto"/>
        </w:rPr>
        <w:t xml:space="preserve">General Corporate Taxation in Israel. </w:t>
      </w:r>
      <w:r>
        <w:rPr>
          <w:rFonts w:ascii="Arial" w:cs="Arial" w:eastAsia="Arial" w:hAnsi="Arial"/>
          <w:sz w:val="13"/>
          <w:szCs w:val="13"/>
          <w:color w:val="auto"/>
        </w:rPr>
        <w:t>In August 2005, the Israeli parliament enacted legislation that has gradually reduced the “Companies Tax” rates of taxable income apply</w:t>
      </w:r>
      <w:r>
        <w:rPr>
          <w:rFonts w:ascii="Arial" w:cs="Arial" w:eastAsia="Arial" w:hAnsi="Arial"/>
          <w:sz w:val="13"/>
          <w:szCs w:val="13"/>
          <w:i w:val="1"/>
          <w:iCs w:val="1"/>
          <w:color w:val="auto"/>
        </w:rPr>
        <w:t xml:space="preserve"> </w:t>
      </w:r>
      <w:r>
        <w:rPr>
          <w:rFonts w:ascii="Arial" w:cs="Arial" w:eastAsia="Arial" w:hAnsi="Arial"/>
          <w:sz w:val="13"/>
          <w:szCs w:val="13"/>
          <w:color w:val="auto"/>
        </w:rPr>
        <w:t>to Israeli companies. According to this legislation, the Companies Tax rate on taxable income in 2005 and upcoming years was and will be as follows: 34% in 2005, 31% in 2006, and 29% in 2007, 27% in 2008, 26% in 2009 and 25% for 2010 and thereafter. However, the effective tax rate payable by an Israeli company that derives income from an Approved Enterprise may be considerably less.</w:t>
      </w:r>
    </w:p>
    <w:p>
      <w:pPr>
        <w:spacing w:after="0" w:line="6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Law for the Encouragement of Capital Investments, 1959. </w:t>
      </w:r>
      <w:r>
        <w:rPr>
          <w:rFonts w:ascii="Arial" w:cs="Arial" w:eastAsia="Arial" w:hAnsi="Arial"/>
          <w:sz w:val="13"/>
          <w:szCs w:val="13"/>
          <w:color w:val="auto"/>
        </w:rPr>
        <w:t>Certain production and development facilities of our Israeli subsidiary have been granted “Approved Enterprise”</w:t>
      </w:r>
      <w:r>
        <w:rPr>
          <w:rFonts w:ascii="Arial" w:cs="Arial" w:eastAsia="Arial" w:hAnsi="Arial"/>
          <w:sz w:val="13"/>
          <w:szCs w:val="13"/>
          <w:i w:val="1"/>
          <w:iCs w:val="1"/>
          <w:color w:val="auto"/>
        </w:rPr>
        <w:t xml:space="preserve"> </w:t>
      </w:r>
      <w:r>
        <w:rPr>
          <w:rFonts w:ascii="Arial" w:cs="Arial" w:eastAsia="Arial" w:hAnsi="Arial"/>
          <w:sz w:val="13"/>
          <w:szCs w:val="13"/>
          <w:color w:val="auto"/>
        </w:rPr>
        <w:t>status pursuant to the Law for the Encouragement of Capital Investments, 1959, or the Investment Law, which provides certain tax and financial benefits to investment programs that have been granted such status.</w:t>
      </w:r>
    </w:p>
    <w:p>
      <w:pPr>
        <w:spacing w:after="0" w:line="59"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color w:val="auto"/>
        </w:rPr>
        <w:t>In general, investment programs of our Israeli subsidiary that have already obtained instruments of approval for an Approved Enterprise by the Israeli Investment Center prior to the change in legislation in 2005 continue to be subject to the old provisions of the Investment Law as described below. The revisions that were introduced into the Investment Law in 2005 did not affect our effective tax rate for year ended September 30, 2009 and we do not expect them to have a significant impact on our effective tax rate in fiscal 2010.</w:t>
      </w:r>
    </w:p>
    <w:p>
      <w:pPr>
        <w:spacing w:after="0" w:line="41" w:lineRule="exact"/>
        <w:rPr>
          <w:sz w:val="20"/>
          <w:szCs w:val="20"/>
          <w:color w:val="auto"/>
        </w:rPr>
      </w:pPr>
    </w:p>
    <w:p>
      <w:pPr>
        <w:ind w:left="680" w:right="240" w:firstLine="399"/>
        <w:spacing w:after="0" w:line="309" w:lineRule="auto"/>
        <w:rPr>
          <w:sz w:val="20"/>
          <w:szCs w:val="20"/>
          <w:color w:val="auto"/>
        </w:rPr>
      </w:pPr>
      <w:r>
        <w:rPr>
          <w:rFonts w:ascii="Arial" w:cs="Arial" w:eastAsia="Arial" w:hAnsi="Arial"/>
          <w:sz w:val="12"/>
          <w:szCs w:val="12"/>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294" w:lineRule="auto"/>
        <w:rPr>
          <w:sz w:val="20"/>
          <w:szCs w:val="20"/>
          <w:color w:val="auto"/>
        </w:rPr>
      </w:pPr>
      <w:r>
        <w:rPr>
          <w:rFonts w:ascii="Arial" w:cs="Arial" w:eastAsia="Arial" w:hAnsi="Arial"/>
          <w:sz w:val="13"/>
          <w:szCs w:val="13"/>
          <w:color w:val="auto"/>
        </w:rPr>
        <w:t>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Tax Benefits. </w:t>
      </w:r>
      <w:r>
        <w:rPr>
          <w:rFonts w:ascii="Arial" w:cs="Arial" w:eastAsia="Arial" w:hAnsi="Arial"/>
          <w:sz w:val="13"/>
          <w:szCs w:val="13"/>
          <w:color w:val="auto"/>
        </w:rPr>
        <w:t>Taxable income derived from an Approved Enterprise is subject to a reduced corporate tax rate of 25% until the earliest of:</w:t>
      </w:r>
    </w:p>
    <w:p>
      <w:pPr>
        <w:spacing w:after="0" w:line="102" w:lineRule="exact"/>
        <w:rPr>
          <w:sz w:val="20"/>
          <w:szCs w:val="20"/>
          <w:color w:val="auto"/>
        </w:rPr>
      </w:pPr>
    </w:p>
    <w:p>
      <w:pPr>
        <w:ind w:left="1300" w:hanging="208"/>
        <w:spacing w:after="0"/>
        <w:tabs>
          <w:tab w:leader="none" w:pos="13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seven consecutive years (or ten in the case of an FIC (as defined below)) commencing in the year in which the Approved Enterprise first generates taxable income,</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12 years from the year of commencement of production,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14 years from the year of the approval of the Approved Enterprise status.</w:t>
      </w:r>
    </w:p>
    <w:p>
      <w:pPr>
        <w:spacing w:after="0" w:line="10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Such income is eligible for further reductions in tax rates if we qualify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7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primary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or ten years (and in some cases for a period of four years) and, in the case of a two year tax holiday, reduced tax rates for an additional period of up to eight years. In case this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an amendment issued in September 2006 to an instrument of approval issued in December 2000 and relating to specific investment programs of our Israeli subsidiary and to the income derived therefrom, the subsidiary is entitled to a reduced tax rate period of 13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Dividends</w:t>
      </w:r>
    </w:p>
    <w:p>
      <w:pPr>
        <w:spacing w:after="0" w:line="102"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12 years thereafter. This withholding tax is in addition to the corporate tax that a company is subject to in the event it pays a dividend out of income earned during the tax holiday period related to its Approved Enterprise status.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Taxation Of Holders Of Ordinary Shares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United States Federal Income Tax Considerations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discussion describes the material U.S. federal income tax consequences to the ownership or disposition of our ordinary shares to a U.S. holder. A U.S. holder is:</w:t>
      </w:r>
    </w:p>
    <w:p>
      <w:pPr>
        <w:spacing w:after="0" w:line="114" w:lineRule="exact"/>
        <w:rPr>
          <w:sz w:val="20"/>
          <w:szCs w:val="20"/>
          <w:color w:val="auto"/>
        </w:rPr>
      </w:pPr>
    </w:p>
    <w:p>
      <w:pPr>
        <w:ind w:left="1640" w:hanging="170"/>
        <w:spacing w:after="0"/>
        <w:tabs>
          <w:tab w:leader="none" w:pos="16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corporation created or organized in, or under the laws of, the United States or of any state thereof;</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 estate, the income of which is includable in gross income for U.S. federal income tax purposes regardless of its source; or</w:t>
      </w:r>
    </w:p>
    <w:p>
      <w:pPr>
        <w:spacing w:after="0" w:line="102" w:lineRule="exact"/>
        <w:rPr>
          <w:rFonts w:ascii="Arial" w:cs="Arial" w:eastAsia="Arial" w:hAnsi="Arial"/>
          <w:sz w:val="13"/>
          <w:szCs w:val="13"/>
          <w:color w:val="auto"/>
        </w:rPr>
      </w:pPr>
    </w:p>
    <w:p>
      <w:pPr>
        <w:ind w:left="1080" w:firstLine="390"/>
        <w:spacing w:after="0" w:line="294" w:lineRule="auto"/>
        <w:tabs>
          <w:tab w:leader="none" w:pos="1691"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trust, if a court within the United States is able to exercise primary supervision over the administration of the trust and one or more U.S. persons has the authority to control all substantial decisions of the trust.</w:t>
      </w:r>
    </w:p>
    <w:p>
      <w:pPr>
        <w:spacing w:after="0" w:line="47"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This summary generally considers only U.S. holders that own ordinary shares as capital assets. This summary does not discuss the U.S. federal income tax consequences to a holder of ordinary shares that is not a U.S. holder.</w:t>
      </w:r>
    </w:p>
    <w:p>
      <w:pPr>
        <w:spacing w:after="0" w:line="47"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holder of ordinary shares based on such holder’s particular circumstances (including potential application of the alternative minimum tax), U.S.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or the possible application of U.S. federal gift or estate taxes.</w:t>
      </w:r>
    </w:p>
    <w:p>
      <w:pPr>
        <w:spacing w:after="0" w:line="5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In general, a U.S. holder receiving a distribution with respect to the ordinary shares will be required to include such distribution (including the amount of foreign</w:t>
      </w:r>
      <w:r>
        <w:rPr>
          <w:rFonts w:ascii="Arial" w:cs="Arial" w:eastAsia="Arial" w:hAnsi="Arial"/>
          <w:sz w:val="13"/>
          <w:szCs w:val="13"/>
          <w:i w:val="1"/>
          <w:iCs w:val="1"/>
          <w:color w:val="auto"/>
        </w:rPr>
        <w:t xml:space="preserve"> </w:t>
      </w:r>
      <w:r>
        <w:rPr>
          <w:rFonts w:ascii="Arial" w:cs="Arial" w:eastAsia="Arial" w:hAnsi="Arial"/>
          <w:sz w:val="13"/>
          <w:szCs w:val="13"/>
          <w:color w:val="auto"/>
        </w:rPr>
        <w:t>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See “Disposition of Ordinary Shares”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 In general, U.S. corporate shareholders will not be entitled to any deduction for distributions received as dividends on the ordinary shares.</w:t>
      </w:r>
    </w:p>
    <w:p>
      <w:pPr>
        <w:spacing w:after="0" w:line="102"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Dividend income is generally taxed as ordinary income. However, a maximum U.S. federal income tax rate of 15% will apply to “qualified dividend income” received by individuals (as well as certain trusts and estates) before January 1, 2011, provided that certain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Since our ordinary shares are readily tradable on the NYSE, we believe that dividends paid by us with respect to our ordinary shares should constitute “qualified dividend income” for U.S. federal income tax purposes, provided that the holding period requirements are satisfied and none of the other special exceptions applies.</w:t>
      </w:r>
    </w:p>
    <w:p>
      <w:pPr>
        <w:spacing w:after="0" w:line="49"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U.S. federal income taxes otherwise payable with respect to each such class of income. Dividends paid by us generally will be foreign source “passive income” or “financial services income” for U.S. foreign tax credit purposes.</w:t>
      </w:r>
    </w:p>
    <w:p>
      <w:pPr>
        <w:spacing w:after="0" w:line="6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i w:val="1"/>
          <w:iCs w:val="1"/>
          <w:color w:val="auto"/>
        </w:rPr>
        <w:t xml:space="preserve">Disposition of Ordinary Shares. </w:t>
      </w:r>
      <w:r>
        <w:rPr>
          <w:rFonts w:ascii="Arial" w:cs="Arial" w:eastAsia="Arial" w:hAnsi="Arial"/>
          <w:sz w:val="13"/>
          <w:szCs w:val="13"/>
          <w:color w:val="auto"/>
        </w:rPr>
        <w:t>Upon the sale, exchange or other disposition of our ordinary shares, a U.S. holder generally will recognize capital gain or loss in an amount</w:t>
      </w:r>
      <w:r>
        <w:rPr>
          <w:rFonts w:ascii="Arial" w:cs="Arial" w:eastAsia="Arial" w:hAnsi="Arial"/>
          <w:sz w:val="13"/>
          <w:szCs w:val="13"/>
          <w:i w:val="1"/>
          <w:iCs w:val="1"/>
          <w:color w:val="auto"/>
        </w:rPr>
        <w:t xml:space="preserve"> </w:t>
      </w:r>
      <w:r>
        <w:rPr>
          <w:rFonts w:ascii="Arial" w:cs="Arial" w:eastAsia="Arial" w:hAnsi="Arial"/>
          <w:sz w:val="13"/>
          <w:szCs w:val="13"/>
          <w:color w:val="auto"/>
        </w:rPr>
        <w:t>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during taxable years beginning before January 1, 2011 generally will be subject to a maximum U.S. federal tax income rate of 15%. Gains realized by a U.S. holder on a sale, exchange or other disposition of ordinary shares generally will be treated as U.S. source income for U.S. foreign tax credit purposes.</w:t>
      </w:r>
    </w:p>
    <w:p>
      <w:pPr>
        <w:spacing w:after="0" w:line="6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i w:val="1"/>
          <w:iCs w:val="1"/>
          <w:color w:val="auto"/>
        </w:rPr>
        <w:t xml:space="preserve">Information Reporting and Backup Withholding. </w:t>
      </w:r>
      <w:r>
        <w:rPr>
          <w:rFonts w:ascii="Arial" w:cs="Arial" w:eastAsia="Arial" w:hAnsi="Arial"/>
          <w:sz w:val="13"/>
          <w:szCs w:val="13"/>
          <w:color w:val="auto"/>
        </w:rPr>
        <w:t>Dividend payments with respect to the ordinary shares and proceeds from the sale, exchange or redemption of ordinary shares</w:t>
      </w:r>
      <w:r>
        <w:rPr>
          <w:rFonts w:ascii="Arial" w:cs="Arial" w:eastAsia="Arial" w:hAnsi="Arial"/>
          <w:sz w:val="13"/>
          <w:szCs w:val="13"/>
          <w:i w:val="1"/>
          <w:iCs w:val="1"/>
          <w:color w:val="auto"/>
        </w:rPr>
        <w:t xml:space="preserve"> </w:t>
      </w:r>
      <w:r>
        <w:rPr>
          <w:rFonts w:ascii="Arial" w:cs="Arial" w:eastAsia="Arial" w:hAnsi="Arial"/>
          <w:sz w:val="13"/>
          <w:szCs w:val="13"/>
          <w:color w:val="auto"/>
        </w:rPr>
        <w:t>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Amounts withheld under the backup withholding rules may be credited against a U.S. holder’s tax liability or refunded if the holder provides the required information to the IRS.</w:t>
      </w:r>
    </w:p>
    <w:p>
      <w:pPr>
        <w:spacing w:after="0" w:line="114"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i w:val="1"/>
          <w:iCs w:val="1"/>
          <w:color w:val="auto"/>
        </w:rPr>
        <w:t xml:space="preserve">Passive Foreign Investment Company Considerations. </w:t>
      </w:r>
      <w:r>
        <w:rPr>
          <w:rFonts w:ascii="Arial" w:cs="Arial" w:eastAsia="Arial" w:hAnsi="Arial"/>
          <w:sz w:val="12"/>
          <w:szCs w:val="12"/>
          <w:color w:val="auto"/>
        </w:rPr>
        <w:t>If, during any taxable year, 75% or more of our gross income consists of certain types of passive income, or the average</w:t>
      </w:r>
      <w:r>
        <w:rPr>
          <w:rFonts w:ascii="Arial" w:cs="Arial" w:eastAsia="Arial" w:hAnsi="Arial"/>
          <w:sz w:val="12"/>
          <w:szCs w:val="12"/>
          <w:i w:val="1"/>
          <w:iCs w:val="1"/>
          <w:color w:val="auto"/>
        </w:rPr>
        <w:t xml:space="preserve"> </w:t>
      </w:r>
      <w:r>
        <w:rPr>
          <w:rFonts w:ascii="Arial" w:cs="Arial" w:eastAsia="Arial" w:hAnsi="Arial"/>
          <w:sz w:val="12"/>
          <w:szCs w:val="12"/>
          <w:color w:val="auto"/>
        </w:rPr>
        <w:t>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we do not intend to take steps necessary to qualify as a qualified electing fund. However,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49"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40"/>
        <w:spacing w:after="0" w:line="294" w:lineRule="auto"/>
        <w:rPr>
          <w:sz w:val="20"/>
          <w:szCs w:val="20"/>
          <w:color w:val="auto"/>
        </w:rPr>
      </w:pPr>
      <w:r>
        <w:rPr>
          <w:rFonts w:ascii="Arial" w:cs="Arial" w:eastAsia="Arial" w:hAnsi="Arial"/>
          <w:sz w:val="13"/>
          <w:szCs w:val="13"/>
          <w:color w:val="auto"/>
        </w:rPr>
        <w:t>cannot guarantee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47" w:lineRule="exact"/>
        <w:rPr>
          <w:sz w:val="20"/>
          <w:szCs w:val="20"/>
          <w:color w:val="auto"/>
        </w:rPr>
      </w:pPr>
    </w:p>
    <w:p>
      <w:pPr>
        <w:ind w:left="680" w:right="800" w:firstLine="399"/>
        <w:spacing w:after="0" w:line="294" w:lineRule="auto"/>
        <w:rPr>
          <w:sz w:val="20"/>
          <w:szCs w:val="20"/>
          <w:color w:val="auto"/>
        </w:rPr>
      </w:pPr>
      <w:r>
        <w:rPr>
          <w:rFonts w:ascii="Arial" w:cs="Arial" w:eastAsia="Arial" w:hAnsi="Arial"/>
          <w:sz w:val="13"/>
          <w:szCs w:val="13"/>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Certain Guernsey Tax Considerations</w:t>
      </w:r>
    </w:p>
    <w:p>
      <w:pPr>
        <w:spacing w:after="0" w:line="10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68"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There are no capital gains, gift or inheritance taxes levied by Guernsey, and the ordinary shares generally are not subject to any transfer taxes, stamp duties or similar charges on issuance or transfer.</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Corporate Governance</w:t>
      </w:r>
    </w:p>
    <w:p>
      <w:pPr>
        <w:spacing w:after="0" w:line="104"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there are no significant ways that our corporate governance practices differ from those followed by U.S. domestic companies under the NYSE listing standards. For further information regarding our corporate governance practices, please refer to our Notice and Proxy Statement to be mailed to our shareholders along with this Annual Report, and to our website at www.amdocs.com.</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Documents On Display</w:t>
      </w:r>
    </w:p>
    <w:p>
      <w:pPr>
        <w:spacing w:after="0" w:line="104"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Some of this information may also be found on our website at </w:t>
      </w:r>
      <w:r>
        <w:rPr>
          <w:rFonts w:ascii="Arial" w:cs="Arial" w:eastAsia="Arial" w:hAnsi="Arial"/>
          <w:sz w:val="12"/>
          <w:szCs w:val="12"/>
          <w:i w:val="1"/>
          <w:iCs w:val="1"/>
          <w:color w:val="auto"/>
        </w:rPr>
        <w:t>www.amdocs.com.</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request copies of our reports, at no cost, by writing to or telephoning us as follows:</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Inc.</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Thomas G. O’Brien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1390 Timberlake Manor Parkway</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Chesterfield, Missouri 63017</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Telephone: +1-314-212-8328</w:t>
      </w:r>
    </w:p>
    <w:p>
      <w:pPr>
        <w:spacing w:after="0" w:line="13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 Risk</w:t>
      </w:r>
    </w:p>
    <w:p>
      <w:pPr>
        <w:spacing w:after="0" w:line="104"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During fiscal 2009, our revenue and operating expenses in the U.S. dollar or linked to the U.S. dollar were approximately 70% to 80% and 50% to 60%, respectively.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59"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use such contracts to hedge net exposure to changes in foreign currency exchange rates associated with revenue denominated in a foreign currency, primarily Canadian dollars, Australian dollars and euros, and anticipated costs to be incurred in a foreign currency, primarily Israeli shekels, British pounds and Indian rupees. We also use such contracts to hedge the impact of the variability in exchange rates on certain balance sheet items such as accounts receivable and employee related accruals denominated primarily in Israeli shekels, Canadian dollars, euros, British pounds and Australian dollars. We seek to minimize the net exposure that the anticipated cash flow from sales of our products and services and cash flow required for our expenses denominated in a currency other than our functional currency will be affected by changes in exchange rates. Please see Note 6 to our consolidated financial statements.</w:t>
      </w:r>
    </w:p>
    <w:p>
      <w:pPr>
        <w:spacing w:after="0" w:line="52" w:lineRule="exact"/>
        <w:rPr>
          <w:sz w:val="20"/>
          <w:szCs w:val="20"/>
          <w:color w:val="auto"/>
        </w:rPr>
      </w:pPr>
    </w:p>
    <w:p>
      <w:pPr>
        <w:ind w:left="680" w:right="220" w:firstLine="399"/>
        <w:spacing w:after="0" w:line="338" w:lineRule="auto"/>
        <w:rPr>
          <w:sz w:val="20"/>
          <w:szCs w:val="20"/>
          <w:color w:val="auto"/>
        </w:rPr>
      </w:pPr>
      <w:r>
        <w:rPr>
          <w:rFonts w:ascii="Arial" w:cs="Arial" w:eastAsia="Arial" w:hAnsi="Arial"/>
          <w:sz w:val="12"/>
          <w:szCs w:val="12"/>
          <w:color w:val="auto"/>
        </w:rPr>
        <w:t>The table below (all dollar amounts in millions) presents the total volume or notional amounts and fair value of our derivative instruments as of September 30, 2009. Notional values are U.S. dollar translated and calculated based on forward rates as of September 30, 2009 for forward contracts and based on spot rates as of September 30, 2009 for options.</w:t>
      </w:r>
    </w:p>
    <w:p>
      <w:pPr>
        <w:spacing w:after="0" w:line="1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200" w:type="dxa"/>
            <w:vAlign w:val="bottom"/>
          </w:tcPr>
          <w:p>
            <w:pPr>
              <w:spacing w:after="0"/>
              <w:rPr>
                <w:sz w:val="10"/>
                <w:szCs w:val="10"/>
                <w:color w:val="auto"/>
              </w:rPr>
            </w:pPr>
          </w:p>
        </w:tc>
        <w:tc>
          <w:tcPr>
            <w:tcW w:w="1480" w:type="dxa"/>
            <w:vAlign w:val="bottom"/>
            <w:vMerge w:val="restart"/>
          </w:tcPr>
          <w:p>
            <w:pPr>
              <w:jc w:val="right"/>
              <w:ind w:right="320"/>
              <w:spacing w:after="0"/>
              <w:rPr>
                <w:sz w:val="20"/>
                <w:szCs w:val="20"/>
                <w:color w:val="auto"/>
              </w:rPr>
            </w:pPr>
            <w:r>
              <w:rPr>
                <w:rFonts w:ascii="Arial" w:cs="Arial" w:eastAsia="Arial" w:hAnsi="Arial"/>
                <w:sz w:val="11"/>
                <w:szCs w:val="11"/>
                <w:b w:val="1"/>
                <w:bCs w:val="1"/>
                <w:color w:val="auto"/>
              </w:rPr>
              <w:t>Notional Value*</w:t>
            </w:r>
          </w:p>
        </w:tc>
        <w:tc>
          <w:tcPr>
            <w:tcW w:w="28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7"/>
              </w:rPr>
              <w:t>Fair Value of</w:t>
            </w:r>
          </w:p>
        </w:tc>
        <w:tc>
          <w:tcPr>
            <w:tcW w:w="0" w:type="dxa"/>
            <w:vAlign w:val="bottom"/>
          </w:tcPr>
          <w:p>
            <w:pPr>
              <w:spacing w:after="0"/>
              <w:rPr>
                <w:sz w:val="1"/>
                <w:szCs w:val="1"/>
                <w:color w:val="auto"/>
              </w:rPr>
            </w:pPr>
          </w:p>
        </w:tc>
      </w:tr>
      <w:tr>
        <w:trPr>
          <w:trHeight w:val="128"/>
        </w:trPr>
        <w:tc>
          <w:tcPr>
            <w:tcW w:w="7200" w:type="dxa"/>
            <w:vAlign w:val="bottom"/>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Derivatives</w:t>
            </w:r>
          </w:p>
        </w:tc>
        <w:tc>
          <w:tcPr>
            <w:tcW w:w="0" w:type="dxa"/>
            <w:vAlign w:val="bottom"/>
          </w:tcPr>
          <w:p>
            <w:pPr>
              <w:spacing w:after="0"/>
              <w:rPr>
                <w:sz w:val="1"/>
                <w:szCs w:val="1"/>
                <w:color w:val="auto"/>
              </w:rPr>
            </w:pPr>
          </w:p>
        </w:tc>
      </w:tr>
      <w:tr>
        <w:trPr>
          <w:trHeight w:val="191"/>
        </w:trPr>
        <w:tc>
          <w:tcPr>
            <w:tcW w:w="720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480" w:type="dxa"/>
            <w:vAlign w:val="bottom"/>
          </w:tcPr>
          <w:p>
            <w:pPr>
              <w:jc w:val="right"/>
              <w:ind w:right="540"/>
              <w:spacing w:after="0"/>
              <w:rPr>
                <w:sz w:val="20"/>
                <w:szCs w:val="20"/>
                <w:color w:val="auto"/>
              </w:rPr>
            </w:pPr>
            <w:r>
              <w:rPr>
                <w:rFonts w:ascii="Arial" w:cs="Arial" w:eastAsia="Arial" w:hAnsi="Arial"/>
                <w:sz w:val="13"/>
                <w:szCs w:val="13"/>
                <w:color w:val="auto"/>
              </w:rPr>
              <w:t>$524.3</w:t>
            </w:r>
          </w:p>
        </w:tc>
        <w:tc>
          <w:tcPr>
            <w:tcW w:w="1300" w:type="dxa"/>
            <w:vAlign w:val="bottom"/>
            <w:gridSpan w:val="2"/>
          </w:tcPr>
          <w:p>
            <w:pPr>
              <w:jc w:val="right"/>
              <w:ind w:right="326"/>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500" w:hanging="408"/>
        <w:spacing w:after="0"/>
        <w:tabs>
          <w:tab w:leader="none" w:pos="1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Gross notional amounts do not quantify risk or represent our assets or liabilities, but are used in the calculation of settlements under the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-93980</wp:posOffset>
            </wp:positionV>
            <wp:extent cx="8255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4"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Our interest expenses and income are sensitive to changes in interest rates, as all of our cash reserves and some of our borrowings, are subject to interest rate changes. Our short-term interest-bearing investments are invested in short term conservative debt instruments. Excess liquidity is invested in short-term high quality interest-bearing investments primarily U.S. dollar-denominated. Such short-term interest-bearing investments consist mainly of money market funds, U.S. government treasuries, U.S. agencies and government guaranteed debt. As of September 30, 2009, there were no outstanding borrowings under our revolving lines of credit or our short-term credit facilities.</w:t>
      </w:r>
    </w:p>
    <w:p>
      <w:pPr>
        <w:spacing w:after="0" w:line="127"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3"/>
          <w:szCs w:val="13"/>
          <w:b w:val="1"/>
          <w:bCs w:val="1"/>
          <w:color w:val="auto"/>
        </w:rPr>
        <w:t>DESCRIPTION OF SECURITIES OTHER THAN EQUITY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8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color w:val="auto"/>
        </w:rPr>
        <w:t>DEFAULTS, DIVIDEND ARREARAGES AND DELINQUENCIES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color w:val="auto"/>
        </w:rPr>
        <w:t>MATERIAL MODIFICATIONS TO THE RIGHTS OF SECURITY HOLDERS AND USE OF PROCEEDS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3"/>
          <w:szCs w:val="13"/>
          <w:b w:val="1"/>
          <w:bCs w:val="1"/>
          <w:color w:val="auto"/>
        </w:rPr>
        <w:t>CONTROLS AND PROCEDURES</w:t>
      </w:r>
    </w:p>
    <w:p>
      <w:pPr>
        <w:spacing w:after="0" w:line="104" w:lineRule="exact"/>
        <w:rPr>
          <w:sz w:val="20"/>
          <w:szCs w:val="20"/>
          <w:color w:val="auto"/>
        </w:rPr>
      </w:pPr>
    </w:p>
    <w:p>
      <w:pPr>
        <w:ind w:left="680" w:right="80" w:firstLine="399"/>
        <w:spacing w:after="0" w:line="286" w:lineRule="auto"/>
        <w:rPr>
          <w:sz w:val="20"/>
          <w:szCs w:val="20"/>
          <w:color w:val="auto"/>
        </w:rPr>
      </w:pPr>
      <w:r>
        <w:rPr>
          <w:rFonts w:ascii="Arial" w:cs="Arial" w:eastAsia="Arial" w:hAnsi="Arial"/>
          <w:sz w:val="12"/>
          <w:szCs w:val="12"/>
          <w:color w:val="auto"/>
        </w:rPr>
        <w:t>Our management, with the participation of the Chief Executive Officer and Chief Financial Officer of Amdocs Management Limited, evaluated the effectiveness of our disclosure controls and procedures as of September 30, 2009.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2009, the Chief Executive Officer and the Chief Financial Officer of Amdocs Management Limited concluded that, as of such date, our disclosure controls and procedures were effective at the reasonable assurance level.</w:t>
      </w:r>
    </w:p>
    <w:p>
      <w:pPr>
        <w:spacing w:after="0" w:line="58"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No change in our internal control over financial reporting (as defined in Rules 13a-15(f) and 15d-15(f) under the Exchange Act) occurred during the fiscal year ended September 30, 2009 that has materially affected, or is reasonably likely to materially affect, our internal control over financial reporting.</w:t>
      </w:r>
    </w:p>
    <w:p>
      <w:pPr>
        <w:spacing w:after="0" w:line="47"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Management’s report on our internal control over financial reporting (as such defined in Rules 13a-15(f) and 15d-15(f) under the Exchange Act), and the related report of our independent public accounting firm, are included in on pages F-3 and F-4 of this Annual Report on Form 20-F, and are incorporated herein by reference.</w:t>
      </w:r>
    </w:p>
    <w:p>
      <w:pPr>
        <w:spacing w:after="0" w:line="125"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16A.</w:t>
      </w:r>
      <w:r>
        <w:rPr>
          <w:sz w:val="20"/>
          <w:szCs w:val="20"/>
          <w:color w:val="auto"/>
        </w:rPr>
        <w:tab/>
      </w:r>
      <w:r>
        <w:rPr>
          <w:rFonts w:ascii="Arial" w:cs="Arial" w:eastAsia="Arial" w:hAnsi="Arial"/>
          <w:sz w:val="13"/>
          <w:szCs w:val="13"/>
          <w:b w:val="1"/>
          <w:bCs w:val="1"/>
          <w:color w:val="auto"/>
        </w:rPr>
        <w:t>AUDIT COMMITTEE FINANCIAL EXPERT</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125"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16B.</w:t>
      </w:r>
      <w:r>
        <w:rPr>
          <w:sz w:val="20"/>
          <w:szCs w:val="20"/>
          <w:color w:val="auto"/>
        </w:rPr>
        <w:tab/>
      </w:r>
      <w:r>
        <w:rPr>
          <w:rFonts w:ascii="Arial" w:cs="Arial" w:eastAsia="Arial" w:hAnsi="Arial"/>
          <w:sz w:val="13"/>
          <w:szCs w:val="13"/>
          <w:b w:val="1"/>
          <w:bCs w:val="1"/>
          <w:color w:val="auto"/>
        </w:rPr>
        <w:t>CODE OF ETHICS</w:t>
      </w:r>
    </w:p>
    <w:p>
      <w:pPr>
        <w:spacing w:after="0" w:line="104"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w:t>
      </w:r>
    </w:p>
    <w:p>
      <w:pPr>
        <w:spacing w:after="0" w:line="47"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 xml:space="preserve">Our Code of Ethics and Business Conduct is available on our website at </w:t>
      </w:r>
      <w:r>
        <w:rPr>
          <w:rFonts w:ascii="Arial" w:cs="Arial" w:eastAsia="Arial" w:hAnsi="Arial"/>
          <w:sz w:val="13"/>
          <w:szCs w:val="13"/>
          <w:i w:val="1"/>
          <w:iCs w:val="1"/>
          <w:color w:val="auto"/>
        </w:rPr>
        <w:t>www.amdocs.com</w:t>
      </w:r>
      <w:r>
        <w:rPr>
          <w:rFonts w:ascii="Arial" w:cs="Arial" w:eastAsia="Arial" w:hAnsi="Arial"/>
          <w:sz w:val="13"/>
          <w:szCs w:val="13"/>
          <w:color w:val="auto"/>
        </w:rPr>
        <w:t>, or you may request a copy of our code of ethics, at no cost, by writing to or telephoning us as follows: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Inc.</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Thomas G. O’Brien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1390 Timberlake Manor Parkway</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00"/>
          </w:cols>
          <w:pgMar w:left="220" w:top="349" w:right="117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Chesterfield, Missouri 63017</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Telephone: +1-314-212-8328</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post on our website all disclosures that are required by law or NYSE rules concerning any amendments to, or waivers from, any provision of the code.</w:t>
      </w:r>
    </w:p>
    <w:p>
      <w:pPr>
        <w:spacing w:after="0" w:line="181"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16C.</w:t>
      </w:r>
      <w:r>
        <w:rPr>
          <w:sz w:val="20"/>
          <w:szCs w:val="20"/>
          <w:color w:val="auto"/>
        </w:rPr>
        <w:tab/>
      </w:r>
      <w:r>
        <w:rPr>
          <w:rFonts w:ascii="Arial" w:cs="Arial" w:eastAsia="Arial" w:hAnsi="Arial"/>
          <w:sz w:val="13"/>
          <w:szCs w:val="13"/>
          <w:b w:val="1"/>
          <w:bCs w:val="1"/>
          <w:color w:val="auto"/>
        </w:rPr>
        <w:t>PRINCIPAL ACCOUNTANT FEES AND SERVICES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each of the last three fiscal years, Ernst &amp; Young LLP has acted as our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Fees</w:t>
      </w:r>
    </w:p>
    <w:p>
      <w:pPr>
        <w:spacing w:after="0" w:line="104" w:lineRule="exact"/>
        <w:rPr>
          <w:sz w:val="20"/>
          <w:szCs w:val="20"/>
          <w:color w:val="auto"/>
        </w:rPr>
      </w:pPr>
    </w:p>
    <w:p>
      <w:pPr>
        <w:jc w:val="both"/>
        <w:ind w:left="680" w:right="280" w:firstLine="399"/>
        <w:spacing w:after="0" w:line="276" w:lineRule="auto"/>
        <w:rPr>
          <w:sz w:val="20"/>
          <w:szCs w:val="20"/>
          <w:color w:val="auto"/>
        </w:rPr>
      </w:pPr>
      <w:r>
        <w:rPr>
          <w:rFonts w:ascii="Arial" w:cs="Arial" w:eastAsia="Arial" w:hAnsi="Arial"/>
          <w:sz w:val="13"/>
          <w:szCs w:val="13"/>
          <w:color w:val="auto"/>
        </w:rPr>
        <w:t>Ernst &amp; Young billed us approximately $3.3 million for audit services for fiscal 2009, including fees associated with the annual audit and reviews of our quarterly financial results submitted on Form 6-K, consultations on various accounting issues and performance of local statutory audits. Ernst &amp; Young billed us approximately $3.8 million for audit services for fiscal 2008.</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Audit-Related Fees</w:t>
      </w:r>
    </w:p>
    <w:p>
      <w:pPr>
        <w:spacing w:after="0" w:line="104"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Ernst &amp; Young billed us approximately $1.3 million for audit-related services for fiscal 2009. Audit-related services principally include SAS 70 report issuances and due diligence examinations. Ernst &amp; Young billed us approximately $1.0 million for audit-related services for fiscal 2008.</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Fees</w:t>
      </w:r>
    </w:p>
    <w:p>
      <w:pPr>
        <w:spacing w:after="0" w:line="104"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Ernst &amp; Young billed us approximately $1.1 million for tax advice, including fees associated with tax compliance, tax advice and tax planning services for fiscal 2009. Ernst &amp; Young billed us approximately $1.6 million for tax advice in fiscal 2008.</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 Other Fees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Ernst &amp; Young did not bill us for services other than Audit Fees, Audit-Related Fees and Tax Fees described above for fiscal 2009 or fiscal 2008.</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Pre-Approval Policies for Non-Audit Services</w:t>
      </w:r>
    </w:p>
    <w:p>
      <w:pPr>
        <w:spacing w:after="0" w:line="104" w:lineRule="exact"/>
        <w:rPr>
          <w:sz w:val="20"/>
          <w:szCs w:val="20"/>
          <w:color w:val="auto"/>
        </w:rPr>
      </w:pPr>
    </w:p>
    <w:p>
      <w:pPr>
        <w:jc w:val="both"/>
        <w:ind w:left="680" w:right="240" w:firstLine="399"/>
        <w:spacing w:after="0" w:line="309" w:lineRule="auto"/>
        <w:rPr>
          <w:sz w:val="20"/>
          <w:szCs w:val="20"/>
          <w:color w:val="auto"/>
        </w:rPr>
      </w:pPr>
      <w:r>
        <w:rPr>
          <w:rFonts w:ascii="Arial" w:cs="Arial" w:eastAsia="Arial" w:hAnsi="Arial"/>
          <w:sz w:val="12"/>
          <w:szCs w:val="12"/>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41"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2009, our Audit Committee approved all of the services provided by Ernst &amp; Young.</w:t>
      </w:r>
    </w:p>
    <w:p>
      <w:pPr>
        <w:spacing w:after="0" w:line="137"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16D.</w:t>
      </w:r>
      <w:r>
        <w:rPr>
          <w:sz w:val="20"/>
          <w:szCs w:val="20"/>
          <w:color w:val="auto"/>
        </w:rPr>
        <w:tab/>
      </w:r>
      <w:r>
        <w:rPr>
          <w:rFonts w:ascii="Arial" w:cs="Arial" w:eastAsia="Arial" w:hAnsi="Arial"/>
          <w:sz w:val="13"/>
          <w:szCs w:val="13"/>
          <w:b w:val="1"/>
          <w:bCs w:val="1"/>
          <w:color w:val="auto"/>
        </w:rPr>
        <w:t>EXEMPTION FROM THE LISTING STANDARDS FOR AUDIT COMMITTEES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80"/>
          </w:cols>
          <w:pgMar w:left="220" w:top="349" w:right="109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16E.</w:t>
      </w:r>
      <w:r>
        <w:rPr>
          <w:sz w:val="20"/>
          <w:szCs w:val="20"/>
          <w:color w:val="auto"/>
        </w:rPr>
        <w:tab/>
      </w:r>
      <w:r>
        <w:rPr>
          <w:rFonts w:ascii="Arial" w:cs="Arial" w:eastAsia="Arial" w:hAnsi="Arial"/>
          <w:sz w:val="13"/>
          <w:szCs w:val="13"/>
          <w:b w:val="1"/>
          <w:bCs w:val="1"/>
          <w:color w:val="auto"/>
        </w:rPr>
        <w:t>PURCHASES OF EQUITY SECURITIES BY THE ISSUER AND AFFILIATED PURCHASERS</w:t>
      </w:r>
    </w:p>
    <w:p>
      <w:pPr>
        <w:spacing w:after="0" w:line="104"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The following table provides information about purchases by us and our affiliated purchasers during the fiscal year ended September 30, 2009 of equity securities that are registered by us pursuant to Section 12 of the Exchange Act:</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Ordinary Shares</w:t>
      </w: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(c)</w:t>
            </w:r>
          </w:p>
        </w:tc>
        <w:tc>
          <w:tcPr>
            <w:tcW w:w="220" w:type="dxa"/>
            <w:vAlign w:val="bottom"/>
          </w:tcPr>
          <w:p>
            <w:pPr>
              <w:spacing w:after="0"/>
              <w:rPr>
                <w:sz w:val="10"/>
                <w:szCs w:val="10"/>
                <w:color w:val="auto"/>
              </w:rPr>
            </w:pPr>
          </w:p>
        </w:tc>
        <w:tc>
          <w:tcPr>
            <w:tcW w:w="19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9"/>
              </w:rPr>
              <w:t>(d)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0"/>
              </w:rPr>
              <w:t>Total Number of</w:t>
            </w:r>
          </w:p>
        </w:tc>
        <w:tc>
          <w:tcPr>
            <w:tcW w:w="2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88"/>
              </w:rPr>
              <w:t>(a)</w:t>
            </w: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1"/>
              </w:rPr>
              <w:t>Shares</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3"/>
              </w:rPr>
              <w:t>Maximum Number (or</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2"/>
            <w:vMerge w:val="restart"/>
          </w:tcPr>
          <w:p>
            <w:pPr>
              <w:jc w:val="center"/>
              <w:ind w:right="540"/>
              <w:spacing w:after="0"/>
              <w:rPr>
                <w:sz w:val="20"/>
                <w:szCs w:val="20"/>
                <w:color w:val="auto"/>
              </w:rPr>
            </w:pPr>
            <w:r>
              <w:rPr>
                <w:rFonts w:ascii="Arial" w:cs="Arial" w:eastAsia="Arial" w:hAnsi="Arial"/>
                <w:sz w:val="11"/>
                <w:szCs w:val="11"/>
                <w:b w:val="1"/>
                <w:bCs w:val="1"/>
                <w:color w:val="auto"/>
                <w:w w:val="85"/>
              </w:rPr>
              <w:t>(b)</w:t>
            </w: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Purchased as Part</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1"/>
              </w:rPr>
              <w:t>Approximate Dollar Value)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0"/>
              </w:rPr>
              <w:t>Total Number of</w:t>
            </w:r>
          </w:p>
        </w:tc>
        <w:tc>
          <w:tcPr>
            <w:tcW w:w="1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5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9"/>
              </w:rPr>
              <w:t>of Publicly</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4"/>
              </w:rPr>
              <w:t>of Shares that</w:t>
            </w:r>
          </w:p>
        </w:tc>
        <w:tc>
          <w:tcPr>
            <w:tcW w:w="0" w:type="dxa"/>
            <w:vAlign w:val="bottom"/>
          </w:tcPr>
          <w:p>
            <w:pPr>
              <w:spacing w:after="0"/>
              <w:rPr>
                <w:sz w:val="1"/>
                <w:szCs w:val="1"/>
                <w:color w:val="auto"/>
              </w:rPr>
            </w:pPr>
          </w:p>
        </w:tc>
      </w:tr>
      <w:tr>
        <w:trPr>
          <w:trHeight w:val="121"/>
        </w:trPr>
        <w:tc>
          <w:tcPr>
            <w:tcW w:w="3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Period</w:t>
            </w:r>
          </w:p>
        </w:tc>
        <w:tc>
          <w:tcPr>
            <w:tcW w:w="152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1"/>
              </w:rPr>
              <w:t>Shares</w:t>
            </w:r>
          </w:p>
        </w:tc>
        <w:tc>
          <w:tcPr>
            <w:tcW w:w="140" w:type="dxa"/>
            <w:vAlign w:val="bottom"/>
          </w:tcPr>
          <w:p>
            <w:pPr>
              <w:spacing w:after="0"/>
              <w:rPr>
                <w:sz w:val="10"/>
                <w:szCs w:val="10"/>
                <w:color w:val="auto"/>
              </w:rPr>
            </w:pPr>
          </w:p>
        </w:tc>
        <w:tc>
          <w:tcPr>
            <w:tcW w:w="146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87"/>
              </w:rPr>
              <w:t>Average Price</w:t>
            </w:r>
          </w:p>
        </w:tc>
        <w:tc>
          <w:tcPr>
            <w:tcW w:w="158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6"/>
              </w:rPr>
              <w:t>Announced Plans</w:t>
            </w:r>
          </w:p>
        </w:tc>
        <w:tc>
          <w:tcPr>
            <w:tcW w:w="220" w:type="dxa"/>
            <w:vAlign w:val="bottom"/>
          </w:tcPr>
          <w:p>
            <w:pPr>
              <w:spacing w:after="0"/>
              <w:rPr>
                <w:sz w:val="10"/>
                <w:szCs w:val="10"/>
                <w:color w:val="auto"/>
              </w:rPr>
            </w:pPr>
          </w:p>
        </w:tc>
        <w:tc>
          <w:tcPr>
            <w:tcW w:w="196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May Yet Be Purchased Under</w:t>
            </w:r>
          </w:p>
        </w:tc>
        <w:tc>
          <w:tcPr>
            <w:tcW w:w="0" w:type="dxa"/>
            <w:vAlign w:val="bottom"/>
          </w:tcPr>
          <w:p>
            <w:pPr>
              <w:spacing w:after="0"/>
              <w:rPr>
                <w:sz w:val="1"/>
                <w:szCs w:val="1"/>
                <w:color w:val="auto"/>
              </w:rPr>
            </w:pPr>
          </w:p>
        </w:tc>
      </w:tr>
      <w:tr>
        <w:trPr>
          <w:trHeight w:val="128"/>
        </w:trPr>
        <w:tc>
          <w:tcPr>
            <w:tcW w:w="3100" w:type="dxa"/>
            <w:vAlign w:val="bottom"/>
            <w:gridSpan w:val="2"/>
            <w:vMerge w:val="continue"/>
          </w:tcPr>
          <w:p>
            <w:pPr>
              <w:spacing w:after="0"/>
              <w:rPr>
                <w:sz w:val="11"/>
                <w:szCs w:val="1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5"/>
              </w:rPr>
              <w:t>Purchased</w:t>
            </w:r>
          </w:p>
        </w:tc>
        <w:tc>
          <w:tcPr>
            <w:tcW w:w="140" w:type="dxa"/>
            <w:vAlign w:val="bottom"/>
          </w:tcPr>
          <w:p>
            <w:pPr>
              <w:spacing w:after="0"/>
              <w:rPr>
                <w:sz w:val="11"/>
                <w:szCs w:val="11"/>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88"/>
              </w:rPr>
              <w:t>Paid per Share(2)</w:t>
            </w:r>
          </w:p>
        </w:tc>
        <w:tc>
          <w:tcPr>
            <w:tcW w:w="15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8"/>
              </w:rPr>
              <w:t>or Programs</w:t>
            </w:r>
          </w:p>
        </w:tc>
        <w:tc>
          <w:tcPr>
            <w:tcW w:w="220" w:type="dxa"/>
            <w:vAlign w:val="bottom"/>
          </w:tcPr>
          <w:p>
            <w:pPr>
              <w:spacing w:after="0"/>
              <w:rPr>
                <w:sz w:val="11"/>
                <w:szCs w:val="11"/>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the Plans or Programs(1)</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10/1/08 — 10/31/08</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467,808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26.90</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467,808</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tcPr>
          <w:p>
            <w:pPr>
              <w:spacing w:after="0"/>
              <w:rPr>
                <w:sz w:val="20"/>
                <w:szCs w:val="20"/>
                <w:color w:val="auto"/>
              </w:rPr>
            </w:pPr>
            <w:r>
              <w:rPr>
                <w:rFonts w:ascii="Arial" w:cs="Arial" w:eastAsia="Arial" w:hAnsi="Arial"/>
                <w:sz w:val="13"/>
                <w:szCs w:val="13"/>
                <w:color w:val="auto"/>
              </w:rPr>
              <w:t>11/1/08 — 11/30/08</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12/1/08 — 12/31/08</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tcPr>
          <w:p>
            <w:pPr>
              <w:spacing w:after="0"/>
              <w:rPr>
                <w:sz w:val="20"/>
                <w:szCs w:val="20"/>
                <w:color w:val="auto"/>
              </w:rPr>
            </w:pPr>
            <w:r>
              <w:rPr>
                <w:rFonts w:ascii="Arial" w:cs="Arial" w:eastAsia="Arial" w:hAnsi="Arial"/>
                <w:sz w:val="13"/>
                <w:szCs w:val="13"/>
                <w:color w:val="auto"/>
              </w:rPr>
              <w:t>1/1/09 — 1/31/09</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2/1/09 — 2/28/09</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tcPr>
          <w:p>
            <w:pPr>
              <w:spacing w:after="0"/>
              <w:rPr>
                <w:sz w:val="20"/>
                <w:szCs w:val="20"/>
                <w:color w:val="auto"/>
              </w:rPr>
            </w:pPr>
            <w:r>
              <w:rPr>
                <w:rFonts w:ascii="Arial" w:cs="Arial" w:eastAsia="Arial" w:hAnsi="Arial"/>
                <w:sz w:val="13"/>
                <w:szCs w:val="13"/>
                <w:color w:val="auto"/>
              </w:rPr>
              <w:t>3/1/09 — 3/31/09</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4/1/09 — 4/30/09</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tcPr>
          <w:p>
            <w:pPr>
              <w:spacing w:after="0"/>
              <w:rPr>
                <w:sz w:val="20"/>
                <w:szCs w:val="20"/>
                <w:color w:val="auto"/>
              </w:rPr>
            </w:pPr>
            <w:r>
              <w:rPr>
                <w:rFonts w:ascii="Arial" w:cs="Arial" w:eastAsia="Arial" w:hAnsi="Arial"/>
                <w:sz w:val="13"/>
                <w:szCs w:val="13"/>
                <w:color w:val="auto"/>
              </w:rPr>
              <w:t>5/1/09 — 5/31/09</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6/1/09 — 6/30/09</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tcPr>
          <w:p>
            <w:pPr>
              <w:spacing w:after="0"/>
              <w:rPr>
                <w:sz w:val="20"/>
                <w:szCs w:val="20"/>
                <w:color w:val="auto"/>
              </w:rPr>
            </w:pPr>
            <w:r>
              <w:rPr>
                <w:rFonts w:ascii="Arial" w:cs="Arial" w:eastAsia="Arial" w:hAnsi="Arial"/>
                <w:sz w:val="13"/>
                <w:szCs w:val="13"/>
                <w:color w:val="auto"/>
              </w:rPr>
              <w:t>7/1/09 — 7/31/09</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82,723,018</w:t>
            </w:r>
          </w:p>
        </w:tc>
        <w:tc>
          <w:tcPr>
            <w:tcW w:w="0" w:type="dxa"/>
            <w:vAlign w:val="bottom"/>
          </w:tcPr>
          <w:p>
            <w:pPr>
              <w:spacing w:after="0"/>
              <w:rPr>
                <w:sz w:val="1"/>
                <w:szCs w:val="1"/>
                <w:color w:val="auto"/>
              </w:rPr>
            </w:pPr>
          </w:p>
        </w:tc>
      </w:tr>
      <w:tr>
        <w:trPr>
          <w:trHeight w:val="161"/>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8/1/09 — 8/31/09</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100" w:type="dxa"/>
            <w:vAlign w:val="bottom"/>
            <w:gridSpan w:val="2"/>
          </w:tcPr>
          <w:p>
            <w:pPr>
              <w:spacing w:after="0"/>
              <w:rPr>
                <w:sz w:val="20"/>
                <w:szCs w:val="20"/>
                <w:color w:val="auto"/>
              </w:rPr>
            </w:pPr>
            <w:r>
              <w:rPr>
                <w:rFonts w:ascii="Arial" w:cs="Arial" w:eastAsia="Arial" w:hAnsi="Arial"/>
                <w:sz w:val="13"/>
                <w:szCs w:val="13"/>
                <w:color w:val="auto"/>
              </w:rPr>
              <w:t>9/1/09 — 9/30/09</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467,808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26.90</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467,808</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-1471295</wp:posOffset>
            </wp:positionV>
            <wp:extent cx="190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0" w:lineRule="exact"/>
        <w:rPr>
          <w:sz w:val="20"/>
          <w:szCs w:val="20"/>
          <w:color w:val="auto"/>
        </w:rPr>
      </w:pPr>
    </w:p>
    <w:p>
      <w:pPr>
        <w:ind w:left="1000" w:right="20" w:hanging="266"/>
        <w:spacing w:after="0" w:line="270"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 August 2007, our Board of Directors authorized a share repurchase plan allowing the repurchase of up to $400 million of our outstanding ordinary shares. The authorization permitted us to purchase our ordinary shares in open market or privately negotiated transactions at times and prices that we considered appropriate. During the first quarter of fiscal 2009, we repurchased 0.5 million ordinary shares of this repurchase program, at an average price of $26.90 per share. As of August 2009, our authority to repurchase ordinary shares expired.</w:t>
      </w:r>
    </w:p>
    <w:p>
      <w:pPr>
        <w:spacing w:after="0" w:line="12" w:lineRule="exact"/>
        <w:rPr>
          <w:rFonts w:ascii="Arial" w:cs="Arial" w:eastAsia="Arial" w:hAnsi="Arial"/>
          <w:sz w:val="13"/>
          <w:szCs w:val="13"/>
          <w:color w:val="auto"/>
        </w:rPr>
      </w:pPr>
    </w:p>
    <w:p>
      <w:pPr>
        <w:ind w:left="1000" w:hanging="266"/>
        <w:spacing w:after="0"/>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average price per share excludes broker and transaction fees.</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Convertible Notes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1"/>
                <w:szCs w:val="11"/>
                <w:b w:val="1"/>
                <w:bCs w:val="1"/>
                <w:color w:val="auto"/>
                <w:w w:val="99"/>
              </w:rPr>
              <w:t>(b)</w:t>
            </w:r>
          </w:p>
        </w:tc>
        <w:tc>
          <w:tcPr>
            <w:tcW w:w="140" w:type="dxa"/>
            <w:vAlign w:val="bottom"/>
          </w:tcPr>
          <w:p>
            <w:pPr>
              <w:spacing w:after="0"/>
              <w:rPr>
                <w:sz w:val="10"/>
                <w:szCs w:val="10"/>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88"/>
              </w:rPr>
              <w:t>(c)</w:t>
            </w:r>
          </w:p>
        </w:tc>
        <w:tc>
          <w:tcPr>
            <w:tcW w:w="200" w:type="dxa"/>
            <w:vAlign w:val="bottom"/>
          </w:tcPr>
          <w:p>
            <w:pPr>
              <w:spacing w:after="0"/>
              <w:rPr>
                <w:sz w:val="10"/>
                <w:szCs w:val="1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1"/>
                <w:szCs w:val="11"/>
                <w:b w:val="1"/>
                <w:bCs w:val="1"/>
                <w:color w:val="auto"/>
              </w:rPr>
              <w:t>(a)</w:t>
            </w: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gridSpan w:val="2"/>
          </w:tcPr>
          <w:p>
            <w:pPr>
              <w:jc w:val="center"/>
              <w:ind w:right="520"/>
              <w:spacing w:after="0" w:line="111" w:lineRule="exact"/>
              <w:rPr>
                <w:sz w:val="20"/>
                <w:szCs w:val="20"/>
                <w:color w:val="auto"/>
              </w:rPr>
            </w:pPr>
            <w:r>
              <w:rPr>
                <w:rFonts w:ascii="Arial" w:cs="Arial" w:eastAsia="Arial" w:hAnsi="Arial"/>
                <w:sz w:val="11"/>
                <w:szCs w:val="11"/>
                <w:b w:val="1"/>
                <w:bCs w:val="1"/>
                <w:color w:val="auto"/>
                <w:w w:val="90"/>
              </w:rPr>
              <w:t>Total Number of</w:t>
            </w:r>
          </w:p>
        </w:tc>
        <w:tc>
          <w:tcPr>
            <w:tcW w:w="200" w:type="dxa"/>
            <w:vAlign w:val="bottom"/>
          </w:tcPr>
          <w:p>
            <w:pPr>
              <w:spacing w:after="0"/>
              <w:rPr>
                <w:sz w:val="9"/>
                <w:szCs w:val="9"/>
                <w:color w:val="auto"/>
              </w:rPr>
            </w:pPr>
          </w:p>
        </w:tc>
        <w:tc>
          <w:tcPr>
            <w:tcW w:w="17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93"/>
              </w:rPr>
              <w:t>Maximum Number (or</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tcPr>
          <w:p>
            <w:pPr>
              <w:jc w:val="center"/>
              <w:ind w:right="520"/>
              <w:spacing w:after="0" w:line="111" w:lineRule="exact"/>
              <w:rPr>
                <w:sz w:val="20"/>
                <w:szCs w:val="20"/>
                <w:color w:val="auto"/>
              </w:rPr>
            </w:pPr>
            <w:r>
              <w:rPr>
                <w:rFonts w:ascii="Arial" w:cs="Arial" w:eastAsia="Arial" w:hAnsi="Arial"/>
                <w:sz w:val="11"/>
                <w:szCs w:val="11"/>
                <w:b w:val="1"/>
                <w:bCs w:val="1"/>
                <w:color w:val="auto"/>
                <w:w w:val="87"/>
              </w:rPr>
              <w:t>Average Price</w:t>
            </w:r>
          </w:p>
        </w:tc>
        <w:tc>
          <w:tcPr>
            <w:tcW w:w="140" w:type="dxa"/>
            <w:vAlign w:val="bottom"/>
          </w:tcPr>
          <w:p>
            <w:pPr>
              <w:spacing w:after="0"/>
              <w:rPr>
                <w:sz w:val="9"/>
                <w:szCs w:val="9"/>
                <w:color w:val="auto"/>
              </w:rPr>
            </w:pPr>
          </w:p>
        </w:tc>
        <w:tc>
          <w:tcPr>
            <w:tcW w:w="1640" w:type="dxa"/>
            <w:vAlign w:val="bottom"/>
            <w:gridSpan w:val="2"/>
          </w:tcPr>
          <w:p>
            <w:pPr>
              <w:jc w:val="center"/>
              <w:ind w:right="540"/>
              <w:spacing w:after="0" w:line="111" w:lineRule="exact"/>
              <w:rPr>
                <w:sz w:val="20"/>
                <w:szCs w:val="20"/>
                <w:color w:val="auto"/>
              </w:rPr>
            </w:pPr>
            <w:r>
              <w:rPr>
                <w:rFonts w:ascii="Arial" w:cs="Arial" w:eastAsia="Arial" w:hAnsi="Arial"/>
                <w:sz w:val="11"/>
                <w:szCs w:val="11"/>
                <w:b w:val="1"/>
                <w:bCs w:val="1"/>
                <w:color w:val="auto"/>
                <w:w w:val="89"/>
              </w:rPr>
              <w:t>Principal Amount of</w:t>
            </w:r>
          </w:p>
        </w:tc>
        <w:tc>
          <w:tcPr>
            <w:tcW w:w="200" w:type="dxa"/>
            <w:vAlign w:val="bottom"/>
          </w:tcPr>
          <w:p>
            <w:pPr>
              <w:spacing w:after="0"/>
              <w:rPr>
                <w:sz w:val="9"/>
                <w:szCs w:val="9"/>
                <w:color w:val="auto"/>
              </w:rPr>
            </w:pPr>
          </w:p>
        </w:tc>
        <w:tc>
          <w:tcPr>
            <w:tcW w:w="17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91"/>
              </w:rPr>
              <w:t>Approximate Dollar Value)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tcPr>
          <w:p>
            <w:pPr>
              <w:jc w:val="center"/>
              <w:ind w:right="540"/>
              <w:spacing w:after="0" w:line="111" w:lineRule="exact"/>
              <w:rPr>
                <w:sz w:val="20"/>
                <w:szCs w:val="20"/>
                <w:color w:val="auto"/>
              </w:rPr>
            </w:pPr>
            <w:r>
              <w:rPr>
                <w:rFonts w:ascii="Arial" w:cs="Arial" w:eastAsia="Arial" w:hAnsi="Arial"/>
                <w:sz w:val="11"/>
                <w:szCs w:val="11"/>
                <w:b w:val="1"/>
                <w:bCs w:val="1"/>
                <w:color w:val="auto"/>
                <w:w w:val="92"/>
              </w:rPr>
              <w:t>Total Principal</w:t>
            </w:r>
          </w:p>
        </w:tc>
        <w:tc>
          <w:tcPr>
            <w:tcW w:w="120" w:type="dxa"/>
            <w:vAlign w:val="bottom"/>
          </w:tcPr>
          <w:p>
            <w:pPr>
              <w:spacing w:after="0"/>
              <w:rPr>
                <w:sz w:val="9"/>
                <w:szCs w:val="9"/>
                <w:color w:val="auto"/>
              </w:rPr>
            </w:pPr>
          </w:p>
        </w:tc>
        <w:tc>
          <w:tcPr>
            <w:tcW w:w="1480" w:type="dxa"/>
            <w:vAlign w:val="bottom"/>
            <w:gridSpan w:val="2"/>
          </w:tcPr>
          <w:p>
            <w:pPr>
              <w:jc w:val="center"/>
              <w:ind w:right="540"/>
              <w:spacing w:after="0" w:line="111" w:lineRule="exact"/>
              <w:rPr>
                <w:sz w:val="20"/>
                <w:szCs w:val="20"/>
                <w:color w:val="auto"/>
              </w:rPr>
            </w:pPr>
            <w:r>
              <w:rPr>
                <w:rFonts w:ascii="Arial" w:cs="Arial" w:eastAsia="Arial" w:hAnsi="Arial"/>
                <w:sz w:val="11"/>
                <w:szCs w:val="11"/>
                <w:b w:val="1"/>
                <w:bCs w:val="1"/>
                <w:color w:val="auto"/>
                <w:w w:val="87"/>
              </w:rPr>
              <w:t>Paid per $1,000</w:t>
            </w:r>
          </w:p>
        </w:tc>
        <w:tc>
          <w:tcPr>
            <w:tcW w:w="140" w:type="dxa"/>
            <w:vAlign w:val="bottom"/>
          </w:tcPr>
          <w:p>
            <w:pPr>
              <w:spacing w:after="0"/>
              <w:rPr>
                <w:sz w:val="9"/>
                <w:szCs w:val="9"/>
                <w:color w:val="auto"/>
              </w:rPr>
            </w:pPr>
          </w:p>
        </w:tc>
        <w:tc>
          <w:tcPr>
            <w:tcW w:w="1640" w:type="dxa"/>
            <w:vAlign w:val="bottom"/>
            <w:gridSpan w:val="2"/>
          </w:tcPr>
          <w:p>
            <w:pPr>
              <w:jc w:val="center"/>
              <w:ind w:right="540"/>
              <w:spacing w:after="0" w:line="111" w:lineRule="exact"/>
              <w:rPr>
                <w:sz w:val="20"/>
                <w:szCs w:val="20"/>
                <w:color w:val="auto"/>
              </w:rPr>
            </w:pPr>
            <w:r>
              <w:rPr>
                <w:rFonts w:ascii="Arial" w:cs="Arial" w:eastAsia="Arial" w:hAnsi="Arial"/>
                <w:sz w:val="11"/>
                <w:szCs w:val="11"/>
                <w:b w:val="1"/>
                <w:bCs w:val="1"/>
                <w:color w:val="auto"/>
                <w:w w:val="87"/>
              </w:rPr>
              <w:t>Convertible Notes</w:t>
            </w:r>
          </w:p>
        </w:tc>
        <w:tc>
          <w:tcPr>
            <w:tcW w:w="200" w:type="dxa"/>
            <w:vAlign w:val="bottom"/>
          </w:tcPr>
          <w:p>
            <w:pPr>
              <w:spacing w:after="0"/>
              <w:rPr>
                <w:sz w:val="9"/>
                <w:szCs w:val="9"/>
                <w:color w:val="auto"/>
              </w:rPr>
            </w:pPr>
          </w:p>
        </w:tc>
        <w:tc>
          <w:tcPr>
            <w:tcW w:w="17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7"/>
              </w:rPr>
              <w:t>of Convertible Notes that</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tcPr>
          <w:p>
            <w:pPr>
              <w:jc w:val="center"/>
              <w:ind w:right="540"/>
              <w:spacing w:after="0" w:line="111" w:lineRule="exact"/>
              <w:rPr>
                <w:sz w:val="20"/>
                <w:szCs w:val="20"/>
                <w:color w:val="auto"/>
              </w:rPr>
            </w:pPr>
            <w:r>
              <w:rPr>
                <w:rFonts w:ascii="Arial" w:cs="Arial" w:eastAsia="Arial" w:hAnsi="Arial"/>
                <w:sz w:val="11"/>
                <w:szCs w:val="11"/>
                <w:b w:val="1"/>
                <w:bCs w:val="1"/>
                <w:color w:val="auto"/>
                <w:w w:val="90"/>
              </w:rPr>
              <w:t>Amount of</w:t>
            </w:r>
          </w:p>
        </w:tc>
        <w:tc>
          <w:tcPr>
            <w:tcW w:w="120" w:type="dxa"/>
            <w:vAlign w:val="bottom"/>
          </w:tcPr>
          <w:p>
            <w:pPr>
              <w:spacing w:after="0"/>
              <w:rPr>
                <w:sz w:val="9"/>
                <w:szCs w:val="9"/>
                <w:color w:val="auto"/>
              </w:rPr>
            </w:pPr>
          </w:p>
        </w:tc>
        <w:tc>
          <w:tcPr>
            <w:tcW w:w="1480" w:type="dxa"/>
            <w:vAlign w:val="bottom"/>
            <w:gridSpan w:val="2"/>
          </w:tcPr>
          <w:p>
            <w:pPr>
              <w:jc w:val="center"/>
              <w:ind w:right="540"/>
              <w:spacing w:after="0" w:line="111" w:lineRule="exact"/>
              <w:rPr>
                <w:sz w:val="20"/>
                <w:szCs w:val="20"/>
                <w:color w:val="auto"/>
              </w:rPr>
            </w:pPr>
            <w:r>
              <w:rPr>
                <w:rFonts w:ascii="Arial" w:cs="Arial" w:eastAsia="Arial" w:hAnsi="Arial"/>
                <w:sz w:val="11"/>
                <w:szCs w:val="11"/>
                <w:b w:val="1"/>
                <w:bCs w:val="1"/>
                <w:color w:val="auto"/>
                <w:w w:val="89"/>
              </w:rPr>
              <w:t>Principal Amount</w:t>
            </w:r>
          </w:p>
        </w:tc>
        <w:tc>
          <w:tcPr>
            <w:tcW w:w="140" w:type="dxa"/>
            <w:vAlign w:val="bottom"/>
          </w:tcPr>
          <w:p>
            <w:pPr>
              <w:spacing w:after="0"/>
              <w:rPr>
                <w:sz w:val="9"/>
                <w:szCs w:val="9"/>
                <w:color w:val="auto"/>
              </w:rPr>
            </w:pPr>
          </w:p>
        </w:tc>
        <w:tc>
          <w:tcPr>
            <w:tcW w:w="1640" w:type="dxa"/>
            <w:vAlign w:val="bottom"/>
            <w:gridSpan w:val="2"/>
          </w:tcPr>
          <w:p>
            <w:pPr>
              <w:jc w:val="center"/>
              <w:ind w:right="520"/>
              <w:spacing w:after="0" w:line="111" w:lineRule="exact"/>
              <w:rPr>
                <w:sz w:val="20"/>
                <w:szCs w:val="20"/>
                <w:color w:val="auto"/>
              </w:rPr>
            </w:pPr>
            <w:r>
              <w:rPr>
                <w:rFonts w:ascii="Arial" w:cs="Arial" w:eastAsia="Arial" w:hAnsi="Arial"/>
                <w:sz w:val="11"/>
                <w:szCs w:val="11"/>
                <w:b w:val="1"/>
                <w:bCs w:val="1"/>
                <w:color w:val="auto"/>
                <w:w w:val="87"/>
              </w:rPr>
              <w:t>Purchased as Part of</w:t>
            </w:r>
          </w:p>
        </w:tc>
        <w:tc>
          <w:tcPr>
            <w:tcW w:w="200" w:type="dxa"/>
            <w:vAlign w:val="bottom"/>
          </w:tcPr>
          <w:p>
            <w:pPr>
              <w:spacing w:after="0"/>
              <w:rPr>
                <w:sz w:val="9"/>
                <w:szCs w:val="9"/>
                <w:color w:val="auto"/>
              </w:rPr>
            </w:pPr>
          </w:p>
        </w:tc>
        <w:tc>
          <w:tcPr>
            <w:tcW w:w="17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91"/>
              </w:rPr>
              <w:t>May Yet Be</w:t>
            </w:r>
          </w:p>
        </w:tc>
        <w:tc>
          <w:tcPr>
            <w:tcW w:w="0" w:type="dxa"/>
            <w:vAlign w:val="bottom"/>
          </w:tcPr>
          <w:p>
            <w:pPr>
              <w:spacing w:after="0"/>
              <w:rPr>
                <w:sz w:val="1"/>
                <w:szCs w:val="1"/>
                <w:color w:val="auto"/>
              </w:rPr>
            </w:pPr>
          </w:p>
        </w:tc>
      </w:tr>
      <w:tr>
        <w:trPr>
          <w:trHeight w:val="121"/>
        </w:trPr>
        <w:tc>
          <w:tcPr>
            <w:tcW w:w="30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Period</w:t>
            </w:r>
          </w:p>
        </w:tc>
        <w:tc>
          <w:tcPr>
            <w:tcW w:w="140" w:type="dxa"/>
            <w:vAlign w:val="bottom"/>
          </w:tcPr>
          <w:p>
            <w:pPr>
              <w:spacing w:after="0"/>
              <w:rPr>
                <w:sz w:val="10"/>
                <w:szCs w:val="10"/>
                <w:color w:val="auto"/>
              </w:rPr>
            </w:pPr>
          </w:p>
        </w:tc>
        <w:tc>
          <w:tcPr>
            <w:tcW w:w="148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87"/>
              </w:rPr>
              <w:t>Convertible Notes</w:t>
            </w:r>
          </w:p>
        </w:tc>
        <w:tc>
          <w:tcPr>
            <w:tcW w:w="120" w:type="dxa"/>
            <w:vAlign w:val="bottom"/>
          </w:tcPr>
          <w:p>
            <w:pPr>
              <w:spacing w:after="0"/>
              <w:rPr>
                <w:sz w:val="10"/>
                <w:szCs w:val="10"/>
                <w:color w:val="auto"/>
              </w:rPr>
            </w:pPr>
          </w:p>
        </w:tc>
        <w:tc>
          <w:tcPr>
            <w:tcW w:w="148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89"/>
              </w:rPr>
              <w:t>of Convertible</w:t>
            </w:r>
          </w:p>
        </w:tc>
        <w:tc>
          <w:tcPr>
            <w:tcW w:w="140" w:type="dxa"/>
            <w:vAlign w:val="bottom"/>
          </w:tcPr>
          <w:p>
            <w:pPr>
              <w:spacing w:after="0"/>
              <w:rPr>
                <w:sz w:val="10"/>
                <w:szCs w:val="10"/>
                <w:color w:val="auto"/>
              </w:rPr>
            </w:pPr>
          </w:p>
        </w:tc>
        <w:tc>
          <w:tcPr>
            <w:tcW w:w="1640" w:type="dxa"/>
            <w:vAlign w:val="bottom"/>
            <w:gridSpan w:val="2"/>
          </w:tcPr>
          <w:p>
            <w:pPr>
              <w:jc w:val="center"/>
              <w:ind w:right="520"/>
              <w:spacing w:after="0" w:line="121" w:lineRule="exact"/>
              <w:rPr>
                <w:sz w:val="20"/>
                <w:szCs w:val="20"/>
                <w:color w:val="auto"/>
              </w:rPr>
            </w:pPr>
            <w:r>
              <w:rPr>
                <w:rFonts w:ascii="Arial" w:cs="Arial" w:eastAsia="Arial" w:hAnsi="Arial"/>
                <w:sz w:val="11"/>
                <w:szCs w:val="11"/>
                <w:b w:val="1"/>
                <w:bCs w:val="1"/>
                <w:color w:val="auto"/>
                <w:w w:val="86"/>
              </w:rPr>
              <w:t>Publicly Announced</w:t>
            </w:r>
          </w:p>
        </w:tc>
        <w:tc>
          <w:tcPr>
            <w:tcW w:w="200" w:type="dxa"/>
            <w:vAlign w:val="bottom"/>
          </w:tcPr>
          <w:p>
            <w:pPr>
              <w:spacing w:after="0"/>
              <w:rPr>
                <w:sz w:val="10"/>
                <w:szCs w:val="10"/>
                <w:color w:val="auto"/>
              </w:rPr>
            </w:pPr>
          </w:p>
        </w:tc>
        <w:tc>
          <w:tcPr>
            <w:tcW w:w="17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7"/>
              </w:rPr>
              <w:t>Purchased Under</w:t>
            </w:r>
          </w:p>
        </w:tc>
        <w:tc>
          <w:tcPr>
            <w:tcW w:w="0" w:type="dxa"/>
            <w:vAlign w:val="bottom"/>
          </w:tcPr>
          <w:p>
            <w:pPr>
              <w:spacing w:after="0"/>
              <w:rPr>
                <w:sz w:val="1"/>
                <w:szCs w:val="1"/>
                <w:color w:val="auto"/>
              </w:rPr>
            </w:pPr>
          </w:p>
        </w:tc>
      </w:tr>
      <w:tr>
        <w:trPr>
          <w:trHeight w:val="128"/>
        </w:trPr>
        <w:tc>
          <w:tcPr>
            <w:tcW w:w="3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85"/>
              </w:rPr>
              <w:t>Purchased</w:t>
            </w:r>
          </w:p>
        </w:tc>
        <w:tc>
          <w:tcPr>
            <w:tcW w:w="120" w:type="dxa"/>
            <w:vAlign w:val="bottom"/>
          </w:tcPr>
          <w:p>
            <w:pPr>
              <w:spacing w:after="0"/>
              <w:rPr>
                <w:sz w:val="11"/>
                <w:szCs w:val="11"/>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84"/>
              </w:rPr>
              <w:t>Notes</w:t>
            </w:r>
          </w:p>
        </w:tc>
        <w:tc>
          <w:tcPr>
            <w:tcW w:w="140" w:type="dxa"/>
            <w:vAlign w:val="bottom"/>
          </w:tcPr>
          <w:p>
            <w:pPr>
              <w:spacing w:after="0"/>
              <w:rPr>
                <w:sz w:val="11"/>
                <w:szCs w:val="11"/>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87"/>
              </w:rPr>
              <w:t>Plans or Programs</w:t>
            </w:r>
          </w:p>
        </w:tc>
        <w:tc>
          <w:tcPr>
            <w:tcW w:w="200" w:type="dxa"/>
            <w:vAlign w:val="bottom"/>
          </w:tcPr>
          <w:p>
            <w:pPr>
              <w:spacing w:after="0"/>
              <w:rPr>
                <w:sz w:val="11"/>
                <w:szCs w:val="11"/>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the Plans or Programs(1)</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10/1/08 — 10/31/08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450,000,000</w:t>
            </w: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rPr>
                <w:sz w:val="20"/>
                <w:szCs w:val="20"/>
                <w:color w:val="auto"/>
              </w:rPr>
            </w:pPr>
            <w:r>
              <w:rPr>
                <w:rFonts w:ascii="Arial" w:cs="Arial" w:eastAsia="Arial" w:hAnsi="Arial"/>
                <w:sz w:val="13"/>
                <w:szCs w:val="13"/>
                <w:color w:val="auto"/>
              </w:rPr>
              <w:t>11/1/08 — 11/30/08</w:t>
            </w:r>
          </w:p>
        </w:tc>
        <w:tc>
          <w:tcPr>
            <w:tcW w:w="14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100,000,000</w:t>
            </w:r>
          </w:p>
        </w:tc>
        <w:tc>
          <w:tcPr>
            <w:tcW w:w="12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978.88</w:t>
            </w:r>
          </w:p>
        </w:tc>
        <w:tc>
          <w:tcPr>
            <w:tcW w:w="14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3"/>
                <w:szCs w:val="13"/>
                <w:color w:val="auto"/>
              </w:rPr>
              <w:t>100,000,000</w:t>
            </w:r>
          </w:p>
        </w:tc>
        <w:tc>
          <w:tcPr>
            <w:tcW w:w="200" w:type="dxa"/>
            <w:vAlign w:val="bottom"/>
          </w:tcPr>
          <w:p>
            <w:pPr>
              <w:spacing w:after="0"/>
              <w:rPr>
                <w:sz w:val="14"/>
                <w:szCs w:val="14"/>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3"/>
                <w:szCs w:val="13"/>
                <w:color w:val="auto"/>
              </w:rPr>
              <w:t>350,000,000</w:t>
            </w:r>
          </w:p>
        </w:tc>
        <w:tc>
          <w:tcPr>
            <w:tcW w:w="0" w:type="dxa"/>
            <w:vAlign w:val="bottom"/>
          </w:tcPr>
          <w:p>
            <w:pPr>
              <w:spacing w:after="0"/>
              <w:rPr>
                <w:sz w:val="1"/>
                <w:szCs w:val="1"/>
                <w:color w:val="auto"/>
              </w:rPr>
            </w:pPr>
          </w:p>
        </w:tc>
      </w:tr>
      <w:tr>
        <w:trPr>
          <w:trHeight w:val="161"/>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12/1/08 — 12/31/08</w:t>
            </w: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350,000,000</w:t>
            </w: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rPr>
                <w:sz w:val="20"/>
                <w:szCs w:val="20"/>
                <w:color w:val="auto"/>
              </w:rPr>
            </w:pPr>
            <w:r>
              <w:rPr>
                <w:rFonts w:ascii="Arial" w:cs="Arial" w:eastAsia="Arial" w:hAnsi="Arial"/>
                <w:sz w:val="13"/>
                <w:szCs w:val="13"/>
                <w:color w:val="auto"/>
              </w:rPr>
              <w:t>1/1/09 — 1/31/09</w:t>
            </w:r>
          </w:p>
        </w:tc>
        <w:tc>
          <w:tcPr>
            <w:tcW w:w="14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3"/>
                <w:szCs w:val="13"/>
                <w:color w:val="auto"/>
              </w:rPr>
              <w:t>350,000,000</w:t>
            </w:r>
          </w:p>
        </w:tc>
        <w:tc>
          <w:tcPr>
            <w:tcW w:w="0" w:type="dxa"/>
            <w:vAlign w:val="bottom"/>
          </w:tcPr>
          <w:p>
            <w:pPr>
              <w:spacing w:after="0"/>
              <w:rPr>
                <w:sz w:val="1"/>
                <w:szCs w:val="1"/>
                <w:color w:val="auto"/>
              </w:rPr>
            </w:pPr>
          </w:p>
        </w:tc>
      </w:tr>
      <w:tr>
        <w:trPr>
          <w:trHeight w:val="161"/>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2/1/09 — 2/28/09</w:t>
            </w: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18,200,000</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996.0</w:t>
            </w: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18,200,000</w:t>
            </w:r>
          </w:p>
        </w:tc>
        <w:tc>
          <w:tcPr>
            <w:tcW w:w="2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331,800,000</w:t>
            </w: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rPr>
                <w:sz w:val="20"/>
                <w:szCs w:val="20"/>
                <w:color w:val="auto"/>
              </w:rPr>
            </w:pPr>
            <w:r>
              <w:rPr>
                <w:rFonts w:ascii="Arial" w:cs="Arial" w:eastAsia="Arial" w:hAnsi="Arial"/>
                <w:sz w:val="13"/>
                <w:szCs w:val="13"/>
                <w:color w:val="auto"/>
              </w:rPr>
              <w:t>3/1/09 — 3/31/09</w:t>
            </w:r>
          </w:p>
        </w:tc>
        <w:tc>
          <w:tcPr>
            <w:tcW w:w="14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330,780,000</w:t>
            </w:r>
          </w:p>
        </w:tc>
        <w:tc>
          <w:tcPr>
            <w:tcW w:w="12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1,000.0</w:t>
            </w:r>
          </w:p>
        </w:tc>
        <w:tc>
          <w:tcPr>
            <w:tcW w:w="14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3"/>
                <w:szCs w:val="13"/>
                <w:color w:val="auto"/>
              </w:rPr>
              <w:t>330,780,000</w:t>
            </w:r>
          </w:p>
        </w:tc>
        <w:tc>
          <w:tcPr>
            <w:tcW w:w="200" w:type="dxa"/>
            <w:vAlign w:val="bottom"/>
          </w:tcPr>
          <w:p>
            <w:pPr>
              <w:spacing w:after="0"/>
              <w:rPr>
                <w:sz w:val="14"/>
                <w:szCs w:val="14"/>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3"/>
                <w:szCs w:val="13"/>
                <w:color w:val="auto"/>
              </w:rPr>
              <w:t>1,020,000</w:t>
            </w:r>
          </w:p>
        </w:tc>
        <w:tc>
          <w:tcPr>
            <w:tcW w:w="0" w:type="dxa"/>
            <w:vAlign w:val="bottom"/>
          </w:tcPr>
          <w:p>
            <w:pPr>
              <w:spacing w:after="0"/>
              <w:rPr>
                <w:sz w:val="1"/>
                <w:szCs w:val="1"/>
                <w:color w:val="auto"/>
              </w:rPr>
            </w:pPr>
          </w:p>
        </w:tc>
      </w:tr>
      <w:tr>
        <w:trPr>
          <w:trHeight w:val="161"/>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4/1/09 — 4/30/09</w:t>
            </w: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1,020,000</w:t>
            </w: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rPr>
                <w:sz w:val="20"/>
                <w:szCs w:val="20"/>
                <w:color w:val="auto"/>
              </w:rPr>
            </w:pPr>
            <w:r>
              <w:rPr>
                <w:rFonts w:ascii="Arial" w:cs="Arial" w:eastAsia="Arial" w:hAnsi="Arial"/>
                <w:sz w:val="13"/>
                <w:szCs w:val="13"/>
                <w:color w:val="auto"/>
              </w:rPr>
              <w:t>5/1/09 — 5/31/09</w:t>
            </w:r>
          </w:p>
        </w:tc>
        <w:tc>
          <w:tcPr>
            <w:tcW w:w="14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3"/>
                <w:szCs w:val="13"/>
                <w:color w:val="auto"/>
              </w:rPr>
              <w:t>1,020,000</w:t>
            </w:r>
          </w:p>
        </w:tc>
        <w:tc>
          <w:tcPr>
            <w:tcW w:w="0" w:type="dxa"/>
            <w:vAlign w:val="bottom"/>
          </w:tcPr>
          <w:p>
            <w:pPr>
              <w:spacing w:after="0"/>
              <w:rPr>
                <w:sz w:val="1"/>
                <w:szCs w:val="1"/>
                <w:color w:val="auto"/>
              </w:rPr>
            </w:pPr>
          </w:p>
        </w:tc>
      </w:tr>
      <w:tr>
        <w:trPr>
          <w:trHeight w:val="161"/>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6/1/09 — 6/30/09</w:t>
            </w: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1,020,000</w:t>
            </w: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rPr>
                <w:sz w:val="20"/>
                <w:szCs w:val="20"/>
                <w:color w:val="auto"/>
              </w:rPr>
            </w:pPr>
            <w:r>
              <w:rPr>
                <w:rFonts w:ascii="Arial" w:cs="Arial" w:eastAsia="Arial" w:hAnsi="Arial"/>
                <w:sz w:val="13"/>
                <w:szCs w:val="13"/>
                <w:color w:val="auto"/>
              </w:rPr>
              <w:t>7/1/09 — 7/31/09</w:t>
            </w:r>
          </w:p>
        </w:tc>
        <w:tc>
          <w:tcPr>
            <w:tcW w:w="14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3"/>
                <w:szCs w:val="13"/>
                <w:color w:val="auto"/>
              </w:rPr>
              <w:t>1,020,000</w:t>
            </w:r>
          </w:p>
        </w:tc>
        <w:tc>
          <w:tcPr>
            <w:tcW w:w="0" w:type="dxa"/>
            <w:vAlign w:val="bottom"/>
          </w:tcPr>
          <w:p>
            <w:pPr>
              <w:spacing w:after="0"/>
              <w:rPr>
                <w:sz w:val="1"/>
                <w:szCs w:val="1"/>
                <w:color w:val="auto"/>
              </w:rPr>
            </w:pPr>
          </w:p>
        </w:tc>
      </w:tr>
      <w:tr>
        <w:trPr>
          <w:trHeight w:val="161"/>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8/1/09 — 8/31/09</w:t>
            </w:r>
          </w:p>
        </w:tc>
        <w:tc>
          <w:tcPr>
            <w:tcW w:w="1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1,020,000</w:t>
            </w: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rPr>
                <w:sz w:val="20"/>
                <w:szCs w:val="20"/>
                <w:color w:val="auto"/>
              </w:rPr>
            </w:pPr>
            <w:r>
              <w:rPr>
                <w:rFonts w:ascii="Arial" w:cs="Arial" w:eastAsia="Arial" w:hAnsi="Arial"/>
                <w:sz w:val="13"/>
                <w:szCs w:val="13"/>
                <w:color w:val="auto"/>
              </w:rPr>
              <w:t>9/1/09 — 9/30/09</w:t>
            </w:r>
          </w:p>
        </w:tc>
        <w:tc>
          <w:tcPr>
            <w:tcW w:w="14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3"/>
                <w:szCs w:val="13"/>
                <w:color w:val="auto"/>
              </w:rPr>
              <w:t>1,020,000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448,980,000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995.1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448,980,000</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1,020,000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-1471295</wp:posOffset>
            </wp:positionV>
            <wp:extent cx="190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0" w:lineRule="exact"/>
        <w:rPr>
          <w:sz w:val="20"/>
          <w:szCs w:val="20"/>
          <w:color w:val="auto"/>
        </w:rPr>
      </w:pPr>
    </w:p>
    <w:p>
      <w:pPr>
        <w:jc w:val="both"/>
        <w:ind w:left="1000" w:right="120" w:hanging="312"/>
        <w:spacing w:after="0" w:line="276" w:lineRule="auto"/>
        <w:tabs>
          <w:tab w:leader="none" w:pos="10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During fiscal 2009, using proceeds from our revolving credit facility, we purchased $449.0 million aggregate principal amount of our 0.50% convertible notes at an average price of 99.5% of the principal amount, excluding accrued interest and transaction fees. As of September 30, 2009, $1.0 million principal amount of the notes remain as our obligation, due in 2024, in accordance with their terms.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PART III</w:t>
      </w:r>
    </w:p>
    <w:p>
      <w:pPr>
        <w:spacing w:after="0" w:line="18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3"/>
          <w:szCs w:val="13"/>
          <w:b w:val="1"/>
          <w:bCs w:val="1"/>
          <w:color w:val="auto"/>
        </w:rPr>
        <w:t>FINANCIAL STATEMENTS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18.</w:t>
      </w:r>
      <w:r>
        <w:rPr>
          <w:sz w:val="20"/>
          <w:szCs w:val="20"/>
          <w:color w:val="auto"/>
        </w:rPr>
        <w:tab/>
      </w:r>
      <w:r>
        <w:rPr>
          <w:rFonts w:ascii="Arial" w:cs="Arial" w:eastAsia="Arial" w:hAnsi="Arial"/>
          <w:sz w:val="13"/>
          <w:szCs w:val="13"/>
          <w:b w:val="1"/>
          <w:bCs w:val="1"/>
          <w:color w:val="auto"/>
        </w:rPr>
        <w:t>FINANCIAL STATEMENTS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Statements And Schedule</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following Financial Statements and Financial Statement Schedule of Amdocs Limited, with respect to financial results for the fiscal years ended September 30, 2009, 2008 and 2007, are included at the end of this Annual Report: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Audited Financial Statements of Amdocs Limited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Reports of Independent Registered Public Accounting Firm</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Balance Sheets as of September 30, 2009 and 2008</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Income for the years ended September 30, 2009, 2008 and 2007</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Changes in Shareholders’ Equity for the years ended September 30, 2009, 2008 and 2007</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Cash Flows for the years ended September 30, 2009, 2008 and 2007</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Notes to Consolidated Financial Statements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Statement Schedules of Amdocs Limited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Valuation and Qualifying Accounts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since they are either not required or not applicable, or the information has otherwise been included.</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19.</w:t>
      </w:r>
      <w:r>
        <w:rPr>
          <w:sz w:val="20"/>
          <w:szCs w:val="20"/>
          <w:color w:val="auto"/>
        </w:rPr>
        <w:tab/>
      </w:r>
      <w:r>
        <w:rPr>
          <w:rFonts w:ascii="Arial" w:cs="Arial" w:eastAsia="Arial" w:hAnsi="Arial"/>
          <w:sz w:val="13"/>
          <w:szCs w:val="13"/>
          <w:b w:val="1"/>
          <w:bCs w:val="1"/>
          <w:color w:val="auto"/>
        </w:rPr>
        <w:t>EXHIBITS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exhibits listed on the Exhibit Index hereof are filed herewith in response to this Item.</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20"/>
          </w:cols>
          <w:pgMar w:left="220" w:top="349" w:right="115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its behalf.</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Amdocs Limited</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T</w:t>
      </w:r>
      <w:r>
        <w:rPr>
          <w:rFonts w:ascii="Arial" w:cs="Arial" w:eastAsia="Arial" w:hAnsi="Arial"/>
          <w:sz w:val="9"/>
          <w:szCs w:val="9"/>
          <w:color w:val="auto"/>
        </w:rPr>
        <w:t>HOMAS</w:t>
      </w:r>
      <w:r>
        <w:rPr>
          <w:rFonts w:ascii="Arial" w:cs="Arial" w:eastAsia="Arial" w:hAnsi="Arial"/>
          <w:sz w:val="13"/>
          <w:szCs w:val="13"/>
          <w:color w:val="auto"/>
        </w:rPr>
        <w:t xml:space="preserve"> G. O’B</w:t>
      </w:r>
      <w:r>
        <w:rPr>
          <w:rFonts w:ascii="Arial" w:cs="Arial" w:eastAsia="Arial" w:hAnsi="Arial"/>
          <w:sz w:val="9"/>
          <w:szCs w:val="9"/>
          <w:color w:val="auto"/>
        </w:rPr>
        <w:t>RIEN</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Treasurer and Secretary</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Authorized U.S. Representative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December 7, 2009</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10020" w:type="dxa"/>
            <w:vAlign w:val="bottom"/>
            <w:gridSpan w:val="3"/>
          </w:tcPr>
          <w:p>
            <w:pPr>
              <w:ind w:left="372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5"/>
        </w:trPr>
        <w:tc>
          <w:tcPr>
            <w:tcW w:w="1440" w:type="dxa"/>
            <w:vAlign w:val="bottom"/>
          </w:tcPr>
          <w:p>
            <w:pPr>
              <w:ind w:left="880"/>
              <w:spacing w:after="0"/>
              <w:rPr>
                <w:sz w:val="20"/>
                <w:szCs w:val="20"/>
                <w:color w:val="auto"/>
              </w:rPr>
            </w:pPr>
            <w:r>
              <w:rPr>
                <w:rFonts w:ascii="Arial" w:cs="Arial" w:eastAsia="Arial" w:hAnsi="Arial"/>
                <w:sz w:val="11"/>
                <w:szCs w:val="11"/>
                <w:b w:val="1"/>
                <w:bCs w:val="1"/>
                <w:color w:val="auto"/>
              </w:rPr>
              <w:t>Exhibit</w:t>
            </w:r>
          </w:p>
        </w:tc>
        <w:tc>
          <w:tcPr>
            <w:tcW w:w="4640" w:type="dxa"/>
            <w:vAlign w:val="bottom"/>
          </w:tcPr>
          <w:p>
            <w:pPr>
              <w:spacing w:after="0"/>
              <w:rPr>
                <w:sz w:val="16"/>
                <w:szCs w:val="16"/>
                <w:color w:val="auto"/>
              </w:rPr>
            </w:pPr>
          </w:p>
        </w:tc>
        <w:tc>
          <w:tcPr>
            <w:tcW w:w="5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8"/>
        </w:trPr>
        <w:tc>
          <w:tcPr>
            <w:tcW w:w="1440" w:type="dxa"/>
            <w:vAlign w:val="bottom"/>
          </w:tcPr>
          <w:p>
            <w:pPr>
              <w:ind w:left="1040"/>
              <w:spacing w:after="0"/>
              <w:rPr>
                <w:sz w:val="20"/>
                <w:szCs w:val="20"/>
                <w:color w:val="auto"/>
              </w:rPr>
            </w:pPr>
            <w:r>
              <w:rPr>
                <w:rFonts w:ascii="Arial" w:cs="Arial" w:eastAsia="Arial" w:hAnsi="Arial"/>
                <w:sz w:val="11"/>
                <w:szCs w:val="11"/>
                <w:b w:val="1"/>
                <w:bCs w:val="1"/>
                <w:color w:val="auto"/>
              </w:rPr>
              <w:t>No.</w:t>
            </w:r>
          </w:p>
        </w:tc>
        <w:tc>
          <w:tcPr>
            <w:tcW w:w="464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40" w:type="dxa"/>
            <w:vAlign w:val="bottom"/>
          </w:tcPr>
          <w:p>
            <w:pPr>
              <w:ind w:left="1020"/>
              <w:spacing w:after="0"/>
              <w:rPr>
                <w:sz w:val="20"/>
                <w:szCs w:val="20"/>
                <w:color w:val="auto"/>
              </w:rPr>
            </w:pPr>
            <w:r>
              <w:rPr>
                <w:rFonts w:ascii="Arial" w:cs="Arial" w:eastAsia="Arial" w:hAnsi="Arial"/>
                <w:sz w:val="13"/>
                <w:szCs w:val="13"/>
                <w:color w:val="auto"/>
              </w:rPr>
              <w:t>1.1</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Amended and Restated Memorandum of Incorporation of Amdocs Limited (incorporated by reference to Exhibits 99.1 to Amdocs’ Form 6-K filed January 26, 2009)</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1.2</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Amended and Restated Articles of Incorporation of Amdocs Limited (incorporated by reference to Exhibit 99.2 to Amdocs’ Form 6-K filed January 26, 2009)</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2.a.1</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Indenture, dated March 5, 2004, between Amdocs Limited and The Bank of New York, as trustee, for 0.50% Convertible Senior Notes due 2024 (incorporated by</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reference to Exhibit 99.1 to Amdocs’ Form 6-K, filed March 5, 2004)</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2.a.2</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Registration Rights Agreement, dated March 5, 2004, among Amdocs Limited and Morgan Stanley &amp; Co. Incorporated, Goldman, Sachs &amp; Co. and Merrill Lynch,</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Pierce Fenner &amp; Smith Incorporated (incorporated by reference to Exhibit 99.2 to Amdocs’ Form 6-K, filed March 5, 2004)</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4.b.1</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Further Amended and Restated Information Technology Services Agreement, dated September 1, 2007, between Amdocs, Inc. and AT&amp;T Services, Inc. (confidential</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material has been redacted and complete exhibits have been separately filed with the Securities and Exchange Commission) (incorporated by reference to Exhibit 99.3</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to Amdocs’ Report of Foreign Private Issuer on Form 6-K dated December 3, 2007)</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4.b.2</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Master Agreement for Software and Services between Amdocs, Inc. and SBC Operations, Inc., effective July 7, 1998 (confidential material has been redacted and</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complete exhibits have been separately filed with the Securities and Exchange Commission) (incorporated by reference to Exhibit 10.13 to Amdocs’ Amendment No. 1</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to Registration Statement on Form F-1, dated May 21, 1999, Registration No. 333-75151)</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4.b.3</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Software Master Agreement between Amdocs Software Systems Limited and SBC Services, Inc., effective December 10, 2003 (confidential material has been redacted</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and complete exhibits have been separately filed with the Securities and Exchange Commission) (incorporated by reference to Exhibit 99.2 to Amdocs’ Amendment</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No. 1 to Registration Statement on Form F-3, dated September 21, 2004, Registration No. 333-114344)</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4.b.4</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Agreement between Amdocs, Inc. and SBC Services, Inc. for Software and Professional Services, effective August 7, 2003 (confidential material has been redacted and</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complete exhibits have been separately filed with the Securities and Exchange Commission) (incorporated by reference to Exhibit 99.3 to Amdocs’ Amendment No. 1</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to Registration Statement on Form F-3, dated September 21, 2004, Registration No. 333-114344)</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4.b.5</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Amended and Restated Customer Care and Billing Services Agreement, dated as of July 1, 2006, between Sprint/United Management Company and Amdocs Software</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Systems Limited (confidential material has been redacted and complete exhibits have been separately filed with the Securities and Exchange Commission)</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(incorporated by reference to Exhibit 99.1 to Amdocs’ Form 6-K dated December 13, 2006)</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4.b.6</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Agreement Amending the Further Amended and Restated Master Outsourcing Agreement and Master License and Services Agreement, dated as of October 5, 2006,</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between Bell Canada and Amdocs Canadian Managed Services Inc. (confidential material has been redacted and complete exhibits have been separately filed with the</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Securities and Exchange Commission) (incorporated by reference to Exhibit 4.c.1 to Amdocs’ Report of Foreign Private Issuer on Form 6-K dated December 13, 2006)</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4.b.7</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Information Technology Services Agreement, dated as of April 1, 2007, between Amdocs, Inc. and AT&amp;T Services, Inc. (confidential material has been redacted and</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complete exhibits have been separately filed with the Securities and Exchange Commission) (incorporated by reference to Exhibit 99.1 to Amdocs’ Report of Foreign</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Private Issuer on Form 6-K dated December 3, 2007)</w:t>
            </w:r>
          </w:p>
        </w:tc>
        <w:tc>
          <w:tcPr>
            <w:tcW w:w="0" w:type="dxa"/>
            <w:vAlign w:val="bottom"/>
          </w:tcPr>
          <w:p>
            <w:pPr>
              <w:spacing w:after="0"/>
              <w:rPr>
                <w:sz w:val="1"/>
                <w:szCs w:val="1"/>
                <w:color w:val="auto"/>
              </w:rPr>
            </w:pPr>
          </w:p>
        </w:tc>
      </w:tr>
      <w:tr>
        <w:trPr>
          <w:trHeight w:val="161"/>
        </w:trPr>
        <w:tc>
          <w:tcPr>
            <w:tcW w:w="1440" w:type="dxa"/>
            <w:vAlign w:val="bottom"/>
          </w:tcPr>
          <w:p>
            <w:pPr>
              <w:ind w:left="1020"/>
              <w:spacing w:after="0"/>
              <w:rPr>
                <w:sz w:val="20"/>
                <w:szCs w:val="20"/>
                <w:color w:val="auto"/>
              </w:rPr>
            </w:pPr>
            <w:r>
              <w:rPr>
                <w:rFonts w:ascii="Arial" w:cs="Arial" w:eastAsia="Arial" w:hAnsi="Arial"/>
                <w:sz w:val="13"/>
                <w:szCs w:val="13"/>
                <w:color w:val="auto"/>
              </w:rPr>
              <w:t>4.b.8</w:t>
            </w: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Amended and Restated Information Technology Services Agreement, dated as of December 28, 2007, between Amdocs, Inc. and AT&amp;T Services, Inc. (confidential</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material has been redacted and complete exhibits have been separately filed with the Securities and Exchange Commission) (incorporated by reference to Exhibit 99.1</w:t>
            </w: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10020" w:type="dxa"/>
            <w:vAlign w:val="bottom"/>
            <w:gridSpan w:val="3"/>
          </w:tcPr>
          <w:p>
            <w:pPr>
              <w:ind w:left="160"/>
              <w:spacing w:after="0"/>
              <w:rPr>
                <w:sz w:val="20"/>
                <w:szCs w:val="20"/>
                <w:color w:val="auto"/>
              </w:rPr>
            </w:pPr>
            <w:r>
              <w:rPr>
                <w:rFonts w:ascii="Arial" w:cs="Arial" w:eastAsia="Arial" w:hAnsi="Arial"/>
                <w:sz w:val="13"/>
                <w:szCs w:val="13"/>
                <w:color w:val="auto"/>
              </w:rPr>
              <w:t>to Amdocs’ Report of Foreign Private Issuer on Form 6-K dated December 8, 2008)</w:t>
            </w:r>
          </w:p>
        </w:tc>
        <w:tc>
          <w:tcPr>
            <w:tcW w:w="0" w:type="dxa"/>
            <w:vAlign w:val="bottom"/>
          </w:tcPr>
          <w:p>
            <w:pPr>
              <w:spacing w:after="0"/>
              <w:rPr>
                <w:sz w:val="1"/>
                <w:szCs w:val="1"/>
                <w:color w:val="auto"/>
              </w:rPr>
            </w:pPr>
          </w:p>
        </w:tc>
      </w:tr>
      <w:tr>
        <w:trPr>
          <w:trHeight w:val="464"/>
        </w:trPr>
        <w:tc>
          <w:tcPr>
            <w:tcW w:w="1440" w:type="dxa"/>
            <w:vAlign w:val="bottom"/>
          </w:tcPr>
          <w:p>
            <w:pPr>
              <w:spacing w:after="0"/>
              <w:rPr>
                <w:sz w:val="24"/>
                <w:szCs w:val="24"/>
                <w:color w:val="auto"/>
              </w:rPr>
            </w:pPr>
          </w:p>
        </w:tc>
        <w:tc>
          <w:tcPr>
            <w:tcW w:w="4640" w:type="dxa"/>
            <w:vAlign w:val="bottom"/>
          </w:tcPr>
          <w:p>
            <w:pPr>
              <w:ind w:left="4160"/>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440" w:type="dxa"/>
            <w:vAlign w:val="bottom"/>
            <w:tcBorders>
              <w:bottom w:val="single" w:sz="8" w:color="808080"/>
            </w:tcBorders>
          </w:tcPr>
          <w:p>
            <w:pPr>
              <w:spacing w:after="0"/>
              <w:rPr>
                <w:sz w:val="14"/>
                <w:szCs w:val="14"/>
                <w:color w:val="auto"/>
              </w:rPr>
            </w:pPr>
          </w:p>
        </w:tc>
        <w:tc>
          <w:tcPr>
            <w:tcW w:w="46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-3515360</wp:posOffset>
            </wp:positionV>
            <wp:extent cx="635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278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2960" w:type="dxa"/>
            <w:vAlign w:val="bottom"/>
            <w:vMerge w:val="restart"/>
          </w:tcPr>
          <w:p>
            <w:pPr>
              <w:ind w:left="2440"/>
              <w:spacing w:after="0"/>
              <w:rPr>
                <w:sz w:val="20"/>
                <w:szCs w:val="20"/>
                <w:color w:val="auto"/>
              </w:rPr>
            </w:pPr>
            <w:r>
              <w:rPr>
                <w:rFonts w:ascii="Arial" w:cs="Arial" w:eastAsia="Arial" w:hAnsi="Arial"/>
                <w:sz w:val="11"/>
                <w:szCs w:val="11"/>
                <w:b w:val="1"/>
                <w:bCs w:val="1"/>
                <w:u w:val="single" w:color="auto"/>
                <w:color w:val="auto"/>
                <w:w w:val="82"/>
              </w:rPr>
              <w:t>D</w:t>
            </w:r>
            <w:r>
              <w:rPr>
                <w:rFonts w:ascii="Arial" w:cs="Arial" w:eastAsia="Arial" w:hAnsi="Arial"/>
                <w:sz w:val="11"/>
                <w:szCs w:val="11"/>
                <w:b w:val="1"/>
                <w:bCs w:val="1"/>
                <w:color w:val="auto"/>
                <w:w w:val="82"/>
              </w:rPr>
              <w:t>escription</w:t>
            </w:r>
          </w:p>
        </w:tc>
        <w:tc>
          <w:tcPr>
            <w:tcW w:w="0" w:type="dxa"/>
            <w:vAlign w:val="bottom"/>
          </w:tcPr>
          <w:p>
            <w:pPr>
              <w:spacing w:after="0"/>
              <w:rPr>
                <w:sz w:val="1"/>
                <w:szCs w:val="1"/>
                <w:color w:val="auto"/>
              </w:rPr>
            </w:pPr>
          </w:p>
        </w:tc>
      </w:tr>
      <w:tr>
        <w:trPr>
          <w:trHeight w:val="140"/>
        </w:trPr>
        <w:tc>
          <w:tcPr>
            <w:tcW w:w="2780" w:type="dxa"/>
            <w:vAlign w:val="bottom"/>
          </w:tcPr>
          <w:p>
            <w:pPr>
              <w:ind w:left="180"/>
              <w:spacing w:after="0"/>
              <w:rPr>
                <w:sz w:val="20"/>
                <w:szCs w:val="20"/>
                <w:color w:val="auto"/>
              </w:rPr>
            </w:pPr>
            <w:r>
              <w:rPr>
                <w:rFonts w:ascii="Arial" w:cs="Arial" w:eastAsia="Arial" w:hAnsi="Arial"/>
                <w:sz w:val="11"/>
                <w:szCs w:val="11"/>
                <w:b w:val="1"/>
                <w:bCs w:val="1"/>
                <w:color w:val="auto"/>
              </w:rPr>
              <w:t>No.</w:t>
            </w: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-635</wp:posOffset>
            </wp:positionV>
            <wp:extent cx="635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8" w:lineRule="exact"/>
        <w:rPr>
          <w:sz w:val="20"/>
          <w:szCs w:val="20"/>
          <w:color w:val="auto"/>
        </w:rPr>
      </w:pPr>
    </w:p>
    <w:p>
      <w:pPr>
        <w:ind w:left="1660" w:hanging="550"/>
        <w:spacing w:after="0" w:line="264" w:lineRule="auto"/>
        <w:tabs>
          <w:tab w:leader="none" w:pos="1640" w:val="left"/>
        </w:tabs>
        <w:rPr>
          <w:sz w:val="20"/>
          <w:szCs w:val="20"/>
          <w:color w:val="auto"/>
        </w:rPr>
      </w:pPr>
      <w:r>
        <w:rPr>
          <w:rFonts w:ascii="Arial" w:cs="Arial" w:eastAsia="Arial" w:hAnsi="Arial"/>
          <w:sz w:val="13"/>
          <w:szCs w:val="13"/>
          <w:color w:val="auto"/>
        </w:rPr>
        <w:t>4.b.9</w:t>
      </w:r>
      <w:r>
        <w:rPr>
          <w:sz w:val="20"/>
          <w:szCs w:val="20"/>
          <w:color w:val="auto"/>
        </w:rPr>
        <w:tab/>
      </w:r>
      <w:r>
        <w:rPr>
          <w:rFonts w:ascii="Arial" w:cs="Arial" w:eastAsia="Arial" w:hAnsi="Arial"/>
          <w:sz w:val="13"/>
          <w:szCs w:val="13"/>
          <w:color w:val="auto"/>
        </w:rPr>
        <w:t>Credit Agreement, dated as of November 27, 2007, among Amdocs Limited, certain of its subsidiaries, the lenders from time to time party thereto, JPMorgan Chase Bank, N.A., as administrative agent, J.P. Morgan Europe Limited, as London agent, and JPMorgan Chase Bank, N.A., Toronto branch, as Canadian agent (incorporated by reference to Exhibit 4.B.9 to Amdocs’ Annual Report on Form 20-F filed December 3, 2007)</w:t>
      </w:r>
    </w:p>
    <w:p>
      <w:pPr>
        <w:spacing w:after="0" w:line="1" w:lineRule="exact"/>
        <w:rPr>
          <w:sz w:val="20"/>
          <w:szCs w:val="20"/>
          <w:color w:val="auto"/>
        </w:rPr>
      </w:pPr>
    </w:p>
    <w:p>
      <w:pPr>
        <w:ind w:left="1660" w:right="460" w:hanging="550"/>
        <w:spacing w:after="0" w:line="258" w:lineRule="auto"/>
        <w:tabs>
          <w:tab w:leader="none" w:pos="1640" w:val="left"/>
        </w:tabs>
        <w:rPr>
          <w:sz w:val="20"/>
          <w:szCs w:val="20"/>
          <w:color w:val="auto"/>
        </w:rPr>
      </w:pPr>
      <w:r>
        <w:rPr>
          <w:rFonts w:ascii="Arial" w:cs="Arial" w:eastAsia="Arial" w:hAnsi="Arial"/>
          <w:sz w:val="13"/>
          <w:szCs w:val="13"/>
          <w:color w:val="auto"/>
        </w:rPr>
        <w:t>4.c.1</w:t>
      </w:r>
      <w:r>
        <w:rPr>
          <w:sz w:val="20"/>
          <w:szCs w:val="20"/>
          <w:color w:val="auto"/>
        </w:rPr>
        <w:tab/>
      </w:r>
      <w:r>
        <w:rPr>
          <w:rFonts w:ascii="Arial" w:cs="Arial" w:eastAsia="Arial" w:hAnsi="Arial"/>
          <w:sz w:val="13"/>
          <w:szCs w:val="13"/>
          <w:color w:val="auto"/>
        </w:rPr>
        <w:t>Amdocs Limited 1998 Stock Option and Incentive Plan, as amended (incorporated by reference to Exhibit 4.c.1 to Amdocs’ Annual Report on Form 20-F filed December 13, 2006)</w:t>
      </w:r>
    </w:p>
    <w:p>
      <w:pPr>
        <w:spacing w:after="0" w:line="1" w:lineRule="exact"/>
        <w:rPr>
          <w:sz w:val="20"/>
          <w:szCs w:val="20"/>
          <w:color w:val="auto"/>
        </w:rPr>
      </w:pPr>
    </w:p>
    <w:p>
      <w:pPr>
        <w:ind w:left="1660" w:hanging="555"/>
        <w:spacing w:after="0"/>
        <w:tabs>
          <w:tab w:leader="none" w:pos="16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Subsidiaries of Amdocs Limited</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color w:val="auto"/>
        </w:rPr>
        <w:t>Certification of Chief Executive Officer pursuant to Rule 13a-14(a)/15d-14(a)</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2"/>
          <w:szCs w:val="12"/>
          <w:color w:val="auto"/>
        </w:rPr>
        <w:t>Certification of Chief Financial Officer pursuant to Rule 13a-14(a)/15d-14(a)</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2"/>
          <w:szCs w:val="12"/>
          <w:color w:val="auto"/>
        </w:rPr>
        <w:t>Certification of Chief Executive Officer pursuant to 18 U.S.C. 1350</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2"/>
          <w:szCs w:val="12"/>
          <w:color w:val="auto"/>
        </w:rPr>
        <w:t>Certification of Chief Financial Officer pursuant to 18 U.S.C. 1350</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color w:val="auto"/>
        </w:rPr>
        <w:t>Consent of Ernst &amp; Young LLP</w:t>
      </w:r>
    </w:p>
    <w:p>
      <w:pPr>
        <w:spacing w:after="0" w:line="12" w:lineRule="exact"/>
        <w:rPr>
          <w:sz w:val="20"/>
          <w:szCs w:val="20"/>
          <w:color w:val="auto"/>
        </w:rPr>
      </w:pPr>
    </w:p>
    <w:p>
      <w:pPr>
        <w:ind w:left="1660" w:right="60" w:hanging="684"/>
        <w:spacing w:after="0" w:line="263" w:lineRule="auto"/>
        <w:tabs>
          <w:tab w:leader="none" w:pos="1640" w:val="left"/>
        </w:tabs>
        <w:rPr>
          <w:sz w:val="20"/>
          <w:szCs w:val="20"/>
          <w:color w:val="auto"/>
        </w:rPr>
      </w:pPr>
      <w:r>
        <w:rPr>
          <w:rFonts w:ascii="Arial" w:cs="Arial" w:eastAsia="Arial" w:hAnsi="Arial"/>
          <w:sz w:val="13"/>
          <w:szCs w:val="13"/>
          <w:color w:val="auto"/>
        </w:rPr>
        <w:t>100.1</w:t>
      </w:r>
      <w:r>
        <w:rPr>
          <w:sz w:val="20"/>
          <w:szCs w:val="20"/>
          <w:color w:val="auto"/>
        </w:rPr>
        <w:tab/>
      </w:r>
      <w:r>
        <w:rPr>
          <w:rFonts w:ascii="Arial" w:cs="Arial" w:eastAsia="Arial" w:hAnsi="Arial"/>
          <w:sz w:val="13"/>
          <w:szCs w:val="13"/>
          <w:color w:val="auto"/>
        </w:rPr>
        <w:t>The following financial information from Amdocs Limited’s Annual Report on Form 20-F for the year ended September 30, 2009, filed with the SEC on December 7, 2009, formatted in Extensible Business Reporting Language (XBRL): (i) Consolidated Balance Sheets as of September 30, 2009 and 2008, (ii) Consolidated Statements of Income for the years ended September 30, 2009, 2008 and 2007, (iii) Consolidated Statements of Changes in Shareholders’ Equity for the years ended September 30, 2009, 2008 and 2007, (iv) the Consolidated Statements of Cash Flows for the years ended September 30, 2009, 2008 and 2007, and (iv) Notes to Consolidated Financial Statements (tagged as blocks of text).</w:t>
      </w:r>
    </w:p>
    <w:p>
      <w:pPr>
        <w:spacing w:after="0" w:line="11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6" w:name="page77"/>
    <w:bookmarkEnd w:id="76"/>
    <w:p>
      <w:pPr>
        <w:jc w:val="center"/>
        <w:ind w:right="10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Page</w:t>
            </w:r>
          </w:p>
        </w:tc>
        <w:tc>
          <w:tcPr>
            <w:tcW w:w="800" w:type="dxa"/>
            <w:vAlign w:val="bottom"/>
          </w:tcPr>
          <w:p>
            <w:pPr>
              <w:spacing w:after="0"/>
              <w:rPr>
                <w:sz w:val="11"/>
                <w:szCs w:val="11"/>
                <w:color w:val="auto"/>
              </w:rPr>
            </w:pPr>
          </w:p>
        </w:tc>
      </w:tr>
      <w:tr>
        <w:trPr>
          <w:trHeight w:val="181"/>
        </w:trPr>
        <w:tc>
          <w:tcPr>
            <w:tcW w:w="10220" w:type="dxa"/>
            <w:vAlign w:val="bottom"/>
            <w:gridSpan w:val="10"/>
          </w:tcPr>
          <w:p>
            <w:pPr>
              <w:ind w:left="680"/>
              <w:spacing w:after="0"/>
              <w:rPr>
                <w:sz w:val="20"/>
                <w:szCs w:val="20"/>
                <w:color w:val="auto"/>
              </w:rPr>
            </w:pPr>
            <w:r>
              <w:rPr>
                <w:rFonts w:ascii="Arial" w:cs="Arial" w:eastAsia="Arial" w:hAnsi="Arial"/>
                <w:sz w:val="13"/>
                <w:szCs w:val="13"/>
                <w:b w:val="1"/>
                <w:bCs w:val="1"/>
                <w:color w:val="auto"/>
              </w:rPr>
              <w:t>Audited Consolidated Financial Statements</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2"/>
        </w:trPr>
        <w:tc>
          <w:tcPr>
            <w:tcW w:w="820" w:type="dxa"/>
            <w:vAlign w:val="bottom"/>
          </w:tcPr>
          <w:p>
            <w:pPr>
              <w:spacing w:after="0"/>
              <w:rPr>
                <w:sz w:val="12"/>
                <w:szCs w:val="12"/>
                <w:color w:val="auto"/>
              </w:rPr>
            </w:pPr>
          </w:p>
        </w:tc>
        <w:tc>
          <w:tcPr>
            <w:tcW w:w="9400" w:type="dxa"/>
            <w:vAlign w:val="bottom"/>
            <w:gridSpan w:val="9"/>
          </w:tcPr>
          <w:p>
            <w:pPr>
              <w:spacing w:after="0" w:line="142" w:lineRule="exact"/>
              <w:rPr>
                <w:rFonts w:ascii="Arial" w:cs="Arial" w:eastAsia="Arial" w:hAnsi="Arial"/>
                <w:sz w:val="13"/>
                <w:szCs w:val="13"/>
                <w:color w:val="0000EE"/>
              </w:rPr>
            </w:pPr>
            <w:hyperlink w:anchor="page78">
              <w:r>
                <w:rPr>
                  <w:rFonts w:ascii="Arial" w:cs="Arial" w:eastAsia="Arial" w:hAnsi="Arial"/>
                  <w:sz w:val="13"/>
                  <w:szCs w:val="13"/>
                  <w:color w:val="0000EE"/>
                </w:rPr>
                <w:t>Management’s Report on Internal Control Over Financial Reporting</w:t>
              </w:r>
            </w:hyperlink>
          </w:p>
        </w:tc>
        <w:tc>
          <w:tcPr>
            <w:tcW w:w="440" w:type="dxa"/>
            <w:vAlign w:val="bottom"/>
          </w:tcPr>
          <w:p>
            <w:pPr>
              <w:jc w:val="right"/>
              <w:ind w:right="14"/>
              <w:spacing w:after="0" w:line="142" w:lineRule="exact"/>
              <w:rPr>
                <w:sz w:val="20"/>
                <w:szCs w:val="20"/>
                <w:color w:val="auto"/>
              </w:rPr>
            </w:pPr>
            <w:r>
              <w:rPr>
                <w:rFonts w:ascii="Arial" w:cs="Arial" w:eastAsia="Arial" w:hAnsi="Arial"/>
                <w:sz w:val="13"/>
                <w:szCs w:val="13"/>
                <w:color w:val="auto"/>
              </w:rPr>
              <w:t>F-2</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3660" w:type="dxa"/>
            <w:vAlign w:val="bottom"/>
            <w:tcBorders>
              <w:top w:val="single" w:sz="8" w:color="0000EE"/>
            </w:tcBorders>
            <w:gridSpan w:val="5"/>
          </w:tcPr>
          <w:p>
            <w:pPr>
              <w:spacing w:after="0" w:line="141" w:lineRule="exact"/>
              <w:rPr>
                <w:rFonts w:ascii="Arial" w:cs="Arial" w:eastAsia="Arial" w:hAnsi="Arial"/>
                <w:sz w:val="13"/>
                <w:szCs w:val="13"/>
                <w:color w:val="0000EE"/>
              </w:rPr>
            </w:pPr>
            <w:hyperlink w:anchor="page79">
              <w:r>
                <w:rPr>
                  <w:rFonts w:ascii="Arial" w:cs="Arial" w:eastAsia="Arial" w:hAnsi="Arial"/>
                  <w:sz w:val="13"/>
                  <w:szCs w:val="13"/>
                  <w:color w:val="0000EE"/>
                </w:rPr>
                <w:t>Reports of Independent Registered Public Accounting Firm</w:t>
              </w:r>
            </w:hyperlink>
          </w:p>
        </w:tc>
        <w:tc>
          <w:tcPr>
            <w:tcW w:w="5740" w:type="dxa"/>
            <w:vAlign w:val="bottom"/>
            <w:gridSpan w:val="4"/>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820" w:type="dxa"/>
            <w:vAlign w:val="bottom"/>
          </w:tcPr>
          <w:p>
            <w:pPr>
              <w:spacing w:after="0"/>
              <w:rPr>
                <w:sz w:val="12"/>
                <w:szCs w:val="12"/>
                <w:color w:val="auto"/>
              </w:rPr>
            </w:pPr>
          </w:p>
        </w:tc>
        <w:tc>
          <w:tcPr>
            <w:tcW w:w="3500" w:type="dxa"/>
            <w:vAlign w:val="bottom"/>
            <w:tcBorders>
              <w:bottom w:val="single" w:sz="8" w:color="0000EE"/>
            </w:tcBorders>
            <w:gridSpan w:val="4"/>
          </w:tcPr>
          <w:p>
            <w:pPr>
              <w:spacing w:after="0" w:line="141" w:lineRule="exact"/>
              <w:rPr>
                <w:rFonts w:ascii="Arial" w:cs="Arial" w:eastAsia="Arial" w:hAnsi="Arial"/>
                <w:sz w:val="13"/>
                <w:szCs w:val="13"/>
                <w:color w:val="0000EE"/>
                <w:w w:val="91"/>
              </w:rPr>
            </w:pPr>
            <w:hyperlink w:anchor="page81">
              <w:r>
                <w:rPr>
                  <w:rFonts w:ascii="Arial" w:cs="Arial" w:eastAsia="Arial" w:hAnsi="Arial"/>
                  <w:sz w:val="13"/>
                  <w:szCs w:val="13"/>
                  <w:color w:val="0000EE"/>
                  <w:w w:val="91"/>
                </w:rPr>
                <w:t>Consolidated Balance Sheets as of September 30, 2009 and 2008</w:t>
              </w:r>
            </w:hyperlink>
          </w:p>
        </w:tc>
        <w:tc>
          <w:tcPr>
            <w:tcW w:w="5900" w:type="dxa"/>
            <w:vAlign w:val="bottom"/>
            <w:gridSpan w:val="5"/>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4960" w:type="dxa"/>
            <w:vAlign w:val="bottom"/>
            <w:tcBorders>
              <w:bottom w:val="single" w:sz="8" w:color="0000EE"/>
            </w:tcBorders>
            <w:gridSpan w:val="6"/>
          </w:tcPr>
          <w:p>
            <w:pPr>
              <w:spacing w:after="0" w:line="141" w:lineRule="exact"/>
              <w:rPr>
                <w:rFonts w:ascii="Arial" w:cs="Arial" w:eastAsia="Arial" w:hAnsi="Arial"/>
                <w:sz w:val="13"/>
                <w:szCs w:val="13"/>
                <w:color w:val="0000EE"/>
                <w:w w:val="91"/>
              </w:rPr>
            </w:pPr>
            <w:hyperlink w:anchor="page82">
              <w:r>
                <w:rPr>
                  <w:rFonts w:ascii="Arial" w:cs="Arial" w:eastAsia="Arial" w:hAnsi="Arial"/>
                  <w:sz w:val="13"/>
                  <w:szCs w:val="13"/>
                  <w:color w:val="0000EE"/>
                  <w:w w:val="91"/>
                </w:rPr>
                <w:t>Consolidated Statements of Income for the years ended September 30, 2009, 2008 and 2007</w:t>
              </w:r>
            </w:hyperlink>
          </w:p>
        </w:tc>
        <w:tc>
          <w:tcPr>
            <w:tcW w:w="4440" w:type="dxa"/>
            <w:vAlign w:val="bottom"/>
            <w:gridSpan w:val="3"/>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9400" w:type="dxa"/>
            <w:vAlign w:val="bottom"/>
            <w:gridSpan w:val="9"/>
          </w:tcPr>
          <w:p>
            <w:pPr>
              <w:spacing w:after="0" w:line="141" w:lineRule="exact"/>
              <w:rPr>
                <w:rFonts w:ascii="Arial" w:cs="Arial" w:eastAsia="Arial" w:hAnsi="Arial"/>
                <w:sz w:val="13"/>
                <w:szCs w:val="13"/>
                <w:color w:val="0000EE"/>
              </w:rPr>
            </w:pPr>
            <w:hyperlink w:anchor="page83">
              <w:r>
                <w:rPr>
                  <w:rFonts w:ascii="Arial" w:cs="Arial" w:eastAsia="Arial" w:hAnsi="Arial"/>
                  <w:sz w:val="13"/>
                  <w:szCs w:val="13"/>
                  <w:color w:val="0000EE"/>
                </w:rPr>
                <w:t>Consolidated Statements of Changes in Shareholders’ Equity for the years ended September 30, 2009, 2008 and 2007</w:t>
              </w:r>
            </w:hyperlink>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5180" w:type="dxa"/>
            <w:vAlign w:val="bottom"/>
            <w:tcBorders>
              <w:top w:val="single" w:sz="8" w:color="0000EE"/>
              <w:bottom w:val="single" w:sz="8" w:color="0000EE"/>
            </w:tcBorders>
            <w:gridSpan w:val="7"/>
          </w:tcPr>
          <w:p>
            <w:pPr>
              <w:spacing w:after="0" w:line="141" w:lineRule="exact"/>
              <w:rPr>
                <w:rFonts w:ascii="Arial" w:cs="Arial" w:eastAsia="Arial" w:hAnsi="Arial"/>
                <w:sz w:val="13"/>
                <w:szCs w:val="13"/>
                <w:color w:val="0000EE"/>
                <w:w w:val="91"/>
              </w:rPr>
            </w:pPr>
            <w:hyperlink w:anchor="page84">
              <w:r>
                <w:rPr>
                  <w:rFonts w:ascii="Arial" w:cs="Arial" w:eastAsia="Arial" w:hAnsi="Arial"/>
                  <w:sz w:val="13"/>
                  <w:szCs w:val="13"/>
                  <w:color w:val="0000EE"/>
                  <w:w w:val="91"/>
                </w:rPr>
                <w:t>Consolidated Statements of Cash Flows for the years ended September 30, 2009, 2008 and 2007</w:t>
              </w:r>
            </w:hyperlink>
          </w:p>
        </w:tc>
        <w:tc>
          <w:tcPr>
            <w:tcW w:w="1140" w:type="dxa"/>
            <w:vAlign w:val="bottom"/>
            <w:tcBorders>
              <w:top w:val="single" w:sz="8" w:color="0000EE"/>
            </w:tcBorders>
          </w:tcPr>
          <w:p>
            <w:pPr>
              <w:spacing w:after="0"/>
              <w:rPr>
                <w:sz w:val="12"/>
                <w:szCs w:val="12"/>
                <w:color w:val="auto"/>
              </w:rPr>
            </w:pPr>
          </w:p>
        </w:tc>
        <w:tc>
          <w:tcPr>
            <w:tcW w:w="3080" w:type="dxa"/>
            <w:vAlign w:val="bottom"/>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F-8</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2560" w:type="dxa"/>
            <w:vAlign w:val="bottom"/>
            <w:tcBorders>
              <w:bottom w:val="single" w:sz="8" w:color="0000EE"/>
            </w:tcBorders>
            <w:gridSpan w:val="2"/>
          </w:tcPr>
          <w:p>
            <w:pPr>
              <w:spacing w:after="0" w:line="141" w:lineRule="exact"/>
              <w:rPr>
                <w:rFonts w:ascii="Arial" w:cs="Arial" w:eastAsia="Arial" w:hAnsi="Arial"/>
                <w:sz w:val="13"/>
                <w:szCs w:val="13"/>
                <w:color w:val="0000EE"/>
                <w:w w:val="92"/>
              </w:rPr>
            </w:pPr>
            <w:hyperlink w:anchor="page86">
              <w:r>
                <w:rPr>
                  <w:rFonts w:ascii="Arial" w:cs="Arial" w:eastAsia="Arial" w:hAnsi="Arial"/>
                  <w:sz w:val="13"/>
                  <w:szCs w:val="13"/>
                  <w:color w:val="0000EE"/>
                  <w:w w:val="92"/>
                </w:rPr>
                <w:t>Notes to the Consolidated Financial Statements</w:t>
              </w:r>
            </w:hyperlink>
          </w:p>
        </w:tc>
        <w:tc>
          <w:tcPr>
            <w:tcW w:w="6840" w:type="dxa"/>
            <w:vAlign w:val="bottom"/>
            <w:gridSpan w:val="7"/>
          </w:tcPr>
          <w:p>
            <w:pPr>
              <w:spacing w:after="0"/>
              <w:rPr>
                <w:sz w:val="12"/>
                <w:szCs w:val="12"/>
                <w:color w:val="auto"/>
              </w:rPr>
            </w:pPr>
          </w:p>
        </w:tc>
        <w:tc>
          <w:tcPr>
            <w:tcW w:w="440" w:type="dxa"/>
            <w:vAlign w:val="bottom"/>
          </w:tcPr>
          <w:p>
            <w:pPr>
              <w:jc w:val="right"/>
              <w:ind w:right="14"/>
              <w:spacing w:after="0" w:line="141" w:lineRule="exact"/>
              <w:rPr>
                <w:sz w:val="20"/>
                <w:szCs w:val="20"/>
                <w:color w:val="auto"/>
              </w:rPr>
            </w:pPr>
            <w:r>
              <w:rPr>
                <w:rFonts w:ascii="Arial" w:cs="Arial" w:eastAsia="Arial" w:hAnsi="Arial"/>
                <w:sz w:val="13"/>
                <w:szCs w:val="13"/>
                <w:color w:val="auto"/>
              </w:rPr>
              <w:t>F-10</w:t>
            </w:r>
          </w:p>
        </w:tc>
        <w:tc>
          <w:tcPr>
            <w:tcW w:w="800" w:type="dxa"/>
            <w:vAlign w:val="bottom"/>
          </w:tcPr>
          <w:p>
            <w:pPr>
              <w:spacing w:after="0"/>
              <w:rPr>
                <w:sz w:val="12"/>
                <w:szCs w:val="12"/>
                <w:color w:val="auto"/>
              </w:rPr>
            </w:pPr>
          </w:p>
        </w:tc>
      </w:tr>
      <w:tr>
        <w:trPr>
          <w:trHeight w:val="161"/>
        </w:trPr>
        <w:tc>
          <w:tcPr>
            <w:tcW w:w="10220" w:type="dxa"/>
            <w:vAlign w:val="bottom"/>
            <w:gridSpan w:val="10"/>
          </w:tcPr>
          <w:p>
            <w:pPr>
              <w:ind w:left="680"/>
              <w:spacing w:after="0"/>
              <w:rPr>
                <w:sz w:val="20"/>
                <w:szCs w:val="20"/>
                <w:color w:val="auto"/>
              </w:rPr>
            </w:pPr>
            <w:r>
              <w:rPr>
                <w:rFonts w:ascii="Arial" w:cs="Arial" w:eastAsia="Arial" w:hAnsi="Arial"/>
                <w:sz w:val="13"/>
                <w:szCs w:val="13"/>
                <w:b w:val="1"/>
                <w:bCs w:val="1"/>
                <w:color w:val="auto"/>
              </w:rPr>
              <w:t>Financial Statement Schedule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820" w:type="dxa"/>
            <w:vAlign w:val="bottom"/>
          </w:tcPr>
          <w:p>
            <w:pPr>
              <w:spacing w:after="0"/>
              <w:rPr>
                <w:sz w:val="12"/>
                <w:szCs w:val="12"/>
                <w:color w:val="auto"/>
              </w:rPr>
            </w:pPr>
          </w:p>
        </w:tc>
        <w:tc>
          <w:tcPr>
            <w:tcW w:w="9400" w:type="dxa"/>
            <w:vAlign w:val="bottom"/>
            <w:gridSpan w:val="9"/>
          </w:tcPr>
          <w:p>
            <w:pPr>
              <w:spacing w:after="0" w:line="142" w:lineRule="exact"/>
              <w:rPr>
                <w:rFonts w:ascii="Arial" w:cs="Arial" w:eastAsia="Arial" w:hAnsi="Arial"/>
                <w:sz w:val="13"/>
                <w:szCs w:val="13"/>
                <w:color w:val="0000EE"/>
              </w:rPr>
            </w:pPr>
            <w:hyperlink w:anchor="page116">
              <w:r>
                <w:rPr>
                  <w:rFonts w:ascii="Arial" w:cs="Arial" w:eastAsia="Arial" w:hAnsi="Arial"/>
                  <w:sz w:val="13"/>
                  <w:szCs w:val="13"/>
                  <w:color w:val="0000EE"/>
                </w:rPr>
                <w:t>Valuation and Qualifying Accounts</w:t>
              </w:r>
            </w:hyperlink>
          </w:p>
        </w:tc>
        <w:tc>
          <w:tcPr>
            <w:tcW w:w="440" w:type="dxa"/>
            <w:vAlign w:val="bottom"/>
          </w:tcPr>
          <w:p>
            <w:pPr>
              <w:jc w:val="right"/>
              <w:ind w:right="14"/>
              <w:spacing w:after="0" w:line="142" w:lineRule="exact"/>
              <w:rPr>
                <w:sz w:val="20"/>
                <w:szCs w:val="20"/>
                <w:color w:val="auto"/>
              </w:rPr>
            </w:pPr>
            <w:r>
              <w:rPr>
                <w:rFonts w:ascii="Arial" w:cs="Arial" w:eastAsia="Arial" w:hAnsi="Arial"/>
                <w:sz w:val="13"/>
                <w:szCs w:val="13"/>
                <w:color w:val="auto"/>
              </w:rPr>
              <w:t>F-40</w:t>
            </w:r>
          </w:p>
        </w:tc>
        <w:tc>
          <w:tcPr>
            <w:tcW w:w="800" w:type="dxa"/>
            <w:vAlign w:val="bottom"/>
          </w:tcPr>
          <w:p>
            <w:pPr>
              <w:spacing w:after="0"/>
              <w:rPr>
                <w:sz w:val="12"/>
                <w:szCs w:val="12"/>
                <w:color w:val="auto"/>
              </w:rPr>
            </w:pPr>
          </w:p>
        </w:tc>
      </w:tr>
      <w:tr>
        <w:trPr>
          <w:trHeight w:val="473"/>
        </w:trPr>
        <w:tc>
          <w:tcPr>
            <w:tcW w:w="820" w:type="dxa"/>
            <w:vAlign w:val="bottom"/>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4"/>
          </w:tcPr>
          <w:p>
            <w:pPr>
              <w:ind w:left="1100"/>
              <w:spacing w:after="0"/>
              <w:rPr>
                <w:sz w:val="20"/>
                <w:szCs w:val="20"/>
                <w:color w:val="auto"/>
              </w:rPr>
            </w:pPr>
            <w:r>
              <w:rPr>
                <w:rFonts w:ascii="Arial" w:cs="Arial" w:eastAsia="Arial" w:hAnsi="Arial"/>
                <w:sz w:val="13"/>
                <w:szCs w:val="13"/>
                <w:color w:val="auto"/>
              </w:rPr>
              <w:t>F-1</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82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1"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9" w:lineRule="exact"/>
        <w:rPr>
          <w:sz w:val="20"/>
          <w:szCs w:val="20"/>
          <w:color w:val="auto"/>
        </w:rPr>
      </w:pPr>
    </w:p>
    <w:p>
      <w:pPr>
        <w:ind w:left="1300" w:hanging="208"/>
        <w:spacing w:after="0"/>
        <w:tabs>
          <w:tab w:leader="none" w:pos="1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92" w:lineRule="exact"/>
        <w:rPr>
          <w:rFonts w:ascii="Arial" w:cs="Arial" w:eastAsia="Arial" w:hAnsi="Arial"/>
          <w:sz w:val="13"/>
          <w:szCs w:val="13"/>
          <w:color w:val="auto"/>
        </w:rPr>
      </w:pPr>
    </w:p>
    <w:p>
      <w:pPr>
        <w:jc w:val="both"/>
        <w:ind w:left="1300" w:right="220" w:hanging="208"/>
        <w:spacing w:after="0" w:line="338" w:lineRule="auto"/>
        <w:tabs>
          <w:tab w:leader="none" w:pos="13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4" w:lineRule="exact"/>
        <w:rPr>
          <w:rFonts w:ascii="Arial" w:cs="Arial" w:eastAsia="Arial" w:hAnsi="Arial"/>
          <w:sz w:val="12"/>
          <w:szCs w:val="12"/>
          <w:color w:val="auto"/>
        </w:rPr>
      </w:pPr>
    </w:p>
    <w:p>
      <w:pPr>
        <w:ind w:left="1300" w:right="200" w:hanging="208"/>
        <w:spacing w:after="0" w:line="294" w:lineRule="auto"/>
        <w:tabs>
          <w:tab w:leader="none" w:pos="1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47" w:lineRule="exact"/>
        <w:rPr>
          <w:sz w:val="20"/>
          <w:szCs w:val="20"/>
          <w:color w:val="auto"/>
        </w:rPr>
      </w:pPr>
    </w:p>
    <w:p>
      <w:pPr>
        <w:ind w:left="680" w:right="60"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jc w:val="both"/>
        <w:ind w:left="680" w:right="180" w:firstLine="399"/>
        <w:spacing w:after="0" w:line="338" w:lineRule="auto"/>
        <w:rPr>
          <w:sz w:val="20"/>
          <w:szCs w:val="20"/>
          <w:color w:val="auto"/>
        </w:rPr>
      </w:pPr>
      <w:r>
        <w:rPr>
          <w:rFonts w:ascii="Arial" w:cs="Arial" w:eastAsia="Arial" w:hAnsi="Arial"/>
          <w:sz w:val="12"/>
          <w:szCs w:val="12"/>
          <w:color w:val="auto"/>
        </w:rPr>
        <w:t>The Company’s management assessed the effectiveness of the Company’s internal control over financial reporting as of September 30, 2009. In making this assessment, the Company’s management used the criteria set forth by the Committee of Sponsoring Organizations of the Treadway Commission (COSO) in Internal Control-Integrated Framework.</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Based on its assessment, management concluded that, as of September 30, 2009, the Company’s internal control over financial reporting is effective based on those criteria.</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financial statements and internal control over financial reporting have been audited by Ernst &amp; Young LLP, an independent registered public accounting firm.</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60"/>
          </w:cols>
          <w:pgMar w:left="220" w:top="349" w:right="11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 Limited</w:t>
      </w:r>
    </w:p>
    <w:p>
      <w:pPr>
        <w:spacing w:after="0" w:line="9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have audited the accompanying consolidated balance sheets of Amdocs Limited as of September 30, 2009 and 2008, and the related consolidated statements of income, changes in shareholders’ equity, and cash flows for each of the three years in the period ended September 30, 2009. Our audits also included the financial statement schedule listed in the Index at Item 18 of Part III. These financial statements and the schedule are the responsibility of the Company’s management. Our responsibility is to express an opinion on these financial statements and the schedule based on our audits.</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Amdocs Limited at September 30, 2009 and 2008, and the consolidated results of its operations and its cash flows for each of the three years in the period ended September 30,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3"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As discussed in the Notes to the consolidated financial statements, the Company adopted the requirements of Financial Accounting Standards Board (“FASB”) Interpretation No. 48, Accounting For Uncertainty in Income Taxes (primarily codified in FASB Topic 740-10, Income Taxes), effective October 1, 2007.</w:t>
      </w:r>
    </w:p>
    <w:p>
      <w:pPr>
        <w:spacing w:after="0" w:line="4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Amdocs Limited’s internal control over financial reporting as of September 30, 2009, based on criteria established in Internal Control-Integrated Framework issued by the Committee of Sponsoring Organizations of the Treadway Commission and our report dated December 7, 2009 expressed an unqualified opinion thereon.</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7, 2009</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 Limited</w:t>
      </w:r>
    </w:p>
    <w:p>
      <w:pPr>
        <w:spacing w:after="0" w:line="92"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We have audited Amdocs Limited’s internal control over financial reporting as of September 30, 2009, based on criteria established in Internal Control — Integrated Framework issued by the Committee of Sponsoring Organizations of the Treadway Commission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48"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Amdocs Limited maintained, in all material respects, effective internal control over financial reporting as of September 30, 2009, based on the COSO criteria.</w:t>
      </w:r>
    </w:p>
    <w:p>
      <w:pPr>
        <w:spacing w:after="0" w:line="114"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Amdocs Limited as of September 30, 2009 and 2008, and the related consolidated statements of income, changes in shareholders’ equity, and cash flows for each of the three years in the period ended September 30, 2009 of Amdocs Limited and our report dated December 7, 2009 expressed an unqualified opinion thereon.</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7, 2009</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AMDOCS LIMITED</w:t>
      </w:r>
    </w:p>
    <w:p>
      <w:pPr>
        <w:spacing w:after="0" w:line="17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data)</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9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40"/>
              <w:spacing w:after="0" w:line="101" w:lineRule="exact"/>
              <w:rPr>
                <w:sz w:val="20"/>
                <w:szCs w:val="20"/>
                <w:color w:val="auto"/>
              </w:rPr>
            </w:pPr>
            <w:r>
              <w:rPr>
                <w:rFonts w:ascii="Arial" w:cs="Arial" w:eastAsia="Arial" w:hAnsi="Arial"/>
                <w:sz w:val="11"/>
                <w:szCs w:val="11"/>
                <w:b w:val="1"/>
                <w:bCs w:val="1"/>
                <w:color w:val="auto"/>
                <w:w w:val="81"/>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7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9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728,762</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718,850</w:t>
            </w:r>
          </w:p>
        </w:tc>
        <w:tc>
          <w:tcPr>
            <w:tcW w:w="0" w:type="dxa"/>
            <w:vAlign w:val="bottom"/>
          </w:tcPr>
          <w:p>
            <w:pPr>
              <w:spacing w:after="0"/>
              <w:rPr>
                <w:sz w:val="1"/>
                <w:szCs w:val="1"/>
                <w:color w:val="auto"/>
              </w:rPr>
            </w:pP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Short-term interest-bearing investments</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444,279</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525,528</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receivable, net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454,965</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573,764</w:t>
            </w:r>
          </w:p>
        </w:tc>
        <w:tc>
          <w:tcPr>
            <w:tcW w:w="0" w:type="dxa"/>
            <w:vAlign w:val="bottom"/>
          </w:tcPr>
          <w:p>
            <w:pPr>
              <w:spacing w:after="0"/>
              <w:rPr>
                <w:sz w:val="1"/>
                <w:szCs w:val="1"/>
                <w:color w:val="auto"/>
              </w:rPr>
            </w:pP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Deferred income taxes and taxes receivable</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117,848</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84,515</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126,704</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102,930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Total current assets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1,872,558</w:t>
            </w:r>
          </w:p>
        </w:tc>
        <w:tc>
          <w:tcPr>
            <w:tcW w:w="2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2,005,587</w:t>
            </w:r>
          </w:p>
        </w:tc>
        <w:tc>
          <w:tcPr>
            <w:tcW w:w="0" w:type="dxa"/>
            <w:vAlign w:val="bottom"/>
          </w:tcPr>
          <w:p>
            <w:pPr>
              <w:spacing w:after="0"/>
              <w:rPr>
                <w:sz w:val="1"/>
                <w:szCs w:val="1"/>
                <w:color w:val="auto"/>
              </w:rPr>
            </w:pPr>
          </w:p>
        </w:tc>
      </w:tr>
      <w:tr>
        <w:trPr>
          <w:trHeight w:val="153"/>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Equipment and leasehold improvements, net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279,659</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317,081</w:t>
            </w:r>
          </w:p>
        </w:tc>
        <w:tc>
          <w:tcPr>
            <w:tcW w:w="0" w:type="dxa"/>
            <w:vAlign w:val="bottom"/>
          </w:tcPr>
          <w:p>
            <w:pPr>
              <w:spacing w:after="0"/>
              <w:rPr>
                <w:sz w:val="1"/>
                <w:szCs w:val="1"/>
                <w:color w:val="auto"/>
              </w:rPr>
            </w:pPr>
          </w:p>
        </w:tc>
      </w:tr>
      <w:tr>
        <w:trPr>
          <w:trHeight w:val="151"/>
        </w:trPr>
        <w:tc>
          <w:tcPr>
            <w:tcW w:w="7900" w:type="dxa"/>
            <w:vAlign w:val="bottom"/>
          </w:tcPr>
          <w:p>
            <w:pPr>
              <w:spacing w:after="0"/>
              <w:rPr>
                <w:sz w:val="20"/>
                <w:szCs w:val="20"/>
                <w:color w:val="auto"/>
              </w:rPr>
            </w:pPr>
            <w:r>
              <w:rPr>
                <w:rFonts w:ascii="Arial" w:cs="Arial" w:eastAsia="Arial" w:hAnsi="Arial"/>
                <w:sz w:val="12"/>
                <w:szCs w:val="12"/>
                <w:color w:val="auto"/>
              </w:rPr>
              <w:t>Deferred income taxes</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137,662</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187,173</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1,539,424</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1,526,371</w:t>
            </w:r>
          </w:p>
        </w:tc>
        <w:tc>
          <w:tcPr>
            <w:tcW w:w="0" w:type="dxa"/>
            <w:vAlign w:val="bottom"/>
          </w:tcPr>
          <w:p>
            <w:pPr>
              <w:spacing w:after="0"/>
              <w:rPr>
                <w:sz w:val="1"/>
                <w:szCs w:val="1"/>
                <w:color w:val="auto"/>
              </w:rPr>
            </w:pPr>
          </w:p>
        </w:tc>
      </w:tr>
      <w:tr>
        <w:trPr>
          <w:trHeight w:val="151"/>
        </w:trPr>
        <w:tc>
          <w:tcPr>
            <w:tcW w:w="7900" w:type="dxa"/>
            <w:vAlign w:val="bottom"/>
          </w:tcPr>
          <w:p>
            <w:pPr>
              <w:spacing w:after="0"/>
              <w:rPr>
                <w:sz w:val="20"/>
                <w:szCs w:val="20"/>
                <w:color w:val="auto"/>
              </w:rPr>
            </w:pPr>
            <w:r>
              <w:rPr>
                <w:rFonts w:ascii="Arial" w:cs="Arial" w:eastAsia="Arial" w:hAnsi="Arial"/>
                <w:sz w:val="12"/>
                <w:szCs w:val="12"/>
                <w:color w:val="auto"/>
              </w:rPr>
              <w:t>Intangible assets, net</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227,337</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270,551</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Other noncurrent assets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271,777</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272,300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Total assets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00" w:type="dxa"/>
            <w:vAlign w:val="bottom"/>
            <w:vMerge w:val="continue"/>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4,328,417</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4,579,063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9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86,189</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157,357</w:t>
            </w:r>
          </w:p>
        </w:tc>
        <w:tc>
          <w:tcPr>
            <w:tcW w:w="0" w:type="dxa"/>
            <w:vAlign w:val="bottom"/>
          </w:tcPr>
          <w:p>
            <w:pPr>
              <w:spacing w:after="0"/>
              <w:rPr>
                <w:sz w:val="1"/>
                <w:szCs w:val="1"/>
                <w:color w:val="auto"/>
              </w:rPr>
            </w:pP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Accrued expenses, other current liabilities and other</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174,341</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226,359</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personnel costs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154,841</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218,229</w:t>
            </w:r>
          </w:p>
        </w:tc>
        <w:tc>
          <w:tcPr>
            <w:tcW w:w="0" w:type="dxa"/>
            <w:vAlign w:val="bottom"/>
          </w:tcPr>
          <w:p>
            <w:pPr>
              <w:spacing w:after="0"/>
              <w:rPr>
                <w:sz w:val="1"/>
                <w:szCs w:val="1"/>
                <w:color w:val="auto"/>
              </w:rPr>
            </w:pP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Deferred revenue</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186,158</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197,851</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taxes and taxes payable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9,338</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30,228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Total current liabilities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610,867</w:t>
            </w:r>
          </w:p>
        </w:tc>
        <w:tc>
          <w:tcPr>
            <w:tcW w:w="2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830,024</w:t>
            </w:r>
          </w:p>
        </w:tc>
        <w:tc>
          <w:tcPr>
            <w:tcW w:w="0" w:type="dxa"/>
            <w:vAlign w:val="bottom"/>
          </w:tcPr>
          <w:p>
            <w:pPr>
              <w:spacing w:after="0"/>
              <w:rPr>
                <w:sz w:val="1"/>
                <w:szCs w:val="1"/>
                <w:color w:val="auto"/>
              </w:rPr>
            </w:pPr>
          </w:p>
        </w:tc>
      </w:tr>
      <w:tr>
        <w:trPr>
          <w:trHeight w:val="153"/>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Convertible notes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1,020</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450,000</w:t>
            </w:r>
          </w:p>
        </w:tc>
        <w:tc>
          <w:tcPr>
            <w:tcW w:w="0" w:type="dxa"/>
            <w:vAlign w:val="bottom"/>
          </w:tcPr>
          <w:p>
            <w:pPr>
              <w:spacing w:after="0"/>
              <w:rPr>
                <w:sz w:val="1"/>
                <w:szCs w:val="1"/>
                <w:color w:val="auto"/>
              </w:rPr>
            </w:pPr>
          </w:p>
        </w:tc>
      </w:tr>
      <w:tr>
        <w:trPr>
          <w:trHeight w:val="151"/>
        </w:trPr>
        <w:tc>
          <w:tcPr>
            <w:tcW w:w="7900" w:type="dxa"/>
            <w:vAlign w:val="bottom"/>
          </w:tcPr>
          <w:p>
            <w:pPr>
              <w:spacing w:after="0"/>
              <w:rPr>
                <w:sz w:val="20"/>
                <w:szCs w:val="20"/>
                <w:color w:val="auto"/>
              </w:rPr>
            </w:pPr>
            <w:r>
              <w:rPr>
                <w:rFonts w:ascii="Arial" w:cs="Arial" w:eastAsia="Arial" w:hAnsi="Arial"/>
                <w:sz w:val="12"/>
                <w:szCs w:val="12"/>
                <w:color w:val="auto"/>
              </w:rPr>
              <w:t>Deferred income taxes and taxes payable</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273,110</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266,548</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 and other</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230,367</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227,300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Total liabilities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1,115,364</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1,773,872</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Shareholders’ equity:</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Preferred Shares — Authorized 25,000 shares; £0.01 par value; 0 shares issued and outstanding</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Ordinary Shares — Authorized 700,000 and 550,000 shares; £0.01 par value; 242,466 and 240,836 issued and 205,079 and 203,916 outstanding, in 2009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and 2008, respectively</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3,930</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2,334,090</w:t>
            </w:r>
          </w:p>
        </w:tc>
        <w:tc>
          <w:tcPr>
            <w:tcW w:w="2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2,264,800</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Treasury stock, at cost — 37,387 and 36,920 Ordinary Shares in 2009 and 2008, respectively</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(919,874)</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(907,280)</w:t>
            </w:r>
          </w:p>
        </w:tc>
        <w:tc>
          <w:tcPr>
            <w:tcW w:w="0" w:type="dxa"/>
            <w:vAlign w:val="bottom"/>
          </w:tcPr>
          <w:p>
            <w:pPr>
              <w:spacing w:after="0"/>
              <w:rPr>
                <w:sz w:val="1"/>
                <w:szCs w:val="1"/>
                <w:color w:val="auto"/>
              </w:rPr>
            </w:pPr>
          </w:p>
        </w:tc>
      </w:tr>
      <w:tr>
        <w:trPr>
          <w:trHeight w:val="151"/>
        </w:trPr>
        <w:tc>
          <w:tcPr>
            <w:tcW w:w="7900" w:type="dxa"/>
            <w:vAlign w:val="bottom"/>
          </w:tcPr>
          <w:p>
            <w:pPr>
              <w:ind w:left="120"/>
              <w:spacing w:after="0"/>
              <w:rPr>
                <w:sz w:val="20"/>
                <w:szCs w:val="20"/>
                <w:color w:val="auto"/>
              </w:rPr>
            </w:pPr>
            <w:r>
              <w:rPr>
                <w:rFonts w:ascii="Arial" w:cs="Arial" w:eastAsia="Arial" w:hAnsi="Arial"/>
                <w:sz w:val="12"/>
                <w:szCs w:val="12"/>
                <w:color w:val="auto"/>
              </w:rPr>
              <w:t>Accumulated other comprehensive income (loss)</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8,343</w:t>
            </w:r>
          </w:p>
        </w:tc>
        <w:tc>
          <w:tcPr>
            <w:tcW w:w="2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(14,834)</w:t>
            </w:r>
          </w:p>
        </w:tc>
        <w:tc>
          <w:tcPr>
            <w:tcW w:w="0" w:type="dxa"/>
            <w:vAlign w:val="bottom"/>
          </w:tcPr>
          <w:p>
            <w:pPr>
              <w:spacing w:after="0"/>
              <w:rPr>
                <w:sz w:val="1"/>
                <w:szCs w:val="1"/>
                <w:color w:val="auto"/>
              </w:rPr>
            </w:pPr>
          </w:p>
        </w:tc>
      </w:tr>
      <w:tr>
        <w:trPr>
          <w:trHeight w:val="151"/>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Retained earnings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1,786,564</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1,458,605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Total shareholders’ equity</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3,213,053</w:t>
            </w:r>
          </w:p>
        </w:tc>
        <w:tc>
          <w:tcPr>
            <w:tcW w:w="2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2,805,191</w:t>
            </w:r>
          </w:p>
        </w:tc>
        <w:tc>
          <w:tcPr>
            <w:tcW w:w="0" w:type="dxa"/>
            <w:vAlign w:val="bottom"/>
          </w:tcPr>
          <w:p>
            <w:pPr>
              <w:spacing w:after="0"/>
              <w:rPr>
                <w:sz w:val="1"/>
                <w:szCs w:val="1"/>
                <w:color w:val="auto"/>
              </w:rPr>
            </w:pPr>
          </w:p>
        </w:tc>
      </w:tr>
      <w:tr>
        <w:trPr>
          <w:trHeight w:val="22"/>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900" w:type="dxa"/>
            <w:vAlign w:val="bottom"/>
            <w:shd w:val="clear" w:color="auto" w:fill="CCEEFF"/>
          </w:tcPr>
          <w:p>
            <w:pPr>
              <w:ind w:left="520"/>
              <w:spacing w:after="0"/>
              <w:rPr>
                <w:sz w:val="20"/>
                <w:szCs w:val="20"/>
                <w:color w:val="auto"/>
              </w:rPr>
            </w:pPr>
            <w:r>
              <w:rPr>
                <w:rFonts w:ascii="Arial" w:cs="Arial" w:eastAsia="Arial" w:hAnsi="Arial"/>
                <w:sz w:val="12"/>
                <w:szCs w:val="12"/>
                <w:b w:val="1"/>
                <w:bCs w:val="1"/>
                <w:color w:val="auto"/>
              </w:rPr>
              <w:t>Total liabilities and shareholders’ equity</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4,328,417</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4,579,063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AMDOCS LIMITED</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INCOME</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Year ended September 30,</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tcPr>
          <w:p>
            <w:pPr>
              <w:ind w:left="140"/>
              <w:spacing w:after="0"/>
              <w:rPr>
                <w:sz w:val="20"/>
                <w:szCs w:val="20"/>
                <w:color w:val="auto"/>
              </w:rPr>
            </w:pPr>
            <w:r>
              <w:rPr>
                <w:rFonts w:ascii="Arial" w:cs="Arial" w:eastAsia="Arial" w:hAnsi="Arial"/>
                <w:sz w:val="13"/>
                <w:szCs w:val="13"/>
                <w:color w:val="auto"/>
              </w:rPr>
              <w:t>License</w:t>
            </w:r>
          </w:p>
        </w:tc>
        <w:tc>
          <w:tcPr>
            <w:tcW w:w="2460" w:type="dxa"/>
            <w:vAlign w:val="bottom"/>
            <w:gridSpan w:val="2"/>
          </w:tcPr>
          <w:p>
            <w:pPr>
              <w:jc w:val="right"/>
              <w:ind w:right="5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135,146</w:t>
            </w:r>
          </w:p>
        </w:tc>
        <w:tc>
          <w:tcPr>
            <w:tcW w:w="4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135,487</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159,357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2,727,461</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3,026,609</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2,676,816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2,862,607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3,162,096</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2,836,173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2,686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2,729</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3,914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1,831,947</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2,023,562</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1,792,468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210,387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225,492</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230,444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344,335</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404,134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370,194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85,153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86,687</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74,959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in-process research and development and other</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20,780</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13,896</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2,495,288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2,756,500</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2,478,740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367,319</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405,596</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357,433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3"/>
                <w:szCs w:val="13"/>
                <w:color w:val="auto"/>
              </w:rPr>
              <w:t>Interest (expense) income and other, net</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(1,165)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11,955</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50,566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366,154</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417,551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407,999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3"/>
                <w:szCs w:val="13"/>
                <w:color w:val="auto"/>
              </w:rPr>
              <w:t>Income taxes</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39,978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38,645</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43,062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246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326,176</w:t>
            </w:r>
          </w:p>
        </w:tc>
        <w:tc>
          <w:tcPr>
            <w:tcW w:w="46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378,906</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364,937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0" w:type="dxa"/>
            <w:vAlign w:val="bottom"/>
            <w:vMerge w:val="restart"/>
          </w:tcPr>
          <w:p>
            <w:pPr>
              <w:spacing w:after="0"/>
              <w:rPr>
                <w:sz w:val="20"/>
                <w:szCs w:val="20"/>
                <w:color w:val="auto"/>
              </w:rPr>
            </w:pPr>
            <w:r>
              <w:rPr>
                <w:rFonts w:ascii="Arial" w:cs="Arial" w:eastAsia="Arial" w:hAnsi="Arial"/>
                <w:sz w:val="13"/>
                <w:szCs w:val="13"/>
                <w:b w:val="1"/>
                <w:bCs w:val="1"/>
                <w:color w:val="auto"/>
              </w:rPr>
              <w:t>Basic earnings per share</w:t>
            </w: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40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1.83</w:t>
            </w:r>
          </w:p>
        </w:tc>
        <w:tc>
          <w:tcPr>
            <w:tcW w:w="380" w:type="dxa"/>
            <w:vAlign w:val="bottom"/>
          </w:tcPr>
          <w:p>
            <w:pPr>
              <w:spacing w:after="0"/>
              <w:rPr>
                <w:sz w:val="12"/>
                <w:szCs w:val="12"/>
                <w:color w:val="auto"/>
              </w:rPr>
            </w:pPr>
          </w:p>
        </w:tc>
        <w:tc>
          <w:tcPr>
            <w:tcW w:w="1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1.76</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4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Diluted earnings per share</w:t>
            </w:r>
          </w:p>
        </w:tc>
        <w:tc>
          <w:tcPr>
            <w:tcW w:w="2460" w:type="dxa"/>
            <w:vAlign w:val="bottom"/>
            <w:gridSpan w:val="2"/>
            <w:shd w:val="clear" w:color="auto" w:fill="CCEEFF"/>
          </w:tcPr>
          <w:p>
            <w:pPr>
              <w:jc w:val="right"/>
              <w:ind w:right="50"/>
              <w:spacing w:after="0" w:line="142"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1.58</w:t>
            </w:r>
          </w:p>
        </w:tc>
        <w:tc>
          <w:tcPr>
            <w:tcW w:w="460" w:type="dxa"/>
            <w:vAlign w:val="bottom"/>
            <w:gridSpan w:val="2"/>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1.74</w:t>
            </w:r>
          </w:p>
        </w:tc>
        <w:tc>
          <w:tcPr>
            <w:tcW w:w="1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1.65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0" w:type="dxa"/>
            <w:vAlign w:val="bottom"/>
            <w:vMerge w:val="restart"/>
          </w:tcPr>
          <w:p>
            <w:pPr>
              <w:spacing w:after="0"/>
              <w:rPr>
                <w:sz w:val="20"/>
                <w:szCs w:val="20"/>
                <w:color w:val="auto"/>
              </w:rPr>
            </w:pPr>
            <w:r>
              <w:rPr>
                <w:rFonts w:ascii="Arial" w:cs="Arial" w:eastAsia="Arial" w:hAnsi="Arial"/>
                <w:sz w:val="13"/>
                <w:szCs w:val="13"/>
                <w:b w:val="1"/>
                <w:bCs w:val="1"/>
                <w:color w:val="auto"/>
              </w:rPr>
              <w:t>Basic weighted average number of shares outstanding</w:t>
            </w: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40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202,867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206,590</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207,846</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4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Diluted weighted average number of shares outstanding</w:t>
            </w:r>
          </w:p>
        </w:tc>
        <w:tc>
          <w:tcPr>
            <w:tcW w:w="2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207,606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219,606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223,256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 w:type="dxa"/>
            <w:vAlign w:val="bottom"/>
          </w:tcPr>
          <w:p>
            <w:pPr>
              <w:spacing w:after="0"/>
              <w:rPr>
                <w:sz w:val="16"/>
                <w:szCs w:val="16"/>
                <w:color w:val="auto"/>
              </w:rPr>
            </w:pPr>
          </w:p>
        </w:tc>
        <w:tc>
          <w:tcPr>
            <w:tcW w:w="7620" w:type="dxa"/>
            <w:vAlign w:val="bottom"/>
            <w:gridSpan w:val="5"/>
          </w:tcPr>
          <w:p>
            <w:pPr>
              <w:ind w:left="2660"/>
              <w:spacing w:after="0"/>
              <w:rPr>
                <w:sz w:val="20"/>
                <w:szCs w:val="20"/>
                <w:color w:val="auto"/>
              </w:rPr>
            </w:pPr>
            <w:r>
              <w:rPr>
                <w:rFonts w:ascii="Arial" w:cs="Arial" w:eastAsia="Arial" w:hAnsi="Arial"/>
                <w:sz w:val="13"/>
                <w:szCs w:val="13"/>
                <w:color w:val="auto"/>
                <w:w w:val="97"/>
              </w:rPr>
              <w:t>The accompanying notes are an integral part of these consolidated financial statements.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6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60" w:type="dxa"/>
            <w:vAlign w:val="bottom"/>
            <w:gridSpan w:val="2"/>
          </w:tcPr>
          <w:p>
            <w:pPr>
              <w:jc w:val="right"/>
              <w:ind w:right="1730"/>
              <w:spacing w:after="0"/>
              <w:rPr>
                <w:sz w:val="20"/>
                <w:szCs w:val="20"/>
                <w:color w:val="auto"/>
              </w:rPr>
            </w:pPr>
            <w:r>
              <w:rPr>
                <w:rFonts w:ascii="Arial" w:cs="Arial" w:eastAsia="Arial" w:hAnsi="Arial"/>
                <w:sz w:val="13"/>
                <w:szCs w:val="13"/>
                <w:color w:val="auto"/>
              </w:rPr>
              <w:t>F-6</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40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AMDOCS LIMITED</w:t>
      </w:r>
    </w:p>
    <w:p>
      <w:pPr>
        <w:spacing w:after="0" w:line="17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SHAREHOLDERS’ EQUITY</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Accumulated</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w w:val="99"/>
              </w:rPr>
              <w:t>Other</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900" w:type="dxa"/>
            <w:vAlign w:val="bottom"/>
          </w:tcPr>
          <w:p>
            <w:pPr>
              <w:spacing w:after="0"/>
              <w:rPr>
                <w:sz w:val="9"/>
                <w:szCs w:val="9"/>
                <w:color w:val="auto"/>
              </w:rPr>
            </w:pPr>
          </w:p>
        </w:tc>
        <w:tc>
          <w:tcPr>
            <w:tcW w:w="1180" w:type="dxa"/>
            <w:vAlign w:val="bottom"/>
            <w:gridSpan w:val="5"/>
            <w:vMerge w:val="restart"/>
          </w:tcPr>
          <w:p>
            <w:pPr>
              <w:jc w:val="right"/>
              <w:ind w:right="340"/>
              <w:spacing w:after="0"/>
              <w:rPr>
                <w:sz w:val="20"/>
                <w:szCs w:val="20"/>
                <w:color w:val="auto"/>
              </w:rPr>
            </w:pPr>
            <w:r>
              <w:rPr>
                <w:rFonts w:ascii="Arial" w:cs="Arial" w:eastAsia="Arial" w:hAnsi="Arial"/>
                <w:sz w:val="9"/>
                <w:szCs w:val="9"/>
                <w:b w:val="1"/>
                <w:bCs w:val="1"/>
                <w:color w:val="auto"/>
              </w:rPr>
              <w:t>Ordinary Shares</w:t>
            </w:r>
          </w:p>
        </w:tc>
        <w:tc>
          <w:tcPr>
            <w:tcW w:w="70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4"/>
              </w:rPr>
              <w:t>Comprehensive</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4"/>
        </w:trPr>
        <w:tc>
          <w:tcPr>
            <w:tcW w:w="4900" w:type="dxa"/>
            <w:vAlign w:val="bottom"/>
          </w:tcPr>
          <w:p>
            <w:pPr>
              <w:spacing w:after="0"/>
              <w:rPr>
                <w:sz w:val="9"/>
                <w:szCs w:val="9"/>
                <w:color w:val="auto"/>
              </w:rPr>
            </w:pPr>
          </w:p>
        </w:tc>
        <w:tc>
          <w:tcPr>
            <w:tcW w:w="11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w w:val="99"/>
              </w:rPr>
              <w:t>Treasury</w:t>
            </w:r>
          </w:p>
        </w:tc>
        <w:tc>
          <w:tcPr>
            <w:tcW w:w="8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8"/>
              </w:rPr>
              <w:t>(Loss)</w:t>
            </w:r>
          </w:p>
        </w:tc>
        <w:tc>
          <w:tcPr>
            <w:tcW w:w="60" w:type="dxa"/>
            <w:vAlign w:val="bottom"/>
          </w:tcPr>
          <w:p>
            <w:pPr>
              <w:spacing w:after="0"/>
              <w:rPr>
                <w:sz w:val="9"/>
                <w:szCs w:val="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89"/>
              </w:rPr>
              <w:t>Retained</w:t>
            </w:r>
          </w:p>
        </w:tc>
        <w:tc>
          <w:tcPr>
            <w:tcW w:w="80" w:type="dxa"/>
            <w:vAlign w:val="bottom"/>
          </w:tcPr>
          <w:p>
            <w:pPr>
              <w:spacing w:after="0"/>
              <w:rPr>
                <w:sz w:val="9"/>
                <w:szCs w:val="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3"/>
              </w:rPr>
              <w:t>Shareholders’</w:t>
            </w:r>
          </w:p>
        </w:tc>
        <w:tc>
          <w:tcPr>
            <w:tcW w:w="0" w:type="dxa"/>
            <w:vAlign w:val="bottom"/>
          </w:tcPr>
          <w:p>
            <w:pPr>
              <w:spacing w:after="0"/>
              <w:rPr>
                <w:sz w:val="1"/>
                <w:szCs w:val="1"/>
                <w:color w:val="auto"/>
              </w:rPr>
            </w:pPr>
          </w:p>
        </w:tc>
      </w:tr>
      <w:tr>
        <w:trPr>
          <w:trHeight w:val="91"/>
        </w:trPr>
        <w:tc>
          <w:tcPr>
            <w:tcW w:w="4900" w:type="dxa"/>
            <w:vAlign w:val="bottom"/>
          </w:tcPr>
          <w:p>
            <w:pPr>
              <w:spacing w:after="0"/>
              <w:rPr>
                <w:sz w:val="7"/>
                <w:szCs w:val="7"/>
                <w:color w:val="auto"/>
              </w:rPr>
            </w:pPr>
          </w:p>
        </w:tc>
        <w:tc>
          <w:tcPr>
            <w:tcW w:w="580" w:type="dxa"/>
            <w:vAlign w:val="bottom"/>
            <w:tcBorders>
              <w:top w:val="single" w:sz="8" w:color="auto"/>
            </w:tcBorders>
            <w:gridSpan w:val="2"/>
          </w:tcPr>
          <w:p>
            <w:pPr>
              <w:jc w:val="right"/>
              <w:ind w:right="260"/>
              <w:spacing w:after="0" w:line="91" w:lineRule="exact"/>
              <w:rPr>
                <w:sz w:val="20"/>
                <w:szCs w:val="20"/>
                <w:color w:val="auto"/>
              </w:rPr>
            </w:pPr>
            <w:r>
              <w:rPr>
                <w:rFonts w:ascii="Arial" w:cs="Arial" w:eastAsia="Arial" w:hAnsi="Arial"/>
                <w:sz w:val="9"/>
                <w:szCs w:val="9"/>
                <w:b w:val="1"/>
                <w:bCs w:val="1"/>
                <w:color w:val="auto"/>
                <w:w w:val="99"/>
              </w:rPr>
              <w:t>Shares</w:t>
            </w:r>
          </w:p>
        </w:tc>
        <w:tc>
          <w:tcPr>
            <w:tcW w:w="400" w:type="dxa"/>
            <w:vAlign w:val="bottom"/>
            <w:tcBorders>
              <w:top w:val="single" w:sz="8" w:color="auto"/>
            </w:tcBorders>
            <w:gridSpan w:val="2"/>
          </w:tcPr>
          <w:p>
            <w:pPr>
              <w:jc w:val="right"/>
              <w:spacing w:after="0" w:line="91"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right"/>
              <w:ind w:right="300"/>
              <w:spacing w:after="0" w:line="91" w:lineRule="exact"/>
              <w:rPr>
                <w:sz w:val="20"/>
                <w:szCs w:val="20"/>
                <w:color w:val="auto"/>
              </w:rPr>
            </w:pPr>
            <w:r>
              <w:rPr>
                <w:rFonts w:ascii="Arial" w:cs="Arial" w:eastAsia="Arial" w:hAnsi="Arial"/>
                <w:sz w:val="9"/>
                <w:szCs w:val="9"/>
                <w:b w:val="1"/>
                <w:bCs w:val="1"/>
                <w:color w:val="auto"/>
                <w:w w:val="99"/>
              </w:rPr>
              <w:t>Capital</w:t>
            </w:r>
          </w:p>
        </w:tc>
        <w:tc>
          <w:tcPr>
            <w:tcW w:w="80" w:type="dxa"/>
            <w:vAlign w:val="bottom"/>
          </w:tcPr>
          <w:p>
            <w:pPr>
              <w:spacing w:after="0"/>
              <w:rPr>
                <w:sz w:val="7"/>
                <w:szCs w:val="7"/>
                <w:color w:val="auto"/>
              </w:rPr>
            </w:pPr>
          </w:p>
        </w:tc>
        <w:tc>
          <w:tcPr>
            <w:tcW w:w="520" w:type="dxa"/>
            <w:vAlign w:val="bottom"/>
            <w:gridSpan w:val="2"/>
          </w:tcPr>
          <w:p>
            <w:pPr>
              <w:jc w:val="right"/>
              <w:ind w:right="280"/>
              <w:spacing w:after="0" w:line="91"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7"/>
                <w:szCs w:val="7"/>
                <w:color w:val="auto"/>
              </w:rPr>
            </w:pPr>
          </w:p>
        </w:tc>
        <w:tc>
          <w:tcPr>
            <w:tcW w:w="980" w:type="dxa"/>
            <w:vAlign w:val="bottom"/>
            <w:gridSpan w:val="2"/>
          </w:tcPr>
          <w:p>
            <w:pPr>
              <w:jc w:val="center"/>
              <w:ind w:right="280"/>
              <w:spacing w:after="0" w:line="91" w:lineRule="exact"/>
              <w:rPr>
                <w:sz w:val="20"/>
                <w:szCs w:val="20"/>
                <w:color w:val="auto"/>
              </w:rPr>
            </w:pPr>
            <w:r>
              <w:rPr>
                <w:rFonts w:ascii="Arial" w:cs="Arial" w:eastAsia="Arial" w:hAnsi="Arial"/>
                <w:sz w:val="9"/>
                <w:szCs w:val="9"/>
                <w:b w:val="1"/>
                <w:bCs w:val="1"/>
                <w:color w:val="auto"/>
                <w:w w:val="95"/>
              </w:rPr>
              <w:t>Income</w:t>
            </w:r>
          </w:p>
        </w:tc>
        <w:tc>
          <w:tcPr>
            <w:tcW w:w="60" w:type="dxa"/>
            <w:vAlign w:val="bottom"/>
          </w:tcPr>
          <w:p>
            <w:pPr>
              <w:spacing w:after="0"/>
              <w:rPr>
                <w:sz w:val="7"/>
                <w:szCs w:val="7"/>
                <w:color w:val="auto"/>
              </w:rPr>
            </w:pPr>
          </w:p>
        </w:tc>
        <w:tc>
          <w:tcPr>
            <w:tcW w:w="600" w:type="dxa"/>
            <w:vAlign w:val="bottom"/>
            <w:gridSpan w:val="2"/>
          </w:tcPr>
          <w:p>
            <w:pPr>
              <w:jc w:val="right"/>
              <w:ind w:right="240"/>
              <w:spacing w:after="0" w:line="91" w:lineRule="exact"/>
              <w:rPr>
                <w:sz w:val="20"/>
                <w:szCs w:val="20"/>
                <w:color w:val="auto"/>
              </w:rPr>
            </w:pPr>
            <w:r>
              <w:rPr>
                <w:rFonts w:ascii="Arial" w:cs="Arial" w:eastAsia="Arial" w:hAnsi="Arial"/>
                <w:sz w:val="9"/>
                <w:szCs w:val="9"/>
                <w:b w:val="1"/>
                <w:bCs w:val="1"/>
                <w:color w:val="auto"/>
                <w:w w:val="88"/>
              </w:rPr>
              <w:t>Earnings</w:t>
            </w:r>
          </w:p>
        </w:tc>
        <w:tc>
          <w:tcPr>
            <w:tcW w:w="80" w:type="dxa"/>
            <w:vAlign w:val="bottom"/>
          </w:tcPr>
          <w:p>
            <w:pPr>
              <w:spacing w:after="0"/>
              <w:rPr>
                <w:sz w:val="7"/>
                <w:szCs w:val="7"/>
                <w:color w:val="auto"/>
              </w:rPr>
            </w:pPr>
          </w:p>
        </w:tc>
        <w:tc>
          <w:tcPr>
            <w:tcW w:w="800" w:type="dxa"/>
            <w:vAlign w:val="bottom"/>
            <w:gridSpan w:val="2"/>
          </w:tcPr>
          <w:p>
            <w:pPr>
              <w:jc w:val="center"/>
              <w:ind w:right="160"/>
              <w:spacing w:after="0" w:line="91"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b w:val="1"/>
                <w:bCs w:val="1"/>
                <w:color w:val="auto"/>
              </w:rPr>
              <w:t>Balance as of October 1, 2006</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206,793</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jc w:val="right"/>
              <w:ind w:right="68"/>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3,763</w:t>
            </w:r>
          </w:p>
        </w:tc>
        <w:tc>
          <w:tcPr>
            <w:tcW w:w="80" w:type="dxa"/>
            <w:vAlign w:val="bottom"/>
            <w:shd w:val="clear" w:color="auto" w:fill="CCEEFF"/>
          </w:tcPr>
          <w:p>
            <w:pPr>
              <w:jc w:val="right"/>
              <w:ind w:right="8"/>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2,035,309</w:t>
            </w:r>
          </w:p>
        </w:tc>
        <w:tc>
          <w:tcPr>
            <w:tcW w:w="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w w:val="88"/>
              </w:rPr>
              <w:t>$</w:t>
            </w:r>
          </w:p>
        </w:tc>
        <w:tc>
          <w:tcPr>
            <w:tcW w:w="52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w w:val="99"/>
              </w:rPr>
              <w:t>(602,392)</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2,723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714,762</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2,154,165</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Net income</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364,937</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364,937</w:t>
            </w:r>
          </w:p>
        </w:tc>
        <w:tc>
          <w:tcPr>
            <w:tcW w:w="0" w:type="dxa"/>
            <w:vAlign w:val="bottom"/>
          </w:tcPr>
          <w:p>
            <w:pPr>
              <w:spacing w:after="0"/>
              <w:rPr>
                <w:sz w:val="1"/>
                <w:szCs w:val="1"/>
                <w:color w:val="auto"/>
              </w:rPr>
            </w:pPr>
          </w:p>
        </w:tc>
      </w:tr>
      <w:tr>
        <w:trPr>
          <w:trHeight w:val="91"/>
        </w:trPr>
        <w:tc>
          <w:tcPr>
            <w:tcW w:w="4900" w:type="dxa"/>
            <w:vAlign w:val="bottom"/>
          </w:tcPr>
          <w:p>
            <w:pPr>
              <w:ind w:left="80"/>
              <w:spacing w:after="0" w:line="91" w:lineRule="exact"/>
              <w:rPr>
                <w:sz w:val="20"/>
                <w:szCs w:val="20"/>
                <w:color w:val="auto"/>
              </w:rPr>
            </w:pPr>
            <w:r>
              <w:rPr>
                <w:rFonts w:ascii="Arial" w:cs="Arial" w:eastAsia="Arial" w:hAnsi="Arial"/>
                <w:sz w:val="8"/>
                <w:szCs w:val="8"/>
                <w:color w:val="auto"/>
              </w:rPr>
              <w:t>Unrealized loss on foreign currency hedging contracts, net of $(1,363) tax</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(3,420)</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(3,420)</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Unrealized gain on short-term interest-bearing investments, net of $30 tax</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659</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659</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900" w:type="dxa"/>
            <w:vAlign w:val="bottom"/>
          </w:tcPr>
          <w:p>
            <w:pPr>
              <w:ind w:left="80"/>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362,176</w:t>
            </w:r>
          </w:p>
        </w:tc>
        <w:tc>
          <w:tcPr>
            <w:tcW w:w="0" w:type="dxa"/>
            <w:vAlign w:val="bottom"/>
          </w:tcPr>
          <w:p>
            <w:pPr>
              <w:spacing w:after="0"/>
              <w:rPr>
                <w:sz w:val="1"/>
                <w:szCs w:val="1"/>
                <w:color w:val="auto"/>
              </w:rPr>
            </w:pPr>
          </w:p>
        </w:tc>
      </w:tr>
      <w:tr>
        <w:trPr>
          <w:trHeight w:val="83"/>
        </w:trPr>
        <w:tc>
          <w:tcPr>
            <w:tcW w:w="490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w w:val="96"/>
              </w:rPr>
              <w:t>Adjustment to accumulated other comprehensive income upon adoption of SFAS 158 (primarily codified in ASC 715-Compensation-Retirement</w:t>
            </w: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900" w:type="dxa"/>
            <w:vAlign w:val="bottom"/>
            <w:shd w:val="clear" w:color="auto" w:fill="CCEEFF"/>
          </w:tcPr>
          <w:p>
            <w:pPr>
              <w:ind w:left="80"/>
              <w:spacing w:after="0"/>
              <w:rPr>
                <w:sz w:val="20"/>
                <w:szCs w:val="20"/>
                <w:color w:val="auto"/>
              </w:rPr>
            </w:pPr>
            <w:r>
              <w:rPr>
                <w:rFonts w:ascii="Arial" w:cs="Arial" w:eastAsia="Arial" w:hAnsi="Arial"/>
                <w:sz w:val="8"/>
                <w:szCs w:val="8"/>
                <w:color w:val="auto"/>
              </w:rPr>
              <w:t>Benefits) net of $(378) tax</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727</w:t>
            </w: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727</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Employee stock options exercised</w:t>
            </w: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3,970</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79</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74,576</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74,655</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Repurchase of shares</w:t>
            </w:r>
          </w:p>
        </w:tc>
        <w:tc>
          <w:tcPr>
            <w:tcW w:w="5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(1,411)</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(49,837)</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(49,837)</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Tax benefit of stock options exercised/cancelled</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3,965</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3,965</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Issuance of restricted stock, net of forfeitures</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410</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8</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8</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Issuance of stock options related to acquisitions, net</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768</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768</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Equity-based compensation expense related to employees</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53,587</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53,587</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Equity-based compensation expense related to non-employee stock options</w:t>
            </w: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29</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29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b w:val="1"/>
                <w:bCs w:val="1"/>
                <w:color w:val="auto"/>
              </w:rPr>
              <w:t>Balance as of September 30, 2007</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209,762</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3,850</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2,168,234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w w:val="99"/>
              </w:rPr>
              <w:t>(652,229)</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689</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1,079,699</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2,600,243</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Net income</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378,906</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378,906</w:t>
            </w:r>
          </w:p>
        </w:tc>
        <w:tc>
          <w:tcPr>
            <w:tcW w:w="0" w:type="dxa"/>
            <w:vAlign w:val="bottom"/>
          </w:tcPr>
          <w:p>
            <w:pPr>
              <w:spacing w:after="0"/>
              <w:rPr>
                <w:sz w:val="1"/>
                <w:szCs w:val="1"/>
                <w:color w:val="auto"/>
              </w:rPr>
            </w:pPr>
          </w:p>
        </w:tc>
      </w:tr>
      <w:tr>
        <w:trPr>
          <w:trHeight w:val="91"/>
        </w:trPr>
        <w:tc>
          <w:tcPr>
            <w:tcW w:w="4900" w:type="dxa"/>
            <w:vAlign w:val="bottom"/>
          </w:tcPr>
          <w:p>
            <w:pPr>
              <w:ind w:left="80"/>
              <w:spacing w:after="0" w:line="91" w:lineRule="exact"/>
              <w:rPr>
                <w:sz w:val="20"/>
                <w:szCs w:val="20"/>
                <w:color w:val="auto"/>
              </w:rPr>
            </w:pPr>
            <w:r>
              <w:rPr>
                <w:rFonts w:ascii="Arial" w:cs="Arial" w:eastAsia="Arial" w:hAnsi="Arial"/>
                <w:sz w:val="8"/>
                <w:szCs w:val="8"/>
                <w:color w:val="auto"/>
              </w:rPr>
              <w:t>Unrealized loss on foreign currency hedging contracts, net of $3,272 tax</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(4,578)</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(4,578)</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Unrealized loss on short-term interest-bearing investments, net of $(468) tax</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(10,002)</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(10,002)</w:t>
            </w:r>
          </w:p>
        </w:tc>
        <w:tc>
          <w:tcPr>
            <w:tcW w:w="0" w:type="dxa"/>
            <w:vAlign w:val="bottom"/>
          </w:tcPr>
          <w:p>
            <w:pPr>
              <w:spacing w:after="0"/>
              <w:rPr>
                <w:sz w:val="1"/>
                <w:szCs w:val="1"/>
                <w:color w:val="auto"/>
              </w:rPr>
            </w:pPr>
          </w:p>
        </w:tc>
      </w:tr>
      <w:tr>
        <w:trPr>
          <w:trHeight w:val="91"/>
        </w:trPr>
        <w:tc>
          <w:tcPr>
            <w:tcW w:w="4900" w:type="dxa"/>
            <w:vAlign w:val="bottom"/>
          </w:tcPr>
          <w:p>
            <w:pPr>
              <w:ind w:left="80"/>
              <w:spacing w:after="0" w:line="91" w:lineRule="exact"/>
              <w:rPr>
                <w:sz w:val="20"/>
                <w:szCs w:val="20"/>
                <w:color w:val="auto"/>
              </w:rPr>
            </w:pPr>
            <w:r>
              <w:rPr>
                <w:rFonts w:ascii="Arial" w:cs="Arial" w:eastAsia="Arial" w:hAnsi="Arial"/>
                <w:sz w:val="8"/>
                <w:szCs w:val="8"/>
                <w:color w:val="auto"/>
              </w:rPr>
              <w:t>Unrealized loss on defined benefit plan, net of $(489) tax</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(943)</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(943)</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363,383</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Employee stock options exercised</w:t>
            </w: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2,052</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41</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37,527</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37,568</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Repurchase of shares</w:t>
            </w:r>
          </w:p>
        </w:tc>
        <w:tc>
          <w:tcPr>
            <w:tcW w:w="5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(8,370)</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w w:val="99"/>
              </w:rPr>
              <w:t>(255,051)</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(255,051)</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Tax benefit of stock options exercised/cancelled</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1,549</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1,549</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Issuance of restricted stock, net of forfeitures</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472</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9</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9</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Equity-based compensation expense related to employees</w:t>
            </w: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57,490</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57,490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b w:val="1"/>
                <w:bCs w:val="1"/>
                <w:color w:val="auto"/>
              </w:rPr>
              <w:t>Balance as of September 30, 2008</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203,916</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3,900</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2,264,800</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w w:val="99"/>
              </w:rPr>
              <w:t>(907,280)</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(14,834)</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1,458,605</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2,805,191</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Net income</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326,176</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326,176</w:t>
            </w:r>
          </w:p>
        </w:tc>
        <w:tc>
          <w:tcPr>
            <w:tcW w:w="0" w:type="dxa"/>
            <w:vAlign w:val="bottom"/>
          </w:tcPr>
          <w:p>
            <w:pPr>
              <w:spacing w:after="0"/>
              <w:rPr>
                <w:sz w:val="1"/>
                <w:szCs w:val="1"/>
                <w:color w:val="auto"/>
              </w:rPr>
            </w:pPr>
          </w:p>
        </w:tc>
      </w:tr>
      <w:tr>
        <w:trPr>
          <w:trHeight w:val="91"/>
        </w:trPr>
        <w:tc>
          <w:tcPr>
            <w:tcW w:w="4900" w:type="dxa"/>
            <w:vAlign w:val="bottom"/>
          </w:tcPr>
          <w:p>
            <w:pPr>
              <w:ind w:left="80"/>
              <w:spacing w:after="0" w:line="91" w:lineRule="exact"/>
              <w:rPr>
                <w:sz w:val="20"/>
                <w:szCs w:val="20"/>
                <w:color w:val="auto"/>
              </w:rPr>
            </w:pPr>
            <w:r>
              <w:rPr>
                <w:rFonts w:ascii="Arial" w:cs="Arial" w:eastAsia="Arial" w:hAnsi="Arial"/>
                <w:sz w:val="8"/>
                <w:szCs w:val="8"/>
                <w:color w:val="auto"/>
              </w:rPr>
              <w:t>Unrealized gain on foreign currency hedging contracts, net of $647 tax</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18,092</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18,092</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Unrealized gain on short-term interest-bearing investments, net of $218 tax</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4,828</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4,828</w:t>
            </w:r>
          </w:p>
        </w:tc>
        <w:tc>
          <w:tcPr>
            <w:tcW w:w="0" w:type="dxa"/>
            <w:vAlign w:val="bottom"/>
          </w:tcPr>
          <w:p>
            <w:pPr>
              <w:spacing w:after="0"/>
              <w:rPr>
                <w:sz w:val="1"/>
                <w:szCs w:val="1"/>
                <w:color w:val="auto"/>
              </w:rPr>
            </w:pPr>
          </w:p>
        </w:tc>
      </w:tr>
      <w:tr>
        <w:trPr>
          <w:trHeight w:val="91"/>
        </w:trPr>
        <w:tc>
          <w:tcPr>
            <w:tcW w:w="4900" w:type="dxa"/>
            <w:vAlign w:val="bottom"/>
          </w:tcPr>
          <w:p>
            <w:pPr>
              <w:ind w:left="80"/>
              <w:spacing w:after="0" w:line="91" w:lineRule="exact"/>
              <w:rPr>
                <w:sz w:val="20"/>
                <w:szCs w:val="20"/>
                <w:color w:val="auto"/>
              </w:rPr>
            </w:pPr>
            <w:r>
              <w:rPr>
                <w:rFonts w:ascii="Arial" w:cs="Arial" w:eastAsia="Arial" w:hAnsi="Arial"/>
                <w:sz w:val="8"/>
                <w:szCs w:val="8"/>
                <w:color w:val="auto"/>
              </w:rPr>
              <w:t>Unrealized gain on defined benefit plan, net of $1,078 tax</w:t>
            </w:r>
          </w:p>
        </w:tc>
        <w:tc>
          <w:tcPr>
            <w:tcW w:w="58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2,040</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8"/>
                <w:szCs w:val="8"/>
                <w:color w:val="auto"/>
              </w:rPr>
              <w:t>2,040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ind w:left="80"/>
              <w:spacing w:after="0" w:line="91" w:lineRule="exact"/>
              <w:rPr>
                <w:sz w:val="20"/>
                <w:szCs w:val="20"/>
                <w:color w:val="auto"/>
              </w:rPr>
            </w:pPr>
            <w:r>
              <w:rPr>
                <w:rFonts w:ascii="Arial" w:cs="Arial" w:eastAsia="Arial" w:hAnsi="Arial"/>
                <w:sz w:val="8"/>
                <w:szCs w:val="8"/>
                <w:color w:val="auto"/>
              </w:rPr>
              <w:t>Comprehensive income</w:t>
            </w: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351,136</w:t>
            </w:r>
          </w:p>
        </w:tc>
        <w:tc>
          <w:tcPr>
            <w:tcW w:w="0" w:type="dxa"/>
            <w:vAlign w:val="bottom"/>
          </w:tcPr>
          <w:p>
            <w:pPr>
              <w:spacing w:after="0"/>
              <w:rPr>
                <w:sz w:val="1"/>
                <w:szCs w:val="1"/>
                <w:color w:val="auto"/>
              </w:rPr>
            </w:pPr>
          </w:p>
        </w:tc>
      </w:tr>
      <w:tr>
        <w:trPr>
          <w:trHeight w:val="83"/>
        </w:trPr>
        <w:tc>
          <w:tcPr>
            <w:tcW w:w="4900" w:type="dxa"/>
            <w:vAlign w:val="bottom"/>
          </w:tcPr>
          <w:p>
            <w:pPr>
              <w:ind w:left="80"/>
              <w:spacing w:after="0" w:line="84" w:lineRule="exact"/>
              <w:rPr>
                <w:sz w:val="20"/>
                <w:szCs w:val="20"/>
                <w:color w:val="auto"/>
              </w:rPr>
            </w:pPr>
            <w:r>
              <w:rPr>
                <w:rFonts w:ascii="Arial" w:cs="Arial" w:eastAsia="Arial" w:hAnsi="Arial"/>
                <w:sz w:val="8"/>
                <w:szCs w:val="8"/>
                <w:color w:val="auto"/>
                <w:w w:val="95"/>
              </w:rPr>
              <w:t>Cumulative effect from adoption of FSP No. 115-2/124-2 (primarily codified in ASC 320-10- Investments-Debt and Equity Securities-Overall) at</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900" w:type="dxa"/>
            <w:vAlign w:val="bottom"/>
          </w:tcPr>
          <w:p>
            <w:pPr>
              <w:ind w:left="180"/>
              <w:spacing w:after="0"/>
              <w:rPr>
                <w:sz w:val="20"/>
                <w:szCs w:val="20"/>
                <w:color w:val="auto"/>
              </w:rPr>
            </w:pPr>
            <w:r>
              <w:rPr>
                <w:rFonts w:ascii="Arial" w:cs="Arial" w:eastAsia="Arial" w:hAnsi="Arial"/>
                <w:sz w:val="8"/>
                <w:szCs w:val="8"/>
                <w:color w:val="auto"/>
              </w:rPr>
              <w:t>April 1, 2009</w:t>
            </w:r>
          </w:p>
        </w:tc>
        <w:tc>
          <w:tcPr>
            <w:tcW w:w="5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8"/>
                <w:szCs w:val="8"/>
                <w:color w:val="auto"/>
              </w:rPr>
              <w:t>(1,783)</w:t>
            </w:r>
          </w:p>
        </w:tc>
        <w:tc>
          <w:tcPr>
            <w:tcW w:w="6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1,783</w:t>
            </w:r>
          </w:p>
        </w:tc>
        <w:tc>
          <w:tcPr>
            <w:tcW w:w="80" w:type="dxa"/>
            <w:vAlign w:val="bottom"/>
          </w:tcPr>
          <w:p>
            <w:pPr>
              <w:spacing w:after="0"/>
              <w:rPr>
                <w:sz w:val="8"/>
                <w:szCs w:val="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Employee stock options exercised</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1,289</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23</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27,863</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27,886</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Repurchase of shares</w:t>
            </w:r>
          </w:p>
        </w:tc>
        <w:tc>
          <w:tcPr>
            <w:tcW w:w="5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(468)</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(12,594)</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(12,594)</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Tax benefit of stock options exercised/cancelled</w:t>
            </w:r>
          </w:p>
        </w:tc>
        <w:tc>
          <w:tcPr>
            <w:tcW w:w="58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(1,484)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(1,484)</w:t>
            </w:r>
          </w:p>
        </w:tc>
        <w:tc>
          <w:tcPr>
            <w:tcW w:w="0" w:type="dxa"/>
            <w:vAlign w:val="bottom"/>
          </w:tcPr>
          <w:p>
            <w:pPr>
              <w:spacing w:after="0"/>
              <w:rPr>
                <w:sz w:val="1"/>
                <w:szCs w:val="1"/>
                <w:color w:val="auto"/>
              </w:rPr>
            </w:pPr>
          </w:p>
        </w:tc>
      </w:tr>
      <w:tr>
        <w:trPr>
          <w:trHeight w:val="91"/>
        </w:trPr>
        <w:tc>
          <w:tcPr>
            <w:tcW w:w="4900" w:type="dxa"/>
            <w:vAlign w:val="bottom"/>
          </w:tcPr>
          <w:p>
            <w:pPr>
              <w:spacing w:after="0" w:line="91" w:lineRule="exact"/>
              <w:rPr>
                <w:sz w:val="20"/>
                <w:szCs w:val="20"/>
                <w:color w:val="auto"/>
              </w:rPr>
            </w:pPr>
            <w:r>
              <w:rPr>
                <w:rFonts w:ascii="Arial" w:cs="Arial" w:eastAsia="Arial" w:hAnsi="Arial"/>
                <w:sz w:val="8"/>
                <w:szCs w:val="8"/>
                <w:color w:val="auto"/>
              </w:rPr>
              <w:t>Issuance of restricted stock, net of forfeitures</w:t>
            </w: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342</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7</w:t>
            </w:r>
          </w:p>
        </w:tc>
        <w:tc>
          <w:tcPr>
            <w:tcW w:w="80" w:type="dxa"/>
            <w:vAlign w:val="bottom"/>
          </w:tcPr>
          <w:p>
            <w:pPr>
              <w:spacing w:after="0"/>
              <w:rPr>
                <w:sz w:val="7"/>
                <w:szCs w:val="7"/>
                <w:color w:val="auto"/>
              </w:rPr>
            </w:pP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91"/>
        </w:trPr>
        <w:tc>
          <w:tcPr>
            <w:tcW w:w="490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Equity-based compensation expense related to employees</w:t>
            </w: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42,911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42,911</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8"/>
                <w:szCs w:val="8"/>
                <w:b w:val="1"/>
                <w:bCs w:val="1"/>
                <w:color w:val="auto"/>
              </w:rPr>
              <w:t>Balance as of September 30, 2009</w:t>
            </w: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4900" w:type="dxa"/>
            <w:vAlign w:val="bottom"/>
            <w:vMerge w:val="continue"/>
          </w:tcPr>
          <w:p>
            <w:pPr>
              <w:spacing w:after="0"/>
              <w:rPr>
                <w:sz w:val="7"/>
                <w:szCs w:val="7"/>
                <w:color w:val="auto"/>
              </w:rPr>
            </w:pPr>
          </w:p>
        </w:tc>
        <w:tc>
          <w:tcPr>
            <w:tcW w:w="380" w:type="dxa"/>
            <w:vAlign w:val="bottom"/>
          </w:tcPr>
          <w:p>
            <w:pPr>
              <w:jc w:val="right"/>
              <w:spacing w:after="0" w:line="91" w:lineRule="exact"/>
              <w:rPr>
                <w:sz w:val="20"/>
                <w:szCs w:val="20"/>
                <w:color w:val="auto"/>
              </w:rPr>
            </w:pPr>
            <w:r>
              <w:rPr>
                <w:rFonts w:ascii="Arial" w:cs="Arial" w:eastAsia="Arial" w:hAnsi="Arial"/>
                <w:sz w:val="8"/>
                <w:szCs w:val="8"/>
                <w:color w:val="auto"/>
              </w:rPr>
              <w:t>205,079</w:t>
            </w:r>
          </w:p>
        </w:tc>
        <w:tc>
          <w:tcPr>
            <w:tcW w:w="200" w:type="dxa"/>
            <w:vAlign w:val="bottom"/>
          </w:tcPr>
          <w:p>
            <w:pPr>
              <w:spacing w:after="0"/>
              <w:rPr>
                <w:sz w:val="7"/>
                <w:szCs w:val="7"/>
                <w:color w:val="auto"/>
              </w:rPr>
            </w:pPr>
          </w:p>
        </w:tc>
        <w:tc>
          <w:tcPr>
            <w:tcW w:w="140" w:type="dxa"/>
            <w:vAlign w:val="bottom"/>
          </w:tcPr>
          <w:p>
            <w:pPr>
              <w:jc w:val="right"/>
              <w:ind w:right="68"/>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3,930</w:t>
            </w:r>
          </w:p>
        </w:tc>
        <w:tc>
          <w:tcPr>
            <w:tcW w:w="80" w:type="dxa"/>
            <w:vAlign w:val="bottom"/>
          </w:tcPr>
          <w:p>
            <w:pPr>
              <w:jc w:val="right"/>
              <w:ind w:right="8"/>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2,334,090</w:t>
            </w:r>
          </w:p>
        </w:tc>
        <w:tc>
          <w:tcPr>
            <w:tcW w:w="80" w:type="dxa"/>
            <w:vAlign w:val="bottom"/>
          </w:tcPr>
          <w:p>
            <w:pPr>
              <w:jc w:val="right"/>
              <w:spacing w:after="0" w:line="91" w:lineRule="exact"/>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w w:val="99"/>
              </w:rPr>
              <w:t>(919,874)</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8,343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1,786,564</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3,213,053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of September 30, 2009, 2008 and 2007, accumulated other comprehensive income (loss) is comprised of unrealized gain (loss) on derivatives, net of tax, of $12,936, $(5,157) and $(579), unrealized (loss) income on cash equivalents and short-term interest-bearing investments, net of tax, of $(6,417), $(9,461) and $541 and unrealized gain (loss) on defined benefit plan, net of tax of $1,824, $(216) and $727.</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AMDOCS LIMITED</w:t>
      </w:r>
    </w:p>
    <w:p>
      <w:pPr>
        <w:spacing w:after="0" w:line="17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1"/>
                <w:szCs w:val="11"/>
                <w:b w:val="1"/>
                <w:bCs w:val="1"/>
                <w:color w:val="auto"/>
                <w:w w:val="85"/>
              </w:rPr>
              <w:t>Year ended September 30,</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80"/>
              <w:spacing w:after="0" w:line="101" w:lineRule="exact"/>
              <w:rPr>
                <w:sz w:val="20"/>
                <w:szCs w:val="20"/>
                <w:color w:val="auto"/>
              </w:rPr>
            </w:pPr>
            <w:r>
              <w:rPr>
                <w:rFonts w:ascii="Arial" w:cs="Arial" w:eastAsia="Arial" w:hAnsi="Arial"/>
                <w:sz w:val="11"/>
                <w:szCs w:val="11"/>
                <w:b w:val="1"/>
                <w:bCs w:val="1"/>
                <w:color w:val="auto"/>
              </w:rPr>
              <w:t>2009</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20"/>
              <w:spacing w:after="0" w:line="101" w:lineRule="exact"/>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0"/>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200" w:type="dxa"/>
            <w:vAlign w:val="bottom"/>
          </w:tcPr>
          <w:p>
            <w:pPr>
              <w:spacing w:after="0"/>
              <w:rPr>
                <w:sz w:val="20"/>
                <w:szCs w:val="20"/>
                <w:color w:val="auto"/>
              </w:rPr>
            </w:pPr>
            <w:r>
              <w:rPr>
                <w:rFonts w:ascii="Arial" w:cs="Arial" w:eastAsia="Arial" w:hAnsi="Arial"/>
                <w:sz w:val="12"/>
                <w:szCs w:val="12"/>
                <w:color w:val="auto"/>
              </w:rPr>
              <w:t>Net income</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326,176</w:t>
            </w:r>
          </w:p>
        </w:tc>
        <w:tc>
          <w:tcPr>
            <w:tcW w:w="40" w:type="dxa"/>
            <w:vAlign w:val="bottom"/>
          </w:tcPr>
          <w:p>
            <w:pPr>
              <w:spacing w:after="0"/>
              <w:rPr>
                <w:sz w:val="13"/>
                <w:szCs w:val="13"/>
                <w:color w:val="auto"/>
              </w:rPr>
            </w:pPr>
          </w:p>
        </w:tc>
        <w:tc>
          <w:tcPr>
            <w:tcW w:w="48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378,906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364,937</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Reconciliation of net income to net cash provided by operating activities: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200" w:type="dxa"/>
            <w:vAlign w:val="bottom"/>
          </w:tcPr>
          <w:p>
            <w:pPr>
              <w:ind w:left="260"/>
              <w:spacing w:after="0"/>
              <w:rPr>
                <w:sz w:val="20"/>
                <w:szCs w:val="20"/>
                <w:color w:val="auto"/>
              </w:rPr>
            </w:pPr>
            <w:r>
              <w:rPr>
                <w:rFonts w:ascii="Arial" w:cs="Arial" w:eastAsia="Arial" w:hAnsi="Arial"/>
                <w:sz w:val="12"/>
                <w:szCs w:val="12"/>
                <w:color w:val="auto"/>
              </w:rPr>
              <w:t>Depreciation and amortization</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198,119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192,937</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164,994</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In-process research and development expenses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5,640</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51"/>
        </w:trPr>
        <w:tc>
          <w:tcPr>
            <w:tcW w:w="7200" w:type="dxa"/>
            <w:vAlign w:val="bottom"/>
          </w:tcPr>
          <w:p>
            <w:pPr>
              <w:ind w:left="260"/>
              <w:spacing w:after="0"/>
              <w:rPr>
                <w:sz w:val="20"/>
                <w:szCs w:val="20"/>
                <w:color w:val="auto"/>
              </w:rPr>
            </w:pPr>
            <w:r>
              <w:rPr>
                <w:rFonts w:ascii="Arial" w:cs="Arial" w:eastAsia="Arial" w:hAnsi="Arial"/>
                <w:sz w:val="12"/>
                <w:szCs w:val="12"/>
                <w:color w:val="auto"/>
              </w:rPr>
              <w:t>Equity-based compensation expense</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42,911</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57,490</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53,587</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(gain) on sale of equipment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(970)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1"/>
        </w:trPr>
        <w:tc>
          <w:tcPr>
            <w:tcW w:w="720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16,249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1,111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(21,095)</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Gain on repurchase of convertible notes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(2,185)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7200" w:type="dxa"/>
            <w:vAlign w:val="bottom"/>
          </w:tcPr>
          <w:p>
            <w:pPr>
              <w:ind w:left="260"/>
              <w:spacing w:after="0"/>
              <w:rPr>
                <w:sz w:val="20"/>
                <w:szCs w:val="20"/>
                <w:color w:val="auto"/>
              </w:rPr>
            </w:pPr>
            <w:r>
              <w:rPr>
                <w:rFonts w:ascii="Arial" w:cs="Arial" w:eastAsia="Arial" w:hAnsi="Arial"/>
                <w:sz w:val="12"/>
                <w:szCs w:val="12"/>
                <w:color w:val="auto"/>
              </w:rPr>
              <w:t>Excess tax benefit from equity-based compensation</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(795)</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(gain) from short-term interest-bearing investments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4,449</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4,945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(3,012)</w:t>
            </w:r>
          </w:p>
        </w:tc>
        <w:tc>
          <w:tcPr>
            <w:tcW w:w="0" w:type="dxa"/>
            <w:vAlign w:val="bottom"/>
          </w:tcPr>
          <w:p>
            <w:pPr>
              <w:spacing w:after="0"/>
              <w:rPr>
                <w:sz w:val="1"/>
                <w:szCs w:val="1"/>
                <w:color w:val="auto"/>
              </w:rPr>
            </w:pPr>
          </w:p>
        </w:tc>
      </w:tr>
      <w:tr>
        <w:trPr>
          <w:trHeight w:val="151"/>
        </w:trPr>
        <w:tc>
          <w:tcPr>
            <w:tcW w:w="7200" w:type="dxa"/>
            <w:vAlign w:val="bottom"/>
          </w:tcPr>
          <w:p>
            <w:pPr>
              <w:spacing w:after="0"/>
              <w:rPr>
                <w:sz w:val="20"/>
                <w:szCs w:val="20"/>
                <w:color w:val="auto"/>
              </w:rPr>
            </w:pPr>
            <w:r>
              <w:rPr>
                <w:rFonts w:ascii="Arial" w:cs="Arial" w:eastAsia="Arial" w:hAnsi="Arial"/>
                <w:sz w:val="12"/>
                <w:szCs w:val="12"/>
                <w:color w:val="auto"/>
              </w:rPr>
              <w:t>Net changes in operating assets and liabilities, net of amounts acquired: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receivable, net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131,527</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7"/>
              </w:rPr>
              <w:t>(118,291)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(67,333)</w:t>
            </w:r>
          </w:p>
        </w:tc>
        <w:tc>
          <w:tcPr>
            <w:tcW w:w="0" w:type="dxa"/>
            <w:vAlign w:val="bottom"/>
          </w:tcPr>
          <w:p>
            <w:pPr>
              <w:spacing w:after="0"/>
              <w:rPr>
                <w:sz w:val="1"/>
                <w:szCs w:val="1"/>
                <w:color w:val="auto"/>
              </w:rPr>
            </w:pPr>
          </w:p>
        </w:tc>
      </w:tr>
      <w:tr>
        <w:trPr>
          <w:trHeight w:val="151"/>
        </w:trPr>
        <w:tc>
          <w:tcPr>
            <w:tcW w:w="7200" w:type="dxa"/>
            <w:vAlign w:val="bottom"/>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(13,614)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4,173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(2,690)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(31,739)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(26,264)</w:t>
            </w:r>
          </w:p>
        </w:tc>
        <w:tc>
          <w:tcPr>
            <w:tcW w:w="0" w:type="dxa"/>
            <w:vAlign w:val="bottom"/>
          </w:tcPr>
          <w:p>
            <w:pPr>
              <w:spacing w:after="0"/>
              <w:rPr>
                <w:sz w:val="1"/>
                <w:szCs w:val="1"/>
                <w:color w:val="auto"/>
              </w:rPr>
            </w:pPr>
          </w:p>
        </w:tc>
      </w:tr>
      <w:tr>
        <w:trPr>
          <w:trHeight w:val="151"/>
        </w:trPr>
        <w:tc>
          <w:tcPr>
            <w:tcW w:w="7200" w:type="dxa"/>
            <w:vAlign w:val="bottom"/>
          </w:tcPr>
          <w:p>
            <w:pPr>
              <w:ind w:left="120"/>
              <w:spacing w:after="0"/>
              <w:rPr>
                <w:sz w:val="20"/>
                <w:szCs w:val="20"/>
                <w:color w:val="auto"/>
              </w:rPr>
            </w:pPr>
            <w:r>
              <w:rPr>
                <w:rFonts w:ascii="Arial" w:cs="Arial" w:eastAsia="Arial" w:hAnsi="Arial"/>
                <w:sz w:val="12"/>
                <w:szCs w:val="12"/>
                <w:color w:val="auto"/>
              </w:rPr>
              <w:t>Accounts payable, accrued expenses and accrued personnel</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(160,321)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(27,501)</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29,642</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20,956</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28,408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(96,674)</w:t>
            </w:r>
          </w:p>
        </w:tc>
        <w:tc>
          <w:tcPr>
            <w:tcW w:w="0" w:type="dxa"/>
            <w:vAlign w:val="bottom"/>
          </w:tcPr>
          <w:p>
            <w:pPr>
              <w:spacing w:after="0"/>
              <w:rPr>
                <w:sz w:val="1"/>
                <w:szCs w:val="1"/>
                <w:color w:val="auto"/>
              </w:rPr>
            </w:pPr>
          </w:p>
        </w:tc>
      </w:tr>
      <w:tr>
        <w:trPr>
          <w:trHeight w:val="151"/>
        </w:trPr>
        <w:tc>
          <w:tcPr>
            <w:tcW w:w="7200" w:type="dxa"/>
            <w:vAlign w:val="bottom"/>
          </w:tcPr>
          <w:p>
            <w:pPr>
              <w:ind w:left="120"/>
              <w:spacing w:after="0"/>
              <w:rPr>
                <w:sz w:val="20"/>
                <w:szCs w:val="20"/>
                <w:color w:val="auto"/>
              </w:rPr>
            </w:pPr>
            <w:r>
              <w:rPr>
                <w:rFonts w:ascii="Arial" w:cs="Arial" w:eastAsia="Arial" w:hAnsi="Arial"/>
                <w:sz w:val="12"/>
                <w:szCs w:val="12"/>
                <w:color w:val="auto"/>
              </w:rPr>
              <w:t>Income taxes payable, net</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(19,980)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(26,824)</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12,243</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Noncurrent liabilities and other</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(28,260)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18,799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12,984</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2"/>
                <w:szCs w:val="12"/>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519,156</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483,013</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423,894</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200" w:type="dxa"/>
            <w:vAlign w:val="bottom"/>
          </w:tcPr>
          <w:p>
            <w:pPr>
              <w:spacing w:after="0"/>
              <w:rPr>
                <w:sz w:val="20"/>
                <w:szCs w:val="20"/>
                <w:color w:val="auto"/>
              </w:rPr>
            </w:pPr>
            <w:r>
              <w:rPr>
                <w:rFonts w:ascii="Arial" w:cs="Arial" w:eastAsia="Arial" w:hAnsi="Arial"/>
                <w:sz w:val="12"/>
                <w:szCs w:val="12"/>
                <w:color w:val="auto"/>
              </w:rPr>
              <w:t>Proceeds from sale of equipment, vehicles and leasehold improvements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994</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2,655</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3,832</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Payments for purchase of equipment and leasehold improvements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(83,325)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7"/>
              </w:rPr>
              <w:t>(135,823)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(166,426)</w:t>
            </w:r>
          </w:p>
        </w:tc>
        <w:tc>
          <w:tcPr>
            <w:tcW w:w="0" w:type="dxa"/>
            <w:vAlign w:val="bottom"/>
          </w:tcPr>
          <w:p>
            <w:pPr>
              <w:spacing w:after="0"/>
              <w:rPr>
                <w:sz w:val="1"/>
                <w:szCs w:val="1"/>
                <w:color w:val="auto"/>
              </w:rPr>
            </w:pPr>
          </w:p>
        </w:tc>
      </w:tr>
      <w:tr>
        <w:trPr>
          <w:trHeight w:val="151"/>
        </w:trPr>
        <w:tc>
          <w:tcPr>
            <w:tcW w:w="7200" w:type="dxa"/>
            <w:vAlign w:val="bottom"/>
          </w:tcPr>
          <w:p>
            <w:pPr>
              <w:spacing w:after="0"/>
              <w:rPr>
                <w:sz w:val="20"/>
                <w:szCs w:val="20"/>
                <w:color w:val="auto"/>
              </w:rPr>
            </w:pPr>
            <w:r>
              <w:rPr>
                <w:rFonts w:ascii="Arial" w:cs="Arial" w:eastAsia="Arial" w:hAnsi="Arial"/>
                <w:sz w:val="12"/>
                <w:szCs w:val="12"/>
                <w:color w:val="auto"/>
              </w:rPr>
              <w:t>Proceeds from sale of short-term interest-bearing investments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1,045,278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708,708</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781,315</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Purchase of short-term interest-bearing investments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(963,433)</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7"/>
              </w:rPr>
              <w:t>(685,873)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(969,198)</w:t>
            </w:r>
          </w:p>
        </w:tc>
        <w:tc>
          <w:tcPr>
            <w:tcW w:w="0" w:type="dxa"/>
            <w:vAlign w:val="bottom"/>
          </w:tcPr>
          <w:p>
            <w:pPr>
              <w:spacing w:after="0"/>
              <w:rPr>
                <w:sz w:val="1"/>
                <w:szCs w:val="1"/>
                <w:color w:val="auto"/>
              </w:rPr>
            </w:pPr>
          </w:p>
        </w:tc>
      </w:tr>
      <w:tr>
        <w:trPr>
          <w:trHeight w:val="151"/>
        </w:trPr>
        <w:tc>
          <w:tcPr>
            <w:tcW w:w="7200" w:type="dxa"/>
            <w:vAlign w:val="bottom"/>
          </w:tcPr>
          <w:p>
            <w:pPr>
              <w:spacing w:after="0"/>
              <w:rPr>
                <w:sz w:val="20"/>
                <w:szCs w:val="20"/>
                <w:color w:val="auto"/>
              </w:rPr>
            </w:pPr>
            <w:r>
              <w:rPr>
                <w:rFonts w:ascii="Arial" w:cs="Arial" w:eastAsia="Arial" w:hAnsi="Arial"/>
                <w:sz w:val="12"/>
                <w:szCs w:val="12"/>
                <w:color w:val="auto"/>
              </w:rPr>
              <w:t>Net cash paid for acquisitions</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(65,890)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(58,772)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(90,724)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(66,376)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7"/>
              </w:rPr>
              <w:t>(169,105)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(441,201)</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Borrowings under long-term financing arrangements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450,000</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7200" w:type="dxa"/>
            <w:vAlign w:val="bottom"/>
          </w:tcPr>
          <w:p>
            <w:pPr>
              <w:spacing w:after="0"/>
              <w:rPr>
                <w:sz w:val="20"/>
                <w:szCs w:val="20"/>
                <w:color w:val="auto"/>
              </w:rPr>
            </w:pPr>
            <w:r>
              <w:rPr>
                <w:rFonts w:ascii="Arial" w:cs="Arial" w:eastAsia="Arial" w:hAnsi="Arial"/>
                <w:sz w:val="12"/>
                <w:szCs w:val="12"/>
                <w:color w:val="auto"/>
              </w:rPr>
              <w:t>Payments under long-term financing arrangements</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(450,000)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Redemption of convertible notes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(330,780)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7200" w:type="dxa"/>
            <w:vAlign w:val="bottom"/>
          </w:tcPr>
          <w:p>
            <w:pPr>
              <w:spacing w:after="0"/>
              <w:rPr>
                <w:sz w:val="20"/>
                <w:szCs w:val="20"/>
                <w:color w:val="auto"/>
              </w:rPr>
            </w:pPr>
            <w:r>
              <w:rPr>
                <w:rFonts w:ascii="Arial" w:cs="Arial" w:eastAsia="Arial" w:hAnsi="Arial"/>
                <w:sz w:val="12"/>
                <w:szCs w:val="12"/>
                <w:color w:val="auto"/>
              </w:rPr>
              <w:t>Repurchase of convertible notes</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(116,015)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Repurchase of shares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(20,014)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7"/>
              </w:rPr>
              <w:t>(247,630)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(49,837)</w:t>
            </w:r>
          </w:p>
        </w:tc>
        <w:tc>
          <w:tcPr>
            <w:tcW w:w="0" w:type="dxa"/>
            <w:vAlign w:val="bottom"/>
          </w:tcPr>
          <w:p>
            <w:pPr>
              <w:spacing w:after="0"/>
              <w:rPr>
                <w:sz w:val="1"/>
                <w:szCs w:val="1"/>
                <w:color w:val="auto"/>
              </w:rPr>
            </w:pPr>
          </w:p>
        </w:tc>
      </w:tr>
      <w:tr>
        <w:trPr>
          <w:trHeight w:val="151"/>
        </w:trPr>
        <w:tc>
          <w:tcPr>
            <w:tcW w:w="7200" w:type="dxa"/>
            <w:vAlign w:val="bottom"/>
          </w:tcPr>
          <w:p>
            <w:pPr>
              <w:spacing w:after="0"/>
              <w:rPr>
                <w:sz w:val="20"/>
                <w:szCs w:val="20"/>
                <w:color w:val="auto"/>
              </w:rPr>
            </w:pPr>
            <w:r>
              <w:rPr>
                <w:rFonts w:ascii="Arial" w:cs="Arial" w:eastAsia="Arial" w:hAnsi="Arial"/>
                <w:sz w:val="12"/>
                <w:szCs w:val="12"/>
                <w:color w:val="auto"/>
              </w:rPr>
              <w:t>Proceeds from employee stock options exercised</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27,893</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37,577</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74,663</w:t>
            </w:r>
          </w:p>
        </w:tc>
        <w:tc>
          <w:tcPr>
            <w:tcW w:w="0" w:type="dxa"/>
            <w:vAlign w:val="bottom"/>
          </w:tcPr>
          <w:p>
            <w:pPr>
              <w:spacing w:after="0"/>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Payments under capital lease and short-term financing arrangements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(3,970)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(542)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7200" w:type="dxa"/>
            <w:vAlign w:val="bottom"/>
          </w:tcPr>
          <w:p>
            <w:pPr>
              <w:spacing w:after="0"/>
              <w:rPr>
                <w:sz w:val="20"/>
                <w:szCs w:val="20"/>
                <w:color w:val="auto"/>
              </w:rPr>
            </w:pPr>
            <w:r>
              <w:rPr>
                <w:rFonts w:ascii="Arial" w:cs="Arial" w:eastAsia="Arial" w:hAnsi="Arial"/>
                <w:sz w:val="12"/>
                <w:szCs w:val="12"/>
                <w:color w:val="auto"/>
              </w:rPr>
              <w:t>Excess tax benefit from equity-based compensation</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795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provided by financing activities</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(442,868)</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97"/>
              </w:rPr>
              <w:t>(210,559)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25,621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2"/>
                <w:szCs w:val="12"/>
                <w:color w:val="auto"/>
              </w:rPr>
              <w:t>Net increase in cash and cash equivalents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9,912</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103,349</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8,314</w:t>
            </w: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718,850</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615,501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607,187</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year</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00" w:type="dxa"/>
            <w:vAlign w:val="bottom"/>
            <w:vMerge w:val="continue"/>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728,762</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718,850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615,501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3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87"/>
              </w:rPr>
              <w:t>Year ended September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300" w:type="dxa"/>
            <w:vAlign w:val="bottom"/>
          </w:tcPr>
          <w:p>
            <w:pPr>
              <w:spacing w:after="0"/>
              <w:rPr>
                <w:sz w:val="8"/>
                <w:szCs w:val="8"/>
                <w:color w:val="auto"/>
              </w:rPr>
            </w:pPr>
          </w:p>
        </w:tc>
        <w:tc>
          <w:tcPr>
            <w:tcW w:w="600" w:type="dxa"/>
            <w:vAlign w:val="bottom"/>
          </w:tcPr>
          <w:p>
            <w:pPr>
              <w:jc w:val="right"/>
              <w:ind w:right="137"/>
              <w:spacing w:after="0" w:line="101" w:lineRule="exact"/>
              <w:rPr>
                <w:sz w:val="20"/>
                <w:szCs w:val="20"/>
                <w:color w:val="auto"/>
              </w:rPr>
            </w:pPr>
            <w:r>
              <w:rPr>
                <w:rFonts w:ascii="Arial" w:cs="Arial" w:eastAsia="Arial" w:hAnsi="Arial"/>
                <w:sz w:val="11"/>
                <w:szCs w:val="11"/>
                <w:b w:val="1"/>
                <w:bCs w:val="1"/>
                <w:color w:val="auto"/>
              </w:rPr>
              <w:t>2009</w:t>
            </w:r>
          </w:p>
        </w:tc>
        <w:tc>
          <w:tcPr>
            <w:tcW w:w="40" w:type="dxa"/>
            <w:vAlign w:val="bottom"/>
          </w:tcPr>
          <w:p>
            <w:pPr>
              <w:spacing w:after="0"/>
              <w:rPr>
                <w:sz w:val="8"/>
                <w:szCs w:val="8"/>
                <w:color w:val="auto"/>
              </w:rPr>
            </w:pPr>
          </w:p>
        </w:tc>
        <w:tc>
          <w:tcPr>
            <w:tcW w:w="960" w:type="dxa"/>
            <w:vAlign w:val="bottom"/>
            <w:gridSpan w:val="2"/>
          </w:tcPr>
          <w:p>
            <w:pPr>
              <w:jc w:val="right"/>
              <w:ind w:right="180"/>
              <w:spacing w:after="0" w:line="101" w:lineRule="exact"/>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8"/>
                <w:szCs w:val="8"/>
                <w:color w:val="auto"/>
              </w:rPr>
            </w:pPr>
          </w:p>
        </w:tc>
        <w:tc>
          <w:tcPr>
            <w:tcW w:w="600" w:type="dxa"/>
            <w:vAlign w:val="bottom"/>
          </w:tcPr>
          <w:p>
            <w:pPr>
              <w:jc w:val="right"/>
              <w:ind w:right="137"/>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r>
      <w:tr>
        <w:trPr>
          <w:trHeight w:val="30"/>
        </w:trPr>
        <w:tc>
          <w:tcPr>
            <w:tcW w:w="73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Supplementary Cash Flow Information</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Interest and Income Taxes Paid</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for:</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300" w:type="dxa"/>
            <w:vAlign w:val="bottom"/>
          </w:tcPr>
          <w:p>
            <w:pPr>
              <w:ind w:left="140"/>
              <w:spacing w:after="0"/>
              <w:rPr>
                <w:sz w:val="20"/>
                <w:szCs w:val="20"/>
                <w:color w:val="auto"/>
              </w:rPr>
            </w:pPr>
            <w:r>
              <w:rPr>
                <w:rFonts w:ascii="Arial" w:cs="Arial" w:eastAsia="Arial" w:hAnsi="Arial"/>
                <w:sz w:val="13"/>
                <w:szCs w:val="13"/>
                <w:color w:val="auto"/>
              </w:rPr>
              <w:t>Income taxes, net of refunds</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   39,793</w:t>
            </w:r>
          </w:p>
        </w:tc>
        <w:tc>
          <w:tcPr>
            <w:tcW w:w="1360" w:type="dxa"/>
            <w:vAlign w:val="bottom"/>
            <w:gridSpan w:val="3"/>
          </w:tcPr>
          <w:p>
            <w:pPr>
              <w:jc w:val="right"/>
              <w:ind w:right="400"/>
              <w:spacing w:after="0"/>
              <w:rPr>
                <w:sz w:val="20"/>
                <w:szCs w:val="20"/>
                <w:color w:val="auto"/>
              </w:rPr>
            </w:pPr>
            <w:r>
              <w:rPr>
                <w:rFonts w:ascii="Arial" w:cs="Arial" w:eastAsia="Arial" w:hAnsi="Arial"/>
                <w:sz w:val="13"/>
                <w:szCs w:val="13"/>
                <w:color w:val="auto"/>
              </w:rPr>
              <w:t>$   51,273</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  44,642</w:t>
            </w:r>
          </w:p>
        </w:tc>
      </w:tr>
      <w:tr>
        <w:trPr>
          <w:trHeight w:val="161"/>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3,321</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4,863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4,167</w:t>
            </w:r>
          </w:p>
        </w:tc>
      </w:tr>
    </w:tbl>
    <w:p>
      <w:pPr>
        <w:spacing w:after="0" w:line="4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 — Nature of Entity</w:t>
      </w:r>
    </w:p>
    <w:p>
      <w:pPr>
        <w:spacing w:after="0" w:line="104"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including revenue management, customer management, service and resource management (OSS), personalized portal and value-added services, portfolio management, and consulting and managed services, primarily to leading wireless, wireline, cable and satellite service providers throughout the world. Amdocs also offers a full range of directory sales and publishing systems.</w:t>
      </w:r>
    </w:p>
    <w:p>
      <w:pPr>
        <w:spacing w:after="0" w:line="6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Canada, Cyprus, India, Ireland, Israel, the United States and China.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2 — Summary of Significant Accounting Policies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0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The consolidated financial statements are prepared in accordance with U.S. generally accepted accounting principles, or U.S. GAAP. Subsequent events were evaluated through December 7, 2009, the date these financial statements were issued.</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consolidated financial statements include the accounts of the Company and its wholly-owned subsidiaries. All intercompany transactions and balances have been eliminated in consolidation.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immaterial amounts in prior years’ financial statements have been reclassified to conform to the current year’s presentation.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Functional Currency</w:t>
      </w:r>
    </w:p>
    <w:p>
      <w:pPr>
        <w:spacing w:after="0" w:line="102" w:lineRule="exact"/>
        <w:rPr>
          <w:sz w:val="20"/>
          <w:szCs w:val="20"/>
          <w:color w:val="auto"/>
        </w:rPr>
      </w:pPr>
    </w:p>
    <w:p>
      <w:pPr>
        <w:ind w:left="680" w:right="220" w:firstLine="399"/>
        <w:spacing w:after="0" w:line="270" w:lineRule="auto"/>
        <w:rPr>
          <w:sz w:val="20"/>
          <w:szCs w:val="20"/>
          <w:color w:val="auto"/>
        </w:rPr>
      </w:pPr>
      <w:r>
        <w:rPr>
          <w:rFonts w:ascii="Arial" w:cs="Arial" w:eastAsia="Arial" w:hAnsi="Arial"/>
          <w:sz w:val="13"/>
          <w:szCs w:val="13"/>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and cash equivalents consist of cash and interest-bearing investments with insignificant interest rate risk and original maturities of 90 days or less.</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102"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The Company classifies all of its short-term interest-bearing investments as available-for-sale securities. Such short-term interest-bearing investments consist primarily of money market funds, U.S. government treasuries, U.S. agencies and government guaranteed debt, which are stated at market value. Unrealized gains and losses are comprised of the difference between market value and amortized costs of such securities and are reflected, net of tax, as “accumulated other comprehensive income” in shareholders’ equity. Realized gains and losses on short-term interest-bearing investments are included in earnings and are derived using the specific identification method for determining the cost of securities. The Company recognizes an impairment charge when a decline in the fair value of its investments below the cost basis is judged to be other-than-temporary. For securities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impairment related to other factors is recognized in other comprehensive income. The Company uses a discounted cash flow analysis to determine the portion of the impairment that relates to the credit loss. To the extent that the net present value of the projected cash flows is less than the amortized cost of the security, the difference is considered credit loss and is recorded through earnings.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Equipment and Leasehold Improvements</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Equipment and leasehold improvements are stated at cost. Assets under capital leases are recorded at the present value of the future minimum lease payments at the date of acquisition. Depreciation is computed using the straight-line method over the estimated useful life of the asset, which primarily ranges from three to ten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102"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Goodwill and intangible assets deemed to have indefinite lives are subject to an annual impairment test. Goodwill impairment is deemed to exist if the net book value of a reporting unit exceeds its estimated fair value. Other intangible assets are amortized over their useful lives.</w:t>
      </w:r>
    </w:p>
    <w:p>
      <w:pPr>
        <w:spacing w:after="0" w:line="47"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47"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Other intangible assets consist primarily of core technology, customer arrangements and trademarks. Core technology and trademarks acquired by the Company are amortized over their estimated useful lives on a straight-line basis.</w:t>
      </w:r>
    </w:p>
    <w:p>
      <w:pPr>
        <w:spacing w:after="0" w:line="47" w:lineRule="exact"/>
        <w:rPr>
          <w:sz w:val="20"/>
          <w:szCs w:val="20"/>
          <w:color w:val="auto"/>
        </w:rPr>
      </w:pPr>
    </w:p>
    <w:p>
      <w:pPr>
        <w:jc w:val="both"/>
        <w:ind w:left="680" w:right="220" w:firstLine="399"/>
        <w:spacing w:after="0" w:line="276" w:lineRule="auto"/>
        <w:rPr>
          <w:sz w:val="20"/>
          <w:szCs w:val="20"/>
          <w:color w:val="auto"/>
        </w:rPr>
      </w:pPr>
      <w:r>
        <w:rPr>
          <w:rFonts w:ascii="Arial" w:cs="Arial" w:eastAsia="Arial" w:hAnsi="Arial"/>
          <w:sz w:val="13"/>
          <w:szCs w:val="13"/>
          <w:color w:val="auto"/>
        </w:rPr>
        <w:t>Some of the acquired customer arrangements are amortized over their estimated useful lives in proportion to the economic benefits realized. This accounting policy results in accelerated amortization of such customer arrangements as compared to the straight-line method. All other acquired customer arrangements are amortized over their estimated useful lives on a straight-line basis.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102"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The Company tests long-lived assets, including definite life intangible assets, for impairment whenever events or changes in circumstances indicate that the carrying amount of such assets may not be recoverable.</w:t>
      </w: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Determination of recoverability of long-lived assets is based on an estimate of the undiscounted future cash flows resulting from the use of the asset and its eventual disposition. Measurement of an impairment loss for long-lived assets, including definite life intangible assets, that management expects to hold and use is based on the fair value of the asset. Long-lived assets, including definite life intangible assets, to be disposed of are reported at the lower of carrying amount or fair value less costs to sell.</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Comprehensive income, net of related taxes where applicable, includes, in addition to net income:</w:t>
      </w:r>
    </w:p>
    <w:p>
      <w:pPr>
        <w:spacing w:after="0" w:line="102" w:lineRule="exact"/>
        <w:rPr>
          <w:sz w:val="20"/>
          <w:szCs w:val="20"/>
          <w:color w:val="auto"/>
        </w:rPr>
      </w:pPr>
    </w:p>
    <w:p>
      <w:pPr>
        <w:ind w:left="1640" w:hanging="170"/>
        <w:spacing w:after="0"/>
        <w:tabs>
          <w:tab w:leader="none" w:pos="1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unrealized gains and losses on available-for-sale securities;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unrealized gains and losses in respect of derivative instruments designated as a cash flow hedge; and</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unrealized losses on defined benefit plans.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Treasury Stock</w:t>
      </w:r>
    </w:p>
    <w:p>
      <w:pPr>
        <w:spacing w:after="0" w:line="102"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ind w:left="680" w:right="160" w:firstLine="399"/>
        <w:spacing w:after="0" w:line="309" w:lineRule="auto"/>
        <w:rPr>
          <w:sz w:val="20"/>
          <w:szCs w:val="20"/>
          <w:color w:val="auto"/>
        </w:rPr>
      </w:pPr>
      <w:r>
        <w:rPr>
          <w:rFonts w:ascii="Arial" w:cs="Arial" w:eastAsia="Arial" w:hAnsi="Arial"/>
          <w:sz w:val="12"/>
          <w:szCs w:val="12"/>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these items will either expire before the Company is able to realize their benefit, or where future deductibility is uncertain.</w:t>
      </w:r>
    </w:p>
    <w:p>
      <w:pPr>
        <w:spacing w:after="0" w:line="41"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59"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 The Company will classify the liability for unrecognized tax benefits as current to the extent that the Company anticipates payment of cash within one year. Interest and penalties related to uncertain tax positions are recognized in the provision for income taxes. Please see Note 11 to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As a result, combined license and service revenue generally is recognized over the course of these long-term</w:t>
      </w: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40"/>
        <w:spacing w:after="0" w:line="294" w:lineRule="auto"/>
        <w:rPr>
          <w:sz w:val="20"/>
          <w:szCs w:val="20"/>
          <w:color w:val="auto"/>
        </w:rPr>
      </w:pPr>
      <w:r>
        <w:rPr>
          <w:rFonts w:ascii="Arial" w:cs="Arial" w:eastAsia="Arial" w:hAnsi="Arial"/>
          <w:sz w:val="13"/>
          <w:szCs w:val="13"/>
          <w:color w:val="auto"/>
        </w:rPr>
        <w:t>projects, using the percentage of completion method of accounting and in accordance with software revenue recognition authoritative guidance. When total cost estimates exceed revenues in a fixed-price arrangement, the estimated losses are recognized immediately based upon the cost applicable to the delivering unit.</w:t>
      </w:r>
    </w:p>
    <w:p>
      <w:pPr>
        <w:spacing w:after="0" w:line="4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59" w:lineRule="exact"/>
        <w:rPr>
          <w:sz w:val="20"/>
          <w:szCs w:val="20"/>
          <w:color w:val="auto"/>
        </w:rPr>
      </w:pPr>
    </w:p>
    <w:p>
      <w:pPr>
        <w:ind w:left="680" w:right="160" w:firstLine="399"/>
        <w:spacing w:after="0" w:line="309" w:lineRule="auto"/>
        <w:rPr>
          <w:sz w:val="20"/>
          <w:szCs w:val="20"/>
          <w:color w:val="auto"/>
        </w:rPr>
      </w:pPr>
      <w:r>
        <w:rPr>
          <w:rFonts w:ascii="Arial" w:cs="Arial" w:eastAsia="Arial" w:hAnsi="Arial"/>
          <w:sz w:val="12"/>
          <w:szCs w:val="12"/>
          <w:color w:val="auto"/>
        </w:rPr>
        <w:t>Service 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and modification is recognized upon delivery. Service revenue that does not involve significant ongoing obligations is recognized as services are rendered.</w:t>
      </w:r>
    </w:p>
    <w:p>
      <w:pPr>
        <w:spacing w:after="0" w:line="41"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47" w:lineRule="exact"/>
        <w:rPr>
          <w:sz w:val="20"/>
          <w:szCs w:val="20"/>
          <w:color w:val="auto"/>
        </w:rPr>
      </w:pPr>
    </w:p>
    <w:p>
      <w:pPr>
        <w:ind w:left="680" w:right="160" w:firstLine="399"/>
        <w:spacing w:after="0" w:line="338" w:lineRule="auto"/>
        <w:rPr>
          <w:sz w:val="20"/>
          <w:szCs w:val="20"/>
          <w:color w:val="auto"/>
        </w:rPr>
      </w:pPr>
      <w:r>
        <w:rPr>
          <w:rFonts w:ascii="Arial" w:cs="Arial" w:eastAsia="Arial" w:hAnsi="Arial"/>
          <w:sz w:val="12"/>
          <w:szCs w:val="12"/>
          <w:color w:val="auto"/>
        </w:rPr>
        <w:t>In managed services contracts and in other long term contracts, revenue from the operation of a customer’s system is recognized either as services are performed based on time elapsed, output produced or volume of data processed. Revenue from ongoing support services is recognized as work is performed or based on straight-line over the service period.</w:t>
      </w:r>
    </w:p>
    <w:p>
      <w:pPr>
        <w:spacing w:after="0" w:line="2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and/or possesses other attributes such as pricing and supplier selection latitude. In specific circumstances where the Company does not meet the above criteria, particularly when the contract stipulates that the Company is not the primary obligor, the Company recognizes revenue on a net basis.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Included in service revenue are sales of third-party products. Revenue from sales of such products includes third-party computer hardware and computer software products.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 from third-party sales was less than 10% of total revenue in each of fiscal 2009, 2008 and 2007.</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Maintenance revenue is recognized ratably over the term of the maintenance agreement, which in most cases is one year.</w:t>
      </w:r>
    </w:p>
    <w:p>
      <w:pPr>
        <w:spacing w:after="0" w:line="102"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4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Many of the Company’s agreements include multiple deliverables. For these multiple element arrangements, the Company allocates revenue to each element based upon its relative fair value as determined by Vendor Specific Objective Evidence (“VSOE”). The Company uses the residual method in accordance with software revenue recognition and revenue arrangements with multiple deliverables authoritative guidance. In the absence of fair value for a delivered element, the Company first allocates revenue to the fair value of the undelivered elements and residual revenue to delivered elements.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 Beginning October 1, 2009, the Company adopted the new authoritative guidance for revenue arrangements with multiple deliverables that are outside the scope of the software revenue recognition guidance. Please see Recent Accounting Pronouncements.</w:t>
      </w: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In circumstances where the Company enters into a contract with a customer for the provision of managed services for a defined period of time, the Company defers certain incremental costs incurred at the inception of the contract. These costs include time and expense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life of the applicable customer contract. Revenue associated with these capitalized costs is deferred and is recognized over the same period.</w:t>
      </w:r>
    </w:p>
    <w:p>
      <w:pPr>
        <w:spacing w:after="0" w:line="48"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In cases where extended payment terms exist and revenue is deferred until payments are due, related costs are capitalized as contract costs and recognized as revenue is recognized.</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Deferred revenue represents billings to customers for licenses and services for which revenue has not been recognized. Deferred revenue that is expected to be recognized beyond the next twelve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twelve months are considered long-term unbilled receivables. Allowances that are netted against accounts receivable represent amounts provided for accounts for which their collectibility is not reasonably assured.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License and Cost of Service</w:t>
      </w:r>
    </w:p>
    <w:p>
      <w:pPr>
        <w:spacing w:after="0" w:line="102"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Cost of license and cost of service consist of all costs associated with providing software licenses and services to customers, including identified losses on contracts and warranty expense. Estimated losses on contracts are recognized in the period in which the loss is identified. Estimated costs related to warranty obligations are initially provided at the time the product is delivered and are revised to reflect subsequent changes in circumstances and estimates. Cost of license includes license fees and royalty payments to software suppliers.</w:t>
      </w:r>
    </w:p>
    <w:p>
      <w:pPr>
        <w:spacing w:after="0" w:line="41" w:lineRule="exact"/>
        <w:rPr>
          <w:sz w:val="20"/>
          <w:szCs w:val="20"/>
          <w:color w:val="auto"/>
        </w:rPr>
      </w:pPr>
    </w:p>
    <w:p>
      <w:pPr>
        <w:ind w:left="680" w:right="60" w:firstLine="399"/>
        <w:spacing w:after="0" w:line="338" w:lineRule="auto"/>
        <w:rPr>
          <w:sz w:val="20"/>
          <w:szCs w:val="20"/>
          <w:color w:val="auto"/>
        </w:rPr>
      </w:pPr>
      <w:r>
        <w:rPr>
          <w:rFonts w:ascii="Arial" w:cs="Arial" w:eastAsia="Arial" w:hAnsi="Arial"/>
          <w:sz w:val="12"/>
          <w:szCs w:val="12"/>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02" w:lineRule="exact"/>
        <w:rPr>
          <w:sz w:val="20"/>
          <w:szCs w:val="20"/>
          <w:color w:val="auto"/>
        </w:rPr>
      </w:pPr>
    </w:p>
    <w:p>
      <w:pPr>
        <w:ind w:left="680" w:right="240" w:firstLine="399"/>
        <w:spacing w:after="0" w:line="338" w:lineRule="auto"/>
        <w:rPr>
          <w:sz w:val="20"/>
          <w:szCs w:val="20"/>
          <w:color w:val="auto"/>
        </w:rPr>
      </w:pPr>
      <w:r>
        <w:rPr>
          <w:rFonts w:ascii="Arial" w:cs="Arial" w:eastAsia="Arial" w:hAnsi="Arial"/>
          <w:sz w:val="12"/>
          <w:szCs w:val="12"/>
          <w:color w:val="auto"/>
        </w:rPr>
        <w:t>Research and development expenditures consist of costs incurred in the development of new software modules and product offerings, either as part of the Company’s internal product development programs, which are sold, leased or otherwise marketed, or in conjunction with customer projects. Research and development costs are expensed as incurred.</w:t>
      </w:r>
    </w:p>
    <w:p>
      <w:pPr>
        <w:spacing w:after="0" w:line="2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Based on the Company’s product development process, technological feasibility is established upon completion of a detailed program design or, in the absence thereof,</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2"/>
          <w:szCs w:val="12"/>
          <w:color w:val="auto"/>
        </w:rPr>
        <w:t>completion of a working model. Costs incurred by the Company after achieving technological feasibility and before the product is ready for customer release have been insignificant.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Equity-Based Compensation</w:t>
      </w:r>
    </w:p>
    <w:p>
      <w:pPr>
        <w:spacing w:after="0" w:line="10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compensation costs using the graded vesting attribution method that results in an accelerated recognition of compensation costs in comparison to the straight-line method.</w:t>
      </w:r>
    </w:p>
    <w:p>
      <w:pPr>
        <w:spacing w:after="0" w:line="10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102" w:lineRule="exact"/>
        <w:rPr>
          <w:sz w:val="20"/>
          <w:szCs w:val="20"/>
          <w:color w:val="auto"/>
        </w:rPr>
      </w:pPr>
    </w:p>
    <w:p>
      <w:pPr>
        <w:ind w:left="680" w:right="180" w:firstLine="399"/>
        <w:spacing w:after="0" w:line="338" w:lineRule="auto"/>
        <w:rPr>
          <w:sz w:val="20"/>
          <w:szCs w:val="20"/>
          <w:color w:val="auto"/>
        </w:rPr>
      </w:pPr>
      <w:r>
        <w:rPr>
          <w:rFonts w:ascii="Arial" w:cs="Arial" w:eastAsia="Arial" w:hAnsi="Arial"/>
          <w:sz w:val="12"/>
          <w:szCs w:val="12"/>
          <w:color w:val="auto"/>
        </w:rPr>
        <w:t>The Company’s financial instruments consist mainly of cash and cash equivalents, short-term interest-bearing investments, accounts receivable, accounts payable, and forward exchange contracts and options. The fair value of the financial instruments included in the accounts of the Company does not significantly vary from their carrying amount.</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102"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Deposits held with banks may exceed the amount of insurance provided on such deposits.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 The Company has conservative investment policy guidelines under which it invests its excess cash primarily in highly liquid U.S. dollar-denominated securities primarily with major U.S. institutions. The Company’s revenue is generated primarily in North America and Europe. To a lesser extent, revenue is generated in the Asia-Pacific region and Latin America. Most of the Company’s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 The allowance for doubtful accounts is for estimated losses resulting from accounts receivable for which their collection is not reasonably assured.</w:t>
      </w:r>
    </w:p>
    <w:p>
      <w:pPr>
        <w:spacing w:after="0" w:line="57"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As of September 30, 2009, the Company had one customer, including its subsidiaries, with an accounts receivable balance of more than 10% of total accounts receivable, aggregating 32.6%. This customer accounted for approximately 33% of our revenue in fiscal 2009. As of September 30, 2008, the Company had two customers, including their subsidiaries, with accounts receivable balances of more than 10% of total accounts receivable, aggregating 39.0% (27.5% and 11.5%). These two customers accounted for approximately 40% of our revenue in fiscal 2008.</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102"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and the effect of dilutive outstanding convertible notes using the if-converted method.</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 and Hedging</w:t>
      </w:r>
    </w:p>
    <w:p>
      <w:pPr>
        <w:spacing w:after="0" w:line="102"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hedge and is so designated, changes in the fair value of the derivative are recognized in other comprehensive income until the hedged item is recognized in earnings. The ineffective portion of a derivative designated as a hedge is recognized in earnings. If a derivative does not meet the definition of a hedge, the changes in the fair value are included in earnings.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02"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October 2009, the Financial Accounting Standards Board, or the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the software revenue recognition guidance, and will now be subject to other relevant revenue recognition guidance. Additionally, the FASB superseded its authoritative guidance for revenue arrangements with multiple deliverables that are outside the scope of the software revenue recognition guidance. The new guidance eliminates the residual method of revenue recognition and allows the use of management’s best estimate of selling price for individual elements of an arrangement when vendor specific objective evidence or third-party evidence is unavailable. Both guidance pronouncements will be effective for fiscal years starting June 15, 2010 and early adoption is permitted. The Company adopted the pronouncements effective October 1, 2009.</w:t>
      </w:r>
    </w:p>
    <w:p>
      <w:pPr>
        <w:spacing w:after="0" w:line="6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June 2009, the FASB issued authoritative guidance on the consolidation of variable interest entities, which is effective for the Company beginning October 1, 2010. The new guidance requires revised evaluations of whether entities represent variable interest entities, ongoing assessments of control over such entities, and additional disclosures for variable interests. The Company believes that the adoption of this new guidance will not have a material impact on its financial statements.</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June 2008, the FASB issued authoritative guidance for determining whether instruments granted in share-based payment transactions are participating securities. According to this guidance, unvested share-based payment awards that contain nonforfeitable rights to dividends or dividend equivalents are considered participating securities. As such, they should be included in the computation of basic earnings per share, or EPS, using the two-class method. This guidance became effective for the Company beginning October 1, 2009. Once effective, all prior-period EPS data presented must be adjusted retrospectively. The Company believes that the adoption of this guidance will reduce previously reported basic and diluted earnings per share by up to $0.01 per share for fiscal 2009 and 2008.</w:t>
      </w:r>
    </w:p>
    <w:p>
      <w:pPr>
        <w:spacing w:after="0" w:line="65"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In February 2008, FASB delayed until the beginning of fiscal 2010, the effective date of the fair value measurements guidance for non-financial assets and non-financial liabilities, except those that are recognized or disclosed in the financial statements at fair value on a recurring basis (at least annually). The Company does not expect that the application of the fair value measurements guidance, when applied to non-financial assets and liabilities, will have a material impact on its results of operations or financial position.</w:t>
      </w:r>
    </w:p>
    <w:p>
      <w:pPr>
        <w:spacing w:after="0" w:line="41"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In December 2007, the FASB issued authoritative guidance on business combinations. The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acquired in-process research and development will be capitalized and upon completion amortized over its</w:t>
      </w: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0"/>
        <w:spacing w:after="0" w:line="267" w:lineRule="auto"/>
        <w:rPr>
          <w:sz w:val="20"/>
          <w:szCs w:val="20"/>
          <w:color w:val="auto"/>
        </w:rPr>
      </w:pPr>
      <w:r>
        <w:rPr>
          <w:rFonts w:ascii="Arial" w:cs="Arial" w:eastAsia="Arial" w:hAnsi="Arial"/>
          <w:sz w:val="13"/>
          <w:szCs w:val="13"/>
          <w:color w:val="auto"/>
        </w:rPr>
        <w:t>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 and liabilities assumed in a business combination that arise from contingencies. This guidance applies to the Company prospectively for business combinations for which the acquisition date is on or after October 1, 2009.</w:t>
      </w:r>
    </w:p>
    <w:p>
      <w:pPr>
        <w:spacing w:after="0" w:line="65"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In December 2007, the FASB issued authoritative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This guidance became effective for the Company starting October 1, 2009. The Company does not expect that the application of this guidance will have a material impact on its consolidated results of operations and financial condition.</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Standards</w:t>
      </w:r>
    </w:p>
    <w:p>
      <w:pPr>
        <w:spacing w:after="0" w:line="102"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On July 1, 2009, the FASB issued the FASB Accounting Standards Codification (the “Codification”). The Codification became the single source of authoritative nongovernmental U.S. GAAP, superseding existing pronouncements issued by the FASB, the American Institute of Certified Public Accountants, the Emerging Issues Task Force and related literature. The Codification eliminates the previous U.S. GAAP hierarchy and establishes one level of authoritative GAAP. Rules and interpretive releases issued by the SEC under authority of federal securities law are also sources of the authoritative GAAP for SEC registrants. All other literature is considered non-authoritative. The Codification is effective for interim and annual periods ending after September 15, 2009.</w:t>
      </w:r>
    </w:p>
    <w:p>
      <w:pPr>
        <w:spacing w:after="0" w:line="65"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May 2009, the FASB issued authoritative guidance on subsequent events, which sets forth the period after the balance sheet date during which management of a reporting entity should evaluate events or transactions that may have occurred for potential recognition or disclosure in the financial statements. The guidance also sets forth the circumstances under which an entity should recognize events or transactions occurring after the balance sheet date in its financial statements and the disclosures that an entity should make about events or transactions that occurred after the balance sheet date. The Company adopted this guidance during the quarter ended June 30, 2009. Please see Notes 2 and 4 to the Company’s consolidated financial statements.</w:t>
      </w:r>
    </w:p>
    <w:p>
      <w:pPr>
        <w:spacing w:after="0" w:line="65"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April 2009, the FASB issued authoritative guidance on how to determine the fair value of an asset and a liability when the volume and level of activity for such asset or liability has significantly decreased in relation to normal market activity for such asset or liability. It also provides guidance on identifying circumstances that indicate a transaction is not orderly and when the use of multiple (or different) valuation techniques may be warranted and considered. In addition, this guidance requires disclosure in interim and annual periods of the inputs and valuation techniques used to measure fair value and a discussion of changes in valuation techniques. The adoption of this guidance on April 1, 2009, did not have a material impact on the Company’s financial statements.</w:t>
      </w:r>
    </w:p>
    <w:p>
      <w:pPr>
        <w:spacing w:after="0" w:line="65"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In April 2009, the FASB issued authoritative guidance on recognition and presentation of other-than-temporary impairments. This guidance clarifies the interaction of the factors that should be considered when determining whether a debt security is other than temporarily impaired; provides guidance on the amount of an other-than-temporary impairment recognized in earnings and other comprehensive income; and expands the disclosures required for other-than-temporary impairments for debt and equity securities. The guidance requires an entity to assess whether it intends to sell, or it is more likely than not that it will be</w:t>
      </w: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240"/>
        <w:spacing w:after="0" w:line="267" w:lineRule="auto"/>
        <w:rPr>
          <w:sz w:val="20"/>
          <w:szCs w:val="20"/>
          <w:color w:val="auto"/>
        </w:rPr>
      </w:pPr>
      <w:r>
        <w:rPr>
          <w:rFonts w:ascii="Arial" w:cs="Arial" w:eastAsia="Arial" w:hAnsi="Arial"/>
          <w:sz w:val="13"/>
          <w:szCs w:val="13"/>
          <w:color w:val="auto"/>
        </w:rPr>
        <w:t>required to sell a security before recovery of its amortized cost basis. If either of those criteria is met, the entire difference between amortized cost and fair value is recognized in earnings. For securities that do not meet these criteria, the amount of impairment recognized in earnings is limited to the amount related to credit losses, while impairment related to other factors is recognized in other comprehensive income. The Company adopted this guidance on April 1, 2009, and reclassified the $1,783 non-credit related portion of other than temporary impairment losses recognized in prior period earnings as a cumulative effect adjustment that increased retained earnings and decreased accumulated other comprehensive income at April 1, 2009. Please see Note 5 to the Company’s consolidated financial statements.</w:t>
      </w:r>
    </w:p>
    <w:p>
      <w:pPr>
        <w:spacing w:after="0" w:line="65"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In April 2009, the FASB issued authoritative guidance regarding interim disclosures about fair value of financial instruments which were previously only disclosed on an annual basis. Entities are now required to disclose the fair value of financial instruments that are not recorded at fair value in the financial statements in both their interim and annual financial statements. Additionally, a disclosure of the methods and significant assumptions used to estimate the fair value of financial instruments on an interim basis as well as changes of the methods and significant assumptions from prior periods is required. This guidance does not change the accounting treatment for these financial instruments. The Company adopted this guidance on April 1, 2009. Please see Note 2 to the Company’s consolidated financial statements.</w:t>
      </w:r>
    </w:p>
    <w:p>
      <w:pPr>
        <w:spacing w:after="0" w:line="65"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2"/>
          <w:szCs w:val="12"/>
          <w:color w:val="auto"/>
        </w:rPr>
        <w:t>In March 2008, the FASB issued amended guidance on disclosures about derivative instruments and hedging activities. This guidance applies to all derivative instruments and non-derivative instruments that are designated and qualify as hedging instruments and related hedged items. This guidance requires entities to provide greater transparency through additional disclosures about how and why an entity uses derivative instruments, how derivative instruments and related hedged items are accounted for, and how derivative instruments and related hedged items affect an entity’s financial position, results of operations and cash flows. The adoption of this guidance did not impact the Company’s consolidated financial results as it requires additional disclosure, rather than a change in accounting. Please see Note 6 to the Company’s consolidated financial statements.</w:t>
      </w:r>
    </w:p>
    <w:p>
      <w:pPr>
        <w:spacing w:after="0" w:line="49"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February 2007, the FASB issued authoritative guidance on the fair value option for financial assets and financial liabilities,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Effective October 1, 2008, the Company adopted this guidance, but it has not elected the fair value option for any eligible financial instruments as of September 30, 2009.</w:t>
      </w:r>
    </w:p>
    <w:p>
      <w:pPr>
        <w:spacing w:after="0" w:line="63"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In September 2006, the FASB issued authoritative guidance on fair value measurements, which defines fair value, establishes a framework for measuring fair value in GAAP, and expands disclosures about fair value measurements. In October 2008, the FASB issued additional guidance clarifying the application of the fair value measurements guidance in a market that is not active, and providing guidance on the key considerations in determining the fair value of a financial asset in such a market. Effective October 1, 2008, the Company adopted the measurement and disclosure requirements related to financial assets and financial liabilities. The adoption of this guidance for financial assets and financial liabilities did not have a material impact on the Company’s results of operations or the fair values of its financial assets and liabilities. Please see Note 4 to the Company’s consolidated financial statements.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3 — Acquisitions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SigValue</w:t>
      </w:r>
    </w:p>
    <w:p>
      <w:pPr>
        <w:spacing w:after="0" w:line="102"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In February 2007, the Company acquired SigValue Technologies, Inc. (“SigValue”), a provider of an integrated billing, customer care and service control platform designed for telecommunications service</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line="295" w:lineRule="auto"/>
        <w:rPr>
          <w:sz w:val="20"/>
          <w:szCs w:val="20"/>
          <w:color w:val="auto"/>
        </w:rPr>
      </w:pPr>
      <w:r>
        <w:rPr>
          <w:rFonts w:ascii="Arial" w:cs="Arial" w:eastAsia="Arial" w:hAnsi="Arial"/>
          <w:sz w:val="12"/>
          <w:szCs w:val="12"/>
          <w:color w:val="auto"/>
        </w:rPr>
        <w:t>providers in high-growth emerging markets around the world, where the customer base is predominantly comprised of mobile pre-paid subscribers. Prior to the acquisition, the Company owned 14% of SigValue’s outstanding capital stock and accounted for this investment under the cost method. Under the terms of the agreement, the Company acquired the balance of SigValue’s remaining share capital for $71,193, primarily cash. Upon closing of the acquisition, the Company recognized its 14% share in SigValue’s results from the time it first acquired an interest in SigValue through the purchase of the remaining shares. The Company’s share in pre-acquisition results was income of $1,916 which is included in restructuring charges, in-process research and development and other. This acquisition expanded the Company’s offering for service providers in fast growing emerging markets.</w:t>
      </w:r>
    </w:p>
    <w:p>
      <w:pPr>
        <w:spacing w:after="0" w:line="49"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The Company acquired few entities during fiscal 2008 and 2009. The entities have been consolidated into the Company’s results of operations since their respective acquisition dates. These acquisitions, individually and in the aggregate, were not material.</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4 — Fair Value Measurements</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63"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three levels of inputs that may be used to measure fair value are as follows: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Quoted prices in active markets for identical assets or liabilities;</w:t>
      </w:r>
    </w:p>
    <w:p>
      <w:pPr>
        <w:spacing w:after="0" w:line="102" w:lineRule="exact"/>
        <w:rPr>
          <w:sz w:val="20"/>
          <w:szCs w:val="20"/>
          <w:color w:val="auto"/>
        </w:rPr>
      </w:pPr>
    </w:p>
    <w:p>
      <w:pPr>
        <w:jc w:val="both"/>
        <w:ind w:left="1080" w:right="60" w:firstLine="383"/>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Observable inputs other than quoted prices included in Level 1, such as quoted prices for similar assets or liabilities in active markets, quoted prices for identical</w:t>
      </w:r>
      <w:r>
        <w:rPr>
          <w:rFonts w:ascii="Arial" w:cs="Arial" w:eastAsia="Arial" w:hAnsi="Arial"/>
          <w:sz w:val="13"/>
          <w:szCs w:val="13"/>
          <w:i w:val="1"/>
          <w:iCs w:val="1"/>
          <w:color w:val="auto"/>
        </w:rPr>
        <w:t xml:space="preserve"> </w:t>
      </w:r>
      <w:r>
        <w:rPr>
          <w:rFonts w:ascii="Arial" w:cs="Arial" w:eastAsia="Arial" w:hAnsi="Arial"/>
          <w:sz w:val="13"/>
          <w:szCs w:val="13"/>
          <w:color w:val="auto"/>
        </w:rPr>
        <w:t>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Unobservable inputs that are supported by little or no market activity and that are significant to the fair value of the assets or liabilities.</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Company’s assets and liabilities measured at fair value on a recurring basis as of September 30, 2009:</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Level 1</w:t>
            </w:r>
          </w:p>
        </w:tc>
        <w:tc>
          <w:tcPr>
            <w:tcW w:w="140" w:type="dxa"/>
            <w:vAlign w:val="bottom"/>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Level 2</w:t>
            </w:r>
          </w:p>
        </w:tc>
        <w:tc>
          <w:tcPr>
            <w:tcW w:w="200" w:type="dxa"/>
            <w:vAlign w:val="bottom"/>
          </w:tcPr>
          <w:p>
            <w:pPr>
              <w:spacing w:after="0"/>
              <w:rPr>
                <w:sz w:val="11"/>
                <w:szCs w:val="11"/>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r>
      <w:tr>
        <w:trPr>
          <w:trHeight w:val="30"/>
        </w:trPr>
        <w:tc>
          <w:tcPr>
            <w:tcW w:w="68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Available-for-sale securities: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Money market funds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465,249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465,249</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government treasuries</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272,405</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272,405</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U.S. agencies</w:t>
            </w: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93,211</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93,211</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guaranteed debt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83,949</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83,949</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Supranational and sovereign debt</w:t>
            </w: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15,751</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15,751</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bonds</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32,130</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32,130</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Asset backed obligations</w:t>
            </w: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16,645</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16,645</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Mortgages (including agencies and corporate)</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32,392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32,392</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Commercial paper</w:t>
            </w: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8,000</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8,014</w:t>
            </w:r>
          </w:p>
        </w:tc>
      </w:tr>
      <w:tr>
        <w:trPr>
          <w:trHeight w:val="20"/>
        </w:trPr>
        <w:tc>
          <w:tcPr>
            <w:tcW w:w="6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available-for-sale securities</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745,654</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274,092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1,019,746</w:t>
            </w:r>
          </w:p>
        </w:tc>
      </w:tr>
      <w:tr>
        <w:trPr>
          <w:trHeight w:val="162"/>
        </w:trPr>
        <w:tc>
          <w:tcPr>
            <w:tcW w:w="6800" w:type="dxa"/>
            <w:vAlign w:val="bottom"/>
          </w:tcPr>
          <w:p>
            <w:pPr>
              <w:spacing w:after="0"/>
              <w:rPr>
                <w:sz w:val="20"/>
                <w:szCs w:val="20"/>
                <w:color w:val="auto"/>
              </w:rPr>
            </w:pPr>
            <w:r>
              <w:rPr>
                <w:rFonts w:ascii="Arial" w:cs="Arial" w:eastAsia="Arial" w:hAnsi="Arial"/>
                <w:sz w:val="13"/>
                <w:szCs w:val="13"/>
                <w:color w:val="auto"/>
              </w:rPr>
              <w:t>Derivative financial instruments, net</w:t>
            </w: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13,882</w:t>
            </w:r>
          </w:p>
        </w:tc>
        <w:tc>
          <w:tcPr>
            <w:tcW w:w="3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13,882</w:t>
            </w:r>
          </w:p>
        </w:tc>
        <w:tc>
          <w:tcPr>
            <w:tcW w:w="80" w:type="dxa"/>
            <w:vAlign w:val="bottom"/>
          </w:tcPr>
          <w:p>
            <w:pPr>
              <w:spacing w:after="0"/>
              <w:rPr>
                <w:sz w:val="14"/>
                <w:szCs w:val="14"/>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745,654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287,974</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1,033,628</w:t>
            </w:r>
          </w:p>
        </w:tc>
      </w:tr>
      <w:tr>
        <w:trPr>
          <w:trHeight w:val="20"/>
        </w:trPr>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w:t>
      </w:r>
    </w:p>
    <w:p>
      <w:pPr>
        <w:spacing w:after="0" w:line="14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5 —</w:t>
      </w:r>
      <w:r>
        <w:rPr>
          <w:sz w:val="20"/>
          <w:szCs w:val="20"/>
          <w:color w:val="auto"/>
        </w:rPr>
        <w:tab/>
      </w:r>
      <w:r>
        <w:rPr>
          <w:rFonts w:ascii="Arial" w:cs="Arial" w:eastAsia="Arial" w:hAnsi="Arial"/>
          <w:sz w:val="12"/>
          <w:szCs w:val="12"/>
          <w:b w:val="1"/>
          <w:bCs w:val="1"/>
          <w:color w:val="auto"/>
        </w:rPr>
        <w:t>Available-For-Sale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Available-for-sale securities consist of the following interest-bearing investments: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September 30, 2009</w:t>
            </w:r>
          </w:p>
        </w:tc>
        <w:tc>
          <w:tcPr>
            <w:tcW w:w="10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Amortized Cost</w:t>
            </w:r>
          </w:p>
        </w:tc>
        <w:tc>
          <w:tcPr>
            <w:tcW w:w="180" w:type="dxa"/>
            <w:vAlign w:val="bottom"/>
          </w:tcPr>
          <w:p>
            <w:pPr>
              <w:spacing w:after="0"/>
              <w:rPr>
                <w:sz w:val="7"/>
                <w:szCs w:val="7"/>
                <w:color w:val="auto"/>
              </w:rPr>
            </w:pPr>
          </w:p>
        </w:tc>
        <w:tc>
          <w:tcPr>
            <w:tcW w:w="1540" w:type="dxa"/>
            <w:vAlign w:val="bottom"/>
            <w:gridSpan w:val="2"/>
          </w:tcPr>
          <w:p>
            <w:pPr>
              <w:jc w:val="right"/>
              <w:ind w:right="660"/>
              <w:spacing w:after="0" w:line="84" w:lineRule="exact"/>
              <w:rPr>
                <w:sz w:val="20"/>
                <w:szCs w:val="20"/>
                <w:color w:val="auto"/>
              </w:rPr>
            </w:pPr>
            <w:r>
              <w:rPr>
                <w:rFonts w:ascii="Arial" w:cs="Arial" w:eastAsia="Arial" w:hAnsi="Arial"/>
                <w:sz w:val="9"/>
                <w:szCs w:val="9"/>
                <w:b w:val="1"/>
                <w:bCs w:val="1"/>
                <w:color w:val="auto"/>
              </w:rPr>
              <w:t>Gross Unrealized</w:t>
            </w:r>
          </w:p>
        </w:tc>
        <w:tc>
          <w:tcPr>
            <w:tcW w:w="220" w:type="dxa"/>
            <w:vAlign w:val="bottom"/>
          </w:tcPr>
          <w:p>
            <w:pPr>
              <w:spacing w:after="0"/>
              <w:rPr>
                <w:sz w:val="7"/>
                <w:szCs w:val="7"/>
                <w:color w:val="auto"/>
              </w:rPr>
            </w:pPr>
          </w:p>
        </w:tc>
        <w:tc>
          <w:tcPr>
            <w:tcW w:w="1460" w:type="dxa"/>
            <w:vAlign w:val="bottom"/>
            <w:gridSpan w:val="2"/>
          </w:tcPr>
          <w:p>
            <w:pPr>
              <w:jc w:val="center"/>
              <w:ind w:right="620"/>
              <w:spacing w:after="0" w:line="84" w:lineRule="exact"/>
              <w:rPr>
                <w:sz w:val="20"/>
                <w:szCs w:val="20"/>
                <w:color w:val="auto"/>
              </w:rPr>
            </w:pPr>
            <w:r>
              <w:rPr>
                <w:rFonts w:ascii="Arial" w:cs="Arial" w:eastAsia="Arial" w:hAnsi="Arial"/>
                <w:sz w:val="9"/>
                <w:szCs w:val="9"/>
                <w:b w:val="1"/>
                <w:bCs w:val="1"/>
                <w:color w:val="auto"/>
              </w:rPr>
              <w:t>Gross Unrealized</w:t>
            </w:r>
          </w:p>
        </w:tc>
        <w:tc>
          <w:tcPr>
            <w:tcW w:w="14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right"/>
              <w:ind w:right="920"/>
              <w:spacing w:after="0"/>
              <w:rPr>
                <w:sz w:val="20"/>
                <w:szCs w:val="20"/>
                <w:color w:val="auto"/>
              </w:rPr>
            </w:pPr>
            <w:r>
              <w:rPr>
                <w:rFonts w:ascii="Arial" w:cs="Arial" w:eastAsia="Arial" w:hAnsi="Arial"/>
                <w:sz w:val="11"/>
                <w:szCs w:val="11"/>
                <w:b w:val="1"/>
                <w:bCs w:val="1"/>
                <w:color w:val="auto"/>
              </w:rPr>
              <w:t>Gains</w:t>
            </w:r>
          </w:p>
        </w:tc>
        <w:tc>
          <w:tcPr>
            <w:tcW w:w="220" w:type="dxa"/>
            <w:vAlign w:val="bottom"/>
          </w:tcPr>
          <w:p>
            <w:pPr>
              <w:spacing w:after="0"/>
              <w:rPr>
                <w:sz w:val="11"/>
                <w:szCs w:val="11"/>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79"/>
              </w:rPr>
              <w:t>Losses</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465,249</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465,249</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3"/>
                <w:szCs w:val="13"/>
                <w:color w:val="auto"/>
              </w:rPr>
              <w:t>U.S. government treasuries</w:t>
            </w:r>
          </w:p>
        </w:tc>
        <w:tc>
          <w:tcPr>
            <w:tcW w:w="1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271,483</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922</w:t>
            </w:r>
          </w:p>
        </w:tc>
        <w:tc>
          <w:tcPr>
            <w:tcW w:w="22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272,405</w:t>
            </w:r>
          </w:p>
        </w:tc>
        <w:tc>
          <w:tcPr>
            <w:tcW w:w="0" w:type="dxa"/>
            <w:vAlign w:val="bottom"/>
          </w:tcPr>
          <w:p>
            <w:pPr>
              <w:spacing w:after="0"/>
              <w:rPr>
                <w:sz w:val="1"/>
                <w:szCs w:val="1"/>
                <w:color w:val="auto"/>
              </w:rPr>
            </w:pPr>
          </w:p>
        </w:tc>
      </w:tr>
      <w:tr>
        <w:trPr>
          <w:trHeight w:val="161"/>
        </w:trPr>
        <w:tc>
          <w:tcPr>
            <w:tcW w:w="4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U.S. agencies</w:t>
            </w:r>
          </w:p>
        </w:tc>
        <w:tc>
          <w:tcPr>
            <w:tcW w:w="16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91,772</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1,439</w:t>
            </w:r>
          </w:p>
        </w:tc>
        <w:tc>
          <w:tcPr>
            <w:tcW w:w="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93,211</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3"/>
                <w:szCs w:val="13"/>
                <w:color w:val="auto"/>
              </w:rPr>
              <w:t>Government guaranteed debt</w:t>
            </w:r>
          </w:p>
        </w:tc>
        <w:tc>
          <w:tcPr>
            <w:tcW w:w="160" w:type="dxa"/>
            <w:vAlign w:val="bottom"/>
          </w:tcPr>
          <w:p>
            <w:pPr>
              <w:spacing w:after="0"/>
              <w:rPr>
                <w:sz w:val="14"/>
                <w:szCs w:val="1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3"/>
                <w:szCs w:val="13"/>
                <w:color w:val="auto"/>
              </w:rPr>
              <w:t>83,212</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764</w:t>
            </w:r>
          </w:p>
        </w:tc>
        <w:tc>
          <w:tcPr>
            <w:tcW w:w="22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83,949</w:t>
            </w:r>
          </w:p>
        </w:tc>
        <w:tc>
          <w:tcPr>
            <w:tcW w:w="0" w:type="dxa"/>
            <w:vAlign w:val="bottom"/>
          </w:tcPr>
          <w:p>
            <w:pPr>
              <w:spacing w:after="0"/>
              <w:rPr>
                <w:sz w:val="1"/>
                <w:szCs w:val="1"/>
                <w:color w:val="auto"/>
              </w:rPr>
            </w:pPr>
          </w:p>
        </w:tc>
      </w:tr>
      <w:tr>
        <w:trPr>
          <w:trHeight w:val="161"/>
        </w:trPr>
        <w:tc>
          <w:tcPr>
            <w:tcW w:w="4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Supranational and sovereign debt</w:t>
            </w:r>
          </w:p>
        </w:tc>
        <w:tc>
          <w:tcPr>
            <w:tcW w:w="16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15,610</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w:t>
            </w:r>
          </w:p>
        </w:tc>
        <w:tc>
          <w:tcPr>
            <w:tcW w:w="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15,751</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3"/>
                <w:szCs w:val="13"/>
                <w:color w:val="auto"/>
              </w:rPr>
              <w:t>Corporate bonds</w:t>
            </w:r>
          </w:p>
        </w:tc>
        <w:tc>
          <w:tcPr>
            <w:tcW w:w="160" w:type="dxa"/>
            <w:vAlign w:val="bottom"/>
          </w:tcPr>
          <w:p>
            <w:pPr>
              <w:spacing w:after="0"/>
              <w:rPr>
                <w:sz w:val="14"/>
                <w:szCs w:val="1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3"/>
                <w:szCs w:val="13"/>
                <w:color w:val="auto"/>
              </w:rPr>
              <w:t>32,924</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730</w:t>
            </w:r>
          </w:p>
        </w:tc>
        <w:tc>
          <w:tcPr>
            <w:tcW w:w="22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1,524</w:t>
            </w: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32,130</w:t>
            </w:r>
          </w:p>
        </w:tc>
        <w:tc>
          <w:tcPr>
            <w:tcW w:w="0" w:type="dxa"/>
            <w:vAlign w:val="bottom"/>
          </w:tcPr>
          <w:p>
            <w:pPr>
              <w:spacing w:after="0"/>
              <w:rPr>
                <w:sz w:val="1"/>
                <w:szCs w:val="1"/>
                <w:color w:val="auto"/>
              </w:rPr>
            </w:pPr>
          </w:p>
        </w:tc>
      </w:tr>
      <w:tr>
        <w:trPr>
          <w:trHeight w:val="161"/>
        </w:trPr>
        <w:tc>
          <w:tcPr>
            <w:tcW w:w="4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Asset backed obligations</w:t>
            </w:r>
          </w:p>
        </w:tc>
        <w:tc>
          <w:tcPr>
            <w:tcW w:w="16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19,630</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w:t>
            </w:r>
          </w:p>
        </w:tc>
        <w:tc>
          <w:tcPr>
            <w:tcW w:w="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3,164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16,645</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3"/>
                <w:szCs w:val="13"/>
                <w:color w:val="auto"/>
              </w:rPr>
              <w:t>Mortgages (including agencies and corporate)</w:t>
            </w:r>
          </w:p>
        </w:tc>
        <w:tc>
          <w:tcPr>
            <w:tcW w:w="160" w:type="dxa"/>
            <w:vAlign w:val="bottom"/>
          </w:tcPr>
          <w:p>
            <w:pPr>
              <w:spacing w:after="0"/>
              <w:rPr>
                <w:sz w:val="14"/>
                <w:szCs w:val="1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3"/>
                <w:szCs w:val="13"/>
                <w:color w:val="auto"/>
              </w:rPr>
              <w:t>38,339</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552</w:t>
            </w:r>
          </w:p>
        </w:tc>
        <w:tc>
          <w:tcPr>
            <w:tcW w:w="22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6,499</w:t>
            </w: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32,392</w:t>
            </w:r>
          </w:p>
        </w:tc>
        <w:tc>
          <w:tcPr>
            <w:tcW w:w="0" w:type="dxa"/>
            <w:vAlign w:val="bottom"/>
          </w:tcPr>
          <w:p>
            <w:pPr>
              <w:spacing w:after="0"/>
              <w:rPr>
                <w:sz w:val="1"/>
                <w:szCs w:val="1"/>
                <w:color w:val="auto"/>
              </w:rPr>
            </w:pPr>
          </w:p>
        </w:tc>
      </w:tr>
      <w:tr>
        <w:trPr>
          <w:trHeight w:val="161"/>
        </w:trPr>
        <w:tc>
          <w:tcPr>
            <w:tcW w:w="4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paper</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8,127</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8,014</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3"/>
                <w:szCs w:val="13"/>
                <w:color w:val="auto"/>
              </w:rPr>
              <w:t>Total(1)</w:t>
            </w: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1,026,346</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4,727</w:t>
            </w:r>
          </w:p>
        </w:tc>
        <w:tc>
          <w:tcPr>
            <w:tcW w:w="4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11,327</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1,019,746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50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80" w:right="380" w:hanging="250"/>
        <w:spacing w:after="0" w:line="294" w:lineRule="auto"/>
        <w:tabs>
          <w:tab w:leader="none" w:pos="18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Available-for-sale securities are classified as short term interest-bearing investments on the Company’s balance sheet, except for $575,467 of securities with original maturities of 90 days or less which are included in cash and cash equivalents as of September 30, 2009.</w:t>
      </w: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7"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1"/>
                <w:szCs w:val="11"/>
                <w:b w:val="1"/>
                <w:bCs w:val="1"/>
                <w:color w:val="auto"/>
              </w:rPr>
              <w:t>As of September 30, 2008</w:t>
            </w:r>
          </w:p>
        </w:tc>
        <w:tc>
          <w:tcPr>
            <w:tcW w:w="1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Amortized Cost</w:t>
            </w:r>
          </w:p>
        </w:tc>
        <w:tc>
          <w:tcPr>
            <w:tcW w:w="180" w:type="dxa"/>
            <w:vAlign w:val="bottom"/>
          </w:tcPr>
          <w:p>
            <w:pPr>
              <w:spacing w:after="0"/>
              <w:rPr>
                <w:sz w:val="7"/>
                <w:szCs w:val="7"/>
                <w:color w:val="auto"/>
              </w:rPr>
            </w:pPr>
          </w:p>
        </w:tc>
        <w:tc>
          <w:tcPr>
            <w:tcW w:w="1540" w:type="dxa"/>
            <w:vAlign w:val="bottom"/>
            <w:gridSpan w:val="2"/>
          </w:tcPr>
          <w:p>
            <w:pPr>
              <w:jc w:val="right"/>
              <w:ind w:right="660"/>
              <w:spacing w:after="0" w:line="84" w:lineRule="exact"/>
              <w:rPr>
                <w:sz w:val="20"/>
                <w:szCs w:val="20"/>
                <w:color w:val="auto"/>
              </w:rPr>
            </w:pPr>
            <w:r>
              <w:rPr>
                <w:rFonts w:ascii="Arial" w:cs="Arial" w:eastAsia="Arial" w:hAnsi="Arial"/>
                <w:sz w:val="9"/>
                <w:szCs w:val="9"/>
                <w:b w:val="1"/>
                <w:bCs w:val="1"/>
                <w:color w:val="auto"/>
              </w:rPr>
              <w:t>Gross Unrealized</w:t>
            </w:r>
          </w:p>
        </w:tc>
        <w:tc>
          <w:tcPr>
            <w:tcW w:w="180" w:type="dxa"/>
            <w:vAlign w:val="bottom"/>
          </w:tcPr>
          <w:p>
            <w:pPr>
              <w:spacing w:after="0"/>
              <w:rPr>
                <w:sz w:val="7"/>
                <w:szCs w:val="7"/>
                <w:color w:val="auto"/>
              </w:rPr>
            </w:pPr>
          </w:p>
        </w:tc>
        <w:tc>
          <w:tcPr>
            <w:tcW w:w="1500" w:type="dxa"/>
            <w:vAlign w:val="bottom"/>
            <w:gridSpan w:val="2"/>
          </w:tcPr>
          <w:p>
            <w:pPr>
              <w:jc w:val="center"/>
              <w:ind w:right="580"/>
              <w:spacing w:after="0" w:line="84" w:lineRule="exact"/>
              <w:rPr>
                <w:sz w:val="20"/>
                <w:szCs w:val="20"/>
                <w:color w:val="auto"/>
              </w:rPr>
            </w:pPr>
            <w:r>
              <w:rPr>
                <w:rFonts w:ascii="Arial" w:cs="Arial" w:eastAsia="Arial" w:hAnsi="Arial"/>
                <w:sz w:val="9"/>
                <w:szCs w:val="9"/>
                <w:b w:val="1"/>
                <w:bCs w:val="1"/>
                <w:color w:val="auto"/>
              </w:rPr>
              <w:t>Gross Unrealized</w:t>
            </w:r>
          </w:p>
        </w:tc>
        <w:tc>
          <w:tcPr>
            <w:tcW w:w="100" w:type="dxa"/>
            <w:vAlign w:val="bottom"/>
          </w:tcPr>
          <w:p>
            <w:pPr>
              <w:spacing w:after="0"/>
              <w:rPr>
                <w:sz w:val="7"/>
                <w:szCs w:val="7"/>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right"/>
              <w:ind w:right="920"/>
              <w:spacing w:after="0"/>
              <w:rPr>
                <w:sz w:val="20"/>
                <w:szCs w:val="20"/>
                <w:color w:val="auto"/>
              </w:rPr>
            </w:pPr>
            <w:r>
              <w:rPr>
                <w:rFonts w:ascii="Arial" w:cs="Arial" w:eastAsia="Arial" w:hAnsi="Arial"/>
                <w:sz w:val="11"/>
                <w:szCs w:val="11"/>
                <w:b w:val="1"/>
                <w:bCs w:val="1"/>
                <w:color w:val="auto"/>
              </w:rPr>
              <w:t>Gains</w:t>
            </w:r>
          </w:p>
        </w:tc>
        <w:tc>
          <w:tcPr>
            <w:tcW w:w="180" w:type="dxa"/>
            <w:vAlign w:val="bottom"/>
          </w:tcPr>
          <w:p>
            <w:pPr>
              <w:spacing w:after="0"/>
              <w:rPr>
                <w:sz w:val="11"/>
                <w:szCs w:val="11"/>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79"/>
              </w:rPr>
              <w:t>Losses</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266,993</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266,993</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3"/>
                <w:szCs w:val="13"/>
                <w:color w:val="auto"/>
              </w:rPr>
              <w:t>U.S. government treasuries</w:t>
            </w:r>
          </w:p>
        </w:tc>
        <w:tc>
          <w:tcPr>
            <w:tcW w:w="1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155,725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1,358</w:t>
            </w:r>
          </w:p>
        </w:tc>
        <w:tc>
          <w:tcPr>
            <w:tcW w:w="18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156,965</w:t>
            </w:r>
          </w:p>
        </w:tc>
        <w:tc>
          <w:tcPr>
            <w:tcW w:w="0" w:type="dxa"/>
            <w:vAlign w:val="bottom"/>
          </w:tcPr>
          <w:p>
            <w:pPr>
              <w:spacing w:after="0"/>
              <w:rPr>
                <w:sz w:val="1"/>
                <w:szCs w:val="1"/>
                <w:color w:val="auto"/>
              </w:rPr>
            </w:pPr>
          </w:p>
        </w:tc>
      </w:tr>
      <w:tr>
        <w:trPr>
          <w:trHeight w:val="161"/>
        </w:trPr>
        <w:tc>
          <w:tcPr>
            <w:tcW w:w="4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U.S. agencies</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179,384</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1,134</w:t>
            </w:r>
          </w:p>
        </w:tc>
        <w:tc>
          <w:tcPr>
            <w:tcW w:w="1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180,238</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3"/>
                <w:szCs w:val="13"/>
                <w:color w:val="auto"/>
              </w:rPr>
              <w:t>Corporate bonds</w:t>
            </w:r>
          </w:p>
        </w:tc>
        <w:tc>
          <w:tcPr>
            <w:tcW w:w="1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103,578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180</w:t>
            </w:r>
          </w:p>
        </w:tc>
        <w:tc>
          <w:tcPr>
            <w:tcW w:w="18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color w:val="auto"/>
              </w:rPr>
              <w:t>1,872</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101,886</w:t>
            </w:r>
          </w:p>
        </w:tc>
        <w:tc>
          <w:tcPr>
            <w:tcW w:w="0" w:type="dxa"/>
            <w:vAlign w:val="bottom"/>
          </w:tcPr>
          <w:p>
            <w:pPr>
              <w:spacing w:after="0"/>
              <w:rPr>
                <w:sz w:val="1"/>
                <w:szCs w:val="1"/>
                <w:color w:val="auto"/>
              </w:rPr>
            </w:pPr>
          </w:p>
        </w:tc>
      </w:tr>
      <w:tr>
        <w:trPr>
          <w:trHeight w:val="161"/>
        </w:trPr>
        <w:tc>
          <w:tcPr>
            <w:tcW w:w="4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Asset backed obligations</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71,651</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w:t>
            </w:r>
          </w:p>
        </w:tc>
        <w:tc>
          <w:tcPr>
            <w:tcW w:w="1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2,725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69,179</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3"/>
                <w:szCs w:val="13"/>
                <w:color w:val="auto"/>
              </w:rPr>
              <w:t>Mortgages (including agencies and corporate)</w:t>
            </w:r>
          </w:p>
        </w:tc>
        <w:tc>
          <w:tcPr>
            <w:tcW w:w="1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66,362</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251</w:t>
            </w:r>
          </w:p>
        </w:tc>
        <w:tc>
          <w:tcPr>
            <w:tcW w:w="18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color w:val="auto"/>
              </w:rPr>
              <w:t>7,936</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58,677</w:t>
            </w:r>
          </w:p>
        </w:tc>
        <w:tc>
          <w:tcPr>
            <w:tcW w:w="0" w:type="dxa"/>
            <w:vAlign w:val="bottom"/>
          </w:tcPr>
          <w:p>
            <w:pPr>
              <w:spacing w:after="0"/>
              <w:rPr>
                <w:sz w:val="1"/>
                <w:szCs w:val="1"/>
                <w:color w:val="auto"/>
              </w:rPr>
            </w:pPr>
          </w:p>
        </w:tc>
      </w:tr>
      <w:tr>
        <w:trPr>
          <w:trHeight w:val="161"/>
        </w:trPr>
        <w:tc>
          <w:tcPr>
            <w:tcW w:w="4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paper/certificates of deposits</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85,286</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85,179</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3"/>
                <w:szCs w:val="13"/>
                <w:color w:val="auto"/>
              </w:rPr>
              <w:t>Total(1)</w:t>
            </w: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928,979</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3,176</w:t>
            </w:r>
          </w:p>
        </w:tc>
        <w:tc>
          <w:tcPr>
            <w:tcW w:w="4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13,038</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919,117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5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80" w:right="1180" w:hanging="250"/>
        <w:spacing w:after="0" w:line="294" w:lineRule="auto"/>
        <w:tabs>
          <w:tab w:leader="none" w:pos="18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Available-for-sale securities are classified as short term interest-bearing investments on the Company’s balance sheet, except for $393,589 of securities with original maturities of 90 days or less which are included in cash and cash equivalents as of September 30, 2008.</w:t>
      </w:r>
    </w:p>
    <w:p>
      <w:pPr>
        <w:spacing w:after="0" w:line="47" w:lineRule="exact"/>
        <w:rPr>
          <w:sz w:val="20"/>
          <w:szCs w:val="20"/>
          <w:color w:val="auto"/>
        </w:rPr>
      </w:pPr>
    </w:p>
    <w:p>
      <w:pPr>
        <w:ind w:left="680" w:right="820" w:firstLine="399"/>
        <w:spacing w:after="0" w:line="287" w:lineRule="auto"/>
        <w:rPr>
          <w:sz w:val="20"/>
          <w:szCs w:val="20"/>
          <w:color w:val="auto"/>
        </w:rPr>
      </w:pPr>
      <w:r>
        <w:rPr>
          <w:rFonts w:ascii="Arial" w:cs="Arial" w:eastAsia="Arial" w:hAnsi="Arial"/>
          <w:sz w:val="12"/>
          <w:szCs w:val="12"/>
          <w:color w:val="auto"/>
        </w:rPr>
        <w:t>As of September 30, 2009, the unrealized losses were primarily due to credit market conditions and interest rate movements. A significant portion of the unrealized losses has been in a continuous loss position for 12 months or greater. In the quarter ended June 30, 2009, the Company adopted the April 2009 accounting pronouncement that provides guidance on recognition and presentation of other-than-temporary impairments and assessed whether the unrealized losses for the investments in its portfolio were other-than-temporary under this guidance. For securities the Company intends to sell or it is more likely than not that it will be required to sell the securities before recovery, the entire difference between amortized cost and fair value is recognized in earnings. For securities that the Company does not intend to sell and it is not more likely than not that the Company will be required to sell, the Company used a discounted cash flow analysis to determine the portion of the impairment that relates to credit loss. To the extent that the net present value of the projected cash flows is less than the amortized cost of the security, the difference is considered a credit loss and is recorded through earnings. The inputs on the future performance of the underlying assets used in the cash flow models include prepayments, defaults and loss severity assumptions. Based on this assessment, the Company recognized through earnings a credit loss of $1,094 in fiscal 2009. As of September 30, 2009, unrealized losses of $3,463 related to other-than-temporarily impaired securities are included in accumulated other comprehensive loss.</w:t>
      </w:r>
    </w:p>
    <w:p>
      <w:pPr>
        <w:spacing w:after="0" w:line="57" w:lineRule="exact"/>
        <w:rPr>
          <w:sz w:val="20"/>
          <w:szCs w:val="20"/>
          <w:color w:val="auto"/>
        </w:rPr>
      </w:pPr>
    </w:p>
    <w:p>
      <w:pPr>
        <w:ind w:left="680" w:right="1400" w:firstLine="399"/>
        <w:spacing w:after="0" w:line="294" w:lineRule="auto"/>
        <w:rPr>
          <w:sz w:val="20"/>
          <w:szCs w:val="20"/>
          <w:color w:val="auto"/>
        </w:rPr>
      </w:pPr>
      <w:r>
        <w:rPr>
          <w:rFonts w:ascii="Arial" w:cs="Arial" w:eastAsia="Arial" w:hAnsi="Arial"/>
          <w:sz w:val="13"/>
          <w:szCs w:val="13"/>
          <w:color w:val="auto"/>
        </w:rPr>
        <w:t>A non-credit related amount of $1,783 for other-than-temporary impairment losses recognized in earnings prior to April 1, 2009 was reclassified as a cumulative effect adjustment that increased retained earnings and decreased accumulated other comprehensive income at April 1, 2009.</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9440" w:type="dxa"/>
            <w:vAlign w:val="bottom"/>
          </w:tcPr>
          <w:p>
            <w:pPr>
              <w:ind w:left="400"/>
              <w:spacing w:after="0"/>
              <w:rPr>
                <w:sz w:val="20"/>
                <w:szCs w:val="20"/>
                <w:color w:val="auto"/>
              </w:rPr>
            </w:pPr>
            <w:r>
              <w:rPr>
                <w:rFonts w:ascii="Arial" w:cs="Arial" w:eastAsia="Arial" w:hAnsi="Arial"/>
                <w:sz w:val="13"/>
                <w:szCs w:val="13"/>
                <w:color w:val="auto"/>
              </w:rPr>
              <w:t>The following table presents a cumulative roll forward of credit losses recognized in earnings as of September 30, 2009:</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April 1, 2009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9440" w:type="dxa"/>
            <w:vAlign w:val="bottom"/>
          </w:tcPr>
          <w:p>
            <w:pPr>
              <w:spacing w:after="0"/>
              <w:rPr>
                <w:sz w:val="20"/>
                <w:szCs w:val="20"/>
                <w:color w:val="auto"/>
              </w:rPr>
            </w:pPr>
            <w:r>
              <w:rPr>
                <w:rFonts w:ascii="Arial" w:cs="Arial" w:eastAsia="Arial" w:hAnsi="Arial"/>
                <w:sz w:val="13"/>
                <w:szCs w:val="13"/>
                <w:color w:val="auto"/>
              </w:rPr>
              <w:t>Credit loss on debt securities for which an other-than-temporary impairment was not previously recognized</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667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3"/>
                <w:szCs w:val="13"/>
                <w:color w:val="auto"/>
              </w:rPr>
              <w:t>Additional credit loss on debt securities for which an other-than-temporary impairment was previously recognized</w:t>
            </w: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9440" w:type="dxa"/>
            <w:vAlign w:val="bottom"/>
          </w:tcPr>
          <w:p>
            <w:pPr>
              <w:spacing w:after="0"/>
              <w:rPr>
                <w:sz w:val="20"/>
                <w:szCs w:val="20"/>
                <w:color w:val="auto"/>
              </w:rPr>
            </w:pPr>
            <w:r>
              <w:rPr>
                <w:rFonts w:ascii="Arial" w:cs="Arial" w:eastAsia="Arial" w:hAnsi="Arial"/>
                <w:sz w:val="13"/>
                <w:szCs w:val="13"/>
                <w:color w:val="auto"/>
              </w:rPr>
              <w:t>Reductions for securities realized during the period</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3"/>
                <w:szCs w:val="13"/>
                <w:color w:val="auto"/>
              </w:rPr>
              <w:t>Balance as of September 30, 2009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9440" w:type="dxa"/>
            <w:vAlign w:val="bottom"/>
            <w:vMerge w:val="restart"/>
          </w:tcPr>
          <w:p>
            <w:pPr>
              <w:ind w:left="4860"/>
              <w:spacing w:after="0"/>
              <w:rPr>
                <w:sz w:val="20"/>
                <w:szCs w:val="20"/>
                <w:color w:val="auto"/>
              </w:rPr>
            </w:pPr>
            <w:r>
              <w:rPr>
                <w:rFonts w:ascii="Arial" w:cs="Arial" w:eastAsia="Arial" w:hAnsi="Arial"/>
                <w:sz w:val="13"/>
                <w:szCs w:val="13"/>
                <w:color w:val="auto"/>
              </w:rPr>
              <w:t>F-21</w:t>
            </w: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80" w:type="dxa"/>
            <w:vAlign w:val="bottom"/>
          </w:tcPr>
          <w:p>
            <w:pPr>
              <w:spacing w:after="0"/>
              <w:rPr>
                <w:sz w:val="23"/>
                <w:szCs w:val="23"/>
                <w:color w:val="auto"/>
              </w:rPr>
            </w:pPr>
          </w:p>
        </w:tc>
        <w:tc>
          <w:tcPr>
            <w:tcW w:w="94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94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September 30, 2009, the Company’s available-for-sale securities had the following maturity dates:</w:t>
      </w:r>
    </w:p>
    <w:p>
      <w:pPr>
        <w:spacing w:after="0" w:line="106" w:lineRule="exact"/>
        <w:rPr>
          <w:sz w:val="20"/>
          <w:szCs w:val="20"/>
          <w:color w:val="auto"/>
        </w:rPr>
      </w:pPr>
    </w:p>
    <w:p>
      <w:pPr>
        <w:jc w:val="right"/>
        <w:ind w:right="320"/>
        <w:spacing w:after="0"/>
        <w:rPr>
          <w:sz w:val="20"/>
          <w:szCs w:val="20"/>
          <w:color w:val="auto"/>
        </w:rPr>
      </w:pPr>
      <w:r>
        <w:rPr>
          <w:rFonts w:ascii="Arial" w:cs="Arial" w:eastAsia="Arial" w:hAnsi="Arial"/>
          <w:sz w:val="11"/>
          <w:szCs w:val="11"/>
          <w:b w:val="1"/>
          <w:bCs w:val="1"/>
          <w:color w:val="auto"/>
        </w:rPr>
        <w:t>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635</wp:posOffset>
            </wp:positionV>
            <wp:extent cx="69723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7230" cy="63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p>
      <w:pPr>
        <w:spacing w:after="0" w:line="4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-87630</wp:posOffset>
            </wp:positionV>
            <wp:extent cx="6334125" cy="102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Due within two years</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Due within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Due within four years</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37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6 —</w:t>
      </w:r>
      <w:r>
        <w:rPr>
          <w:sz w:val="20"/>
          <w:szCs w:val="20"/>
          <w:color w:val="auto"/>
        </w:rPr>
        <w:tab/>
      </w:r>
      <w:r>
        <w:rPr>
          <w:rFonts w:ascii="Arial" w:cs="Arial" w:eastAsia="Arial" w:hAnsi="Arial"/>
          <w:sz w:val="12"/>
          <w:szCs w:val="12"/>
          <w:b w:val="1"/>
          <w:bCs w:val="1"/>
          <w:color w:val="auto"/>
        </w:rPr>
        <w:t>Derivative Financial Instruments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665" w:hanging="665"/>
        <w:spacing w:after="0"/>
        <w:tabs>
          <w:tab w:leader="none" w:pos="665" w:val="left"/>
        </w:tabs>
        <w:numPr>
          <w:ilvl w:val="0"/>
          <w:numId w:val="50"/>
        </w:numPr>
        <w:rPr>
          <w:rFonts w:ascii="Arial" w:cs="Arial" w:eastAsia="Arial" w:hAnsi="Arial"/>
          <w:sz w:val="12"/>
          <w:szCs w:val="12"/>
          <w:color w:val="auto"/>
        </w:rPr>
      </w:pPr>
      <w:r>
        <w:rPr>
          <w:rFonts w:ascii="Arial" w:cs="Arial" w:eastAsia="Arial" w:hAnsi="Arial"/>
          <w:sz w:val="12"/>
          <w:szCs w:val="12"/>
          <w:color w:val="auto"/>
        </w:rPr>
        <w:t>737,698</w:t>
      </w:r>
    </w:p>
    <w:p>
      <w:pPr>
        <w:spacing w:after="0" w:line="33" w:lineRule="exact"/>
        <w:rPr>
          <w:rFonts w:ascii="Arial" w:cs="Arial" w:eastAsia="Arial" w:hAnsi="Arial"/>
          <w:sz w:val="12"/>
          <w:szCs w:val="12"/>
          <w:color w:val="auto"/>
        </w:rPr>
      </w:pPr>
    </w:p>
    <w:p>
      <w:pPr>
        <w:ind w:left="665"/>
        <w:spacing w:after="0"/>
        <w:rPr>
          <w:rFonts w:ascii="Arial" w:cs="Arial" w:eastAsia="Arial" w:hAnsi="Arial"/>
          <w:sz w:val="12"/>
          <w:szCs w:val="12"/>
          <w:color w:val="auto"/>
        </w:rPr>
      </w:pPr>
      <w:r>
        <w:rPr>
          <w:rFonts w:ascii="Arial" w:cs="Arial" w:eastAsia="Arial" w:hAnsi="Arial"/>
          <w:sz w:val="12"/>
          <w:szCs w:val="12"/>
          <w:color w:val="auto"/>
        </w:rPr>
        <w:t>123,929</w:t>
      </w:r>
    </w:p>
    <w:p>
      <w:pPr>
        <w:spacing w:after="0" w:line="23" w:lineRule="exact"/>
        <w:rPr>
          <w:rFonts w:ascii="Arial" w:cs="Arial" w:eastAsia="Arial" w:hAnsi="Arial"/>
          <w:sz w:val="12"/>
          <w:szCs w:val="12"/>
          <w:color w:val="auto"/>
        </w:rPr>
      </w:pPr>
    </w:p>
    <w:p>
      <w:pPr>
        <w:ind w:left="725"/>
        <w:spacing w:after="0"/>
        <w:rPr>
          <w:rFonts w:ascii="Arial" w:cs="Arial" w:eastAsia="Arial" w:hAnsi="Arial"/>
          <w:sz w:val="12"/>
          <w:szCs w:val="12"/>
          <w:color w:val="auto"/>
        </w:rPr>
      </w:pPr>
      <w:r>
        <w:rPr>
          <w:rFonts w:ascii="Arial" w:cs="Arial" w:eastAsia="Arial" w:hAnsi="Arial"/>
          <w:sz w:val="12"/>
          <w:szCs w:val="12"/>
          <w:color w:val="auto"/>
        </w:rPr>
        <w:t>81,520</w:t>
      </w:r>
    </w:p>
    <w:p>
      <w:pPr>
        <w:spacing w:after="0" w:line="23" w:lineRule="exact"/>
        <w:rPr>
          <w:rFonts w:ascii="Arial" w:cs="Arial" w:eastAsia="Arial" w:hAnsi="Arial"/>
          <w:sz w:val="12"/>
          <w:szCs w:val="12"/>
          <w:color w:val="auto"/>
        </w:rPr>
      </w:pPr>
    </w:p>
    <w:p>
      <w:pPr>
        <w:ind w:left="725"/>
        <w:spacing w:after="0"/>
        <w:rPr>
          <w:rFonts w:ascii="Arial" w:cs="Arial" w:eastAsia="Arial" w:hAnsi="Arial"/>
          <w:sz w:val="12"/>
          <w:szCs w:val="12"/>
          <w:color w:val="auto"/>
        </w:rPr>
      </w:pPr>
      <w:r>
        <w:rPr>
          <w:rFonts w:ascii="Arial" w:cs="Arial" w:eastAsia="Arial" w:hAnsi="Arial"/>
          <w:sz w:val="12"/>
          <w:szCs w:val="12"/>
          <w:color w:val="auto"/>
        </w:rPr>
        <w:t>31,965</w:t>
      </w:r>
    </w:p>
    <w:p>
      <w:pPr>
        <w:spacing w:after="0" w:line="23" w:lineRule="exact"/>
        <w:rPr>
          <w:rFonts w:ascii="Arial" w:cs="Arial" w:eastAsia="Arial" w:hAnsi="Arial"/>
          <w:sz w:val="12"/>
          <w:szCs w:val="12"/>
          <w:color w:val="auto"/>
        </w:rPr>
      </w:pPr>
    </w:p>
    <w:p>
      <w:pPr>
        <w:ind w:left="725"/>
        <w:spacing w:after="0"/>
        <w:rPr>
          <w:rFonts w:ascii="Arial" w:cs="Arial" w:eastAsia="Arial" w:hAnsi="Arial"/>
          <w:sz w:val="12"/>
          <w:szCs w:val="12"/>
          <w:color w:val="auto"/>
        </w:rPr>
      </w:pPr>
      <w:r>
        <w:rPr>
          <w:rFonts w:ascii="Arial" w:cs="Arial" w:eastAsia="Arial" w:hAnsi="Arial"/>
          <w:sz w:val="12"/>
          <w:szCs w:val="12"/>
          <w:color w:val="auto"/>
        </w:rPr>
        <w:t>44,634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69723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7230" cy="6350"/>
                    </a:xfrm>
                    <a:prstGeom prst="rect">
                      <a:avLst/>
                    </a:prstGeom>
                    <a:noFill/>
                  </pic:spPr>
                </pic:pic>
              </a:graphicData>
            </a:graphic>
          </wp:anchor>
        </w:drawing>
      </w:r>
    </w:p>
    <w:p>
      <w:pPr>
        <w:spacing w:after="0" w:line="13" w:lineRule="exact"/>
        <w:rPr>
          <w:sz w:val="20"/>
          <w:szCs w:val="20"/>
          <w:color w:val="auto"/>
        </w:rPr>
      </w:pPr>
    </w:p>
    <w:p>
      <w:pPr>
        <w:ind w:left="565" w:hanging="565"/>
        <w:spacing w:after="0"/>
        <w:tabs>
          <w:tab w:leader="none" w:pos="565" w:val="left"/>
        </w:tabs>
        <w:numPr>
          <w:ilvl w:val="0"/>
          <w:numId w:val="51"/>
        </w:numPr>
        <w:rPr>
          <w:rFonts w:ascii="Arial" w:cs="Arial" w:eastAsia="Arial" w:hAnsi="Arial"/>
          <w:sz w:val="12"/>
          <w:szCs w:val="12"/>
          <w:color w:val="auto"/>
        </w:rPr>
      </w:pPr>
      <w:r>
        <w:rPr>
          <w:rFonts w:ascii="Arial" w:cs="Arial" w:eastAsia="Arial" w:hAnsi="Arial"/>
          <w:sz w:val="12"/>
          <w:szCs w:val="12"/>
          <w:color w:val="auto"/>
        </w:rPr>
        <w:t>1,019,746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69723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723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69723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7230" cy="6350"/>
                    </a:xfrm>
                    <a:prstGeom prst="rect">
                      <a:avLst/>
                    </a:prstGeom>
                    <a:noFill/>
                  </pic:spPr>
                </pic:pic>
              </a:graphicData>
            </a:graphic>
          </wp:anchor>
        </w:drawing>
      </w:r>
    </w:p>
    <w:p>
      <w:pPr>
        <w:spacing w:after="0" w:line="486" w:lineRule="exact"/>
        <w:rPr>
          <w:sz w:val="20"/>
          <w:szCs w:val="20"/>
          <w:color w:val="auto"/>
        </w:rPr>
      </w:pPr>
    </w:p>
    <w:p>
      <w:pPr>
        <w:sectPr>
          <w:pgSz w:w="11900" w:h="16838" w:orient="portrait"/>
          <w:cols w:equalWidth="0" w:num="2">
            <w:col w:w="8755" w:space="720"/>
            <w:col w:w="1185"/>
          </w:cols>
          <w:pgMar w:left="220" w:top="349" w:right="1019" w:bottom="1440" w:gutter="0" w:footer="0" w:header="0"/>
          <w:type w:val="continuous"/>
        </w:sectPr>
      </w:pPr>
    </w:p>
    <w:p>
      <w:pPr>
        <w:ind w:left="680" w:right="360" w:firstLine="399"/>
        <w:spacing w:after="0" w:line="294" w:lineRule="auto"/>
        <w:rPr>
          <w:sz w:val="20"/>
          <w:szCs w:val="20"/>
          <w:color w:val="auto"/>
        </w:rPr>
      </w:pPr>
      <w:r>
        <w:rPr>
          <w:rFonts w:ascii="Arial" w:cs="Arial" w:eastAsia="Arial" w:hAnsi="Arial"/>
          <w:sz w:val="13"/>
          <w:szCs w:val="13"/>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47"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$19,630 as of September 30, 2009. The Company has limited its credit risk by entering into derivative transactions exclusively with investment-grade rated financial institutions and monitors the creditworthiness of these financial institutions on an ongoing basis.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classifies cash flows from its derivative transactions as cash flows from operating activities in the consolidated statements of cash flow.</w:t>
      </w:r>
    </w:p>
    <w:p>
      <w:pPr>
        <w:spacing w:after="0" w:line="10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table below presents the total volume or notional amounts of the Company’s derivative instruments as of September 30, 2009. Notional values are U.S. dollar translated and calculated based on forward rates as of September 30, 2009 for forward contracts and based on spot rates as of September 30, 2009 for options.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360" w:type="dxa"/>
            <w:vAlign w:val="bottom"/>
          </w:tcPr>
          <w:p>
            <w:pPr>
              <w:spacing w:after="0"/>
              <w:rPr>
                <w:sz w:val="11"/>
                <w:szCs w:val="11"/>
                <w:color w:val="auto"/>
              </w:rPr>
            </w:pPr>
          </w:p>
        </w:tc>
        <w:tc>
          <w:tcPr>
            <w:tcW w:w="162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Notional Value*</w:t>
            </w:r>
          </w:p>
        </w:tc>
      </w:tr>
      <w:tr>
        <w:trPr>
          <w:trHeight w:val="191"/>
        </w:trPr>
        <w:tc>
          <w:tcPr>
            <w:tcW w:w="836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620" w:type="dxa"/>
            <w:vAlign w:val="bottom"/>
          </w:tcPr>
          <w:p>
            <w:pPr>
              <w:jc w:val="right"/>
              <w:ind w:right="540"/>
              <w:spacing w:after="0"/>
              <w:rPr>
                <w:sz w:val="20"/>
                <w:szCs w:val="20"/>
                <w:color w:val="auto"/>
              </w:rPr>
            </w:pPr>
            <w:r>
              <w:rPr>
                <w:rFonts w:ascii="Arial" w:cs="Arial" w:eastAsia="Arial" w:hAnsi="Arial"/>
                <w:sz w:val="13"/>
                <w:szCs w:val="13"/>
                <w:color w:val="auto"/>
              </w:rPr>
              <w:t>$524,318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38735</wp:posOffset>
            </wp:positionV>
            <wp:extent cx="81915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9150" cy="6350"/>
                    </a:xfrm>
                    <a:prstGeom prst="rect">
                      <a:avLst/>
                    </a:prstGeom>
                    <a:noFill/>
                  </pic:spPr>
                </pic:pic>
              </a:graphicData>
            </a:graphic>
          </wp:anchor>
        </w:drawing>
      </w:r>
    </w:p>
    <w:p>
      <w:pPr>
        <w:spacing w:after="0" w:line="90" w:lineRule="exact"/>
        <w:rPr>
          <w:sz w:val="20"/>
          <w:szCs w:val="20"/>
          <w:color w:val="auto"/>
        </w:rPr>
      </w:pPr>
    </w:p>
    <w:p>
      <w:pPr>
        <w:ind w:left="5540" w:right="280" w:hanging="3910"/>
        <w:spacing w:after="0" w:line="763" w:lineRule="auto"/>
        <w:tabs>
          <w:tab w:leader="none" w:pos="1878" w:val="left"/>
        </w:tabs>
        <w:numPr>
          <w:ilvl w:val="0"/>
          <w:numId w:val="52"/>
        </w:numPr>
        <w:rPr>
          <w:rFonts w:ascii="Arial" w:cs="Arial" w:eastAsia="Arial" w:hAnsi="Arial"/>
          <w:sz w:val="13"/>
          <w:szCs w:val="13"/>
          <w:color w:val="auto"/>
        </w:rPr>
      </w:pPr>
      <w:r>
        <w:rPr>
          <w:rFonts w:ascii="Arial" w:cs="Arial" w:eastAsia="Arial" w:hAnsi="Arial"/>
          <w:sz w:val="13"/>
          <w:szCs w:val="13"/>
          <w:color w:val="auto"/>
        </w:rPr>
        <w:t>Gross notional amounts do not quantify risk or represent assets or liabilities of the Company, but are used in the calculation of settlements under the contracts. 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8789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type w:val="continuous"/>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The Company records all derivative instruments on the balance sheet at fair value. Please see Note 4 to the consolidated financial statements. The fair value of the open foreign exchange contracts recorded by the Company on its consolidated balance sheets as of September 30, 2009, as an asset or a liability is as follows:</w:t>
      </w:r>
    </w:p>
    <w:p>
      <w:pPr>
        <w:sectPr>
          <w:pgSz w:w="11900" w:h="16838" w:orient="portrait"/>
          <w:cols w:equalWidth="0" w:num="1">
            <w:col w:w="10660"/>
          </w:cols>
          <w:pgMar w:left="220" w:top="349" w:right="1019" w:bottom="1440" w:gutter="0" w:footer="0" w:header="0"/>
        </w:sectPr>
      </w:pPr>
    </w:p>
    <w:p>
      <w:pPr>
        <w:spacing w:after="0" w:line="218" w:lineRule="exact"/>
        <w:rPr>
          <w:sz w:val="20"/>
          <w:szCs w:val="20"/>
          <w:color w:val="auto"/>
        </w:rPr>
      </w:pPr>
    </w:p>
    <w:p>
      <w:pPr>
        <w:ind w:left="680"/>
        <w:spacing w:after="0"/>
        <w:rPr>
          <w:sz w:val="20"/>
          <w:szCs w:val="20"/>
          <w:color w:val="auto"/>
        </w:rPr>
      </w:pPr>
      <w:r>
        <w:rPr>
          <w:rFonts w:ascii="Arial" w:cs="Arial" w:eastAsia="Arial" w:hAnsi="Arial"/>
          <w:sz w:val="12"/>
          <w:szCs w:val="12"/>
          <w:b w:val="1"/>
          <w:bCs w:val="1"/>
          <w:i w:val="1"/>
          <w:i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-80010</wp:posOffset>
            </wp:positionV>
            <wp:extent cx="6334125" cy="1022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14" w:lineRule="exact"/>
        <w:rPr>
          <w:sz w:val="20"/>
          <w:szCs w:val="20"/>
          <w:color w:val="auto"/>
        </w:rPr>
      </w:pPr>
    </w:p>
    <w:p>
      <w:pPr>
        <w:ind w:left="820"/>
        <w:spacing w:after="0"/>
        <w:rPr>
          <w:sz w:val="20"/>
          <w:szCs w:val="20"/>
          <w:color w:val="auto"/>
        </w:rPr>
      </w:pPr>
      <w:r>
        <w:rPr>
          <w:rFonts w:ascii="Arial" w:cs="Arial" w:eastAsia="Arial" w:hAnsi="Arial"/>
          <w:sz w:val="13"/>
          <w:szCs w:val="13"/>
          <w:color w:val="auto"/>
        </w:rPr>
        <w:t>Prepaid expenses and other current assets</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3"/>
          <w:szCs w:val="13"/>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Accrued expenses and other current liabilities</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3"/>
          <w:szCs w:val="13"/>
          <w:color w:val="auto"/>
        </w:rPr>
        <w:t>Noncurrent liabilities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1"/>
          <w:szCs w:val="11"/>
          <w:b w:val="1"/>
          <w:bCs w:val="1"/>
          <w:i w:val="1"/>
          <w:i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-73025</wp:posOffset>
            </wp:positionV>
            <wp:extent cx="6334125" cy="1022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25" w:lineRule="exact"/>
        <w:rPr>
          <w:sz w:val="20"/>
          <w:szCs w:val="20"/>
          <w:color w:val="auto"/>
        </w:rPr>
      </w:pPr>
    </w:p>
    <w:p>
      <w:pPr>
        <w:ind w:left="820"/>
        <w:spacing w:after="0"/>
        <w:rPr>
          <w:sz w:val="20"/>
          <w:szCs w:val="20"/>
          <w:color w:val="auto"/>
        </w:rPr>
      </w:pPr>
      <w:r>
        <w:rPr>
          <w:rFonts w:ascii="Arial" w:cs="Arial" w:eastAsia="Arial" w:hAnsi="Arial"/>
          <w:sz w:val="13"/>
          <w:szCs w:val="13"/>
          <w:color w:val="auto"/>
        </w:rPr>
        <w:t>Prepaid expenses and other current assets</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3"/>
          <w:szCs w:val="13"/>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-87630</wp:posOffset>
            </wp:positionV>
            <wp:extent cx="6334125" cy="1022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 Hedges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3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right"/>
              <w:ind w:right="454"/>
              <w:spacing w:after="0"/>
              <w:rPr>
                <w:sz w:val="20"/>
                <w:szCs w:val="20"/>
                <w:color w:val="auto"/>
              </w:rPr>
            </w:pPr>
            <w:r>
              <w:rPr>
                <w:rFonts w:ascii="Arial" w:cs="Arial" w:eastAsia="Arial" w:hAnsi="Arial"/>
                <w:sz w:val="11"/>
                <w:szCs w:val="11"/>
                <w:b w:val="1"/>
                <w:bCs w:val="1"/>
                <w:color w:val="auto"/>
              </w:rPr>
              <w:t>As of September 30, 2009</w:t>
            </w:r>
          </w:p>
        </w:tc>
        <w:tc>
          <w:tcPr>
            <w:tcW w:w="40" w:type="dxa"/>
            <w:vAlign w:val="bottom"/>
            <w:gridSpan w:val="2"/>
          </w:tcPr>
          <w:p>
            <w:pPr>
              <w:spacing w:after="0"/>
              <w:rPr>
                <w:sz w:val="11"/>
                <w:szCs w:val="11"/>
                <w:color w:val="auto"/>
              </w:rPr>
            </w:pPr>
          </w:p>
        </w:tc>
      </w:tr>
      <w:tr>
        <w:trPr>
          <w:trHeight w:val="342"/>
        </w:trPr>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920" w:type="dxa"/>
            <w:vAlign w:val="bottom"/>
            <w:gridSpan w:val="2"/>
          </w:tcPr>
          <w:p>
            <w:pPr>
              <w:jc w:val="right"/>
              <w:ind w:right="20"/>
              <w:spacing w:after="0"/>
              <w:rPr>
                <w:sz w:val="20"/>
                <w:szCs w:val="20"/>
                <w:color w:val="auto"/>
              </w:rPr>
            </w:pPr>
            <w:r>
              <w:rPr>
                <w:rFonts w:ascii="Arial" w:cs="Arial" w:eastAsia="Arial" w:hAnsi="Arial"/>
                <w:sz w:val="13"/>
                <w:szCs w:val="13"/>
                <w:color w:val="auto"/>
              </w:rPr>
              <w:t>19,023</w:t>
            </w:r>
          </w:p>
        </w:tc>
        <w:tc>
          <w:tcPr>
            <w:tcW w:w="20" w:type="dxa"/>
            <w:vAlign w:val="bottom"/>
          </w:tcPr>
          <w:p>
            <w:pPr>
              <w:spacing w:after="0"/>
              <w:rPr>
                <w:sz w:val="24"/>
                <w:szCs w:val="24"/>
                <w:color w:val="auto"/>
              </w:rPr>
            </w:pPr>
          </w:p>
        </w:tc>
      </w:tr>
      <w:tr>
        <w:trPr>
          <w:trHeight w:val="161"/>
        </w:trPr>
        <w:tc>
          <w:tcPr>
            <w:tcW w:w="300" w:type="dxa"/>
            <w:vAlign w:val="bottom"/>
          </w:tcPr>
          <w:p>
            <w:pPr>
              <w:spacing w:after="0"/>
              <w:rPr>
                <w:sz w:val="14"/>
                <w:szCs w:val="14"/>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r>
      <w:tr>
        <w:trPr>
          <w:trHeight w:val="161"/>
        </w:trPr>
        <w:tc>
          <w:tcPr>
            <w:tcW w:w="3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3"/>
                <w:szCs w:val="13"/>
                <w:color w:val="auto"/>
              </w:rPr>
              <w:t>(3,709)</w:t>
            </w:r>
          </w:p>
        </w:tc>
      </w:tr>
      <w:tr>
        <w:trPr>
          <w:trHeight w:val="172"/>
        </w:trPr>
        <w:tc>
          <w:tcPr>
            <w:tcW w:w="3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3"/>
                <w:szCs w:val="13"/>
                <w:color w:val="auto"/>
              </w:rPr>
              <w:t>(32)</w:t>
            </w:r>
          </w:p>
        </w:tc>
      </w:tr>
      <w:tr>
        <w:trPr>
          <w:trHeight w:val="162"/>
        </w:trPr>
        <w:tc>
          <w:tcPr>
            <w:tcW w:w="3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15,306</w:t>
            </w:r>
          </w:p>
        </w:tc>
        <w:tc>
          <w:tcPr>
            <w:tcW w:w="20" w:type="dxa"/>
            <w:vAlign w:val="bottom"/>
          </w:tcPr>
          <w:p>
            <w:pPr>
              <w:spacing w:after="0"/>
              <w:rPr>
                <w:sz w:val="14"/>
                <w:szCs w:val="14"/>
                <w:color w:val="auto"/>
              </w:rPr>
            </w:pPr>
          </w:p>
        </w:tc>
      </w:tr>
      <w:tr>
        <w:trPr>
          <w:trHeight w:val="311"/>
        </w:trPr>
        <w:tc>
          <w:tcPr>
            <w:tcW w:w="300" w:type="dxa"/>
            <w:vAlign w:val="bottom"/>
          </w:tcPr>
          <w:p>
            <w:pPr>
              <w:spacing w:after="0"/>
              <w:rPr>
                <w:sz w:val="24"/>
                <w:szCs w:val="24"/>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3"/>
                <w:szCs w:val="13"/>
                <w:color w:val="auto"/>
              </w:rPr>
              <w:t>583</w:t>
            </w:r>
          </w:p>
        </w:tc>
        <w:tc>
          <w:tcPr>
            <w:tcW w:w="20" w:type="dxa"/>
            <w:vAlign w:val="bottom"/>
          </w:tcPr>
          <w:p>
            <w:pPr>
              <w:spacing w:after="0"/>
              <w:rPr>
                <w:sz w:val="24"/>
                <w:szCs w:val="24"/>
                <w:color w:val="auto"/>
              </w:rPr>
            </w:pPr>
          </w:p>
        </w:tc>
      </w:tr>
      <w:tr>
        <w:trPr>
          <w:trHeight w:val="172"/>
        </w:trPr>
        <w:tc>
          <w:tcPr>
            <w:tcW w:w="3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3"/>
                <w:szCs w:val="13"/>
                <w:color w:val="auto"/>
              </w:rPr>
              <w:t>(2,007)</w:t>
            </w:r>
          </w:p>
        </w:tc>
      </w:tr>
      <w:tr>
        <w:trPr>
          <w:trHeight w:val="162"/>
        </w:trPr>
        <w:tc>
          <w:tcPr>
            <w:tcW w:w="30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(1,424)</w:t>
            </w:r>
          </w:p>
        </w:tc>
        <w:tc>
          <w:tcPr>
            <w:tcW w:w="40" w:type="dxa"/>
            <w:vAlign w:val="bottom"/>
            <w:gridSpan w:val="2"/>
          </w:tcPr>
          <w:p>
            <w:pPr>
              <w:spacing w:after="0"/>
              <w:rPr>
                <w:sz w:val="14"/>
                <w:szCs w:val="14"/>
                <w:color w:val="auto"/>
              </w:rPr>
            </w:pPr>
          </w:p>
        </w:tc>
      </w:tr>
      <w:tr>
        <w:trPr>
          <w:trHeight w:val="161"/>
        </w:trPr>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13,882</w:t>
            </w:r>
          </w:p>
        </w:tc>
        <w:tc>
          <w:tcPr>
            <w:tcW w:w="20" w:type="dxa"/>
            <w:vAlign w:val="bottom"/>
          </w:tcPr>
          <w:p>
            <w:pPr>
              <w:spacing w:after="0"/>
              <w:rPr>
                <w:sz w:val="14"/>
                <w:szCs w:val="14"/>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1" w:lineRule="exact"/>
        <w:rPr>
          <w:sz w:val="20"/>
          <w:szCs w:val="20"/>
          <w:color w:val="auto"/>
        </w:rPr>
      </w:pPr>
    </w:p>
    <w:p>
      <w:pPr>
        <w:sectPr>
          <w:pgSz w:w="11900" w:h="16838" w:orient="portrait"/>
          <w:cols w:equalWidth="0" w:num="2">
            <w:col w:w="7660" w:space="720"/>
            <w:col w:w="2280"/>
          </w:cols>
          <w:pgMar w:left="220" w:top="349" w:right="1019" w:bottom="1440" w:gutter="0" w:footer="0" w:header="0"/>
          <w:type w:val="continuous"/>
        </w:sectPr>
      </w:pPr>
    </w:p>
    <w:p>
      <w:pPr>
        <w:ind w:left="680" w:firstLine="399"/>
        <w:spacing w:after="0" w:line="267" w:lineRule="auto"/>
        <w:rPr>
          <w:sz w:val="20"/>
          <w:szCs w:val="20"/>
          <w:color w:val="auto"/>
        </w:rPr>
      </w:pPr>
      <w:r>
        <w:rPr>
          <w:rFonts w:ascii="Arial" w:cs="Arial" w:eastAsia="Arial" w:hAnsi="Arial"/>
          <w:sz w:val="13"/>
          <w:szCs w:val="13"/>
          <w:color w:val="auto"/>
        </w:rPr>
        <w:t>In order to reduce the impact of changes in foreign currency exchange rates on its results, the Company enters into foreign currency exchange forward contracts and options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contracts and options outstanding as of September 30, 2009 are expected to mature within the next 12 months).</w:t>
      </w:r>
    </w:p>
    <w:p>
      <w:pPr>
        <w:spacing w:after="0" w:line="65"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The effective portion of the gain or loss on the derivative instruments is initially recorded as a component of other comprehensive income (loss),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receipts from customers, are recognized immediately in interest (expense) income and other, net.</w:t>
      </w:r>
    </w:p>
    <w:p>
      <w:pPr>
        <w:spacing w:after="0" w:line="51"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Gain or loss on the derivative instruments, which partially offset the foreign currency impact from the underlying exposures, reclassified from other comprehensive income into revenue, cost of service, research and development and selling, general and administrative for the nine months ended September 30, 2009 were $3,039, $(17,679), $(2,836) and $(2,483), respectively (an aggregate of $(19,614), net of taxes). The ineffective portion of the change in fair value of a cash flow hedge, including the time value portion excluded from effectiveness testing for the nine months ended September 30, 2009, was not material.</w:t>
      </w:r>
    </w:p>
    <w:p>
      <w:pPr>
        <w:spacing w:after="0" w:line="63"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As of September 30, 2009, amounts related to derivatives designated as cash flow hedges and recorded in accumulated other comprehensive income totaled $12,936 which will be reclassified into earnings within the next 12 months and will partially offset the foreign currency impact from the underlying exposures. The amount ultimately realized in earnings will likely differ due to future changes in foreign exchange rates. Gains</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type w:val="continuous"/>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(losses) from cash flow hedges recognized in other comprehensive income during the nine months ended September 30, 2009 were $4,152, or $3,841 net of taxes.</w:t>
      </w:r>
    </w:p>
    <w:p>
      <w:pPr>
        <w:spacing w:after="0" w:line="102" w:lineRule="exact"/>
        <w:rPr>
          <w:sz w:val="20"/>
          <w:szCs w:val="20"/>
          <w:color w:val="auto"/>
        </w:rPr>
      </w:pPr>
    </w:p>
    <w:p>
      <w:pPr>
        <w:ind w:left="680" w:right="460" w:firstLine="399"/>
        <w:spacing w:after="0" w:line="338" w:lineRule="auto"/>
        <w:rPr>
          <w:sz w:val="20"/>
          <w:szCs w:val="20"/>
          <w:color w:val="auto"/>
        </w:rPr>
      </w:pPr>
      <w:r>
        <w:rPr>
          <w:rFonts w:ascii="Arial" w:cs="Arial" w:eastAsia="Arial" w:hAnsi="Arial"/>
          <w:sz w:val="12"/>
          <w:szCs w:val="12"/>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discontinuances in the normal course of business.</w:t>
      </w:r>
    </w:p>
    <w:p>
      <w:pPr>
        <w:sectPr>
          <w:pgSz w:w="11900" w:h="16838" w:orient="portrait"/>
          <w:cols w:equalWidth="0" w:num="1">
            <w:col w:w="10660"/>
          </w:cols>
          <w:pgMar w:left="220" w:top="349" w:right="1019" w:bottom="1440" w:gutter="0" w:footer="0" w:header="0"/>
        </w:sectPr>
      </w:pP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activity related to the changes in net unrealized (losses) gains on cash flow hedges, net of tax, is as follows: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Net unrealized losses on cash flow hedges, net of tax,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-87630</wp:posOffset>
            </wp:positionV>
            <wp:extent cx="6334125" cy="1022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associated with hedging transactions, net of tax $(311)</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Reclassification into earnings, net of tax $(344)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Net unrealized gains on cash flow hedges, net of tax, as of September 30, 2009</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282" w:hanging="282"/>
        <w:spacing w:after="0"/>
        <w:tabs>
          <w:tab w:leader="none" w:pos="282" w:val="left"/>
        </w:tabs>
        <w:numPr>
          <w:ilvl w:val="0"/>
          <w:numId w:val="53"/>
        </w:numPr>
        <w:rPr>
          <w:rFonts w:ascii="Arial" w:cs="Arial" w:eastAsia="Arial" w:hAnsi="Arial"/>
          <w:sz w:val="12"/>
          <w:szCs w:val="12"/>
          <w:color w:val="auto"/>
        </w:rPr>
      </w:pPr>
      <w:r>
        <w:rPr>
          <w:rFonts w:ascii="Arial" w:cs="Arial" w:eastAsia="Arial" w:hAnsi="Arial"/>
          <w:sz w:val="12"/>
          <w:szCs w:val="12"/>
          <w:color w:val="auto"/>
        </w:rPr>
        <w:t>(10,519)</w:t>
      </w:r>
    </w:p>
    <w:p>
      <w:pPr>
        <w:spacing w:after="0" w:line="33" w:lineRule="exact"/>
        <w:rPr>
          <w:rFonts w:ascii="Arial" w:cs="Arial" w:eastAsia="Arial" w:hAnsi="Arial"/>
          <w:sz w:val="12"/>
          <w:szCs w:val="12"/>
          <w:color w:val="auto"/>
        </w:rPr>
      </w:pPr>
    </w:p>
    <w:p>
      <w:pPr>
        <w:ind w:left="402"/>
        <w:spacing w:after="0"/>
        <w:rPr>
          <w:rFonts w:ascii="Arial" w:cs="Arial" w:eastAsia="Arial" w:hAnsi="Arial"/>
          <w:sz w:val="12"/>
          <w:szCs w:val="12"/>
          <w:color w:val="auto"/>
        </w:rPr>
      </w:pPr>
      <w:r>
        <w:rPr>
          <w:rFonts w:ascii="Arial" w:cs="Arial" w:eastAsia="Arial" w:hAnsi="Arial"/>
          <w:sz w:val="13"/>
          <w:szCs w:val="13"/>
          <w:color w:val="auto"/>
        </w:rPr>
        <w:t>3,841</w:t>
      </w:r>
    </w:p>
    <w:p>
      <w:pPr>
        <w:spacing w:after="0" w:line="12" w:lineRule="exact"/>
        <w:rPr>
          <w:sz w:val="20"/>
          <w:szCs w:val="20"/>
          <w:color w:val="auto"/>
        </w:rPr>
      </w:pPr>
    </w:p>
    <w:p>
      <w:pPr>
        <w:ind w:left="322"/>
        <w:spacing w:after="0"/>
        <w:rPr>
          <w:sz w:val="20"/>
          <w:szCs w:val="20"/>
          <w:color w:val="auto"/>
        </w:rPr>
      </w:pPr>
      <w:r>
        <w:rPr>
          <w:rFonts w:ascii="Arial" w:cs="Arial" w:eastAsia="Arial" w:hAnsi="Arial"/>
          <w:sz w:val="13"/>
          <w:szCs w:val="13"/>
          <w:color w:val="auto"/>
        </w:rPr>
        <w:t>19,614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4132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41325" cy="6350"/>
                    </a:xfrm>
                    <a:prstGeom prst="rect">
                      <a:avLst/>
                    </a:prstGeom>
                    <a:noFill/>
                  </pic:spPr>
                </pic:pic>
              </a:graphicData>
            </a:graphic>
          </wp:anchor>
        </w:drawing>
      </w:r>
    </w:p>
    <w:p>
      <w:pPr>
        <w:spacing w:after="0" w:line="1" w:lineRule="exact"/>
        <w:rPr>
          <w:sz w:val="20"/>
          <w:szCs w:val="20"/>
          <w:color w:val="auto"/>
        </w:rPr>
      </w:pPr>
    </w:p>
    <w:p>
      <w:pPr>
        <w:ind w:left="322" w:hanging="322"/>
        <w:spacing w:after="0"/>
        <w:tabs>
          <w:tab w:leader="none" w:pos="322" w:val="left"/>
        </w:tabs>
        <w:numPr>
          <w:ilvl w:val="0"/>
          <w:numId w:val="54"/>
        </w:numPr>
        <w:rPr>
          <w:rFonts w:ascii="Arial" w:cs="Arial" w:eastAsia="Arial" w:hAnsi="Arial"/>
          <w:sz w:val="13"/>
          <w:szCs w:val="13"/>
          <w:color w:val="auto"/>
        </w:rPr>
      </w:pPr>
      <w:r>
        <w:rPr>
          <w:rFonts w:ascii="Arial" w:cs="Arial" w:eastAsia="Arial" w:hAnsi="Arial"/>
          <w:sz w:val="13"/>
          <w:szCs w:val="13"/>
          <w:color w:val="auto"/>
        </w:rPr>
        <w:t>12,936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44132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4132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27305</wp:posOffset>
            </wp:positionV>
            <wp:extent cx="44132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132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58" w:space="720"/>
            <w:col w:w="782"/>
          </w:cols>
          <w:pgMar w:left="220" w:top="349" w:right="1019" w:bottom="1440" w:gutter="0" w:footer="0" w:header="0"/>
          <w:type w:val="continuous"/>
        </w:sectPr>
      </w:pPr>
    </w:p>
    <w:p>
      <w:pPr>
        <w:spacing w:after="0" w:line="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Risk Management Derivatives</w:t>
      </w:r>
    </w:p>
    <w:p>
      <w:pPr>
        <w:spacing w:after="0" w:line="102"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The Company also enters into foreign currency exchange forward contracts that are not designated as hedging instruments under hedge accounting and are used to reduce the impact of foreign currency on certain balance sheet exposures and certain revenue and expense.</w:t>
      </w:r>
    </w:p>
    <w:p>
      <w:pPr>
        <w:spacing w:after="0" w:line="47"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These instruments are generally short term in nature, with typical maturities of less than one year, and are subject to fluctuations in foreign exchange rates. Gains or losses on these derivatives, which partially offset the foreign currency impact from the underlying exposures, classified into revenue, cost of service, research and development, selling, general and administrative, interest (expense) income and other, net and income taxes for the nine months ended September 30, 2009 were $(4,395), $1,425, $(1,204), $920, $(10,761) and $(496), respectively.</w:t>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3"/>
                <w:szCs w:val="13"/>
                <w:b w:val="1"/>
                <w:bCs w:val="1"/>
                <w:color w:val="auto"/>
              </w:rPr>
              <w:t>Note 7 —</w:t>
            </w:r>
          </w:p>
        </w:tc>
        <w:tc>
          <w:tcPr>
            <w:tcW w:w="7120" w:type="dxa"/>
            <w:vAlign w:val="bottom"/>
          </w:tcPr>
          <w:p>
            <w:pPr>
              <w:ind w:left="140"/>
              <w:spacing w:after="0"/>
              <w:rPr>
                <w:sz w:val="20"/>
                <w:szCs w:val="20"/>
                <w:color w:val="auto"/>
              </w:rPr>
            </w:pPr>
            <w:r>
              <w:rPr>
                <w:rFonts w:ascii="Arial" w:cs="Arial" w:eastAsia="Arial" w:hAnsi="Arial"/>
                <w:sz w:val="13"/>
                <w:szCs w:val="13"/>
                <w:b w:val="1"/>
                <w:bCs w:val="1"/>
                <w:color w:val="auto"/>
              </w:rPr>
              <w:t>Accounts Receivable, Net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800" w:type="dxa"/>
            <w:vAlign w:val="bottom"/>
            <w:gridSpan w:val="2"/>
          </w:tcPr>
          <w:p>
            <w:pPr>
              <w:ind w:left="400"/>
              <w:spacing w:after="0"/>
              <w:rPr>
                <w:sz w:val="20"/>
                <w:szCs w:val="20"/>
                <w:color w:val="auto"/>
              </w:rPr>
            </w:pPr>
            <w:r>
              <w:rPr>
                <w:rFonts w:ascii="Arial" w:cs="Arial" w:eastAsia="Arial" w:hAnsi="Arial"/>
                <w:sz w:val="13"/>
                <w:szCs w:val="13"/>
                <w:color w:val="auto"/>
              </w:rPr>
              <w:t>Accounts receivable, net consists of the following:</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6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01"/>
        </w:trPr>
        <w:tc>
          <w:tcPr>
            <w:tcW w:w="680" w:type="dxa"/>
            <w:vAlign w:val="bottom"/>
          </w:tcPr>
          <w:p>
            <w:pPr>
              <w:spacing w:after="0"/>
              <w:rPr>
                <w:sz w:val="8"/>
                <w:szCs w:val="8"/>
                <w:color w:val="auto"/>
              </w:rPr>
            </w:pPr>
          </w:p>
        </w:tc>
        <w:tc>
          <w:tcPr>
            <w:tcW w:w="7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7"/>
              <w:spacing w:after="0" w:line="101" w:lineRule="exact"/>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36"/>
              <w:spacing w:after="0" w:line="101" w:lineRule="exact"/>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 — billed</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443,094</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560,064</w:t>
            </w: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Accounts receivable — unbilled</w:t>
            </w: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21,749</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48,264</w:t>
            </w: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 allowances(1)</w:t>
            </w:r>
          </w:p>
        </w:tc>
        <w:tc>
          <w:tcPr>
            <w:tcW w:w="1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(9,878)</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(34,564)</w:t>
            </w: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Accounts receivable, net</w:t>
            </w: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454,965</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573,764</w:t>
            </w:r>
          </w:p>
        </w:tc>
        <w:tc>
          <w:tcPr>
            <w:tcW w:w="8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880" w:right="60" w:hanging="250"/>
        <w:spacing w:after="0" w:line="294" w:lineRule="auto"/>
        <w:tabs>
          <w:tab w:leader="none" w:pos="18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decrease in accounts receivable allowances in fiscal 2009, was primarily attributable to a settlement with a customer in which the allowances were written off against the related accounts receivable and had no impact on revenue or net income in fiscal 2009.</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type w:val="continuous"/>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00" w:lineRule="exact"/>
        <w:rPr>
          <w:sz w:val="20"/>
          <w:szCs w:val="20"/>
          <w:color w:val="auto"/>
        </w:rPr>
      </w:pPr>
    </w:p>
    <w:p>
      <w:pPr>
        <w:spacing w:after="0" w:line="2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8 — Equipment and Leasehold Improvements, Net</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Components of equipment and leasehold improvements, net are:</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1"/>
                <w:szCs w:val="11"/>
                <w:b w:val="1"/>
                <w:bCs w:val="1"/>
                <w:color w:val="auto"/>
              </w:rPr>
              <w:t>As of September 30,</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101" w:lineRule="exact"/>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75"/>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r>
      <w:tr>
        <w:trPr>
          <w:trHeight w:val="30"/>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725,398</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671,126</w:t>
            </w: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Leasehold improvements</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145,539</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144,319</w:t>
            </w: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other</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53,179</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51,420</w:t>
            </w:r>
          </w:p>
        </w:tc>
      </w:tr>
      <w:tr>
        <w:trPr>
          <w:trHeight w:val="161"/>
        </w:trPr>
        <w:tc>
          <w:tcPr>
            <w:tcW w:w="76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924,116</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866,865</w:t>
            </w:r>
          </w:p>
        </w:tc>
        <w:tc>
          <w:tcPr>
            <w:tcW w:w="80" w:type="dxa"/>
            <w:vAlign w:val="bottom"/>
          </w:tcPr>
          <w:p>
            <w:pPr>
              <w:spacing w:after="0"/>
              <w:rPr>
                <w:sz w:val="14"/>
                <w:szCs w:val="14"/>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depreciation</w:t>
            </w:r>
          </w:p>
        </w:tc>
        <w:tc>
          <w:tcPr>
            <w:tcW w:w="2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(644,457)</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(549,784)</w:t>
            </w:r>
          </w:p>
        </w:tc>
      </w:tr>
      <w:tr>
        <w:trPr>
          <w:trHeight w:val="161"/>
        </w:trPr>
        <w:tc>
          <w:tcPr>
            <w:tcW w:w="76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279,659</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317,081</w:t>
            </w:r>
          </w:p>
        </w:tc>
        <w:tc>
          <w:tcPr>
            <w:tcW w:w="80" w:type="dxa"/>
            <w:vAlign w:val="bottom"/>
          </w:tcPr>
          <w:p>
            <w:pPr>
              <w:spacing w:after="0"/>
              <w:rPr>
                <w:sz w:val="14"/>
                <w:szCs w:val="14"/>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Total depreciation expense on equipment and leasehold improvements for fiscal years 2009, 2008 and 2007, was $110,365, $103,740 and $85,916, respectively.</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8800" w:type="dxa"/>
            <w:vAlign w:val="bottom"/>
          </w:tcPr>
          <w:p>
            <w:pPr>
              <w:spacing w:after="0"/>
              <w:rPr>
                <w:sz w:val="20"/>
                <w:szCs w:val="20"/>
                <w:color w:val="auto"/>
              </w:rPr>
            </w:pPr>
            <w:r>
              <w:rPr>
                <w:rFonts w:ascii="Arial" w:cs="Arial" w:eastAsia="Arial" w:hAnsi="Arial"/>
                <w:sz w:val="13"/>
                <w:szCs w:val="13"/>
                <w:b w:val="1"/>
                <w:bCs w:val="1"/>
                <w:color w:val="auto"/>
              </w:rPr>
              <w:t>Note 9 — Goodwill and Intangible Assets, Net</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8800" w:type="dxa"/>
            <w:vAlign w:val="bottom"/>
          </w:tcPr>
          <w:p>
            <w:pPr>
              <w:ind w:left="400"/>
              <w:spacing w:after="0"/>
              <w:rPr>
                <w:sz w:val="20"/>
                <w:szCs w:val="20"/>
                <w:color w:val="auto"/>
              </w:rPr>
            </w:pPr>
            <w:r>
              <w:rPr>
                <w:rFonts w:ascii="Arial" w:cs="Arial" w:eastAsia="Arial" w:hAnsi="Arial"/>
                <w:sz w:val="13"/>
                <w:szCs w:val="13"/>
                <w:color w:val="auto"/>
              </w:rPr>
              <w:t>The following table presents details of the Company’s total goodwill:</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01"/>
        </w:trPr>
        <w:tc>
          <w:tcPr>
            <w:tcW w:w="8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1"/>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As of October 1, 2007</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1,489,132</w:t>
            </w:r>
          </w:p>
        </w:tc>
      </w:tr>
      <w:tr>
        <w:trPr>
          <w:trHeight w:val="161"/>
        </w:trPr>
        <w:tc>
          <w:tcPr>
            <w:tcW w:w="8800" w:type="dxa"/>
            <w:vAlign w:val="bottom"/>
          </w:tcPr>
          <w:p>
            <w:pPr>
              <w:spacing w:after="0"/>
              <w:rPr>
                <w:sz w:val="20"/>
                <w:szCs w:val="20"/>
                <w:color w:val="auto"/>
              </w:rPr>
            </w:pPr>
            <w:r>
              <w:rPr>
                <w:rFonts w:ascii="Arial" w:cs="Arial" w:eastAsia="Arial" w:hAnsi="Arial"/>
                <w:sz w:val="13"/>
                <w:szCs w:val="13"/>
                <w:color w:val="auto"/>
              </w:rPr>
              <w:t>Increase in Cramer goodwill as a result of valuation allowance of pre-existing losses adjustment</w:t>
            </w:r>
          </w:p>
        </w:tc>
        <w:tc>
          <w:tcPr>
            <w:tcW w:w="3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19,653</w:t>
            </w:r>
          </w:p>
        </w:tc>
      </w:tr>
      <w:tr>
        <w:trPr>
          <w:trHeight w:val="161"/>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Other(1)</w:t>
            </w:r>
          </w:p>
        </w:tc>
        <w:tc>
          <w:tcPr>
            <w:tcW w:w="3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17,586</w:t>
            </w:r>
          </w:p>
        </w:tc>
      </w:tr>
      <w:tr>
        <w:trPr>
          <w:trHeight w:val="161"/>
        </w:trPr>
        <w:tc>
          <w:tcPr>
            <w:tcW w:w="8800" w:type="dxa"/>
            <w:vAlign w:val="bottom"/>
          </w:tcPr>
          <w:p>
            <w:pPr>
              <w:spacing w:after="0"/>
              <w:rPr>
                <w:sz w:val="20"/>
                <w:szCs w:val="20"/>
                <w:color w:val="auto"/>
              </w:rPr>
            </w:pPr>
            <w:r>
              <w:rPr>
                <w:rFonts w:ascii="Arial" w:cs="Arial" w:eastAsia="Arial" w:hAnsi="Arial"/>
                <w:sz w:val="13"/>
                <w:szCs w:val="13"/>
                <w:color w:val="auto"/>
              </w:rPr>
              <w:t>As of September 30, 2008</w:t>
            </w: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1,526,371</w:t>
            </w:r>
          </w:p>
        </w:tc>
        <w:tc>
          <w:tcPr>
            <w:tcW w:w="80" w:type="dxa"/>
            <w:vAlign w:val="bottom"/>
          </w:tcPr>
          <w:p>
            <w:pPr>
              <w:spacing w:after="0"/>
              <w:rPr>
                <w:sz w:val="14"/>
                <w:szCs w:val="14"/>
                <w:color w:val="auto"/>
              </w:rPr>
            </w:pPr>
          </w:p>
        </w:tc>
      </w:tr>
      <w:tr>
        <w:trPr>
          <w:trHeight w:val="161"/>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Other(1)</w:t>
            </w:r>
          </w:p>
        </w:tc>
        <w:tc>
          <w:tcPr>
            <w:tcW w:w="3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16,534</w:t>
            </w:r>
          </w:p>
        </w:tc>
      </w:tr>
      <w:tr>
        <w:trPr>
          <w:trHeight w:val="161"/>
        </w:trPr>
        <w:tc>
          <w:tcPr>
            <w:tcW w:w="8800" w:type="dxa"/>
            <w:vAlign w:val="bottom"/>
          </w:tcPr>
          <w:p>
            <w:pPr>
              <w:spacing w:after="0"/>
              <w:rPr>
                <w:sz w:val="20"/>
                <w:szCs w:val="20"/>
                <w:color w:val="auto"/>
              </w:rPr>
            </w:pPr>
            <w:r>
              <w:rPr>
                <w:rFonts w:ascii="Arial" w:cs="Arial" w:eastAsia="Arial" w:hAnsi="Arial"/>
                <w:sz w:val="13"/>
                <w:szCs w:val="13"/>
                <w:color w:val="auto"/>
              </w:rPr>
              <w:t>Decrease in goodwill as a result of release of valuation allowances on deferred tax assets</w:t>
            </w:r>
          </w:p>
        </w:tc>
        <w:tc>
          <w:tcPr>
            <w:tcW w:w="3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(3,481)</w:t>
            </w:r>
          </w:p>
        </w:tc>
      </w:tr>
      <w:tr>
        <w:trPr>
          <w:trHeight w:val="161"/>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As of September 30, 2009</w:t>
            </w: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1,539,424</w:t>
            </w:r>
          </w:p>
        </w:tc>
        <w:tc>
          <w:tcPr>
            <w:tcW w:w="80" w:type="dxa"/>
            <w:vAlign w:val="bottom"/>
            <w:shd w:val="clear" w:color="auto" w:fill="CCEEFF"/>
          </w:tcPr>
          <w:p>
            <w:pPr>
              <w:spacing w:after="0"/>
              <w:rPr>
                <w:sz w:val="14"/>
                <w:szCs w:val="14"/>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(1)  Represents goodwill related primarily to immaterial acquisitions.</w:t>
      </w:r>
    </w:p>
    <w:p>
      <w:pPr>
        <w:spacing w:after="0" w:line="102"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 following table presents the amortization expense of the Company’s purchased intangible assets, included in each financial statement caption reported in the consolidated statements of income:</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ind w:left="220"/>
              <w:spacing w:after="0"/>
              <w:rPr>
                <w:sz w:val="20"/>
                <w:szCs w:val="20"/>
                <w:color w:val="auto"/>
              </w:rPr>
            </w:pPr>
            <w:r>
              <w:rPr>
                <w:rFonts w:ascii="Arial" w:cs="Arial" w:eastAsia="Arial" w:hAnsi="Arial"/>
                <w:sz w:val="11"/>
                <w:szCs w:val="11"/>
                <w:b w:val="1"/>
                <w:bCs w:val="1"/>
                <w:color w:val="auto"/>
              </w:rPr>
              <w:t>Year ended September 30,</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6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101" w:lineRule="exact"/>
              <w:rPr>
                <w:sz w:val="20"/>
                <w:szCs w:val="20"/>
                <w:color w:val="auto"/>
              </w:rPr>
            </w:pPr>
            <w:r>
              <w:rPr>
                <w:rFonts w:ascii="Arial" w:cs="Arial" w:eastAsia="Arial" w:hAnsi="Arial"/>
                <w:sz w:val="11"/>
                <w:szCs w:val="11"/>
                <w:b w:val="1"/>
                <w:bCs w:val="1"/>
                <w:color w:val="auto"/>
              </w:rPr>
              <w:t>2008</w:t>
            </w: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r>
      <w:tr>
        <w:trPr>
          <w:trHeight w:val="30"/>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Cost of license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2,402</w:t>
            </w: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Cost of service</w:t>
            </w: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1,820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849</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purchased intangible assets</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85,153</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86,687</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74,959</w:t>
            </w: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Total</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86,973</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87,536</w:t>
            </w:r>
          </w:p>
        </w:tc>
        <w:tc>
          <w:tcPr>
            <w:tcW w:w="4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77,361</w:t>
            </w:r>
          </w:p>
        </w:tc>
        <w:tc>
          <w:tcPr>
            <w:tcW w:w="80" w:type="dxa"/>
            <w:vAlign w:val="bottom"/>
          </w:tcPr>
          <w:p>
            <w:pPr>
              <w:spacing w:after="0"/>
              <w:rPr>
                <w:sz w:val="14"/>
                <w:szCs w:val="14"/>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used its market capitalization and a discounted cash flow methodology. There was no impairment of goodwill at the annual impairment test date.</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details of the Company’s total purchased intangible assets: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Estimated</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1"/>
                <w:szCs w:val="11"/>
                <w:b w:val="1"/>
                <w:bCs w:val="1"/>
                <w:color w:val="auto"/>
                <w:w w:val="92"/>
              </w:rPr>
              <w:t>Accumulated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700" w:type="dxa"/>
            <w:vAlign w:val="bottom"/>
          </w:tcPr>
          <w:p>
            <w:pPr>
              <w:spacing w:after="0"/>
              <w:rPr>
                <w:sz w:val="9"/>
                <w:szCs w:val="9"/>
                <w:color w:val="auto"/>
              </w:rPr>
            </w:pPr>
          </w:p>
        </w:tc>
        <w:tc>
          <w:tcPr>
            <w:tcW w:w="1100" w:type="dxa"/>
            <w:vAlign w:val="bottom"/>
            <w:gridSpan w:val="2"/>
          </w:tcPr>
          <w:p>
            <w:pPr>
              <w:jc w:val="right"/>
              <w:ind w:right="520"/>
              <w:spacing w:after="0" w:line="111" w:lineRule="exact"/>
              <w:rPr>
                <w:sz w:val="20"/>
                <w:szCs w:val="20"/>
                <w:color w:val="auto"/>
              </w:rPr>
            </w:pPr>
            <w:r>
              <w:rPr>
                <w:rFonts w:ascii="Arial" w:cs="Arial" w:eastAsia="Arial" w:hAnsi="Arial"/>
                <w:sz w:val="11"/>
                <w:szCs w:val="11"/>
                <w:b w:val="1"/>
                <w:bCs w:val="1"/>
                <w:color w:val="auto"/>
              </w:rPr>
              <w:t>useful life</w:t>
            </w:r>
          </w:p>
        </w:tc>
        <w:tc>
          <w:tcPr>
            <w:tcW w:w="160" w:type="dxa"/>
            <w:vAlign w:val="bottom"/>
          </w:tcPr>
          <w:p>
            <w:pPr>
              <w:spacing w:after="0"/>
              <w:rPr>
                <w:sz w:val="9"/>
                <w:szCs w:val="9"/>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Gross</w:t>
            </w: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(in years)</w:t>
            </w:r>
          </w:p>
        </w:tc>
        <w:tc>
          <w:tcPr>
            <w:tcW w:w="16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95"/>
              </w:rPr>
              <w:t>Amortization</w:t>
            </w: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2009</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20"/>
                <w:szCs w:val="20"/>
                <w:color w:val="auto"/>
              </w:rPr>
            </w:pPr>
            <w:r>
              <w:rPr>
                <w:rFonts w:ascii="Arial" w:cs="Arial" w:eastAsia="Arial" w:hAnsi="Arial"/>
                <w:sz w:val="13"/>
                <w:szCs w:val="13"/>
                <w:color w:val="auto"/>
              </w:rPr>
              <w:t>Core technology</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317,952</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3"/>
                <w:szCs w:val="13"/>
                <w:color w:val="auto"/>
              </w:rPr>
              <w:t>(225,328)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92,624</w:t>
            </w:r>
          </w:p>
        </w:tc>
        <w:tc>
          <w:tcPr>
            <w:tcW w:w="0" w:type="dxa"/>
            <w:vAlign w:val="bottom"/>
          </w:tcPr>
          <w:p>
            <w:pPr>
              <w:spacing w:after="0"/>
              <w:rPr>
                <w:sz w:val="1"/>
                <w:szCs w:val="1"/>
                <w:color w:val="auto"/>
              </w:rPr>
            </w:pPr>
          </w:p>
        </w:tc>
      </w:tr>
      <w:tr>
        <w:trPr>
          <w:trHeight w:val="161"/>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Customer arrangements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281,254</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(158,704)</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122,550</w:t>
            </w:r>
          </w:p>
        </w:tc>
        <w:tc>
          <w:tcPr>
            <w:tcW w:w="0" w:type="dxa"/>
            <w:vAlign w:val="bottom"/>
          </w:tcPr>
          <w:p>
            <w:pPr>
              <w:spacing w:after="0"/>
              <w:rPr>
                <w:sz w:val="1"/>
                <w:szCs w:val="1"/>
                <w:color w:val="auto"/>
              </w:rPr>
            </w:pPr>
          </w:p>
        </w:tc>
      </w:tr>
      <w:tr>
        <w:trPr>
          <w:trHeight w:val="161"/>
        </w:trPr>
        <w:tc>
          <w:tcPr>
            <w:tcW w:w="5700" w:type="dxa"/>
            <w:vAlign w:val="bottom"/>
          </w:tcPr>
          <w:p>
            <w:pPr>
              <w:spacing w:after="0"/>
              <w:rPr>
                <w:sz w:val="20"/>
                <w:szCs w:val="20"/>
                <w:color w:val="auto"/>
              </w:rPr>
            </w:pPr>
            <w:r>
              <w:rPr>
                <w:rFonts w:ascii="Arial" w:cs="Arial" w:eastAsia="Arial" w:hAnsi="Arial"/>
                <w:sz w:val="13"/>
                <w:szCs w:val="13"/>
                <w:color w:val="auto"/>
              </w:rPr>
              <w:t>Intellectual property rights and purchased computer software</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16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3"/>
                <w:szCs w:val="13"/>
                <w:color w:val="auto"/>
              </w:rPr>
              <w:t>51,996</w:t>
            </w:r>
          </w:p>
        </w:tc>
        <w:tc>
          <w:tcPr>
            <w:tcW w:w="1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color w:val="auto"/>
              </w:rPr>
              <w:t>(51,996)</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18,546</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(6,383)</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12,163</w:t>
            </w:r>
          </w:p>
        </w:tc>
        <w:tc>
          <w:tcPr>
            <w:tcW w:w="0" w:type="dxa"/>
            <w:vAlign w:val="bottom"/>
          </w:tcPr>
          <w:p>
            <w:pPr>
              <w:spacing w:after="0"/>
              <w:rPr>
                <w:sz w:val="1"/>
                <w:szCs w:val="1"/>
                <w:color w:val="auto"/>
              </w:rPr>
            </w:pPr>
          </w:p>
        </w:tc>
      </w:tr>
      <w:tr>
        <w:trPr>
          <w:trHeight w:val="161"/>
        </w:trPr>
        <w:tc>
          <w:tcPr>
            <w:tcW w:w="5700" w:type="dxa"/>
            <w:vAlign w:val="bottom"/>
          </w:tcPr>
          <w:p>
            <w:pPr>
              <w:spacing w:after="0"/>
              <w:rPr>
                <w:sz w:val="20"/>
                <w:szCs w:val="20"/>
                <w:color w:val="auto"/>
              </w:rPr>
            </w:pPr>
            <w:r>
              <w:rPr>
                <w:rFonts w:ascii="Arial" w:cs="Arial" w:eastAsia="Arial" w:hAnsi="Arial"/>
                <w:sz w:val="13"/>
                <w:szCs w:val="13"/>
                <w:color w:val="auto"/>
              </w:rPr>
              <w:t>Total</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669,748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(442,411)</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227,337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September 30, 2008</w:t>
            </w: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20"/>
                <w:szCs w:val="20"/>
                <w:color w:val="auto"/>
              </w:rPr>
            </w:pPr>
            <w:r>
              <w:rPr>
                <w:rFonts w:ascii="Arial" w:cs="Arial" w:eastAsia="Arial" w:hAnsi="Arial"/>
                <w:sz w:val="13"/>
                <w:szCs w:val="13"/>
                <w:color w:val="auto"/>
              </w:rPr>
              <w:t>Core technology</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290,648</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3"/>
                <w:szCs w:val="13"/>
                <w:color w:val="auto"/>
              </w:rPr>
              <w:t>(175,989)</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114,659</w:t>
            </w:r>
          </w:p>
        </w:tc>
        <w:tc>
          <w:tcPr>
            <w:tcW w:w="0" w:type="dxa"/>
            <w:vAlign w:val="bottom"/>
          </w:tcPr>
          <w:p>
            <w:pPr>
              <w:spacing w:after="0"/>
              <w:rPr>
                <w:sz w:val="1"/>
                <w:szCs w:val="1"/>
                <w:color w:val="auto"/>
              </w:rPr>
            </w:pPr>
          </w:p>
        </w:tc>
      </w:tr>
      <w:tr>
        <w:trPr>
          <w:trHeight w:val="161"/>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Customer arrangements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267,938</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(123,734)</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144,204</w:t>
            </w:r>
          </w:p>
        </w:tc>
        <w:tc>
          <w:tcPr>
            <w:tcW w:w="0" w:type="dxa"/>
            <w:vAlign w:val="bottom"/>
          </w:tcPr>
          <w:p>
            <w:pPr>
              <w:spacing w:after="0"/>
              <w:rPr>
                <w:sz w:val="1"/>
                <w:szCs w:val="1"/>
                <w:color w:val="auto"/>
              </w:rPr>
            </w:pPr>
          </w:p>
        </w:tc>
      </w:tr>
      <w:tr>
        <w:trPr>
          <w:trHeight w:val="161"/>
        </w:trPr>
        <w:tc>
          <w:tcPr>
            <w:tcW w:w="5700" w:type="dxa"/>
            <w:vAlign w:val="bottom"/>
          </w:tcPr>
          <w:p>
            <w:pPr>
              <w:spacing w:after="0"/>
              <w:rPr>
                <w:sz w:val="20"/>
                <w:szCs w:val="20"/>
                <w:color w:val="auto"/>
              </w:rPr>
            </w:pPr>
            <w:r>
              <w:rPr>
                <w:rFonts w:ascii="Arial" w:cs="Arial" w:eastAsia="Arial" w:hAnsi="Arial"/>
                <w:sz w:val="13"/>
                <w:szCs w:val="13"/>
                <w:color w:val="auto"/>
              </w:rPr>
              <w:t>Intellectual property rights and purchased computer software</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16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3"/>
                <w:szCs w:val="13"/>
                <w:color w:val="auto"/>
              </w:rPr>
              <w:t>51,996</w:t>
            </w:r>
          </w:p>
        </w:tc>
        <w:tc>
          <w:tcPr>
            <w:tcW w:w="1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color w:val="auto"/>
              </w:rPr>
              <w:t>(51,996)</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15,407</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(3,719)</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11,688</w:t>
            </w:r>
          </w:p>
        </w:tc>
        <w:tc>
          <w:tcPr>
            <w:tcW w:w="0" w:type="dxa"/>
            <w:vAlign w:val="bottom"/>
          </w:tcPr>
          <w:p>
            <w:pPr>
              <w:spacing w:after="0"/>
              <w:rPr>
                <w:sz w:val="1"/>
                <w:szCs w:val="1"/>
                <w:color w:val="auto"/>
              </w:rPr>
            </w:pPr>
          </w:p>
        </w:tc>
      </w:tr>
      <w:tr>
        <w:trPr>
          <w:trHeight w:val="161"/>
        </w:trPr>
        <w:tc>
          <w:tcPr>
            <w:tcW w:w="5700" w:type="dxa"/>
            <w:vAlign w:val="bottom"/>
          </w:tcPr>
          <w:p>
            <w:pPr>
              <w:spacing w:after="0"/>
              <w:rPr>
                <w:sz w:val="20"/>
                <w:szCs w:val="20"/>
                <w:color w:val="auto"/>
              </w:rPr>
            </w:pPr>
            <w:r>
              <w:rPr>
                <w:rFonts w:ascii="Arial" w:cs="Arial" w:eastAsia="Arial" w:hAnsi="Arial"/>
                <w:sz w:val="13"/>
                <w:szCs w:val="13"/>
                <w:color w:val="auto"/>
              </w:rPr>
              <w:t>Total</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625,989</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(355,438)</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270,551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estimated future amortization expense of purchased intangible assets as of September 30, 2009 is as follows: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w:t>
            </w:r>
          </w:p>
        </w:tc>
        <w:tc>
          <w:tcPr>
            <w:tcW w:w="7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2010</w:t>
            </w:r>
          </w:p>
        </w:tc>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76,753</w:t>
            </w:r>
          </w:p>
        </w:tc>
        <w:tc>
          <w:tcPr>
            <w:tcW w:w="0" w:type="dxa"/>
            <w:vAlign w:val="bottom"/>
          </w:tcPr>
          <w:p>
            <w:pPr>
              <w:spacing w:after="0"/>
              <w:rPr>
                <w:sz w:val="1"/>
                <w:szCs w:val="1"/>
                <w:color w:val="auto"/>
              </w:rPr>
            </w:pPr>
          </w:p>
        </w:tc>
      </w:tr>
      <w:tr>
        <w:trPr>
          <w:trHeight w:val="161"/>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7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55,078</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2012</w:t>
            </w:r>
          </w:p>
        </w:tc>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30,642</w:t>
            </w:r>
          </w:p>
        </w:tc>
        <w:tc>
          <w:tcPr>
            <w:tcW w:w="0" w:type="dxa"/>
            <w:vAlign w:val="bottom"/>
          </w:tcPr>
          <w:p>
            <w:pPr>
              <w:spacing w:after="0"/>
              <w:rPr>
                <w:sz w:val="1"/>
                <w:szCs w:val="1"/>
                <w:color w:val="auto"/>
              </w:rPr>
            </w:pPr>
          </w:p>
        </w:tc>
      </w:tr>
      <w:tr>
        <w:trPr>
          <w:trHeight w:val="161"/>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7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18,084</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2014</w:t>
            </w:r>
          </w:p>
        </w:tc>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10,661</w:t>
            </w:r>
          </w:p>
        </w:tc>
        <w:tc>
          <w:tcPr>
            <w:tcW w:w="0" w:type="dxa"/>
            <w:vAlign w:val="bottom"/>
          </w:tcPr>
          <w:p>
            <w:pPr>
              <w:spacing w:after="0"/>
              <w:rPr>
                <w:sz w:val="1"/>
                <w:szCs w:val="1"/>
                <w:color w:val="auto"/>
              </w:rPr>
            </w:pPr>
          </w:p>
        </w:tc>
      </w:tr>
      <w:tr>
        <w:trPr>
          <w:trHeight w:val="161"/>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7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36,119</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Total</w:t>
            </w:r>
          </w:p>
        </w:tc>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227,337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3"/>
                <w:szCs w:val="13"/>
                <w:b w:val="1"/>
                <w:bCs w:val="1"/>
                <w:color w:val="auto"/>
              </w:rPr>
              <w:t>Note 10 —</w:t>
            </w:r>
          </w:p>
        </w:tc>
        <w:tc>
          <w:tcPr>
            <w:tcW w:w="70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Other Noncurrent Assets</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00" w:type="dxa"/>
            <w:vAlign w:val="bottom"/>
            <w:vMerge w:val="continue"/>
          </w:tcPr>
          <w:p>
            <w:pPr>
              <w:spacing w:after="0"/>
              <w:rPr>
                <w:sz w:val="23"/>
                <w:szCs w:val="23"/>
                <w:color w:val="auto"/>
              </w:rPr>
            </w:pPr>
          </w:p>
        </w:tc>
        <w:tc>
          <w:tcPr>
            <w:tcW w:w="700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7800" w:type="dxa"/>
            <w:vAlign w:val="bottom"/>
            <w:gridSpan w:val="2"/>
          </w:tcPr>
          <w:p>
            <w:pPr>
              <w:ind w:left="400"/>
              <w:spacing w:after="0"/>
              <w:rPr>
                <w:sz w:val="20"/>
                <w:szCs w:val="20"/>
                <w:color w:val="auto"/>
              </w:rPr>
            </w:pPr>
            <w:r>
              <w:rPr>
                <w:rFonts w:ascii="Arial" w:cs="Arial" w:eastAsia="Arial" w:hAnsi="Arial"/>
                <w:sz w:val="13"/>
                <w:szCs w:val="13"/>
                <w:color w:val="auto"/>
              </w:rPr>
              <w:t>Other noncurrent assets consist of the following:</w:t>
            </w:r>
          </w:p>
        </w:tc>
        <w:tc>
          <w:tcPr>
            <w:tcW w:w="180" w:type="dxa"/>
            <w:vAlign w:val="bottom"/>
          </w:tcPr>
          <w:p>
            <w:pPr>
              <w:spacing w:after="0"/>
              <w:rPr>
                <w:sz w:val="21"/>
                <w:szCs w:val="21"/>
                <w:color w:val="auto"/>
              </w:rPr>
            </w:pPr>
          </w:p>
        </w:tc>
        <w:tc>
          <w:tcPr>
            <w:tcW w:w="1360" w:type="dxa"/>
            <w:vAlign w:val="bottom"/>
            <w:gridSpan w:val="5"/>
            <w:vMerge w:val="restart"/>
          </w:tcPr>
          <w:p>
            <w:pPr>
              <w:jc w:val="right"/>
              <w:ind w:right="40"/>
              <w:spacing w:after="0"/>
              <w:rPr>
                <w:sz w:val="20"/>
                <w:szCs w:val="20"/>
                <w:color w:val="auto"/>
              </w:rPr>
            </w:pPr>
            <w:r>
              <w:rPr>
                <w:rFonts w:ascii="Arial" w:cs="Arial" w:eastAsia="Arial" w:hAnsi="Arial"/>
                <w:sz w:val="11"/>
                <w:szCs w:val="11"/>
                <w:b w:val="1"/>
                <w:bCs w:val="1"/>
                <w:color w:val="auto"/>
              </w:rPr>
              <w:t>As of September 30,</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vMerge w:val="continue"/>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101" w:lineRule="exact"/>
              <w:rPr>
                <w:sz w:val="20"/>
                <w:szCs w:val="20"/>
                <w:color w:val="auto"/>
              </w:rPr>
            </w:pPr>
            <w:r>
              <w:rPr>
                <w:rFonts w:ascii="Arial" w:cs="Arial" w:eastAsia="Arial" w:hAnsi="Arial"/>
                <w:sz w:val="11"/>
                <w:szCs w:val="11"/>
                <w:b w:val="1"/>
                <w:bCs w:val="1"/>
                <w:color w:val="auto"/>
              </w:rPr>
              <w:t>2009</w:t>
            </w: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Funded employee benefit costs(1)</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112,300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115,874</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Deferred costs(2)</w:t>
            </w:r>
          </w:p>
        </w:tc>
        <w:tc>
          <w:tcPr>
            <w:tcW w:w="18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92,129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81,402</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 term accounts receivable-unbilled</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38,600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47,055</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Rent and other deposits</w:t>
            </w:r>
          </w:p>
        </w:tc>
        <w:tc>
          <w:tcPr>
            <w:tcW w:w="18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7,912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8,146</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maintenance and other</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5,928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7,231</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Other</w:t>
            </w:r>
          </w:p>
        </w:tc>
        <w:tc>
          <w:tcPr>
            <w:tcW w:w="7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14,908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shd w:val="clear" w:color="auto" w:fill="CCEEFF"/>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271,777</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272,300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880" w:hanging="250"/>
        <w:spacing w:after="0"/>
        <w:tabs>
          <w:tab w:leader="none" w:pos="1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Please see Note 18 to the consolidated financial statements.</w:t>
      </w:r>
    </w:p>
    <w:p>
      <w:pPr>
        <w:spacing w:after="0" w:line="52" w:lineRule="exact"/>
        <w:rPr>
          <w:rFonts w:ascii="Arial" w:cs="Arial" w:eastAsia="Arial" w:hAnsi="Arial"/>
          <w:sz w:val="13"/>
          <w:szCs w:val="13"/>
          <w:color w:val="auto"/>
        </w:rPr>
      </w:pPr>
    </w:p>
    <w:p>
      <w:pPr>
        <w:ind w:left="1880" w:hanging="250"/>
        <w:spacing w:after="0"/>
        <w:tabs>
          <w:tab w:leader="none" w:pos="1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Please see Note 2 to the consolidated financial statements.</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00" w:lineRule="exact"/>
        <w:rPr>
          <w:sz w:val="20"/>
          <w:szCs w:val="20"/>
          <w:color w:val="auto"/>
        </w:rPr>
      </w:pPr>
    </w:p>
    <w:p>
      <w:pPr>
        <w:spacing w:after="0" w:line="2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11 — Income Taxes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provision (benefit) for income taxes consists of the following:</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Year ended September 30,</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6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2009</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101" w:lineRule="exact"/>
              <w:rPr>
                <w:sz w:val="20"/>
                <w:szCs w:val="20"/>
                <w:color w:val="auto"/>
              </w:rPr>
            </w:pPr>
            <w:r>
              <w:rPr>
                <w:rFonts w:ascii="Arial" w:cs="Arial" w:eastAsia="Arial" w:hAnsi="Arial"/>
                <w:sz w:val="11"/>
                <w:szCs w:val="11"/>
                <w:b w:val="1"/>
                <w:bCs w:val="1"/>
                <w:color w:val="auto"/>
              </w:rPr>
              <w:t>2008</w:t>
            </w: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r>
      <w:tr>
        <w:trPr>
          <w:trHeight w:val="30"/>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21,361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36,341</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66,780</w:t>
            </w:r>
          </w:p>
        </w:tc>
      </w:tr>
      <w:tr>
        <w:trPr>
          <w:trHeight w:val="161"/>
        </w:trPr>
        <w:tc>
          <w:tcPr>
            <w:tcW w:w="6700" w:type="dxa"/>
            <w:vAlign w:val="bottom"/>
          </w:tcPr>
          <w:p>
            <w:pPr>
              <w:spacing w:after="0"/>
              <w:rPr>
                <w:sz w:val="20"/>
                <w:szCs w:val="20"/>
                <w:color w:val="auto"/>
              </w:rPr>
            </w:pPr>
            <w:r>
              <w:rPr>
                <w:rFonts w:ascii="Arial" w:cs="Arial" w:eastAsia="Arial" w:hAnsi="Arial"/>
                <w:sz w:val="13"/>
                <w:szCs w:val="13"/>
                <w:color w:val="auto"/>
              </w:rPr>
              <w:t>Deferred</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18,617</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2,304</w:t>
            </w:r>
          </w:p>
        </w:tc>
        <w:tc>
          <w:tcPr>
            <w:tcW w:w="1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(23,718)</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7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39,978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38,645</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43,062</w:t>
            </w:r>
          </w:p>
        </w:tc>
      </w:tr>
      <w:tr>
        <w:trPr>
          <w:trHeight w:val="20"/>
        </w:trPr>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income taxes are comprised of the following components: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1"/>
                <w:szCs w:val="11"/>
                <w:b w:val="1"/>
                <w:bCs w:val="1"/>
                <w:color w:val="auto"/>
              </w:rPr>
              <w:t>As of September 30,</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101" w:lineRule="exact"/>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r>
      <w:tr>
        <w:trPr>
          <w:trHeight w:val="30"/>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21,499</w:t>
            </w:r>
          </w:p>
        </w:tc>
        <w:tc>
          <w:tcPr>
            <w:tcW w:w="48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13,905</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employee costs</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43,772</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56,780</w:t>
            </w: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Intangible assets, computer software and intellectual property</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24,691</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26,692</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128,000</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160,140</w:t>
            </w: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73,633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70,835</w:t>
            </w:r>
          </w:p>
        </w:tc>
        <w:tc>
          <w:tcPr>
            <w:tcW w:w="80" w:type="dxa"/>
            <w:vAlign w:val="bottom"/>
          </w:tcPr>
          <w:p>
            <w:pPr>
              <w:spacing w:after="0"/>
              <w:rPr>
                <w:sz w:val="14"/>
                <w:szCs w:val="14"/>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assets</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291,595</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328,352</w:t>
            </w: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Valuation allowances(1)</w:t>
            </w:r>
          </w:p>
        </w:tc>
        <w:tc>
          <w:tcPr>
            <w:tcW w:w="20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3"/>
                <w:szCs w:val="13"/>
                <w:color w:val="auto"/>
              </w:rPr>
              <w:t>(82,780)</w:t>
            </w:r>
          </w:p>
        </w:tc>
        <w:tc>
          <w:tcPr>
            <w:tcW w:w="2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(76,481)</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assets, net</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208,815</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251,871</w:t>
            </w:r>
          </w:p>
        </w:tc>
        <w:tc>
          <w:tcPr>
            <w:tcW w:w="80" w:type="dxa"/>
            <w:vAlign w:val="bottom"/>
            <w:shd w:val="clear" w:color="auto" w:fill="CCEEFF"/>
          </w:tcPr>
          <w:p>
            <w:pPr>
              <w:spacing w:after="0"/>
              <w:rPr>
                <w:sz w:val="14"/>
                <w:szCs w:val="14"/>
                <w:color w:val="auto"/>
              </w:rPr>
            </w:pP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Anticipated withholdings on subsidiaries’ earnings</w:t>
            </w:r>
          </w:p>
        </w:tc>
        <w:tc>
          <w:tcPr>
            <w:tcW w:w="2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(42,595)</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(47,029)</w:t>
            </w: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Intangible assets, computer software and intellectual property</w:t>
            </w:r>
          </w:p>
        </w:tc>
        <w:tc>
          <w:tcPr>
            <w:tcW w:w="20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3"/>
                <w:szCs w:val="13"/>
                <w:color w:val="auto"/>
              </w:rPr>
              <w:t>(96,747)</w:t>
            </w:r>
          </w:p>
        </w:tc>
        <w:tc>
          <w:tcPr>
            <w:tcW w:w="2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(103,944)</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Managed services costs</w:t>
            </w:r>
          </w:p>
        </w:tc>
        <w:tc>
          <w:tcPr>
            <w:tcW w:w="2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(16,339)</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(16,097)</w:t>
            </w: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3"/>
                <w:szCs w:val="13"/>
                <w:color w:val="auto"/>
              </w:rPr>
              <w:t>(17,751)</w:t>
            </w:r>
          </w:p>
        </w:tc>
        <w:tc>
          <w:tcPr>
            <w:tcW w:w="2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(26,607)</w:t>
            </w:r>
          </w:p>
        </w:tc>
      </w:tr>
      <w:tr>
        <w:trPr>
          <w:trHeight w:val="20"/>
        </w:trPr>
        <w:tc>
          <w:tcPr>
            <w:tcW w:w="7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liabilities</w:t>
            </w:r>
          </w:p>
        </w:tc>
        <w:tc>
          <w:tcPr>
            <w:tcW w:w="2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(173,432)</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(193,677)</w:t>
            </w: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Net deferred tax assets</w:t>
            </w: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35,383</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58,194</w:t>
            </w:r>
          </w:p>
        </w:tc>
        <w:tc>
          <w:tcPr>
            <w:tcW w:w="80" w:type="dxa"/>
            <w:vAlign w:val="bottom"/>
          </w:tcPr>
          <w:p>
            <w:pPr>
              <w:spacing w:after="0"/>
              <w:rPr>
                <w:sz w:val="14"/>
                <w:szCs w:val="14"/>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ind w:left="5540" w:right="4240" w:hanging="3910"/>
        <w:spacing w:after="0" w:line="779" w:lineRule="auto"/>
        <w:tabs>
          <w:tab w:leader="none" w:pos="1878" w:val="left"/>
        </w:tabs>
        <w:numPr>
          <w:ilvl w:val="0"/>
          <w:numId w:val="57"/>
        </w:numPr>
        <w:rPr>
          <w:rFonts w:ascii="Arial" w:cs="Arial" w:eastAsia="Arial" w:hAnsi="Arial"/>
          <w:sz w:val="13"/>
          <w:szCs w:val="13"/>
          <w:color w:val="auto"/>
        </w:rPr>
      </w:pPr>
      <w:r>
        <w:rPr>
          <w:rFonts w:ascii="Arial" w:cs="Arial" w:eastAsia="Arial" w:hAnsi="Arial"/>
          <w:sz w:val="13"/>
          <w:szCs w:val="13"/>
          <w:color w:val="auto"/>
        </w:rPr>
        <w:t>Subsequent releases of the valuation allowance will be recognized through earnings.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8789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effective income tax rate varied from the statutory Guernsey tax rate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9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Year ended September 30,</w:t>
            </w: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980" w:type="dxa"/>
            <w:vAlign w:val="bottom"/>
          </w:tcPr>
          <w:p>
            <w:pPr>
              <w:spacing w:after="0"/>
              <w:rPr>
                <w:sz w:val="8"/>
                <w:szCs w:val="8"/>
                <w:color w:val="auto"/>
              </w:rPr>
            </w:pPr>
          </w:p>
        </w:tc>
        <w:tc>
          <w:tcPr>
            <w:tcW w:w="2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2009</w:t>
            </w:r>
          </w:p>
        </w:tc>
        <w:tc>
          <w:tcPr>
            <w:tcW w:w="520" w:type="dxa"/>
            <w:vAlign w:val="bottom"/>
          </w:tcPr>
          <w:p>
            <w:pPr>
              <w:spacing w:after="0"/>
              <w:rPr>
                <w:sz w:val="8"/>
                <w:szCs w:val="8"/>
                <w:color w:val="auto"/>
              </w:rPr>
            </w:pPr>
          </w:p>
        </w:tc>
        <w:tc>
          <w:tcPr>
            <w:tcW w:w="2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2008</w:t>
            </w:r>
          </w:p>
        </w:tc>
        <w:tc>
          <w:tcPr>
            <w:tcW w:w="520" w:type="dxa"/>
            <w:vAlign w:val="bottom"/>
          </w:tcPr>
          <w:p>
            <w:pPr>
              <w:spacing w:after="0"/>
              <w:rPr>
                <w:sz w:val="8"/>
                <w:szCs w:val="8"/>
                <w:color w:val="auto"/>
              </w:rPr>
            </w:pPr>
          </w:p>
        </w:tc>
        <w:tc>
          <w:tcPr>
            <w:tcW w:w="2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9"/>
              </w:rPr>
              <w:t>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Statutory Guernsey tax rate</w:t>
            </w: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1"/>
        </w:trPr>
        <w:tc>
          <w:tcPr>
            <w:tcW w:w="7980" w:type="dxa"/>
            <w:vAlign w:val="bottom"/>
          </w:tcPr>
          <w:p>
            <w:pPr>
              <w:spacing w:after="0"/>
              <w:rPr>
                <w:sz w:val="20"/>
                <w:szCs w:val="20"/>
                <w:color w:val="auto"/>
              </w:rPr>
            </w:pPr>
            <w:r>
              <w:rPr>
                <w:rFonts w:ascii="Arial" w:cs="Arial" w:eastAsia="Arial" w:hAnsi="Arial"/>
                <w:sz w:val="13"/>
                <w:szCs w:val="13"/>
                <w:color w:val="auto"/>
              </w:rPr>
              <w:t>Guernsey tax-exempt status</w:t>
            </w:r>
          </w:p>
        </w:tc>
        <w:tc>
          <w:tcPr>
            <w:tcW w:w="800" w:type="dxa"/>
            <w:vAlign w:val="bottom"/>
            <w:gridSpan w:val="2"/>
          </w:tcPr>
          <w:p>
            <w:pPr>
              <w:jc w:val="right"/>
              <w:ind w:right="446"/>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1"/>
        </w:trPr>
        <w:tc>
          <w:tcPr>
            <w:tcW w:w="7980" w:type="dxa"/>
            <w:vAlign w:val="bottom"/>
            <w:shd w:val="clear" w:color="auto" w:fill="CCEEFF"/>
          </w:tcPr>
          <w:p>
            <w:pPr>
              <w:spacing w:after="0"/>
              <w:rPr>
                <w:sz w:val="20"/>
                <w:szCs w:val="20"/>
                <w:color w:val="auto"/>
              </w:rPr>
            </w:pPr>
            <w:r>
              <w:rPr>
                <w:rFonts w:ascii="Arial" w:cs="Arial" w:eastAsia="Arial" w:hAnsi="Arial"/>
                <w:sz w:val="13"/>
                <w:szCs w:val="13"/>
                <w:color w:val="auto"/>
              </w:rPr>
              <w:t>Foreign taxes</w:t>
            </w:r>
          </w:p>
        </w:tc>
        <w:tc>
          <w:tcPr>
            <w:tcW w:w="800" w:type="dxa"/>
            <w:vAlign w:val="bottom"/>
            <w:gridSpan w:val="2"/>
            <w:shd w:val="clear" w:color="auto" w:fill="CCEEFF"/>
          </w:tcPr>
          <w:p>
            <w:pPr>
              <w:jc w:val="right"/>
              <w:ind w:right="446"/>
              <w:spacing w:after="0"/>
              <w:rPr>
                <w:sz w:val="20"/>
                <w:szCs w:val="20"/>
                <w:color w:val="auto"/>
              </w:rPr>
            </w:pPr>
            <w:r>
              <w:rPr>
                <w:rFonts w:ascii="Arial" w:cs="Arial" w:eastAsia="Arial" w:hAnsi="Arial"/>
                <w:sz w:val="13"/>
                <w:szCs w:val="13"/>
                <w:color w:val="auto"/>
              </w:rPr>
              <w:t>11</w:t>
            </w: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80" w:type="dxa"/>
            <w:vAlign w:val="bottom"/>
            <w:vMerge w:val="continue"/>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11%</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As a Guernsey company subject to a corporate tax rate of zero percent, the Company’s overall effective tax rate is attributable to foreign taxes. Tax legislation enacted in Guernsey with effect from January 1, 2008 repealed the exemption that the Company previously utilized, and subjects the Company to a corporate tax rate of zero percent, which has not affected the Company’s overall effective tax rate.</w:t>
      </w:r>
    </w:p>
    <w:p>
      <w:pPr>
        <w:spacing w:after="0" w:line="59"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During fiscal 2009, the net increase in valuation allowances was $6,299, which related to the uncertainty of realizing tax benefits primarily for net capital and operating loss carryforwards related to certain of its subsidiaries and was recorded primarily to income tax expense. The Company released $3,481 of the valuation allowance in connection with fiscal 2006 and 2008 acquisitions. Prior to the adoption of the new business combination authoritative guidance on October 1, 2009, realization of the valuation allowances associated with business combinations was recorded as an adjustment of goodwill and amounts not associated with business combinations were recognized as part of income tax expense. As of September 30, 2009, the Company had net operating loss carryforwards of $443,753. The periods at which $163,916 of these net operating loss carryforwards expire are up to 20 years and the remainder do not expire.</w:t>
      </w:r>
    </w:p>
    <w:p>
      <w:pPr>
        <w:spacing w:after="0" w:line="68" w:lineRule="exact"/>
        <w:rPr>
          <w:sz w:val="20"/>
          <w:szCs w:val="20"/>
          <w:color w:val="auto"/>
        </w:rPr>
      </w:pPr>
    </w:p>
    <w:p>
      <w:pPr>
        <w:jc w:val="both"/>
        <w:ind w:left="680" w:right="40" w:firstLine="399"/>
        <w:spacing w:after="0" w:line="270" w:lineRule="auto"/>
        <w:rPr>
          <w:sz w:val="20"/>
          <w:szCs w:val="20"/>
          <w:color w:val="auto"/>
        </w:rPr>
      </w:pPr>
      <w:r>
        <w:rPr>
          <w:rFonts w:ascii="Arial" w:cs="Arial" w:eastAsia="Arial" w:hAnsi="Arial"/>
          <w:sz w:val="13"/>
          <w:szCs w:val="13"/>
          <w:color w:val="auto"/>
        </w:rPr>
        <w:t>During fiscal 2008, the net change in valuation allowances was $43,230, which related to the uncertainty of realizing tax benefits for net capital and operating loss carryforwards related to certain of its subsidiaries. The Company recorded $26,208 of the valuation allowance in connection with fiscal 2006 acquisitions. During fiscal 2008, the Company recorded a deferred tax asset for carryforward losses relating to one of its subsidiaries as the statute of limitation related to the fiscal years in which these losses had occurred lapsed. This deferred tax asset was partially offset by a valuation allowance.</w:t>
      </w:r>
    </w:p>
    <w:p>
      <w:pPr>
        <w:spacing w:after="0" w:line="63" w:lineRule="exact"/>
        <w:rPr>
          <w:sz w:val="20"/>
          <w:szCs w:val="20"/>
          <w:color w:val="auto"/>
        </w:rPr>
      </w:pPr>
    </w:p>
    <w:p>
      <w:pPr>
        <w:ind w:left="680" w:right="100" w:firstLine="399"/>
        <w:spacing w:after="0" w:line="267" w:lineRule="auto"/>
        <w:rPr>
          <w:sz w:val="20"/>
          <w:szCs w:val="20"/>
          <w:color w:val="auto"/>
        </w:rPr>
      </w:pPr>
      <w:r>
        <w:rPr>
          <w:rFonts w:ascii="Arial" w:cs="Arial" w:eastAsia="Arial" w:hAnsi="Arial"/>
          <w:sz w:val="13"/>
          <w:szCs w:val="13"/>
          <w:color w:val="auto"/>
        </w:rPr>
        <w:t>Effective October 1, 2007, the Company adopted the requirements of FASB Interpretation No. 48, Accounting For Uncertainty in Income Taxes (primarily codified in FASB Topic 740-10, Income Taxes), which prescribes a comprehensive model for the financial statement recognition, measurement, classification and disclosure of uncertain tax positions. The adoption of this guidance did not result in a change to the Company’s retained earnings. Prior to the adoption of this guidance, the Company classified unrecognized tax benefits in current income taxes payable. In implementing this guidance, the Company has reclassified unrecognized tax benefits for which the Company does not anticipate making payment within one year to long-term income taxes payable.</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aggregate changes in the balance of the Company’s gross unrecognized tax benefits were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gridSpan w:val="6"/>
          </w:tcPr>
          <w:p>
            <w:pPr>
              <w:jc w:val="right"/>
              <w:ind w:right="540"/>
              <w:spacing w:after="0"/>
              <w:rPr>
                <w:sz w:val="20"/>
                <w:szCs w:val="20"/>
                <w:color w:val="auto"/>
              </w:rPr>
            </w:pPr>
            <w:r>
              <w:rPr>
                <w:rFonts w:ascii="Arial" w:cs="Arial" w:eastAsia="Arial" w:hAnsi="Arial"/>
                <w:sz w:val="11"/>
                <w:szCs w:val="11"/>
                <w:b w:val="1"/>
                <w:bCs w:val="1"/>
                <w:color w:val="auto"/>
              </w:rPr>
              <w:t>Year ended September 30,</w:t>
            </w:r>
          </w:p>
        </w:tc>
      </w:tr>
      <w:tr>
        <w:trPr>
          <w:trHeight w:val="101"/>
        </w:trPr>
        <w:tc>
          <w:tcPr>
            <w:tcW w:w="78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36"/>
              <w:spacing w:after="0" w:line="101" w:lineRule="exact"/>
              <w:rPr>
                <w:sz w:val="20"/>
                <w:szCs w:val="20"/>
                <w:color w:val="auto"/>
              </w:rPr>
            </w:pPr>
            <w:r>
              <w:rPr>
                <w:rFonts w:ascii="Arial" w:cs="Arial" w:eastAsia="Arial" w:hAnsi="Arial"/>
                <w:sz w:val="11"/>
                <w:szCs w:val="11"/>
                <w:b w:val="1"/>
                <w:bCs w:val="1"/>
                <w:color w:val="auto"/>
              </w:rPr>
              <w:t>2009</w:t>
            </w:r>
          </w:p>
        </w:tc>
        <w:tc>
          <w:tcPr>
            <w:tcW w:w="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r>
      <w:tr>
        <w:trPr>
          <w:trHeight w:val="30"/>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fiscal year</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85,772</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108,929</w:t>
            </w:r>
          </w:p>
        </w:tc>
      </w:tr>
      <w:tr>
        <w:trPr>
          <w:trHeight w:val="161"/>
        </w:trPr>
        <w:tc>
          <w:tcPr>
            <w:tcW w:w="780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year</w:t>
            </w: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16,285</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19,280</w:t>
            </w: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years</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3,918</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1,142</w:t>
            </w:r>
          </w:p>
        </w:tc>
      </w:tr>
      <w:tr>
        <w:trPr>
          <w:trHeight w:val="161"/>
        </w:trPr>
        <w:tc>
          <w:tcPr>
            <w:tcW w:w="7800" w:type="dxa"/>
            <w:vAlign w:val="bottom"/>
          </w:tcPr>
          <w:p>
            <w:pPr>
              <w:spacing w:after="0"/>
              <w:rPr>
                <w:sz w:val="20"/>
                <w:szCs w:val="20"/>
                <w:color w:val="auto"/>
              </w:rPr>
            </w:pPr>
            <w:r>
              <w:rPr>
                <w:rFonts w:ascii="Arial" w:cs="Arial" w:eastAsia="Arial" w:hAnsi="Arial"/>
                <w:sz w:val="13"/>
                <w:szCs w:val="13"/>
                <w:color w:val="auto"/>
              </w:rPr>
              <w:t>Settlements with tax authorities(1)</w:t>
            </w:r>
          </w:p>
        </w:tc>
        <w:tc>
          <w:tcPr>
            <w:tcW w:w="18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(43,080)</w:t>
            </w: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Lapse of statute of limitations</w:t>
            </w:r>
          </w:p>
        </w:tc>
        <w:tc>
          <w:tcPr>
            <w:tcW w:w="1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(2,671)</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(499)</w:t>
            </w:r>
          </w:p>
        </w:tc>
      </w:tr>
      <w:tr>
        <w:trPr>
          <w:trHeight w:val="161"/>
        </w:trPr>
        <w:tc>
          <w:tcPr>
            <w:tcW w:w="7800" w:type="dxa"/>
            <w:vAlign w:val="bottom"/>
          </w:tcPr>
          <w:p>
            <w:pPr>
              <w:spacing w:after="0"/>
              <w:rPr>
                <w:sz w:val="20"/>
                <w:szCs w:val="20"/>
                <w:color w:val="auto"/>
              </w:rPr>
            </w:pPr>
            <w:r>
              <w:rPr>
                <w:rFonts w:ascii="Arial" w:cs="Arial" w:eastAsia="Arial" w:hAnsi="Arial"/>
                <w:sz w:val="13"/>
                <w:szCs w:val="13"/>
                <w:color w:val="auto"/>
              </w:rPr>
              <w:t>Balance at end of fiscal year</w:t>
            </w: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103,304</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85,772</w:t>
            </w:r>
          </w:p>
        </w:tc>
        <w:tc>
          <w:tcPr>
            <w:tcW w:w="80" w:type="dxa"/>
            <w:vAlign w:val="bottom"/>
          </w:tcPr>
          <w:p>
            <w:pPr>
              <w:spacing w:after="0"/>
              <w:rPr>
                <w:sz w:val="14"/>
                <w:szCs w:val="14"/>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880" w:right="120" w:hanging="250"/>
        <w:spacing w:after="0" w:line="276" w:lineRule="auto"/>
        <w:tabs>
          <w:tab w:leader="none" w:pos="18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As a result of settlements of certain tax matters during fiscal 2008, the amount of gross unrecognized tax benefits was reduced by $43,080 (including interest), of which $13,185 was recorded as tax payable. The statute of limitations applicable to some of the items released as a result of these settlements would have been lapsed during 2008.</w:t>
      </w:r>
    </w:p>
    <w:p>
      <w:pPr>
        <w:spacing w:after="0" w:line="38"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The total amount of unrecognized tax benefits, which includes interest and penalties, was $103,304 as of September 30, 2009, all of which would affect the effective tax rate if realized.</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recognizes interest and penalties related to unrecognized tax benefits in the provision for income taxes. As of September 30, 2009, the Company has accrued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$16,038 in income taxes payable for interest and penalties relating to unrecognized tax benefits, of which $2,041 of net interest and penalties expense was recognized in the statement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income in fiscal 2009. As of September 30, 2008, the Company has accrued $13,997 in income taxes payable for interest and penalties relating to unrecognized tax benefits, of which</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$1,596 of net interest and penalties income was recognized in the statement of income in fiscal 2008.</w:t>
      </w:r>
    </w:p>
    <w:p>
      <w:pPr>
        <w:spacing w:after="0" w:line="62"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17" w:lineRule="exact"/>
        <w:rPr>
          <w:sz w:val="20"/>
          <w:szCs w:val="20"/>
          <w:color w:val="auto"/>
        </w:rPr>
      </w:pPr>
    </w:p>
    <w:p>
      <w:pPr>
        <w:ind w:left="680" w:right="440" w:firstLine="399"/>
        <w:spacing w:after="0" w:line="338" w:lineRule="auto"/>
        <w:rPr>
          <w:sz w:val="20"/>
          <w:szCs w:val="20"/>
          <w:color w:val="auto"/>
        </w:rPr>
      </w:pPr>
      <w:r>
        <w:rPr>
          <w:rFonts w:ascii="Arial" w:cs="Arial" w:eastAsia="Arial" w:hAnsi="Arial"/>
          <w:sz w:val="12"/>
          <w:szCs w:val="12"/>
          <w:color w:val="auto"/>
        </w:rPr>
        <w:t>Within the next 12 months the Company believes that the amount of unrecognized tax benefits will increase in the ordinary course of business, in addition it is reasonably possible that the amount of unrecognized tax benefits will decrease by $2,673 as a result of lapse of statute of limitations in jurisdictions in which the Company operates.</w:t>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12 — Repurchase of Shares</w:t>
      </w:r>
    </w:p>
    <w:p>
      <w:pPr>
        <w:spacing w:after="0" w:line="74"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In August 2007, the Company announced that its board of directors had authorized a share repurchase plan allowing the repurchase of up to $400,000 of its outstanding ordinary shares. The authorization permitted the Company to purchase its ordinary shares in open market or privately negotiated transactions at times and prices that it considered appropriate. In fiscal 2008, the Company repurchased 8,370 ordinary shares at an average price of $30.45 per share (excluding broker and transaction fees). In the first quarter of fiscal 2009, the Company repurchased 468 ordinary shares under this repurchase program, at an average price of $26.90 per share (excluding broker and transaction fees). As of August 2009, this authority to repurchase ordinary shares expired.</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13 — Financing Arrangements</w:t>
      </w:r>
    </w:p>
    <w:p>
      <w:pPr>
        <w:spacing w:after="0" w:line="74"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In November 2007, the Company entered into an unsecured $500,000 five-year revolving credit facility with a syndicate of banks, which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September 30, 2009, the Company was in compliance with the financial covenants under the revolving credit</w:t>
      </w: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facility. During the first half of fiscal 2009, the Company borrowed an aggregate of $450,000 under the facility at an average interest rate equal to LIBOR plus 40 basis points and used the proceeds to acquire its outstanding notes as described in Note 14 to the consolidated financial statements. During the second half of fiscal 2009, the Company repaid all of the $450,000 outstanding under its credit facility.</w:t>
      </w:r>
    </w:p>
    <w:p>
      <w:pPr>
        <w:spacing w:after="0" w:line="38" w:lineRule="exact"/>
        <w:rPr>
          <w:sz w:val="20"/>
          <w:szCs w:val="20"/>
          <w:color w:val="auto"/>
        </w:rPr>
      </w:pPr>
    </w:p>
    <w:p>
      <w:pPr>
        <w:jc w:val="both"/>
        <w:ind w:left="680" w:right="240" w:firstLine="399"/>
        <w:spacing w:after="0" w:line="276" w:lineRule="auto"/>
        <w:rPr>
          <w:sz w:val="20"/>
          <w:szCs w:val="20"/>
          <w:color w:val="auto"/>
        </w:rPr>
      </w:pPr>
      <w:r>
        <w:rPr>
          <w:rFonts w:ascii="Arial" w:cs="Arial" w:eastAsia="Arial" w:hAnsi="Arial"/>
          <w:sz w:val="13"/>
          <w:szCs w:val="13"/>
          <w:color w:val="auto"/>
        </w:rPr>
        <w:t>As of September 30, 2009, the Company had outstanding letters of credit and bank guarantees of $15,057. These were supported by a combination of the credit facilities and restricted cash balances that the Company maintains with various banks. In addition, as of September 30, 2009, the Company had outstanding obligations of $881 in connection with leasing arrangements.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14 — Convertible Notes</w:t>
      </w:r>
    </w:p>
    <w:p>
      <w:pPr>
        <w:spacing w:after="0" w:line="74"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In March 2004, the Company issued $450,000 aggregate principal amount of 0.50% Convertible Senior Notes due 2024 (the “0.50% Notes”) through a private placement to qualified institutional buyers pursuant to a Rule 144A offering under the Securities Act.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 (ii) 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0.50% Notes are subject to redemption at any time, in whole or in part, at the option of the Company, at a redemption price of 100% of the principal amount plus accrued and unpaid interest, if any, on such redemption date. The 0.50% Notes are subject to repurchase, at the holders’ option, on March 15,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3"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During fiscal 2009, using proceeds from the Company’s revolving credit facility, the Company purchased $448,980 aggregate principal amount of its 0.50% convertible notes at an average price of 99.5% of the principal amount, excluding accrued interest and transaction fees. As of September 30, 2009, $1,020 aggregate principal amount of the notes remained as obligations of the Company, due 2024, in accordance with their terms.</w:t>
      </w: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7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15 — Noncurrent Liabilities and Other</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Noncurrent liabilities and other consist of the following:</w:t>
      </w:r>
    </w:p>
    <w:p>
      <w:pPr>
        <w:spacing w:after="0" w:line="1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1"/>
        </w:trPr>
        <w:tc>
          <w:tcPr>
            <w:tcW w:w="7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101" w:lineRule="exact"/>
              <w:rPr>
                <w:sz w:val="20"/>
                <w:szCs w:val="20"/>
                <w:color w:val="auto"/>
              </w:rPr>
            </w:pPr>
            <w:r>
              <w:rPr>
                <w:rFonts w:ascii="Arial" w:cs="Arial" w:eastAsia="Arial" w:hAnsi="Arial"/>
                <w:sz w:val="11"/>
                <w:szCs w:val="11"/>
                <w:b w:val="1"/>
                <w:bCs w:val="1"/>
                <w:color w:val="auto"/>
              </w:rPr>
              <w:t>2009</w:t>
            </w:r>
          </w:p>
        </w:tc>
        <w:tc>
          <w:tcPr>
            <w:tcW w:w="5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8"/>
                <w:szCs w:val="8"/>
                <w:color w:val="auto"/>
              </w:rPr>
            </w:pPr>
          </w:p>
        </w:tc>
      </w:tr>
      <w:tr>
        <w:trPr>
          <w:trHeight w:val="30"/>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Accrued employees costs(1)</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152,994</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172,340</w:t>
            </w:r>
          </w:p>
        </w:tc>
      </w:tr>
      <w:tr>
        <w:trPr>
          <w:trHeight w:val="161"/>
        </w:trPr>
        <w:tc>
          <w:tcPr>
            <w:tcW w:w="7800" w:type="dxa"/>
            <w:vAlign w:val="bottom"/>
          </w:tcPr>
          <w:p>
            <w:pPr>
              <w:spacing w:after="0"/>
              <w:rPr>
                <w:sz w:val="20"/>
                <w:szCs w:val="20"/>
                <w:color w:val="auto"/>
              </w:rPr>
            </w:pPr>
            <w:r>
              <w:rPr>
                <w:rFonts w:ascii="Arial" w:cs="Arial" w:eastAsia="Arial" w:hAnsi="Arial"/>
                <w:sz w:val="13"/>
                <w:szCs w:val="13"/>
                <w:color w:val="auto"/>
              </w:rPr>
              <w:t>Noncurrent customer advances</w:t>
            </w: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3"/>
                <w:szCs w:val="13"/>
                <w:color w:val="auto"/>
              </w:rPr>
              <w:t>53,611</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19,349</w:t>
            </w: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Accrued pension liability(2)</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9,540</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19,194</w:t>
            </w:r>
          </w:p>
        </w:tc>
      </w:tr>
      <w:tr>
        <w:trPr>
          <w:trHeight w:val="161"/>
        </w:trPr>
        <w:tc>
          <w:tcPr>
            <w:tcW w:w="7800" w:type="dxa"/>
            <w:vAlign w:val="bottom"/>
          </w:tcPr>
          <w:p>
            <w:pPr>
              <w:spacing w:after="0"/>
              <w:rPr>
                <w:sz w:val="20"/>
                <w:szCs w:val="20"/>
                <w:color w:val="auto"/>
              </w:rPr>
            </w:pPr>
            <w:r>
              <w:rPr>
                <w:rFonts w:ascii="Arial" w:cs="Arial" w:eastAsia="Arial" w:hAnsi="Arial"/>
                <w:sz w:val="13"/>
                <w:szCs w:val="13"/>
                <w:color w:val="auto"/>
              </w:rPr>
              <w:t>Accrued lease obligations</w:t>
            </w: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3"/>
                <w:szCs w:val="13"/>
                <w:color w:val="auto"/>
              </w:rPr>
              <w:t>6,417</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5,730</w:t>
            </w: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Accrued print and mail obligation</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4,838</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6,980</w:t>
            </w:r>
          </w:p>
        </w:tc>
      </w:tr>
      <w:tr>
        <w:trPr>
          <w:trHeight w:val="161"/>
        </w:trPr>
        <w:tc>
          <w:tcPr>
            <w:tcW w:w="7800" w:type="dxa"/>
            <w:vAlign w:val="bottom"/>
          </w:tcPr>
          <w:p>
            <w:pPr>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3"/>
                <w:szCs w:val="13"/>
                <w:color w:val="auto"/>
              </w:rPr>
              <w:t>2,967</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3,707</w:t>
            </w:r>
          </w:p>
        </w:tc>
      </w:tr>
      <w:tr>
        <w:trPr>
          <w:trHeight w:val="20"/>
        </w:trPr>
        <w:tc>
          <w:tcPr>
            <w:tcW w:w="7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8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230,367</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227,300</w:t>
            </w:r>
          </w:p>
        </w:tc>
      </w:tr>
      <w:tr>
        <w:trPr>
          <w:trHeight w:val="20"/>
        </w:trPr>
        <w:tc>
          <w:tcPr>
            <w:tcW w:w="7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880" w:hanging="250"/>
        <w:spacing w:after="0"/>
        <w:tabs>
          <w:tab w:leader="none" w:pos="18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Primarily severance pay liability in accordance with Israeli law. Please see Note 18 to the consolidated financial statements.</w:t>
      </w:r>
    </w:p>
    <w:p>
      <w:pPr>
        <w:spacing w:after="0" w:line="92" w:lineRule="exact"/>
        <w:rPr>
          <w:rFonts w:ascii="Arial" w:cs="Arial" w:eastAsia="Arial" w:hAnsi="Arial"/>
          <w:sz w:val="13"/>
          <w:szCs w:val="13"/>
          <w:color w:val="auto"/>
        </w:rPr>
      </w:pPr>
    </w:p>
    <w:p>
      <w:pPr>
        <w:ind w:left="1880" w:hanging="250"/>
        <w:spacing w:after="0"/>
        <w:tabs>
          <w:tab w:leader="none" w:pos="18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Relates to funded status of non-contributory defined benefit plans. Please see Note 18 to the consolidated financial statements.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16 — Interest (expense) income and other, net</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(expense) income and other, net consists of the following:</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1"/>
                <w:szCs w:val="11"/>
                <w:b w:val="1"/>
                <w:bCs w:val="1"/>
                <w:color w:val="auto"/>
                <w:w w:val="94"/>
              </w:rPr>
              <w:t>Year ended September 30,</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6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2009</w:t>
            </w: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rPr>
              <w:t>2008</w:t>
            </w: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r>
      <w:tr>
        <w:trPr>
          <w:trHeight w:val="30"/>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16,371</w:t>
            </w:r>
          </w:p>
        </w:tc>
        <w:tc>
          <w:tcPr>
            <w:tcW w:w="5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42,839</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49,138</w:t>
            </w:r>
          </w:p>
        </w:tc>
      </w:tr>
      <w:tr>
        <w:trPr>
          <w:trHeight w:val="161"/>
        </w:trPr>
        <w:tc>
          <w:tcPr>
            <w:tcW w:w="6700" w:type="dxa"/>
            <w:vAlign w:val="bottom"/>
          </w:tcPr>
          <w:p>
            <w:pPr>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(6,977)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3"/>
                <w:szCs w:val="13"/>
                <w:color w:val="auto"/>
              </w:rPr>
              <w:t>(6,772)</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(6,540)</w:t>
            </w:r>
          </w:p>
        </w:tc>
      </w:tr>
      <w:tr>
        <w:trPr>
          <w:trHeight w:val="161"/>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Gain from repurchase of 0.5% Notes(1)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2,185</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700" w:type="dxa"/>
            <w:vAlign w:val="bottom"/>
          </w:tcPr>
          <w:p>
            <w:pPr>
              <w:spacing w:after="0"/>
              <w:rPr>
                <w:sz w:val="20"/>
                <w:szCs w:val="20"/>
                <w:color w:val="auto"/>
              </w:rPr>
            </w:pPr>
            <w:r>
              <w:rPr>
                <w:rFonts w:ascii="Arial" w:cs="Arial" w:eastAsia="Arial" w:hAnsi="Arial"/>
                <w:sz w:val="13"/>
                <w:szCs w:val="13"/>
                <w:color w:val="auto"/>
              </w:rPr>
              <w:t>Foreign exchange (loss) gain</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(5,713)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3"/>
                <w:szCs w:val="13"/>
                <w:color w:val="auto"/>
              </w:rPr>
              <w:t>(18,856)</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9,232</w:t>
            </w:r>
          </w:p>
        </w:tc>
      </w:tr>
      <w:tr>
        <w:trPr>
          <w:trHeight w:val="161"/>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(7,031)</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(5,256)</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(1,264)</w:t>
            </w:r>
          </w:p>
        </w:tc>
      </w:tr>
      <w:tr>
        <w:trPr>
          <w:trHeight w:val="161"/>
        </w:trPr>
        <w:tc>
          <w:tcPr>
            <w:tcW w:w="67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11,955</w:t>
            </w:r>
          </w:p>
        </w:tc>
        <w:tc>
          <w:tcPr>
            <w:tcW w:w="4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50,566</w:t>
            </w:r>
          </w:p>
        </w:tc>
        <w:tc>
          <w:tcPr>
            <w:tcW w:w="80" w:type="dxa"/>
            <w:vAlign w:val="bottom"/>
          </w:tcPr>
          <w:p>
            <w:pPr>
              <w:spacing w:after="0"/>
              <w:rPr>
                <w:sz w:val="14"/>
                <w:szCs w:val="14"/>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(1)  See Note 14 to the consolidated financial statements.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17 — Contingencies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102" w:lineRule="exact"/>
        <w:rPr>
          <w:sz w:val="20"/>
          <w:szCs w:val="20"/>
          <w:color w:val="auto"/>
        </w:rPr>
      </w:pPr>
    </w:p>
    <w:p>
      <w:pPr>
        <w:ind w:left="680" w:right="880" w:firstLine="399"/>
        <w:spacing w:after="0" w:line="294" w:lineRule="auto"/>
        <w:rPr>
          <w:sz w:val="20"/>
          <w:szCs w:val="20"/>
          <w:color w:val="auto"/>
        </w:rPr>
      </w:pPr>
      <w:r>
        <w:rPr>
          <w:rFonts w:ascii="Arial" w:cs="Arial" w:eastAsia="Arial" w:hAnsi="Arial"/>
          <w:sz w:val="13"/>
          <w:szCs w:val="13"/>
          <w:color w:val="auto"/>
        </w:rPr>
        <w:t>The Company leases office space under non-cancelable operating leases in various countries in which it does business. Future minimum non-cancelable lease payments required after October 1, 2009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11"/>
                <w:szCs w:val="11"/>
                <w:color w:val="auto"/>
              </w:rPr>
            </w:pPr>
          </w:p>
        </w:tc>
        <w:tc>
          <w:tcPr>
            <w:tcW w:w="3240" w:type="dxa"/>
            <w:vAlign w:val="bottom"/>
            <w:gridSpan w:val="2"/>
          </w:tcPr>
          <w:p>
            <w:pPr>
              <w:spacing w:after="0"/>
              <w:rPr>
                <w:sz w:val="20"/>
                <w:szCs w:val="20"/>
                <w:color w:val="auto"/>
              </w:rPr>
            </w:pPr>
            <w:r>
              <w:rPr>
                <w:rFonts w:ascii="Arial" w:cs="Arial" w:eastAsia="Arial" w:hAnsi="Arial"/>
                <w:sz w:val="11"/>
                <w:szCs w:val="11"/>
                <w:b w:val="1"/>
                <w:bCs w:val="1"/>
                <w:color w:val="auto"/>
              </w:rPr>
              <w:t>For the years ended September 30,</w:t>
            </w:r>
          </w:p>
        </w:tc>
        <w:tc>
          <w:tcPr>
            <w:tcW w:w="5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30"/>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2010</w:t>
            </w:r>
          </w:p>
        </w:tc>
        <w:tc>
          <w:tcPr>
            <w:tcW w:w="5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50,389</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3"/>
                <w:szCs w:val="13"/>
                <w:color w:val="auto"/>
              </w:rPr>
              <w:t>2011</w:t>
            </w:r>
          </w:p>
        </w:tc>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37,505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5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18,145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3"/>
                <w:szCs w:val="13"/>
                <w:color w:val="auto"/>
              </w:rPr>
              <w:t>2013</w:t>
            </w:r>
          </w:p>
        </w:tc>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15,529</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2014</w:t>
            </w:r>
          </w:p>
        </w:tc>
        <w:tc>
          <w:tcPr>
            <w:tcW w:w="5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10,512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5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5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136,050</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3"/>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20" w:type="dxa"/>
            <w:vAlign w:val="bottom"/>
            <w:gridSpan w:val="2"/>
          </w:tcPr>
          <w:p>
            <w:pPr>
              <w:jc w:val="right"/>
              <w:ind w:right="3940"/>
              <w:spacing w:after="0"/>
              <w:rPr>
                <w:sz w:val="20"/>
                <w:szCs w:val="20"/>
                <w:color w:val="auto"/>
              </w:rPr>
            </w:pPr>
            <w:r>
              <w:rPr>
                <w:rFonts w:ascii="Arial" w:cs="Arial" w:eastAsia="Arial" w:hAnsi="Arial"/>
                <w:sz w:val="13"/>
                <w:szCs w:val="13"/>
                <w:color w:val="auto"/>
              </w:rPr>
              <w:t>F-31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53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Future minimum non-cancelable lease payments, as stated above, do not reflect committed future sublease income of $4,286, $4,228, $3,237, $1,631, and $469 for the years ended September 30, 2010, 2011, 2012, 2013 and 2014 and thereafter, respectively.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Rent expense net of sublease income, including accruals for future lease losses, was approximately $43,726, $39,572 and $42,209 for fiscal 2009, 2008 and 2007, respectively.</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8700" w:type="dxa"/>
            <w:vAlign w:val="bottom"/>
          </w:tcPr>
          <w:p>
            <w:pPr>
              <w:ind w:left="300"/>
              <w:spacing w:after="0"/>
              <w:rPr>
                <w:sz w:val="20"/>
                <w:szCs w:val="20"/>
                <w:color w:val="auto"/>
              </w:rPr>
            </w:pPr>
            <w:r>
              <w:rPr>
                <w:rFonts w:ascii="Arial" w:cs="Arial" w:eastAsia="Arial" w:hAnsi="Arial"/>
                <w:sz w:val="13"/>
                <w:szCs w:val="13"/>
                <w:color w:val="auto"/>
                <w:w w:val="97"/>
              </w:rPr>
              <w:t>The Company leases vehicles under operating leases. Future minimum non-cancelable lease payments required after October 1, 2009 are as follows:</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1"/>
                <w:szCs w:val="11"/>
                <w:b w:val="1"/>
                <w:bCs w:val="1"/>
                <w:color w:val="auto"/>
              </w:rPr>
              <w:t>For the years ended September 30,</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
        </w:trPr>
        <w:tc>
          <w:tcPr>
            <w:tcW w:w="100" w:type="dxa"/>
            <w:vAlign w:val="bottom"/>
            <w:tcBorders>
              <w:top w:val="single" w:sz="8" w:color="auto"/>
            </w:tcBorders>
          </w:tcPr>
          <w:p>
            <w:pPr>
              <w:spacing w:after="0"/>
              <w:rPr>
                <w:sz w:val="2"/>
                <w:szCs w:val="2"/>
                <w:color w:val="auto"/>
              </w:rPr>
            </w:pPr>
          </w:p>
        </w:tc>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1"/>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2010</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14,090</w:t>
            </w:r>
          </w:p>
        </w:tc>
        <w:tc>
          <w:tcPr>
            <w:tcW w:w="60" w:type="dxa"/>
            <w:vAlign w:val="bottom"/>
            <w:shd w:val="clear" w:color="auto" w:fill="CCEEFF"/>
          </w:tcPr>
          <w:p>
            <w:pPr>
              <w:spacing w:after="0"/>
              <w:rPr>
                <w:sz w:val="14"/>
                <w:szCs w:val="14"/>
                <w:color w:val="auto"/>
              </w:rPr>
            </w:pPr>
          </w:p>
        </w:tc>
      </w:tr>
      <w:tr>
        <w:trPr>
          <w:trHeight w:val="161"/>
        </w:trPr>
        <w:tc>
          <w:tcPr>
            <w:tcW w:w="8800" w:type="dxa"/>
            <w:vAlign w:val="bottom"/>
            <w:gridSpan w:val="2"/>
          </w:tcPr>
          <w:p>
            <w:pPr>
              <w:spacing w:after="0"/>
              <w:rPr>
                <w:sz w:val="20"/>
                <w:szCs w:val="20"/>
                <w:color w:val="auto"/>
              </w:rPr>
            </w:pPr>
            <w:r>
              <w:rPr>
                <w:rFonts w:ascii="Arial" w:cs="Arial" w:eastAsia="Arial" w:hAnsi="Arial"/>
                <w:sz w:val="13"/>
                <w:szCs w:val="13"/>
                <w:color w:val="auto"/>
              </w:rPr>
              <w:t>2011</w:t>
            </w:r>
          </w:p>
        </w:tc>
        <w:tc>
          <w:tcPr>
            <w:tcW w:w="4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6,310</w:t>
            </w:r>
          </w:p>
        </w:tc>
        <w:tc>
          <w:tcPr>
            <w:tcW w:w="60" w:type="dxa"/>
            <w:vAlign w:val="bottom"/>
          </w:tcPr>
          <w:p>
            <w:pPr>
              <w:spacing w:after="0"/>
              <w:rPr>
                <w:sz w:val="14"/>
                <w:szCs w:val="14"/>
                <w:color w:val="auto"/>
              </w:rPr>
            </w:pPr>
          </w:p>
        </w:tc>
      </w:tr>
      <w:tr>
        <w:trPr>
          <w:trHeight w:val="161"/>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1,651</w:t>
            </w:r>
          </w:p>
        </w:tc>
        <w:tc>
          <w:tcPr>
            <w:tcW w:w="60" w:type="dxa"/>
            <w:vAlign w:val="bottom"/>
            <w:shd w:val="clear" w:color="auto" w:fill="CCEEFF"/>
          </w:tcPr>
          <w:p>
            <w:pPr>
              <w:spacing w:after="0"/>
              <w:rPr>
                <w:sz w:val="14"/>
                <w:szCs w:val="14"/>
                <w:color w:val="auto"/>
              </w:rPr>
            </w:pPr>
          </w:p>
        </w:tc>
      </w:tr>
      <w:tr>
        <w:trPr>
          <w:trHeight w:val="161"/>
        </w:trPr>
        <w:tc>
          <w:tcPr>
            <w:tcW w:w="10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22,051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Proceedings</w:t>
      </w:r>
    </w:p>
    <w:p>
      <w:pPr>
        <w:spacing w:after="0" w:line="102" w:lineRule="exact"/>
        <w:rPr>
          <w:sz w:val="20"/>
          <w:szCs w:val="20"/>
          <w:color w:val="auto"/>
        </w:rPr>
      </w:pPr>
    </w:p>
    <w:p>
      <w:pPr>
        <w:ind w:left="680" w:right="320" w:firstLine="399"/>
        <w:spacing w:after="0" w:line="338" w:lineRule="auto"/>
        <w:rPr>
          <w:sz w:val="20"/>
          <w:szCs w:val="20"/>
          <w:color w:val="auto"/>
        </w:rPr>
      </w:pPr>
      <w:r>
        <w:rPr>
          <w:rFonts w:ascii="Arial" w:cs="Arial" w:eastAsia="Arial" w:hAnsi="Arial"/>
          <w:sz w:val="12"/>
          <w:szCs w:val="12"/>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Guarantor’s Accounting and Disclosure Requirements for Guarantees</w:t>
      </w:r>
    </w:p>
    <w:p>
      <w:pPr>
        <w:spacing w:after="0" w:line="10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 generally sells its products with a limited warranty for a period of 90 days. The Company’s policy is to accrue for warranty costs, if needed, based on historical trends in product failure. Based on the Company’s experience, only minimal warranty charges have been required and, as a result, the Company did not accrue any amounts for product warranty liability during fiscal years 2009, 2008 and 2007.</w:t>
      </w:r>
    </w:p>
    <w:p>
      <w:pPr>
        <w:spacing w:after="0" w:line="59"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18 — Employee Benefits</w:t>
      </w:r>
    </w:p>
    <w:p>
      <w:pPr>
        <w:spacing w:after="0" w:line="104"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noncurrent liabilities and other, is partially funded by amounts on deposit with insurance companies, which are included in other noncurrent assets. These severance expenses were $14,616, $26,085 and $28,832 for fiscal 2009, 2008 and 2007, respectively.</w:t>
      </w:r>
    </w:p>
    <w:p>
      <w:pPr>
        <w:spacing w:after="0" w:line="63"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Company sponsors defined contribution plans covering certain of its employees around the world. The plans primarily provide for Company matching contributions based upon a percentage of the employees’ contributions. The Company’s contributions in fiscal 2009, 2008 and 2007 under such plans were not material compared to total operating expenses.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 maintains non-contributory defined benefit plans that provide for pension, other retirement and post employment benefits for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140"/>
        <w:spacing w:after="0" w:line="294" w:lineRule="auto"/>
        <w:rPr>
          <w:sz w:val="20"/>
          <w:szCs w:val="20"/>
          <w:color w:val="auto"/>
        </w:rPr>
      </w:pPr>
      <w:r>
        <w:rPr>
          <w:rFonts w:ascii="Arial" w:cs="Arial" w:eastAsia="Arial" w:hAnsi="Arial"/>
          <w:sz w:val="13"/>
          <w:szCs w:val="13"/>
          <w:color w:val="auto"/>
        </w:rPr>
        <w:t>actuarially determined using the projected benefit method pro-rated on service and based on management’s best estimates of expected plan investments performance, salary escalation, retirement ages of employees and expected health care costs. The Company recognized the funded status of such plans in the balance sheet.</w:t>
      </w:r>
    </w:p>
    <w:p>
      <w:pPr>
        <w:spacing w:after="0" w:line="47"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fair value of the employee benefit plans’ assets is based on market values. The plan assets are valued at market value for the purpose of calculating the expected return on plan assets and the amortization of experienced gains and losses. Past service costs, which may arise from plan amendments, are amortized on a straight-line basis over the average remaining service period of the employees who were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pension and other benefits costs in fiscal 2009, 2008 and 2007 were $686, $1,213 and $1,237, respectively.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19 — Stock Option and Incentive Plan</w:t>
      </w:r>
    </w:p>
    <w:p>
      <w:pPr>
        <w:spacing w:after="0" w:line="104"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2008, the maximum number of ordinary shares authorized to be granted under the Plan was increased from 46,300 to 55,300. Awards granted under the Plan generally vest over a period of four years and stock options have a term of ten years.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information about options to purchase the Company</w:t>
      </w:r>
      <w:r>
        <w:rPr>
          <w:rFonts w:ascii="Arial" w:cs="Arial" w:eastAsia="Arial" w:hAnsi="Arial"/>
          <w:sz w:val="12"/>
          <w:szCs w:val="12"/>
          <w:b w:val="1"/>
          <w:bCs w:val="1"/>
          <w:color w:val="auto"/>
        </w:rPr>
        <w:t>’</w:t>
      </w:r>
      <w:r>
        <w:rPr>
          <w:rFonts w:ascii="Arial" w:cs="Arial" w:eastAsia="Arial" w:hAnsi="Arial"/>
          <w:sz w:val="12"/>
          <w:szCs w:val="12"/>
          <w:color w:val="auto"/>
        </w:rPr>
        <w:t>s ordinary shares, as well as changes during the years ended September 30, 2009, 2008 and</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100" w:type="dxa"/>
            <w:vAlign w:val="bottom"/>
          </w:tcPr>
          <w:p>
            <w:pPr>
              <w:spacing w:after="0"/>
              <w:rPr>
                <w:sz w:val="10"/>
                <w:szCs w:val="10"/>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w w:val="90"/>
              </w:rPr>
              <w:t>Number of</w:t>
            </w:r>
          </w:p>
        </w:tc>
        <w:tc>
          <w:tcPr>
            <w:tcW w:w="200" w:type="dxa"/>
            <w:vAlign w:val="bottom"/>
          </w:tcPr>
          <w:p>
            <w:pPr>
              <w:spacing w:after="0"/>
              <w:rPr>
                <w:sz w:val="10"/>
                <w:szCs w:val="10"/>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11"/>
        </w:trPr>
        <w:tc>
          <w:tcPr>
            <w:tcW w:w="7100" w:type="dxa"/>
            <w:vAlign w:val="bottom"/>
          </w:tcPr>
          <w:p>
            <w:pPr>
              <w:spacing w:after="0"/>
              <w:rPr>
                <w:sz w:val="9"/>
                <w:szCs w:val="9"/>
                <w:color w:val="auto"/>
              </w:rPr>
            </w:pPr>
          </w:p>
        </w:tc>
        <w:tc>
          <w:tcPr>
            <w:tcW w:w="1300" w:type="dxa"/>
            <w:vAlign w:val="bottom"/>
            <w:gridSpan w:val="3"/>
          </w:tcPr>
          <w:p>
            <w:pPr>
              <w:jc w:val="center"/>
              <w:ind w:right="480"/>
              <w:spacing w:after="0" w:line="111" w:lineRule="exact"/>
              <w:rPr>
                <w:sz w:val="20"/>
                <w:szCs w:val="20"/>
                <w:color w:val="auto"/>
              </w:rPr>
            </w:pPr>
            <w:r>
              <w:rPr>
                <w:rFonts w:ascii="Arial" w:cs="Arial" w:eastAsia="Arial" w:hAnsi="Arial"/>
                <w:sz w:val="11"/>
                <w:szCs w:val="11"/>
                <w:b w:val="1"/>
                <w:bCs w:val="1"/>
                <w:color w:val="auto"/>
                <w:w w:val="84"/>
              </w:rPr>
              <w:t>Share</w:t>
            </w:r>
          </w:p>
        </w:tc>
        <w:tc>
          <w:tcPr>
            <w:tcW w:w="2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100" w:type="dxa"/>
            <w:vAlign w:val="bottom"/>
          </w:tcPr>
          <w:p>
            <w:pPr>
              <w:spacing w:after="0"/>
              <w:rPr>
                <w:sz w:val="11"/>
                <w:szCs w:val="11"/>
                <w:color w:val="auto"/>
              </w:rPr>
            </w:pPr>
          </w:p>
        </w:tc>
        <w:tc>
          <w:tcPr>
            <w:tcW w:w="130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86"/>
              </w:rPr>
              <w:t>Options</w:t>
            </w:r>
          </w:p>
        </w:tc>
        <w:tc>
          <w:tcPr>
            <w:tcW w:w="200" w:type="dxa"/>
            <w:vAlign w:val="bottom"/>
          </w:tcPr>
          <w:p>
            <w:pPr>
              <w:spacing w:after="0"/>
              <w:rPr>
                <w:sz w:val="11"/>
                <w:szCs w:val="1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Exercise Price</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October 1, 2006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22,794.0</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29.02</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2,830.2</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35.92</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(3,970.1)</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18.80</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3"/>
          </w:tcPr>
          <w:p>
            <w:pPr>
              <w:jc w:val="right"/>
              <w:ind w:right="440"/>
              <w:spacing w:after="0"/>
              <w:rPr>
                <w:sz w:val="20"/>
                <w:szCs w:val="20"/>
                <w:color w:val="auto"/>
              </w:rPr>
            </w:pPr>
            <w:r>
              <w:rPr>
                <w:rFonts w:ascii="Arial" w:cs="Arial" w:eastAsia="Arial" w:hAnsi="Arial"/>
                <w:sz w:val="13"/>
                <w:szCs w:val="13"/>
                <w:color w:val="auto"/>
              </w:rPr>
              <w:t>(1,197.6)</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34.77</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20,456.5</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31.62</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5,631.1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33.05</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(2,051.7)</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18.31</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3"/>
          </w:tcPr>
          <w:p>
            <w:pPr>
              <w:jc w:val="right"/>
              <w:ind w:right="440"/>
              <w:spacing w:after="0"/>
              <w:rPr>
                <w:sz w:val="20"/>
                <w:szCs w:val="20"/>
                <w:color w:val="auto"/>
              </w:rPr>
            </w:pPr>
            <w:r>
              <w:rPr>
                <w:rFonts w:ascii="Arial" w:cs="Arial" w:eastAsia="Arial" w:hAnsi="Arial"/>
                <w:sz w:val="13"/>
                <w:szCs w:val="13"/>
                <w:color w:val="auto"/>
              </w:rPr>
              <w:t>(1,648.2)</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35.85</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22,387.7</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32.89</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3,658.1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18.70</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(1,289.4)</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21.63</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3"/>
          </w:tcPr>
          <w:p>
            <w:pPr>
              <w:jc w:val="right"/>
              <w:ind w:right="440"/>
              <w:spacing w:after="0"/>
              <w:rPr>
                <w:sz w:val="20"/>
                <w:szCs w:val="20"/>
                <w:color w:val="auto"/>
              </w:rPr>
            </w:pPr>
            <w:r>
              <w:rPr>
                <w:rFonts w:ascii="Arial" w:cs="Arial" w:eastAsia="Arial" w:hAnsi="Arial"/>
                <w:sz w:val="13"/>
                <w:szCs w:val="13"/>
                <w:color w:val="auto"/>
              </w:rPr>
              <w:t>(3,435.0)</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34.20</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21,321.4</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30.93</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Exercisable on September 30, 2009(1)</w:t>
            </w: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vMerge w:val="restart"/>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33.43</w:t>
            </w:r>
          </w:p>
        </w:tc>
        <w:tc>
          <w:tcPr>
            <w:tcW w:w="0" w:type="dxa"/>
            <w:vAlign w:val="bottom"/>
          </w:tcPr>
          <w:p>
            <w:pPr>
              <w:spacing w:after="0" w:line="20" w:lineRule="exact"/>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12,947.7</w:t>
            </w: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540" w:right="3720" w:hanging="4806"/>
        <w:spacing w:after="0" w:line="778" w:lineRule="auto"/>
        <w:tabs>
          <w:tab w:leader="none" w:pos="981" w:val="left"/>
        </w:tabs>
        <w:numPr>
          <w:ilvl w:val="0"/>
          <w:numId w:val="60"/>
        </w:numPr>
        <w:rPr>
          <w:rFonts w:ascii="Arial" w:cs="Arial" w:eastAsia="Arial" w:hAnsi="Arial"/>
          <w:sz w:val="13"/>
          <w:szCs w:val="13"/>
          <w:color w:val="auto"/>
        </w:rPr>
      </w:pPr>
      <w:r>
        <w:rPr>
          <w:rFonts w:ascii="Arial" w:cs="Arial" w:eastAsia="Arial" w:hAnsi="Arial"/>
          <w:sz w:val="13"/>
          <w:szCs w:val="13"/>
          <w:color w:val="auto"/>
        </w:rPr>
        <w:t>At September 30, 2009, the weighted average remaining contractual life of exercisable options was 4.25 years.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728789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relating to awards of restricted shares, as well as changes during the years ended September 30, 2009, 2008 and 2007:</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100" w:type="dxa"/>
            <w:vAlign w:val="bottom"/>
          </w:tcPr>
          <w:p>
            <w:pPr>
              <w:spacing w:after="0"/>
              <w:rPr>
                <w:sz w:val="10"/>
                <w:szCs w:val="10"/>
                <w:color w:val="auto"/>
              </w:rPr>
            </w:pPr>
          </w:p>
        </w:tc>
        <w:tc>
          <w:tcPr>
            <w:tcW w:w="1300" w:type="dxa"/>
            <w:vAlign w:val="bottom"/>
            <w:gridSpan w:val="2"/>
            <w:vMerge w:val="restart"/>
          </w:tcPr>
          <w:p>
            <w:pPr>
              <w:jc w:val="right"/>
              <w:ind w:right="640"/>
              <w:spacing w:after="0"/>
              <w:rPr>
                <w:sz w:val="20"/>
                <w:szCs w:val="20"/>
                <w:color w:val="auto"/>
              </w:rPr>
            </w:pPr>
            <w:r>
              <w:rPr>
                <w:rFonts w:ascii="Arial" w:cs="Arial" w:eastAsia="Arial" w:hAnsi="Arial"/>
                <w:sz w:val="11"/>
                <w:szCs w:val="11"/>
                <w:b w:val="1"/>
                <w:bCs w:val="1"/>
                <w:color w:val="auto"/>
              </w:rPr>
              <w:t>Number of</w:t>
            </w:r>
          </w:p>
        </w:tc>
        <w:tc>
          <w:tcPr>
            <w:tcW w:w="200" w:type="dxa"/>
            <w:vAlign w:val="bottom"/>
          </w:tcPr>
          <w:p>
            <w:pPr>
              <w:spacing w:after="0"/>
              <w:rPr>
                <w:sz w:val="10"/>
                <w:szCs w:val="1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11"/>
        </w:trPr>
        <w:tc>
          <w:tcPr>
            <w:tcW w:w="7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93"/>
              </w:rPr>
              <w:t>Grant Date Fair</w:t>
            </w:r>
          </w:p>
        </w:tc>
        <w:tc>
          <w:tcPr>
            <w:tcW w:w="0" w:type="dxa"/>
            <w:vAlign w:val="bottom"/>
          </w:tcPr>
          <w:p>
            <w:pPr>
              <w:spacing w:after="0"/>
              <w:rPr>
                <w:sz w:val="1"/>
                <w:szCs w:val="1"/>
                <w:color w:val="auto"/>
              </w:rPr>
            </w:pPr>
          </w:p>
        </w:tc>
      </w:tr>
      <w:tr>
        <w:trPr>
          <w:trHeight w:val="128"/>
        </w:trPr>
        <w:tc>
          <w:tcPr>
            <w:tcW w:w="7100" w:type="dxa"/>
            <w:vAlign w:val="bottom"/>
          </w:tcPr>
          <w:p>
            <w:pPr>
              <w:spacing w:after="0"/>
              <w:rPr>
                <w:sz w:val="11"/>
                <w:szCs w:val="11"/>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30"/>
        </w:trPr>
        <w:tc>
          <w:tcPr>
            <w:tcW w:w="7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October 1, 2006</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780.3</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32.89</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468.1</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37.04</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(235.8)</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33.76</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2"/>
          </w:tcPr>
          <w:p>
            <w:pPr>
              <w:jc w:val="right"/>
              <w:ind w:right="440"/>
              <w:spacing w:after="0"/>
              <w:rPr>
                <w:sz w:val="20"/>
                <w:szCs w:val="20"/>
                <w:color w:val="auto"/>
              </w:rPr>
            </w:pPr>
            <w:r>
              <w:rPr>
                <w:rFonts w:ascii="Arial" w:cs="Arial" w:eastAsia="Arial" w:hAnsi="Arial"/>
                <w:sz w:val="13"/>
                <w:szCs w:val="13"/>
                <w:color w:val="auto"/>
              </w:rPr>
              <w:t>(57.5)</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36.43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955.1</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34.50</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611.1</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32.53</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(321.5)</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32.81</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2"/>
          </w:tcPr>
          <w:p>
            <w:pPr>
              <w:jc w:val="right"/>
              <w:ind w:right="440"/>
              <w:spacing w:after="0"/>
              <w:rPr>
                <w:sz w:val="20"/>
                <w:szCs w:val="20"/>
                <w:color w:val="auto"/>
              </w:rPr>
            </w:pPr>
            <w:r>
              <w:rPr>
                <w:rFonts w:ascii="Arial" w:cs="Arial" w:eastAsia="Arial" w:hAnsi="Arial"/>
                <w:sz w:val="13"/>
                <w:szCs w:val="13"/>
                <w:color w:val="auto"/>
              </w:rPr>
              <w:t>(139.6)</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35.45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2008</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1,105.1</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33.78</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Granted</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color w:val="auto"/>
              </w:rPr>
              <w:t>583.2</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18.42</w:t>
            </w:r>
          </w:p>
        </w:tc>
        <w:tc>
          <w:tcPr>
            <w:tcW w:w="0" w:type="dxa"/>
            <w:vAlign w:val="bottom"/>
          </w:tcPr>
          <w:p>
            <w:pPr>
              <w:spacing w:after="0"/>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(315.7)</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33.43</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20"/>
                <w:szCs w:val="20"/>
                <w:color w:val="auto"/>
              </w:rPr>
            </w:pPr>
            <w:r>
              <w:rPr>
                <w:rFonts w:ascii="Arial" w:cs="Arial" w:eastAsia="Arial" w:hAnsi="Arial"/>
                <w:sz w:val="13"/>
                <w:szCs w:val="13"/>
                <w:color w:val="auto"/>
              </w:rPr>
              <w:t>Forfeited</w:t>
            </w:r>
          </w:p>
        </w:tc>
        <w:tc>
          <w:tcPr>
            <w:tcW w:w="1300" w:type="dxa"/>
            <w:vAlign w:val="bottom"/>
            <w:gridSpan w:val="2"/>
          </w:tcPr>
          <w:p>
            <w:pPr>
              <w:jc w:val="right"/>
              <w:ind w:right="440"/>
              <w:spacing w:after="0"/>
              <w:rPr>
                <w:sz w:val="20"/>
                <w:szCs w:val="20"/>
                <w:color w:val="auto"/>
              </w:rPr>
            </w:pPr>
            <w:r>
              <w:rPr>
                <w:rFonts w:ascii="Arial" w:cs="Arial" w:eastAsia="Arial" w:hAnsi="Arial"/>
                <w:sz w:val="13"/>
                <w:szCs w:val="13"/>
                <w:color w:val="auto"/>
              </w:rPr>
              <w:t>(247.9)</w:t>
            </w:r>
          </w:p>
        </w:tc>
        <w:tc>
          <w:tcPr>
            <w:tcW w:w="2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34.80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2009</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1,124.7</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25.69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The total intrinsic value of options exercised and the value of restricted shares vested during fiscal 2009 was $2,317 and $6,305, respectively. The aggregate intrinsic value of outstanding and exercisable stock options as of September 30, 2009 was $47,283 and $18,254, respectively.</w:t>
      </w:r>
    </w:p>
    <w:p>
      <w:pPr>
        <w:spacing w:after="0" w:line="47"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The total income tax benefit recognized in the income statement for stock-based compensation (including restricted shares) for fiscal 2009, 2008 and 2007 was $5,660, $5,903 and $8,633, respectively.</w:t>
      </w:r>
    </w:p>
    <w:p>
      <w:pPr>
        <w:spacing w:after="0" w:line="4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As of September 30, 2009, there was $40,315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 as of September 30, 2009:</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32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3"/>
          </w:tcPr>
          <w:p>
            <w:pPr>
              <w:ind w:left="800"/>
              <w:spacing w:after="0"/>
              <w:rPr>
                <w:sz w:val="20"/>
                <w:szCs w:val="20"/>
                <w:color w:val="auto"/>
              </w:rPr>
            </w:pPr>
            <w:r>
              <w:rPr>
                <w:rFonts w:ascii="Arial" w:cs="Arial" w:eastAsia="Arial" w:hAnsi="Arial"/>
                <w:sz w:val="11"/>
                <w:szCs w:val="11"/>
                <w:b w:val="1"/>
                <w:bCs w:val="1"/>
                <w:color w:val="auto"/>
              </w:rPr>
              <w:t>Outstanding</w:t>
            </w: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5"/>
          </w:tcPr>
          <w:p>
            <w:pPr>
              <w:jc w:val="right"/>
              <w:ind w:right="122"/>
              <w:spacing w:after="0"/>
              <w:rPr>
                <w:sz w:val="20"/>
                <w:szCs w:val="20"/>
                <w:color w:val="auto"/>
              </w:rPr>
            </w:pPr>
            <w:r>
              <w:rPr>
                <w:rFonts w:ascii="Arial" w:cs="Arial" w:eastAsia="Arial" w:hAnsi="Arial"/>
                <w:sz w:val="11"/>
                <w:szCs w:val="11"/>
                <w:b w:val="1"/>
                <w:bCs w:val="1"/>
                <w:color w:val="auto"/>
                <w:w w:val="88"/>
              </w:rPr>
              <w:t>Exercisable</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gridSpan w:val="2"/>
          </w:tcPr>
          <w:p>
            <w:pPr>
              <w:jc w:val="center"/>
              <w:ind w:right="400"/>
              <w:spacing w:after="0" w:line="84" w:lineRule="exact"/>
              <w:rPr>
                <w:sz w:val="20"/>
                <w:szCs w:val="20"/>
                <w:color w:val="auto"/>
              </w:rPr>
            </w:pPr>
            <w:r>
              <w:rPr>
                <w:rFonts w:ascii="Arial" w:cs="Arial" w:eastAsia="Arial" w:hAnsi="Arial"/>
                <w:sz w:val="9"/>
                <w:szCs w:val="9"/>
                <w:b w:val="1"/>
                <w:bCs w:val="1"/>
                <w:color w:val="auto"/>
              </w:rPr>
              <w:t>Weighted Average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88"/>
              </w:rPr>
              <w:t>Remaining</w:t>
            </w:r>
          </w:p>
        </w:tc>
        <w:tc>
          <w:tcPr>
            <w:tcW w:w="180" w:type="dxa"/>
            <w:vAlign w:val="bottom"/>
          </w:tcPr>
          <w:p>
            <w:pPr>
              <w:spacing w:after="0"/>
              <w:rPr>
                <w:sz w:val="9"/>
                <w:szCs w:val="9"/>
                <w:color w:val="auto"/>
              </w:rPr>
            </w:pPr>
          </w:p>
        </w:tc>
        <w:tc>
          <w:tcPr>
            <w:tcW w:w="840" w:type="dxa"/>
            <w:vAlign w:val="bottom"/>
            <w:gridSpan w:val="4"/>
            <w:vMerge w:val="restart"/>
          </w:tcPr>
          <w:p>
            <w:pPr>
              <w:jc w:val="center"/>
              <w:ind w:right="300"/>
              <w:spacing w:after="0"/>
              <w:rPr>
                <w:sz w:val="20"/>
                <w:szCs w:val="20"/>
                <w:color w:val="auto"/>
              </w:rPr>
            </w:pPr>
            <w:r>
              <w:rPr>
                <w:rFonts w:ascii="Arial" w:cs="Arial" w:eastAsia="Arial" w:hAnsi="Arial"/>
                <w:sz w:val="11"/>
                <w:szCs w:val="11"/>
                <w:b w:val="1"/>
                <w:bCs w:val="1"/>
                <w:color w:val="auto"/>
                <w:w w:val="84"/>
              </w:rPr>
              <w:t>Weighted</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w w:val="84"/>
              </w:rPr>
              <w:t>Weighted</w:t>
            </w:r>
          </w:p>
        </w:tc>
        <w:tc>
          <w:tcPr>
            <w:tcW w:w="0" w:type="dxa"/>
            <w:vAlign w:val="bottom"/>
          </w:tcPr>
          <w:p>
            <w:pPr>
              <w:spacing w:after="0"/>
              <w:rPr>
                <w:sz w:val="1"/>
                <w:szCs w:val="1"/>
                <w:color w:val="auto"/>
              </w:rPr>
            </w:pPr>
          </w:p>
        </w:tc>
      </w:tr>
      <w:tr>
        <w:trPr>
          <w:trHeight w:val="111"/>
        </w:trPr>
        <w:tc>
          <w:tcPr>
            <w:tcW w:w="2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Exercise</w:t>
            </w:r>
          </w:p>
        </w:tc>
        <w:tc>
          <w:tcPr>
            <w:tcW w:w="1120" w:type="dxa"/>
            <w:vAlign w:val="bottom"/>
          </w:tcPr>
          <w:p>
            <w:pPr>
              <w:spacing w:after="0"/>
              <w:rPr>
                <w:sz w:val="9"/>
                <w:szCs w:val="9"/>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1"/>
              </w:rPr>
              <w:t>Number</w:t>
            </w:r>
          </w:p>
        </w:tc>
        <w:tc>
          <w:tcPr>
            <w:tcW w:w="16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1"/>
              </w:rPr>
              <w:t>Contractual</w:t>
            </w:r>
          </w:p>
        </w:tc>
        <w:tc>
          <w:tcPr>
            <w:tcW w:w="18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restart"/>
          </w:tcPr>
          <w:p>
            <w:pPr>
              <w:jc w:val="right"/>
              <w:ind w:right="540"/>
              <w:spacing w:after="0"/>
              <w:rPr>
                <w:sz w:val="20"/>
                <w:szCs w:val="20"/>
                <w:color w:val="auto"/>
              </w:rPr>
            </w:pPr>
            <w:r>
              <w:rPr>
                <w:rFonts w:ascii="Arial" w:cs="Arial" w:eastAsia="Arial" w:hAnsi="Arial"/>
                <w:sz w:val="11"/>
                <w:szCs w:val="11"/>
                <w:b w:val="1"/>
                <w:bCs w:val="1"/>
                <w:color w:val="auto"/>
                <w:w w:val="86"/>
              </w:rPr>
              <w:t>Number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68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91"/>
              </w:rPr>
              <w:t>Life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Average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center"/>
              <w:ind w:right="280"/>
              <w:spacing w:after="0" w:line="111"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rice</w:t>
            </w:r>
          </w:p>
        </w:tc>
        <w:tc>
          <w:tcPr>
            <w:tcW w:w="2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9"/>
              </w:rPr>
              <w:t>Outstanding</w:t>
            </w:r>
          </w:p>
        </w:tc>
        <w:tc>
          <w:tcPr>
            <w:tcW w:w="16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(in Years)</w:t>
            </w:r>
          </w:p>
        </w:tc>
        <w:tc>
          <w:tcPr>
            <w:tcW w:w="10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7"/>
              </w:rPr>
              <w:t>Exercise Price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ind w:left="20"/>
              <w:spacing w:after="0"/>
              <w:rPr>
                <w:sz w:val="20"/>
                <w:szCs w:val="20"/>
                <w:color w:val="auto"/>
              </w:rPr>
            </w:pPr>
            <w:r>
              <w:rPr>
                <w:rFonts w:ascii="Arial" w:cs="Arial" w:eastAsia="Arial" w:hAnsi="Arial"/>
                <w:sz w:val="11"/>
                <w:szCs w:val="11"/>
                <w:b w:val="1"/>
                <w:bCs w:val="1"/>
                <w:color w:val="auto"/>
              </w:rPr>
              <w:t>Exercisable</w:t>
            </w:r>
          </w:p>
        </w:tc>
        <w:tc>
          <w:tcPr>
            <w:tcW w:w="100" w:type="dxa"/>
            <w:vAlign w:val="bottom"/>
          </w:tcPr>
          <w:p>
            <w:pPr>
              <w:spacing w:after="0"/>
              <w:rPr>
                <w:sz w:val="11"/>
                <w:szCs w:val="11"/>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87"/>
              </w:rPr>
              <w:t>Exercise Price</w:t>
            </w: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$0.38 — 4.76</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71.1</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5.28</w:t>
            </w: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2.23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79.9</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61"/>
        </w:trPr>
        <w:tc>
          <w:tcPr>
            <w:tcW w:w="2680" w:type="dxa"/>
            <w:vAlign w:val="bottom"/>
            <w:gridSpan w:val="2"/>
          </w:tcPr>
          <w:p>
            <w:pPr>
              <w:spacing w:after="0"/>
              <w:rPr>
                <w:sz w:val="20"/>
                <w:szCs w:val="20"/>
                <w:color w:val="auto"/>
              </w:rPr>
            </w:pPr>
            <w:r>
              <w:rPr>
                <w:rFonts w:ascii="Arial" w:cs="Arial" w:eastAsia="Arial" w:hAnsi="Arial"/>
                <w:sz w:val="13"/>
                <w:szCs w:val="13"/>
                <w:color w:val="auto"/>
              </w:rPr>
              <w:t>6.40 — 16.75</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541.2</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3.67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12.77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486.6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12.69</w:t>
            </w:r>
          </w:p>
        </w:tc>
        <w:tc>
          <w:tcPr>
            <w:tcW w:w="0" w:type="dxa"/>
            <w:vAlign w:val="bottom"/>
          </w:tcPr>
          <w:p>
            <w:pPr>
              <w:spacing w:after="0"/>
              <w:rPr>
                <w:sz w:val="1"/>
                <w:szCs w:val="1"/>
                <w:color w:val="auto"/>
              </w:rPr>
            </w:pPr>
          </w:p>
        </w:tc>
      </w:tr>
      <w:tr>
        <w:trPr>
          <w:trHeight w:val="161"/>
        </w:trPr>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2"/>
              </w:rPr>
              <w:t>16.92</w:t>
            </w: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19.78</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2,112.8</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17.44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109.4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18.89</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3"/>
                <w:szCs w:val="13"/>
                <w:color w:val="auto"/>
                <w:w w:val="92"/>
              </w:rPr>
              <w:t>19.94</w:t>
            </w:r>
          </w:p>
        </w:tc>
        <w:tc>
          <w:tcPr>
            <w:tcW w:w="2360" w:type="dxa"/>
            <w:vAlign w:val="bottom"/>
          </w:tcPr>
          <w:p>
            <w:pPr>
              <w:ind w:left="20"/>
              <w:spacing w:after="0"/>
              <w:rPr>
                <w:sz w:val="20"/>
                <w:szCs w:val="20"/>
                <w:color w:val="auto"/>
              </w:rPr>
            </w:pPr>
            <w:r>
              <w:rPr>
                <w:rFonts w:ascii="Arial" w:cs="Arial" w:eastAsia="Arial" w:hAnsi="Arial"/>
                <w:sz w:val="13"/>
                <w:szCs w:val="13"/>
                <w:color w:val="auto"/>
              </w:rPr>
              <w:t>— 22.38</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2,430.5</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7.15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20.87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1,138.8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21.85</w:t>
            </w:r>
          </w:p>
        </w:tc>
        <w:tc>
          <w:tcPr>
            <w:tcW w:w="0" w:type="dxa"/>
            <w:vAlign w:val="bottom"/>
          </w:tcPr>
          <w:p>
            <w:pPr>
              <w:spacing w:after="0"/>
              <w:rPr>
                <w:sz w:val="1"/>
                <w:szCs w:val="1"/>
                <w:color w:val="auto"/>
              </w:rPr>
            </w:pPr>
          </w:p>
        </w:tc>
      </w:tr>
      <w:tr>
        <w:trPr>
          <w:trHeight w:val="161"/>
        </w:trPr>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2"/>
              </w:rPr>
              <w:t>22.43</w:t>
            </w: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27.6</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2,985.5</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26.08</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2,562.3</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26.12</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3"/>
                <w:szCs w:val="13"/>
                <w:color w:val="auto"/>
                <w:w w:val="92"/>
              </w:rPr>
              <w:t>27.71</w:t>
            </w:r>
          </w:p>
        </w:tc>
        <w:tc>
          <w:tcPr>
            <w:tcW w:w="2360" w:type="dxa"/>
            <w:vAlign w:val="bottom"/>
          </w:tcPr>
          <w:p>
            <w:pPr>
              <w:ind w:left="20"/>
              <w:spacing w:after="0"/>
              <w:rPr>
                <w:sz w:val="20"/>
                <w:szCs w:val="20"/>
                <w:color w:val="auto"/>
              </w:rPr>
            </w:pPr>
            <w:r>
              <w:rPr>
                <w:rFonts w:ascii="Arial" w:cs="Arial" w:eastAsia="Arial" w:hAnsi="Arial"/>
                <w:sz w:val="13"/>
                <w:szCs w:val="13"/>
                <w:color w:val="auto"/>
              </w:rPr>
              <w:t>— 31.01</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3,206.1</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4.09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30.45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2,528.9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30.60</w:t>
            </w:r>
          </w:p>
        </w:tc>
        <w:tc>
          <w:tcPr>
            <w:tcW w:w="0" w:type="dxa"/>
            <w:vAlign w:val="bottom"/>
          </w:tcPr>
          <w:p>
            <w:pPr>
              <w:spacing w:after="0"/>
              <w:rPr>
                <w:sz w:val="1"/>
                <w:szCs w:val="1"/>
                <w:color w:val="auto"/>
              </w:rPr>
            </w:pPr>
          </w:p>
        </w:tc>
      </w:tr>
      <w:tr>
        <w:trPr>
          <w:trHeight w:val="161"/>
        </w:trPr>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2"/>
              </w:rPr>
              <w:t>31.74</w:t>
            </w:r>
          </w:p>
        </w:tc>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33.16</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3,874.0</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32.87</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1,505.2</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32.72</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3"/>
                <w:szCs w:val="13"/>
                <w:color w:val="auto"/>
                <w:w w:val="92"/>
              </w:rPr>
              <w:t>33.50</w:t>
            </w:r>
          </w:p>
        </w:tc>
        <w:tc>
          <w:tcPr>
            <w:tcW w:w="2360" w:type="dxa"/>
            <w:vAlign w:val="bottom"/>
          </w:tcPr>
          <w:p>
            <w:pPr>
              <w:ind w:left="20"/>
              <w:spacing w:after="0"/>
              <w:rPr>
                <w:sz w:val="20"/>
                <w:szCs w:val="20"/>
                <w:color w:val="auto"/>
              </w:rPr>
            </w:pPr>
            <w:r>
              <w:rPr>
                <w:rFonts w:ascii="Arial" w:cs="Arial" w:eastAsia="Arial" w:hAnsi="Arial"/>
                <w:sz w:val="13"/>
                <w:szCs w:val="13"/>
                <w:color w:val="auto"/>
              </w:rPr>
              <w:t>— 35.45</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2,821.6</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6.24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34.76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1,568.8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34.45</w:t>
            </w:r>
          </w:p>
        </w:tc>
        <w:tc>
          <w:tcPr>
            <w:tcW w:w="0" w:type="dxa"/>
            <w:vAlign w:val="bottom"/>
          </w:tcPr>
          <w:p>
            <w:pPr>
              <w:spacing w:after="0"/>
              <w:rPr>
                <w:sz w:val="1"/>
                <w:szCs w:val="1"/>
                <w:color w:val="auto"/>
              </w:rPr>
            </w:pPr>
          </w:p>
        </w:tc>
      </w:tr>
      <w:tr>
        <w:trPr>
          <w:trHeight w:val="161"/>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35.87— 43.1</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1,450.9</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40.13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1,140.1</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40.64</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3"/>
                <w:szCs w:val="13"/>
                <w:color w:val="auto"/>
                <w:w w:val="92"/>
              </w:rPr>
              <w:t>45.07</w:t>
            </w:r>
          </w:p>
        </w:tc>
        <w:tc>
          <w:tcPr>
            <w:tcW w:w="2360" w:type="dxa"/>
            <w:vAlign w:val="bottom"/>
          </w:tcPr>
          <w:p>
            <w:pPr>
              <w:ind w:left="20"/>
              <w:spacing w:after="0"/>
              <w:rPr>
                <w:sz w:val="20"/>
                <w:szCs w:val="20"/>
                <w:color w:val="auto"/>
              </w:rPr>
            </w:pPr>
            <w:r>
              <w:rPr>
                <w:rFonts w:ascii="Arial" w:cs="Arial" w:eastAsia="Arial" w:hAnsi="Arial"/>
                <w:sz w:val="13"/>
                <w:szCs w:val="13"/>
                <w:color w:val="auto"/>
              </w:rPr>
              <w:t>— 59.8</w:t>
            </w:r>
          </w:p>
        </w:tc>
        <w:tc>
          <w:tcPr>
            <w:tcW w:w="2340" w:type="dxa"/>
            <w:vAlign w:val="bottom"/>
            <w:gridSpan w:val="3"/>
          </w:tcPr>
          <w:p>
            <w:pPr>
              <w:jc w:val="right"/>
              <w:ind w:right="400"/>
              <w:spacing w:after="0"/>
              <w:rPr>
                <w:sz w:val="20"/>
                <w:szCs w:val="20"/>
                <w:color w:val="auto"/>
              </w:rPr>
            </w:pPr>
            <w:r>
              <w:rPr>
                <w:rFonts w:ascii="Arial" w:cs="Arial" w:eastAsia="Arial" w:hAnsi="Arial"/>
                <w:sz w:val="13"/>
                <w:szCs w:val="13"/>
                <w:color w:val="auto"/>
              </w:rPr>
              <w:t>994.8</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1.03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52.04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6"/>
              <w:spacing w:after="0"/>
              <w:rPr>
                <w:sz w:val="20"/>
                <w:szCs w:val="20"/>
                <w:color w:val="auto"/>
              </w:rPr>
            </w:pPr>
            <w:r>
              <w:rPr>
                <w:rFonts w:ascii="Arial" w:cs="Arial" w:eastAsia="Arial" w:hAnsi="Arial"/>
                <w:sz w:val="13"/>
                <w:szCs w:val="13"/>
                <w:color w:val="auto"/>
              </w:rPr>
              <w:t>994.8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52.04</w:t>
            </w:r>
          </w:p>
        </w:tc>
        <w:tc>
          <w:tcPr>
            <w:tcW w:w="0" w:type="dxa"/>
            <w:vAlign w:val="bottom"/>
          </w:tcPr>
          <w:p>
            <w:pPr>
              <w:spacing w:after="0"/>
              <w:rPr>
                <w:sz w:val="1"/>
                <w:szCs w:val="1"/>
                <w:color w:val="auto"/>
              </w:rPr>
            </w:pPr>
          </w:p>
        </w:tc>
      </w:tr>
      <w:tr>
        <w:trPr>
          <w:trHeight w:val="161"/>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61.8 — 78.31</w:t>
            </w: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832.9</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64.65</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auto"/>
              </w:rPr>
              <w:t>832.9</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64.65</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7320" w:type="dxa"/>
            <w:vAlign w:val="bottom"/>
            <w:gridSpan w:val="11"/>
          </w:tcPr>
          <w:p>
            <w:pPr>
              <w:jc w:val="right"/>
              <w:ind w:right="420"/>
              <w:spacing w:after="0"/>
              <w:rPr>
                <w:sz w:val="20"/>
                <w:szCs w:val="20"/>
                <w:color w:val="auto"/>
              </w:rPr>
            </w:pPr>
            <w:r>
              <w:rPr>
                <w:rFonts w:ascii="Arial" w:cs="Arial" w:eastAsia="Arial" w:hAnsi="Arial"/>
                <w:sz w:val="13"/>
                <w:szCs w:val="13"/>
                <w:color w:val="auto"/>
                <w:w w:val="93"/>
              </w:rPr>
              <w:t>Employee equity-based compensation pre-tax expense for the years ended September 30, 2009, 2008 and 2007 was as follows:</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6"/>
          </w:tcPr>
          <w:p>
            <w:pPr>
              <w:ind w:left="100"/>
              <w:spacing w:after="0"/>
              <w:rPr>
                <w:sz w:val="20"/>
                <w:szCs w:val="20"/>
                <w:color w:val="auto"/>
              </w:rPr>
            </w:pPr>
            <w:r>
              <w:rPr>
                <w:rFonts w:ascii="Arial" w:cs="Arial" w:eastAsia="Arial" w:hAnsi="Arial"/>
                <w:sz w:val="11"/>
                <w:szCs w:val="11"/>
                <w:b w:val="1"/>
                <w:bCs w:val="1"/>
                <w:color w:val="auto"/>
                <w:w w:val="90"/>
              </w:rPr>
              <w:t>Year ended September 30,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94"/>
              <w:spacing w:after="0" w:line="101" w:lineRule="exact"/>
              <w:rPr>
                <w:sz w:val="20"/>
                <w:szCs w:val="20"/>
                <w:color w:val="auto"/>
              </w:rPr>
            </w:pPr>
            <w:r>
              <w:rPr>
                <w:rFonts w:ascii="Arial" w:cs="Arial" w:eastAsia="Arial" w:hAnsi="Arial"/>
                <w:sz w:val="11"/>
                <w:szCs w:val="11"/>
                <w:b w:val="1"/>
                <w:bCs w:val="1"/>
                <w:color w:val="auto"/>
              </w:rPr>
              <w:t>2008</w:t>
            </w: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service</w:t>
            </w:r>
          </w:p>
        </w:tc>
        <w:tc>
          <w:tcPr>
            <w:tcW w:w="1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21,733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23,547</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25,418</w:t>
            </w:r>
          </w:p>
        </w:tc>
        <w:tc>
          <w:tcPr>
            <w:tcW w:w="0" w:type="dxa"/>
            <w:vAlign w:val="bottom"/>
          </w:tcPr>
          <w:p>
            <w:pPr>
              <w:spacing w:after="0"/>
              <w:rPr>
                <w:sz w:val="1"/>
                <w:szCs w:val="1"/>
                <w:color w:val="auto"/>
              </w:rPr>
            </w:pPr>
          </w:p>
        </w:tc>
      </w:tr>
      <w:tr>
        <w:trPr>
          <w:trHeight w:val="161"/>
        </w:trPr>
        <w:tc>
          <w:tcPr>
            <w:tcW w:w="2680" w:type="dxa"/>
            <w:vAlign w:val="bottom"/>
            <w:gridSpan w:val="2"/>
          </w:tcPr>
          <w:p>
            <w:pPr>
              <w:spacing w:after="0"/>
              <w:rPr>
                <w:sz w:val="20"/>
                <w:szCs w:val="20"/>
                <w:color w:val="auto"/>
              </w:rPr>
            </w:pPr>
            <w:r>
              <w:rPr>
                <w:rFonts w:ascii="Arial" w:cs="Arial" w:eastAsia="Arial" w:hAnsi="Arial"/>
                <w:sz w:val="13"/>
                <w:szCs w:val="13"/>
                <w:color w:val="auto"/>
              </w:rPr>
              <w:t>Research and development</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4,249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3"/>
                <w:szCs w:val="13"/>
                <w:color w:val="auto"/>
              </w:rPr>
              <w:t>4,714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6,574</w:t>
            </w:r>
          </w:p>
        </w:tc>
        <w:tc>
          <w:tcPr>
            <w:tcW w:w="0" w:type="dxa"/>
            <w:vAlign w:val="bottom"/>
          </w:tcPr>
          <w:p>
            <w:pPr>
              <w:spacing w:after="0"/>
              <w:rPr>
                <w:sz w:val="1"/>
                <w:szCs w:val="1"/>
                <w:color w:val="auto"/>
              </w:rPr>
            </w:pPr>
          </w:p>
        </w:tc>
      </w:tr>
      <w:tr>
        <w:trPr>
          <w:trHeight w:val="161"/>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29,229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21,595</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3"/>
                <w:szCs w:val="13"/>
                <w:color w:val="auto"/>
              </w:rPr>
              <w:t>Total</w:t>
            </w:r>
          </w:p>
        </w:tc>
        <w:tc>
          <w:tcPr>
            <w:tcW w:w="2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42,911</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57,490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53,587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The fair value of options granted was estimated on the date of grant using the Black-Scholes pricing model with the assumptions noted in the following table (all in weighted averages for options granted during the year):</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w w:val="90"/>
              </w:rPr>
              <w:t>Year ended September 30,</w:t>
            </w: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5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80" w:type="dxa"/>
            <w:vAlign w:val="bottom"/>
          </w:tcPr>
          <w:p>
            <w:pPr>
              <w:jc w:val="right"/>
              <w:ind w:right="55"/>
              <w:spacing w:after="0" w:line="101" w:lineRule="exact"/>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8"/>
                <w:szCs w:val="8"/>
                <w:color w:val="auto"/>
              </w:rPr>
            </w:pPr>
          </w:p>
        </w:tc>
        <w:tc>
          <w:tcPr>
            <w:tcW w:w="900" w:type="dxa"/>
            <w:vAlign w:val="bottom"/>
            <w:gridSpan w:val="2"/>
          </w:tcPr>
          <w:p>
            <w:pPr>
              <w:jc w:val="right"/>
              <w:ind w:right="113"/>
              <w:spacing w:after="0" w:line="101" w:lineRule="exact"/>
              <w:rPr>
                <w:sz w:val="20"/>
                <w:szCs w:val="20"/>
                <w:color w:val="auto"/>
              </w:rPr>
            </w:pPr>
            <w:r>
              <w:rPr>
                <w:rFonts w:ascii="Arial" w:cs="Arial" w:eastAsia="Arial" w:hAnsi="Arial"/>
                <w:sz w:val="11"/>
                <w:szCs w:val="11"/>
                <w:b w:val="1"/>
                <w:bCs w:val="1"/>
                <w:color w:val="auto"/>
              </w:rPr>
              <w:t>2008</w:t>
            </w:r>
          </w:p>
        </w:tc>
        <w:tc>
          <w:tcPr>
            <w:tcW w:w="520" w:type="dxa"/>
            <w:vAlign w:val="bottom"/>
          </w:tcPr>
          <w:p>
            <w:pPr>
              <w:spacing w:after="0"/>
              <w:rPr>
                <w:sz w:val="8"/>
                <w:szCs w:val="8"/>
                <w:color w:val="auto"/>
              </w:rPr>
            </w:pPr>
          </w:p>
        </w:tc>
        <w:tc>
          <w:tcPr>
            <w:tcW w:w="580" w:type="dxa"/>
            <w:vAlign w:val="bottom"/>
          </w:tcPr>
          <w:p>
            <w:pPr>
              <w:jc w:val="right"/>
              <w:ind w:right="115"/>
              <w:spacing w:after="0" w:line="101" w:lineRule="exact"/>
              <w:rPr>
                <w:sz w:val="20"/>
                <w:szCs w:val="20"/>
                <w:color w:val="auto"/>
              </w:rPr>
            </w:pPr>
            <w:r>
              <w:rPr>
                <w:rFonts w:ascii="Arial" w:cs="Arial" w:eastAsia="Arial" w:hAnsi="Arial"/>
                <w:sz w:val="11"/>
                <w:szCs w:val="11"/>
                <w:b w:val="1"/>
                <w:bCs w:val="1"/>
                <w:color w:val="auto"/>
              </w:rPr>
              <w:t>2007</w:t>
            </w:r>
          </w:p>
        </w:tc>
        <w:tc>
          <w:tcPr>
            <w:tcW w:w="120" w:type="dxa"/>
            <w:vAlign w:val="bottom"/>
          </w:tcPr>
          <w:p>
            <w:pPr>
              <w:spacing w:after="0"/>
              <w:rPr>
                <w:sz w:val="8"/>
                <w:szCs w:val="8"/>
                <w:color w:val="auto"/>
              </w:rPr>
            </w:pPr>
          </w:p>
        </w:tc>
      </w:tr>
      <w:tr>
        <w:trPr>
          <w:trHeight w:val="30"/>
        </w:trPr>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7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Risk-free interest rate(1)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1.94%</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4.57%</w:t>
            </w:r>
          </w:p>
        </w:tc>
      </w:tr>
      <w:tr>
        <w:trPr>
          <w:trHeight w:val="161"/>
        </w:trPr>
        <w:tc>
          <w:tcPr>
            <w:tcW w:w="7180" w:type="dxa"/>
            <w:vAlign w:val="bottom"/>
            <w:gridSpan w:val="3"/>
          </w:tcPr>
          <w:p>
            <w:pPr>
              <w:spacing w:after="0"/>
              <w:rPr>
                <w:sz w:val="20"/>
                <w:szCs w:val="20"/>
                <w:color w:val="auto"/>
              </w:rPr>
            </w:pPr>
            <w:r>
              <w:rPr>
                <w:rFonts w:ascii="Arial" w:cs="Arial" w:eastAsia="Arial" w:hAnsi="Arial"/>
                <w:sz w:val="13"/>
                <w:szCs w:val="13"/>
                <w:color w:val="auto"/>
              </w:rPr>
              <w:t>Expected life of stock options(2)</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4.46</w:t>
            </w:r>
          </w:p>
        </w:tc>
        <w:tc>
          <w:tcPr>
            <w:tcW w:w="1420" w:type="dxa"/>
            <w:vAlign w:val="bottom"/>
            <w:gridSpan w:val="3"/>
          </w:tcPr>
          <w:p>
            <w:pPr>
              <w:jc w:val="right"/>
              <w:ind w:right="520"/>
              <w:spacing w:after="0"/>
              <w:rPr>
                <w:sz w:val="20"/>
                <w:szCs w:val="20"/>
                <w:color w:val="auto"/>
              </w:rPr>
            </w:pPr>
            <w:r>
              <w:rPr>
                <w:rFonts w:ascii="Arial" w:cs="Arial" w:eastAsia="Arial" w:hAnsi="Arial"/>
                <w:sz w:val="13"/>
                <w:szCs w:val="13"/>
                <w:color w:val="auto"/>
              </w:rPr>
              <w:t>4.32</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4.43</w:t>
            </w:r>
          </w:p>
        </w:tc>
      </w:tr>
      <w:tr>
        <w:trPr>
          <w:trHeight w:val="161"/>
        </w:trPr>
        <w:tc>
          <w:tcPr>
            <w:tcW w:w="7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Expected volatility(3)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47.9%</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31.6%</w:t>
            </w:r>
          </w:p>
        </w:tc>
      </w:tr>
      <w:tr>
        <w:trPr>
          <w:trHeight w:val="161"/>
        </w:trPr>
        <w:tc>
          <w:tcPr>
            <w:tcW w:w="7180" w:type="dxa"/>
            <w:vAlign w:val="bottom"/>
            <w:gridSpan w:val="3"/>
          </w:tcPr>
          <w:p>
            <w:pPr>
              <w:spacing w:after="0"/>
              <w:rPr>
                <w:sz w:val="20"/>
                <w:szCs w:val="20"/>
                <w:color w:val="auto"/>
              </w:rPr>
            </w:pPr>
            <w:r>
              <w:rPr>
                <w:rFonts w:ascii="Arial" w:cs="Arial" w:eastAsia="Arial" w:hAnsi="Arial"/>
                <w:sz w:val="13"/>
                <w:szCs w:val="13"/>
                <w:color w:val="auto"/>
              </w:rPr>
              <w:t>Expected dividend yield(4)</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None</w:t>
            </w:r>
          </w:p>
        </w:tc>
        <w:tc>
          <w:tcPr>
            <w:tcW w:w="3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3"/>
                <w:szCs w:val="13"/>
                <w:color w:val="auto"/>
              </w:rPr>
              <w:t>None</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None</w:t>
            </w:r>
          </w:p>
        </w:tc>
      </w:tr>
      <w:tr>
        <w:trPr>
          <w:trHeight w:val="161"/>
        </w:trPr>
        <w:tc>
          <w:tcPr>
            <w:tcW w:w="7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Fair value per option</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   7.54</w:t>
            </w: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   10.45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12.65</w:t>
            </w:r>
          </w:p>
        </w:tc>
      </w:tr>
      <w:tr>
        <w:trPr>
          <w:trHeight w:val="101"/>
        </w:trPr>
        <w:tc>
          <w:tcPr>
            <w:tcW w:w="5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1880" w:hanging="385"/>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Risk-free interest rate is based upon U.S. Treasury yield curve appropriate for the term of the Company’s employee stock options.</w:t>
      </w:r>
    </w:p>
    <w:p>
      <w:pPr>
        <w:spacing w:after="0" w:line="52" w:lineRule="exact"/>
        <w:rPr>
          <w:rFonts w:ascii="Arial" w:cs="Arial" w:eastAsia="Arial" w:hAnsi="Arial"/>
          <w:sz w:val="13"/>
          <w:szCs w:val="13"/>
          <w:color w:val="auto"/>
        </w:rPr>
      </w:pPr>
    </w:p>
    <w:p>
      <w:pPr>
        <w:ind w:left="1880" w:hanging="385"/>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Expected life of stock options is based upon historical experience.</w:t>
      </w:r>
    </w:p>
    <w:p>
      <w:pPr>
        <w:spacing w:after="0" w:line="52" w:lineRule="exact"/>
        <w:rPr>
          <w:rFonts w:ascii="Arial" w:cs="Arial" w:eastAsia="Arial" w:hAnsi="Arial"/>
          <w:sz w:val="13"/>
          <w:szCs w:val="13"/>
          <w:color w:val="auto"/>
        </w:rPr>
      </w:pPr>
    </w:p>
    <w:p>
      <w:pPr>
        <w:ind w:left="1880" w:hanging="385"/>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Expected volatility is based on blended volatility. Please see Note 2 to the consolidated financial statements.</w:t>
      </w:r>
    </w:p>
    <w:p>
      <w:pPr>
        <w:spacing w:after="0" w:line="52" w:lineRule="exact"/>
        <w:rPr>
          <w:rFonts w:ascii="Arial" w:cs="Arial" w:eastAsia="Arial" w:hAnsi="Arial"/>
          <w:sz w:val="13"/>
          <w:szCs w:val="13"/>
          <w:color w:val="auto"/>
        </w:rPr>
      </w:pPr>
    </w:p>
    <w:p>
      <w:pPr>
        <w:ind w:left="1880" w:hanging="385"/>
        <w:spacing w:after="0"/>
        <w:tabs>
          <w:tab w:leader="none" w:pos="1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Expected dividend yield is based on the Company’s history and future expectation of dividend payouts.</w:t>
      </w: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00" w:lineRule="exact"/>
        <w:rPr>
          <w:sz w:val="20"/>
          <w:szCs w:val="20"/>
          <w:color w:val="auto"/>
        </w:rPr>
      </w:pPr>
    </w:p>
    <w:p>
      <w:pPr>
        <w:spacing w:after="0" w:line="2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20 — Earnings Per Share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computation of basic and diluted earnings per share:</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5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ind w:left="280"/>
              <w:spacing w:after="0"/>
              <w:rPr>
                <w:sz w:val="20"/>
                <w:szCs w:val="20"/>
                <w:color w:val="auto"/>
              </w:rPr>
            </w:pPr>
            <w:r>
              <w:rPr>
                <w:rFonts w:ascii="Arial" w:cs="Arial" w:eastAsia="Arial" w:hAnsi="Arial"/>
                <w:sz w:val="11"/>
                <w:szCs w:val="11"/>
                <w:b w:val="1"/>
                <w:bCs w:val="1"/>
                <w:color w:val="auto"/>
              </w:rPr>
              <w:t>Year ended September 30,</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2008</w:t>
            </w: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Numerator for basic earnings per share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326,176</w:t>
            </w:r>
          </w:p>
        </w:tc>
        <w:tc>
          <w:tcPr>
            <w:tcW w:w="6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3"/>
                <w:szCs w:val="13"/>
                <w:color w:val="auto"/>
              </w:rPr>
              <w:t>378,906</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364,937</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assumed conversion of 0.50% convertible notes</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1,486</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3,940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3,940</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Numerator for diluted earnings per share</w:t>
            </w: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327,662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382,846</w:t>
            </w: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368,877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Denominator:</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Denominator for basic earnings per share — weighted average number of shares outstanding</w:t>
            </w: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202,867</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color w:val="auto"/>
              </w:rPr>
              <w:t>206,590</w:t>
            </w: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207,846</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Restricted stock</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412</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380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Effect of assumed conversion of 0.50% convertible notes</w:t>
            </w: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3,948</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color w:val="auto"/>
              </w:rPr>
              <w:t>10,436</w:t>
            </w: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10,436</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dilutive stock options granted</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379</w:t>
            </w: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2,200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4,601</w:t>
            </w:r>
          </w:p>
        </w:tc>
        <w:tc>
          <w:tcPr>
            <w:tcW w:w="0" w:type="dxa"/>
            <w:vAlign w:val="bottom"/>
          </w:tcPr>
          <w:p>
            <w:pPr>
              <w:spacing w:after="0"/>
              <w:rPr>
                <w:sz w:val="1"/>
                <w:szCs w:val="1"/>
                <w:color w:val="auto"/>
              </w:rPr>
            </w:pPr>
          </w:p>
        </w:tc>
      </w:tr>
      <w:tr>
        <w:trPr>
          <w:trHeight w:val="161"/>
        </w:trPr>
        <w:tc>
          <w:tcPr>
            <w:tcW w:w="6500" w:type="dxa"/>
            <w:vAlign w:val="bottom"/>
          </w:tcPr>
          <w:p>
            <w:pPr>
              <w:ind w:left="140"/>
              <w:spacing w:after="0"/>
              <w:rPr>
                <w:sz w:val="20"/>
                <w:szCs w:val="20"/>
                <w:color w:val="auto"/>
              </w:rPr>
            </w:pPr>
            <w:r>
              <w:rPr>
                <w:rFonts w:ascii="Arial" w:cs="Arial" w:eastAsia="Arial" w:hAnsi="Arial"/>
                <w:sz w:val="13"/>
                <w:szCs w:val="13"/>
                <w:color w:val="auto"/>
              </w:rPr>
              <w:t>Denominator for dilutive earnings per share — adjusted weighted average shares and assumed conversions</w:t>
            </w: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207,606</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219,606</w:t>
            </w: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223,256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Basic earnings per share</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1.61</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1.83</w:t>
            </w:r>
          </w:p>
        </w:tc>
        <w:tc>
          <w:tcPr>
            <w:tcW w:w="4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00" w:type="dxa"/>
            <w:vAlign w:val="bottom"/>
            <w:vMerge w:val="continue"/>
          </w:tcPr>
          <w:p>
            <w:pPr>
              <w:spacing w:after="0"/>
              <w:rPr>
                <w:sz w:val="12"/>
                <w:szCs w:val="1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1.58</w:t>
            </w: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1.74</w:t>
            </w:r>
          </w:p>
        </w:tc>
        <w:tc>
          <w:tcPr>
            <w:tcW w:w="4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The effect of the 0.50% Notes issued by the Company in March 2004 on diluted earnings per share was included in the above calculation. Please see Note 2 to the consolidated financial statements.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effect of the repurchase of ordinary shares by the Company has been included in the calculation of basic earnings per share.</w:t>
      </w:r>
    </w:p>
    <w:p>
      <w:pPr>
        <w:spacing w:after="0" w:line="102"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For the twelve months ended September 30, 2009, 2008 and 2007, 20,623, 13,429 and 6,810 shares, respectively were attributable to antidilutive outstanding stock options and therefore were not included in the calculation of diluted earnings per share.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21 — Segment Information and Sales to Significant Customers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and its subsidiaries operate in one operating segment, providing software products and services for the communications, media and entertainment industry.</w:t>
      </w: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Geographic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revenue and long-lived assets by geographic area. Revenue is attributed to geographic region based on the location of the customers.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8"/>
          </w:tcPr>
          <w:p>
            <w:pPr>
              <w:ind w:left="380"/>
              <w:spacing w:after="0"/>
              <w:rPr>
                <w:sz w:val="20"/>
                <w:szCs w:val="20"/>
                <w:color w:val="auto"/>
              </w:rPr>
            </w:pPr>
            <w:r>
              <w:rPr>
                <w:rFonts w:ascii="Arial" w:cs="Arial" w:eastAsia="Arial" w:hAnsi="Arial"/>
                <w:sz w:val="11"/>
                <w:szCs w:val="11"/>
                <w:b w:val="1"/>
                <w:bCs w:val="1"/>
                <w:color w:val="auto"/>
              </w:rPr>
              <w:t>Year ended September 30,</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2009</w:t>
            </w:r>
          </w:p>
        </w:tc>
        <w:tc>
          <w:tcPr>
            <w:tcW w:w="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2008</w:t>
            </w: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75"/>
              <w:spacing w:after="0" w:line="101" w:lineRule="exact"/>
              <w:rPr>
                <w:sz w:val="20"/>
                <w:szCs w:val="20"/>
                <w:color w:val="auto"/>
              </w:rPr>
            </w:pPr>
            <w:r>
              <w:rPr>
                <w:rFonts w:ascii="Arial" w:cs="Arial" w:eastAsia="Arial" w:hAnsi="Arial"/>
                <w:sz w:val="11"/>
                <w:szCs w:val="11"/>
                <w:b w:val="1"/>
                <w:bCs w:val="1"/>
                <w:color w:val="auto"/>
                <w:w w:val="97"/>
              </w:rPr>
              <w:t>2007</w:t>
            </w:r>
          </w:p>
        </w:tc>
        <w:tc>
          <w:tcPr>
            <w:tcW w:w="80" w:type="dxa"/>
            <w:vAlign w:val="bottom"/>
          </w:tcPr>
          <w:p>
            <w:pPr>
              <w:spacing w:after="0"/>
              <w:rPr>
                <w:sz w:val="8"/>
                <w:szCs w:val="8"/>
                <w:color w:val="auto"/>
              </w:rPr>
            </w:pPr>
          </w:p>
        </w:tc>
      </w:tr>
      <w:tr>
        <w:trPr>
          <w:trHeight w:val="30"/>
        </w:trPr>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31"/>
        </w:trPr>
        <w:tc>
          <w:tcPr>
            <w:tcW w:w="5600" w:type="dxa"/>
            <w:vAlign w:val="bottom"/>
            <w:gridSpan w:val="3"/>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Revenue</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30"/>
        </w:trPr>
        <w:tc>
          <w:tcPr>
            <w:tcW w:w="50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United States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1,754,309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3"/>
                <w:szCs w:val="13"/>
                <w:color w:val="auto"/>
              </w:rPr>
              <w:t>1,762,210</w:t>
            </w:r>
          </w:p>
        </w:tc>
        <w:tc>
          <w:tcPr>
            <w:tcW w:w="18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1,482,668</w:t>
            </w: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Canada</w:t>
            </w:r>
          </w:p>
        </w:tc>
        <w:tc>
          <w:tcPr>
            <w:tcW w:w="2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400,264</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9"/>
              </w:rPr>
              <w:t>405,569</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400,530</w:t>
            </w: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Europe</w:t>
            </w:r>
          </w:p>
        </w:tc>
        <w:tc>
          <w:tcPr>
            <w:tcW w:w="26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394,263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w w:val="89"/>
              </w:rPr>
              <w:t>548,027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609,170</w:t>
            </w: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2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313,771</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9"/>
              </w:rPr>
              <w:t>446,290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343,805</w:t>
            </w: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Total</w:t>
            </w: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2,862,607</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3,162,096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2,836,173</w:t>
            </w:r>
          </w:p>
        </w:tc>
        <w:tc>
          <w:tcPr>
            <w:tcW w:w="8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3"/>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5"/>
          </w:tcPr>
          <w:p>
            <w:pPr>
              <w:ind w:left="260"/>
              <w:spacing w:after="0"/>
              <w:rPr>
                <w:sz w:val="20"/>
                <w:szCs w:val="20"/>
                <w:color w:val="auto"/>
              </w:rPr>
            </w:pPr>
            <w:r>
              <w:rPr>
                <w:rFonts w:ascii="Arial" w:cs="Arial" w:eastAsia="Arial" w:hAnsi="Arial"/>
                <w:sz w:val="11"/>
                <w:szCs w:val="11"/>
                <w:b w:val="1"/>
                <w:bCs w:val="1"/>
                <w:color w:val="auto"/>
                <w:w w:val="98"/>
              </w:rPr>
              <w:t>As of September 30,</w:t>
            </w:r>
          </w:p>
        </w:tc>
        <w:tc>
          <w:tcPr>
            <w:tcW w:w="3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01"/>
        </w:trPr>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56"/>
              <w:spacing w:after="0" w:line="101" w:lineRule="exact"/>
              <w:rPr>
                <w:sz w:val="20"/>
                <w:szCs w:val="20"/>
                <w:color w:val="auto"/>
              </w:rPr>
            </w:pPr>
            <w:r>
              <w:rPr>
                <w:rFonts w:ascii="Arial" w:cs="Arial" w:eastAsia="Arial" w:hAnsi="Arial"/>
                <w:sz w:val="11"/>
                <w:szCs w:val="11"/>
                <w:b w:val="1"/>
                <w:bCs w:val="1"/>
                <w:color w:val="auto"/>
                <w:w w:val="89"/>
              </w:rPr>
              <w:t>2009</w:t>
            </w: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2008</w:t>
            </w: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r>
      <w:tr>
        <w:trPr>
          <w:trHeight w:val="30"/>
        </w:trPr>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1"/>
        </w:trPr>
        <w:tc>
          <w:tcPr>
            <w:tcW w:w="1180" w:type="dxa"/>
            <w:vAlign w:val="bottom"/>
            <w:tcBorders>
              <w:bottom w:val="single" w:sz="8" w:color="auto"/>
            </w:tcBorders>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0"/>
              </w:rPr>
              <w:t>Long-lived Assets(1)</w:t>
            </w:r>
          </w:p>
        </w:tc>
        <w:tc>
          <w:tcPr>
            <w:tcW w:w="44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United States</w:t>
            </w:r>
          </w:p>
        </w:tc>
        <w:tc>
          <w:tcPr>
            <w:tcW w:w="2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138,520</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153,739</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137,160</w:t>
            </w: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Israel</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43,978</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56,130</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52,717</w:t>
            </w: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India</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32,578</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39,208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33,159</w:t>
            </w: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Europe</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35,366</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33,165</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23,665</w:t>
            </w:r>
          </w:p>
        </w:tc>
      </w:tr>
      <w:tr>
        <w:trPr>
          <w:trHeight w:val="161"/>
        </w:trPr>
        <w:tc>
          <w:tcPr>
            <w:tcW w:w="5600" w:type="dxa"/>
            <w:vAlign w:val="bottom"/>
            <w:gridSpan w:val="3"/>
          </w:tcPr>
          <w:p>
            <w:pPr>
              <w:spacing w:after="0"/>
              <w:rPr>
                <w:sz w:val="20"/>
                <w:szCs w:val="20"/>
                <w:color w:val="auto"/>
              </w:rPr>
            </w:pPr>
            <w:r>
              <w:rPr>
                <w:rFonts w:ascii="Arial" w:cs="Arial" w:eastAsia="Arial" w:hAnsi="Arial"/>
                <w:sz w:val="13"/>
                <w:szCs w:val="13"/>
                <w:color w:val="auto"/>
              </w:rPr>
              <w:t>Rest of the world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29,217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34,839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37,138</w:t>
            </w: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279,659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317,081</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283,839</w:t>
            </w: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(1) Includes equipment and leasehold improvements.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and Customer Information</w:t>
      </w:r>
    </w:p>
    <w:p>
      <w:pPr>
        <w:spacing w:after="0" w:line="102"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Customer experience systems includes the following offerings: revenue management (charging and billing, mediation, and partner settlements), customer management (contact center and retail interaction management, service and support and sales and ordering), service and resource management (OSS) (network planning, service fulfillment, service assurance, inventory and discovery and service management), personalized portal and value-added services (commerce and partner collaboration, portal and self-service, and service delivery and control), and portfolio management (product management, application framework, operational framework and delivery framework). Customer experience systems also includes a comprehensive line of services such as consulting, delivery and managed services, system implementation, integration, modification, consolidation, modernization and ongoing support, enhancement and maintenance. Directory includes directory sales and publishing systems and related services for publishers of both traditional printed Yellow Page and white page directories and electronic Internet directories.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1"/>
                <w:szCs w:val="11"/>
                <w:b w:val="1"/>
                <w:bCs w:val="1"/>
                <w:color w:val="auto"/>
              </w:rPr>
              <w:t>Year ended September 30,</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1"/>
        </w:trPr>
        <w:tc>
          <w:tcPr>
            <w:tcW w:w="6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6"/>
              <w:spacing w:after="0" w:line="101" w:lineRule="exact"/>
              <w:rPr>
                <w:sz w:val="20"/>
                <w:szCs w:val="20"/>
                <w:color w:val="auto"/>
              </w:rPr>
            </w:pPr>
            <w:r>
              <w:rPr>
                <w:rFonts w:ascii="Arial" w:cs="Arial" w:eastAsia="Arial" w:hAnsi="Arial"/>
                <w:sz w:val="11"/>
                <w:szCs w:val="11"/>
                <w:b w:val="1"/>
                <w:bCs w:val="1"/>
                <w:color w:val="auto"/>
              </w:rPr>
              <w:t>2009</w:t>
            </w: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6"/>
              <w:spacing w:after="0" w:line="101" w:lineRule="exact"/>
              <w:rPr>
                <w:sz w:val="20"/>
                <w:szCs w:val="20"/>
                <w:color w:val="auto"/>
              </w:rPr>
            </w:pPr>
            <w:r>
              <w:rPr>
                <w:rFonts w:ascii="Arial" w:cs="Arial" w:eastAsia="Arial" w:hAnsi="Arial"/>
                <w:sz w:val="11"/>
                <w:szCs w:val="11"/>
                <w:b w:val="1"/>
                <w:bCs w:val="1"/>
                <w:color w:val="auto"/>
              </w:rPr>
              <w:t>2008</w:t>
            </w: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6"/>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Customer experience systems</w:t>
            </w:r>
          </w:p>
        </w:tc>
        <w:tc>
          <w:tcPr>
            <w:tcW w:w="2620" w:type="dxa"/>
            <w:vAlign w:val="bottom"/>
            <w:gridSpan w:val="2"/>
            <w:shd w:val="clear" w:color="auto" w:fill="CCEEFF"/>
          </w:tcPr>
          <w:p>
            <w:pPr>
              <w:jc w:val="right"/>
              <w:ind w:right="15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2,685,460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2,894,335</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2,551,718</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Directory</w:t>
            </w: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177,147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color w:val="auto"/>
              </w:rPr>
              <w:t>267,761</w:t>
            </w:r>
          </w:p>
        </w:tc>
        <w:tc>
          <w:tcPr>
            <w:tcW w:w="2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284,455</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3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2,862,607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3,162,096</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2,836,173</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20" w:type="dxa"/>
            <w:vAlign w:val="bottom"/>
            <w:gridSpan w:val="2"/>
          </w:tcPr>
          <w:p>
            <w:pPr>
              <w:jc w:val="right"/>
              <w:ind w:right="690"/>
              <w:spacing w:after="0"/>
              <w:rPr>
                <w:sz w:val="20"/>
                <w:szCs w:val="20"/>
                <w:color w:val="auto"/>
              </w:rPr>
            </w:pPr>
            <w:r>
              <w:rPr>
                <w:rFonts w:ascii="Arial" w:cs="Arial" w:eastAsia="Arial" w:hAnsi="Arial"/>
                <w:sz w:val="13"/>
                <w:szCs w:val="13"/>
                <w:color w:val="auto"/>
              </w:rPr>
              <w:t>F-37</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23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to Significant Customers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percentage of sales to significant customers groups (when they amount to 10 percent or more of total revenue for the year).</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7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w w:val="87"/>
              </w:rPr>
              <w:t>Year ended September 30,</w:t>
            </w: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7780" w:type="dxa"/>
            <w:vAlign w:val="bottom"/>
          </w:tcPr>
          <w:p>
            <w:pPr>
              <w:spacing w:after="0"/>
              <w:rPr>
                <w:sz w:val="8"/>
                <w:szCs w:val="8"/>
                <w:color w:val="auto"/>
              </w:rPr>
            </w:pPr>
          </w:p>
        </w:tc>
        <w:tc>
          <w:tcPr>
            <w:tcW w:w="28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97"/>
              </w:rPr>
              <w:t>2009</w:t>
            </w:r>
          </w:p>
        </w:tc>
        <w:tc>
          <w:tcPr>
            <w:tcW w:w="140" w:type="dxa"/>
            <w:vAlign w:val="bottom"/>
          </w:tcPr>
          <w:p>
            <w:pPr>
              <w:spacing w:after="0"/>
              <w:rPr>
                <w:sz w:val="8"/>
                <w:szCs w:val="8"/>
                <w:color w:val="auto"/>
              </w:rPr>
            </w:pPr>
          </w:p>
        </w:tc>
        <w:tc>
          <w:tcPr>
            <w:tcW w:w="760" w:type="dxa"/>
            <w:vAlign w:val="bottom"/>
            <w:gridSpan w:val="2"/>
          </w:tcPr>
          <w:p>
            <w:pPr>
              <w:jc w:val="right"/>
              <w:ind w:right="20"/>
              <w:spacing w:after="0" w:line="101" w:lineRule="exact"/>
              <w:rPr>
                <w:sz w:val="20"/>
                <w:szCs w:val="20"/>
                <w:color w:val="auto"/>
              </w:rPr>
            </w:pPr>
            <w:r>
              <w:rPr>
                <w:rFonts w:ascii="Arial" w:cs="Arial" w:eastAsia="Arial" w:hAnsi="Arial"/>
                <w:sz w:val="11"/>
                <w:szCs w:val="11"/>
                <w:b w:val="1"/>
                <w:bCs w:val="1"/>
                <w:color w:val="auto"/>
              </w:rPr>
              <w:t>2008</w:t>
            </w:r>
          </w:p>
        </w:tc>
        <w:tc>
          <w:tcPr>
            <w:tcW w:w="620" w:type="dxa"/>
            <w:vAlign w:val="bottom"/>
          </w:tcPr>
          <w:p>
            <w:pPr>
              <w:spacing w:after="0"/>
              <w:rPr>
                <w:sz w:val="8"/>
                <w:szCs w:val="8"/>
                <w:color w:val="auto"/>
              </w:rPr>
            </w:pPr>
          </w:p>
        </w:tc>
        <w:tc>
          <w:tcPr>
            <w:tcW w:w="28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89"/>
              </w:rPr>
              <w:t>2007</w:t>
            </w:r>
          </w:p>
        </w:tc>
        <w:tc>
          <w:tcPr>
            <w:tcW w:w="120" w:type="dxa"/>
            <w:vAlign w:val="bottom"/>
          </w:tcPr>
          <w:p>
            <w:pPr>
              <w:spacing w:after="0"/>
              <w:rPr>
                <w:sz w:val="8"/>
                <w:szCs w:val="8"/>
                <w:color w:val="auto"/>
              </w:rPr>
            </w:pPr>
          </w:p>
        </w:tc>
      </w:tr>
      <w:tr>
        <w:trPr>
          <w:trHeight w:val="30"/>
        </w:trPr>
        <w:tc>
          <w:tcPr>
            <w:tcW w:w="77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Customer 1</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92"/>
              </w:rPr>
              <w:t>33%</w:t>
            </w: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3"/>
                <w:szCs w:val="13"/>
                <w:color w:val="auto"/>
              </w:rPr>
              <w:t>28%</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2"/>
              </w:rPr>
              <w:t>22%</w:t>
            </w:r>
          </w:p>
        </w:tc>
      </w:tr>
      <w:tr>
        <w:trPr>
          <w:trHeight w:val="161"/>
        </w:trPr>
        <w:tc>
          <w:tcPr>
            <w:tcW w:w="7780" w:type="dxa"/>
            <w:vAlign w:val="bottom"/>
          </w:tcPr>
          <w:p>
            <w:pPr>
              <w:spacing w:after="0"/>
              <w:rPr>
                <w:sz w:val="20"/>
                <w:szCs w:val="20"/>
                <w:color w:val="auto"/>
              </w:rPr>
            </w:pPr>
            <w:r>
              <w:rPr>
                <w:rFonts w:ascii="Arial" w:cs="Arial" w:eastAsia="Arial" w:hAnsi="Arial"/>
                <w:sz w:val="13"/>
                <w:szCs w:val="13"/>
                <w:color w:val="auto"/>
              </w:rPr>
              <w:t>Customer 2</w:t>
            </w:r>
          </w:p>
        </w:tc>
        <w:tc>
          <w:tcPr>
            <w:tcW w:w="420" w:type="dxa"/>
            <w:vAlign w:val="bottom"/>
            <w:gridSpan w:val="2"/>
          </w:tcPr>
          <w:p>
            <w:pPr>
              <w:ind w:left="160"/>
              <w:spacing w:after="0"/>
              <w:rPr>
                <w:sz w:val="20"/>
                <w:szCs w:val="20"/>
                <w:color w:val="auto"/>
              </w:rPr>
            </w:pPr>
            <w:r>
              <w:rPr>
                <w:rFonts w:ascii="Arial" w:cs="Arial" w:eastAsia="Arial" w:hAnsi="Arial"/>
                <w:sz w:val="13"/>
                <w:szCs w:val="13"/>
                <w:color w:val="auto"/>
              </w:rPr>
              <w:t>10</w:t>
            </w:r>
          </w:p>
        </w:tc>
        <w:tc>
          <w:tcPr>
            <w:tcW w:w="1380" w:type="dxa"/>
            <w:vAlign w:val="bottom"/>
            <w:gridSpan w:val="3"/>
          </w:tcPr>
          <w:p>
            <w:pPr>
              <w:ind w:left="640"/>
              <w:spacing w:after="0"/>
              <w:rPr>
                <w:sz w:val="20"/>
                <w:szCs w:val="20"/>
                <w:color w:val="auto"/>
              </w:rPr>
            </w:pPr>
            <w:r>
              <w:rPr>
                <w:rFonts w:ascii="Arial" w:cs="Arial" w:eastAsia="Arial" w:hAnsi="Arial"/>
                <w:sz w:val="13"/>
                <w:szCs w:val="13"/>
                <w:color w:val="auto"/>
              </w:rPr>
              <w:t>12</w:t>
            </w: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15</w:t>
            </w:r>
          </w:p>
        </w:tc>
      </w:tr>
      <w:tr>
        <w:trPr>
          <w:trHeight w:val="161"/>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Customer 3</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10</w:t>
            </w: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3"/>
                <w:szCs w:val="13"/>
                <w:color w:val="auto"/>
              </w:rPr>
              <w:t>10</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11</w:t>
            </w:r>
          </w:p>
        </w:tc>
      </w:tr>
    </w:tbl>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22 — Operational Efficiency and Cost Reduction Programs</w:t>
      </w:r>
    </w:p>
    <w:p>
      <w:pPr>
        <w:spacing w:after="0" w:line="104"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In accordance with authoritative guidance for employers’ accounting for post employment benefits and accounting for costs associated with exit or disposal activities, the Company recognized a total of $15,140, $12,116 and $6,011 in restructuring charges in fiscal 2009, 2008 and 2007, respectively.</w:t>
      </w:r>
    </w:p>
    <w:p>
      <w:pPr>
        <w:spacing w:after="0" w:line="4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the three months ended December 31, 2008, the Company commenced a series of measures designed to align its operational structure to its expected future activities and to improve efficiency. As part of this plan, the Company recorded a charge of $14,187 consisting primarily of employee separation costs in connection with the termination of the employment of software and information technology specialists and administrative professionals at various locations around the world.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restructuring accrual for this cost reduction program is comprised of the following as of September 30,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Employee</w:t>
            </w:r>
          </w:p>
        </w:tc>
      </w:tr>
      <w:tr>
        <w:trPr>
          <w:trHeight w:val="128"/>
        </w:trPr>
        <w:tc>
          <w:tcPr>
            <w:tcW w:w="8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w w:val="97"/>
              </w:rPr>
              <w:t>Separation Costs</w:t>
            </w:r>
          </w:p>
        </w:tc>
      </w:tr>
      <w:tr>
        <w:trPr>
          <w:trHeight w:val="30"/>
        </w:trPr>
        <w:tc>
          <w:tcPr>
            <w:tcW w:w="85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October 1, 2008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500" w:type="dxa"/>
            <w:vAlign w:val="bottom"/>
          </w:tcPr>
          <w:p>
            <w:pPr>
              <w:spacing w:after="0"/>
              <w:rPr>
                <w:sz w:val="20"/>
                <w:szCs w:val="20"/>
                <w:color w:val="auto"/>
              </w:rPr>
            </w:pPr>
            <w:r>
              <w:rPr>
                <w:rFonts w:ascii="Arial" w:cs="Arial" w:eastAsia="Arial" w:hAnsi="Arial"/>
                <w:sz w:val="13"/>
                <w:szCs w:val="13"/>
                <w:color w:val="auto"/>
              </w:rPr>
              <w:t>Restructuring charges</w:t>
            </w:r>
          </w:p>
        </w:tc>
        <w:tc>
          <w:tcPr>
            <w:tcW w:w="1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14,187</w:t>
            </w:r>
          </w:p>
        </w:tc>
      </w:tr>
      <w:tr>
        <w:trPr>
          <w:trHeight w:val="161"/>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payments</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(12,348)</w:t>
            </w:r>
          </w:p>
        </w:tc>
      </w:tr>
      <w:tr>
        <w:trPr>
          <w:trHeight w:val="161"/>
        </w:trPr>
        <w:tc>
          <w:tcPr>
            <w:tcW w:w="8500" w:type="dxa"/>
            <w:vAlign w:val="bottom"/>
          </w:tcPr>
          <w:p>
            <w:pPr>
              <w:spacing w:after="0"/>
              <w:rPr>
                <w:sz w:val="20"/>
                <w:szCs w:val="20"/>
                <w:color w:val="auto"/>
              </w:rPr>
            </w:pPr>
            <w:r>
              <w:rPr>
                <w:rFonts w:ascii="Arial" w:cs="Arial" w:eastAsia="Arial" w:hAnsi="Arial"/>
                <w:sz w:val="13"/>
                <w:szCs w:val="13"/>
                <w:color w:val="auto"/>
              </w:rPr>
              <w:t>Adjustment</w:t>
            </w:r>
          </w:p>
        </w:tc>
        <w:tc>
          <w:tcPr>
            <w:tcW w:w="18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(1,167)</w:t>
            </w:r>
          </w:p>
        </w:tc>
      </w:tr>
      <w:tr>
        <w:trPr>
          <w:trHeight w:val="161"/>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September 30, 2009</w:t>
            </w: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80" w:type="dxa"/>
            <w:vAlign w:val="bottom"/>
            <w:shd w:val="clear" w:color="auto" w:fill="CCEEFF"/>
          </w:tcPr>
          <w:p>
            <w:pPr>
              <w:spacing w:after="0"/>
              <w:rPr>
                <w:sz w:val="14"/>
                <w:szCs w:val="14"/>
                <w:color w:val="auto"/>
              </w:rPr>
            </w:pPr>
          </w:p>
        </w:tc>
      </w:tr>
      <w:tr>
        <w:trPr>
          <w:trHeight w:val="20"/>
        </w:trPr>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In the quarter ended September 30, 2008, the Company commenced a series of measures designed to improve efficiency and align its operational structure to its expected future activities. As part of this plan, the Company recorded in the quarters ended September 30, 2008 and December 31, 2008 a charge of $12,116 and $953, respectively, consisting of employee separation costs in connection with the termination of the employment of software and information technology specialists and administrative professionals at various locations around the world.</w:t>
      </w: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restructuring accrual for this cost reduction program is comprised of the following as of September 30, 2009: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1"/>
                <w:szCs w:val="11"/>
                <w:b w:val="1"/>
                <w:bCs w:val="1"/>
                <w:color w:val="auto"/>
                <w:w w:val="96"/>
              </w:rPr>
              <w:t>Employee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w w:val="90"/>
              </w:rPr>
              <w:t>Separation Costs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October 1, 2007</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Restructuring charges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12,116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Cash payments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Balance as of September 30, 2008</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10,190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Cash payments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(9,839)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Adjustment</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Balance as of September 30, 2009</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3"/>
                <w:szCs w:val="13"/>
                <w:b w:val="1"/>
                <w:bCs w:val="1"/>
                <w:color w:val="auto"/>
              </w:rPr>
              <w:t>Note 23 — Selected Quarterly Results of Operations (Unaudited)</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8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6800" w:type="dxa"/>
            <w:vAlign w:val="bottom"/>
            <w:gridSpan w:val="5"/>
          </w:tcPr>
          <w:p>
            <w:pPr>
              <w:ind w:left="400"/>
              <w:spacing w:after="0"/>
              <w:rPr>
                <w:sz w:val="20"/>
                <w:szCs w:val="20"/>
                <w:color w:val="auto"/>
              </w:rPr>
            </w:pPr>
            <w:r>
              <w:rPr>
                <w:rFonts w:ascii="Arial" w:cs="Arial" w:eastAsia="Arial" w:hAnsi="Arial"/>
                <w:sz w:val="13"/>
                <w:szCs w:val="13"/>
                <w:color w:val="auto"/>
              </w:rPr>
              <w:t>The following are details of the unaudited quarterly results of operations for the three months ended:</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87"/>
              </w:rPr>
              <w:t>September 30,</w:t>
            </w: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June 30,</w:t>
            </w:r>
          </w:p>
        </w:tc>
        <w:tc>
          <w:tcPr>
            <w:tcW w:w="100" w:type="dxa"/>
            <w:vAlign w:val="bottom"/>
          </w:tcPr>
          <w:p>
            <w:pPr>
              <w:spacing w:after="0"/>
              <w:rPr>
                <w:sz w:val="18"/>
                <w:szCs w:val="18"/>
                <w:color w:val="auto"/>
              </w:rPr>
            </w:pPr>
          </w:p>
        </w:tc>
        <w:tc>
          <w:tcPr>
            <w:tcW w:w="820" w:type="dxa"/>
            <w:vAlign w:val="bottom"/>
            <w:gridSpan w:val="3"/>
          </w:tcPr>
          <w:p>
            <w:pPr>
              <w:jc w:val="right"/>
              <w:ind w:right="290"/>
              <w:spacing w:after="0"/>
              <w:rPr>
                <w:sz w:val="20"/>
                <w:szCs w:val="20"/>
                <w:color w:val="auto"/>
              </w:rPr>
            </w:pPr>
            <w:r>
              <w:rPr>
                <w:rFonts w:ascii="Arial" w:cs="Arial" w:eastAsia="Arial" w:hAnsi="Arial"/>
                <w:sz w:val="11"/>
                <w:szCs w:val="11"/>
                <w:b w:val="1"/>
                <w:bCs w:val="1"/>
                <w:color w:val="auto"/>
                <w:w w:val="90"/>
              </w:rPr>
              <w:t>March 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9"/>
              </w:rPr>
              <w:t>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Revenue</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707,419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690,265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711,084</w:t>
            </w:r>
          </w:p>
        </w:tc>
        <w:tc>
          <w:tcPr>
            <w:tcW w:w="1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753,839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96,845</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93,246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95,959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81,269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85,751</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85,548</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80,630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74,247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0.42</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0.42</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0.42</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0.39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0.35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Revenue</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825,277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820,288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774,281</w:t>
            </w:r>
          </w:p>
        </w:tc>
        <w:tc>
          <w:tcPr>
            <w:tcW w:w="1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742,250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101,463</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105,951</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102,880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95,302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82,711</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100,672</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99,859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95,664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0.38</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0.46</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0.46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0.44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3"/>
                <w:szCs w:val="13"/>
                <w:color w:val="auto"/>
              </w:rPr>
              <w:t>F-39</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VALUATION AND QUALIFYING ACCOUNTS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Valuation Allowances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4"/>
              </w:rPr>
              <w:t>Accounts Receivable</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7"/>
              </w:rPr>
              <w:t>on Net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9"/>
              </w:rPr>
              <w:t>Deferred Tax</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Allowances</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7"/>
              </w:rPr>
              <w:t>Assets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2006</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12,075</w:t>
            </w:r>
          </w:p>
        </w:tc>
        <w:tc>
          <w:tcPr>
            <w:tcW w:w="6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29,335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Charged to costs and expenses</w:t>
            </w:r>
          </w:p>
        </w:tc>
        <w:tc>
          <w:tcPr>
            <w:tcW w:w="2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1,316</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3"/>
                <w:szCs w:val="13"/>
                <w:color w:val="auto"/>
              </w:rPr>
              <w:t>9,933</w:t>
            </w: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revenue</w:t>
            </w: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23,102</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Charged to other accounts</w:t>
            </w:r>
          </w:p>
        </w:tc>
        <w:tc>
          <w:tcPr>
            <w:tcW w:w="2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27</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3"/>
                <w:szCs w:val="13"/>
                <w:color w:val="auto"/>
              </w:rPr>
              <w:t>5,667</w:t>
            </w: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1"/>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Deductions</w:t>
            </w:r>
          </w:p>
        </w:tc>
        <w:tc>
          <w:tcPr>
            <w:tcW w:w="2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373"/>
              <w:spacing w:after="0"/>
              <w:rPr>
                <w:sz w:val="20"/>
                <w:szCs w:val="20"/>
                <w:color w:val="auto"/>
              </w:rPr>
            </w:pPr>
            <w:r>
              <w:rPr>
                <w:rFonts w:ascii="Arial" w:cs="Arial" w:eastAsia="Arial" w:hAnsi="Arial"/>
                <w:sz w:val="13"/>
                <w:szCs w:val="13"/>
                <w:color w:val="auto"/>
              </w:rPr>
              <w:t>(9,104)</w:t>
            </w:r>
          </w:p>
        </w:tc>
        <w:tc>
          <w:tcPr>
            <w:tcW w:w="18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(11,684)(3)</w:t>
            </w:r>
          </w:p>
        </w:tc>
        <w:tc>
          <w:tcPr>
            <w:tcW w:w="0" w:type="dxa"/>
            <w:vAlign w:val="bottom"/>
          </w:tcPr>
          <w:p>
            <w:pPr>
              <w:spacing w:after="0"/>
              <w:rPr>
                <w:sz w:val="1"/>
                <w:szCs w:val="1"/>
                <w:color w:val="auto"/>
              </w:rPr>
            </w:pPr>
          </w:p>
        </w:tc>
      </w:tr>
      <w:tr>
        <w:trPr>
          <w:trHeight w:val="161"/>
        </w:trPr>
        <w:tc>
          <w:tcPr>
            <w:tcW w:w="6140" w:type="dxa"/>
            <w:vAlign w:val="bottom"/>
            <w:gridSpan w:val="2"/>
          </w:tcPr>
          <w:p>
            <w:pPr>
              <w:spacing w:after="0"/>
              <w:rPr>
                <w:sz w:val="20"/>
                <w:szCs w:val="20"/>
                <w:color w:val="auto"/>
              </w:rPr>
            </w:pPr>
            <w:r>
              <w:rPr>
                <w:rFonts w:ascii="Arial" w:cs="Arial" w:eastAsia="Arial" w:hAnsi="Arial"/>
                <w:sz w:val="13"/>
                <w:szCs w:val="13"/>
                <w:color w:val="auto"/>
              </w:rPr>
              <w:t>Balance as of September 30, 2007</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27,416</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33,251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costs and expenses</w:t>
            </w: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97</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24,479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1"/>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Charged to revenue</w:t>
            </w:r>
          </w:p>
        </w:tc>
        <w:tc>
          <w:tcPr>
            <w:tcW w:w="2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1,962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other accounts</w:t>
            </w: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7,607</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26,208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1"/>
        </w:trPr>
        <w:tc>
          <w:tcPr>
            <w:tcW w:w="6140" w:type="dxa"/>
            <w:vAlign w:val="bottom"/>
            <w:gridSpan w:val="2"/>
          </w:tcPr>
          <w:p>
            <w:pPr>
              <w:spacing w:after="0"/>
              <w:rPr>
                <w:sz w:val="20"/>
                <w:szCs w:val="20"/>
                <w:color w:val="auto"/>
              </w:rPr>
            </w:pPr>
            <w:r>
              <w:rPr>
                <w:rFonts w:ascii="Arial" w:cs="Arial" w:eastAsia="Arial" w:hAnsi="Arial"/>
                <w:sz w:val="13"/>
                <w:szCs w:val="13"/>
                <w:color w:val="auto"/>
              </w:rPr>
              <w:t>Deductions</w:t>
            </w:r>
          </w:p>
        </w:tc>
        <w:tc>
          <w:tcPr>
            <w:tcW w:w="200" w:type="dxa"/>
            <w:vAlign w:val="bottom"/>
          </w:tcPr>
          <w:p>
            <w:pPr>
              <w:spacing w:after="0"/>
              <w:rPr>
                <w:sz w:val="14"/>
                <w:szCs w:val="14"/>
                <w:color w:val="auto"/>
              </w:rPr>
            </w:pPr>
          </w:p>
        </w:tc>
        <w:tc>
          <w:tcPr>
            <w:tcW w:w="1860" w:type="dxa"/>
            <w:vAlign w:val="bottom"/>
            <w:gridSpan w:val="3"/>
          </w:tcPr>
          <w:p>
            <w:pPr>
              <w:jc w:val="right"/>
              <w:ind w:right="373"/>
              <w:spacing w:after="0"/>
              <w:rPr>
                <w:sz w:val="20"/>
                <w:szCs w:val="20"/>
                <w:color w:val="auto"/>
              </w:rPr>
            </w:pPr>
            <w:r>
              <w:rPr>
                <w:rFonts w:ascii="Arial" w:cs="Arial" w:eastAsia="Arial" w:hAnsi="Arial"/>
                <w:sz w:val="13"/>
                <w:szCs w:val="13"/>
                <w:color w:val="auto"/>
              </w:rPr>
              <w:t>(2,518)</w:t>
            </w:r>
          </w:p>
        </w:tc>
        <w:tc>
          <w:tcPr>
            <w:tcW w:w="1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3"/>
                <w:szCs w:val="13"/>
                <w:color w:val="auto"/>
              </w:rPr>
              <w:t>(7,457)(3)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Balance as of September 30, 2008</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34,564</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76,481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Charged to costs and expenses</w:t>
            </w:r>
          </w:p>
        </w:tc>
        <w:tc>
          <w:tcPr>
            <w:tcW w:w="2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1,436</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3"/>
                <w:szCs w:val="13"/>
                <w:color w:val="auto"/>
              </w:rPr>
              <w:t>22,756</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1"/>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revenue</w:t>
            </w: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3,768</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Charged to other accounts</w:t>
            </w:r>
          </w:p>
        </w:tc>
        <w:tc>
          <w:tcPr>
            <w:tcW w:w="2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color w:val="auto"/>
              </w:rPr>
              <w:t>3,397</w:t>
            </w:r>
          </w:p>
        </w:tc>
        <w:tc>
          <w:tcPr>
            <w:tcW w:w="460" w:type="dxa"/>
            <w:vAlign w:val="bottom"/>
          </w:tcPr>
          <w:p>
            <w:pPr>
              <w:jc w:val="right"/>
              <w:ind w:right="233"/>
              <w:spacing w:after="0"/>
              <w:rPr>
                <w:sz w:val="20"/>
                <w:szCs w:val="20"/>
                <w:color w:val="auto"/>
              </w:rPr>
            </w:pPr>
            <w:r>
              <w:rPr>
                <w:rFonts w:ascii="Arial" w:cs="Arial" w:eastAsia="Arial" w:hAnsi="Arial"/>
                <w:sz w:val="13"/>
                <w:szCs w:val="13"/>
                <w:color w:val="auto"/>
                <w:w w:val="87"/>
              </w:rPr>
              <w:t>(6)</w:t>
            </w:r>
          </w:p>
        </w:tc>
        <w:tc>
          <w:tcPr>
            <w:tcW w:w="18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Deductions</w:t>
            </w:r>
          </w:p>
        </w:tc>
        <w:tc>
          <w:tcPr>
            <w:tcW w:w="2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213"/>
              <w:spacing w:after="0"/>
              <w:rPr>
                <w:sz w:val="20"/>
                <w:szCs w:val="20"/>
                <w:color w:val="auto"/>
              </w:rPr>
            </w:pPr>
            <w:r>
              <w:rPr>
                <w:rFonts w:ascii="Arial" w:cs="Arial" w:eastAsia="Arial" w:hAnsi="Arial"/>
                <w:sz w:val="13"/>
                <w:szCs w:val="13"/>
                <w:color w:val="auto"/>
              </w:rPr>
              <w:t>(33,287)(8)</w:t>
            </w:r>
          </w:p>
        </w:tc>
        <w:tc>
          <w:tcPr>
            <w:tcW w:w="18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(16,457)(7)</w:t>
            </w:r>
          </w:p>
        </w:tc>
        <w:tc>
          <w:tcPr>
            <w:tcW w:w="0" w:type="dxa"/>
            <w:vAlign w:val="bottom"/>
          </w:tcPr>
          <w:p>
            <w:pPr>
              <w:spacing w:after="0"/>
              <w:rPr>
                <w:sz w:val="1"/>
                <w:szCs w:val="1"/>
                <w:color w:val="auto"/>
              </w:rPr>
            </w:pPr>
          </w:p>
        </w:tc>
      </w:tr>
      <w:tr>
        <w:trPr>
          <w:trHeight w:val="161"/>
        </w:trPr>
        <w:tc>
          <w:tcPr>
            <w:tcW w:w="6140" w:type="dxa"/>
            <w:vAlign w:val="bottom"/>
            <w:gridSpan w:val="2"/>
          </w:tcPr>
          <w:p>
            <w:pPr>
              <w:spacing w:after="0"/>
              <w:rPr>
                <w:sz w:val="20"/>
                <w:szCs w:val="20"/>
                <w:color w:val="auto"/>
              </w:rPr>
            </w:pPr>
            <w:r>
              <w:rPr>
                <w:rFonts w:ascii="Arial" w:cs="Arial" w:eastAsia="Arial" w:hAnsi="Arial"/>
                <w:sz w:val="13"/>
                <w:szCs w:val="13"/>
                <w:color w:val="auto"/>
              </w:rPr>
              <w:t>Balance as of September 30, 2009</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9,878</w:t>
            </w:r>
          </w:p>
        </w:tc>
        <w:tc>
          <w:tcPr>
            <w:tcW w:w="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82,780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500" w:hanging="408"/>
        <w:spacing w:after="0"/>
        <w:tabs>
          <w:tab w:leader="none" w:pos="1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2007.</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Includes valuation allowances on deferred tax assets incurred primarily in connection with 2006 acquisitions.</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Deductions in the valuation allowances on net deferred tax assets were released to earnings.</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2008.</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2009.</w:t>
      </w:r>
    </w:p>
    <w:p>
      <w:pPr>
        <w:spacing w:after="0" w:line="92" w:lineRule="exact"/>
        <w:rPr>
          <w:rFonts w:ascii="Arial" w:cs="Arial" w:eastAsia="Arial" w:hAnsi="Arial"/>
          <w:sz w:val="13"/>
          <w:szCs w:val="13"/>
          <w:color w:val="auto"/>
        </w:rPr>
      </w:pPr>
    </w:p>
    <w:p>
      <w:pPr>
        <w:ind w:left="1500" w:hanging="408"/>
        <w:spacing w:after="0"/>
        <w:tabs>
          <w:tab w:leader="none" w:pos="1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Acquired as part of a 2009 small acquisition.</w:t>
      </w:r>
    </w:p>
    <w:p>
      <w:pPr>
        <w:spacing w:after="0" w:line="92" w:lineRule="exact"/>
        <w:rPr>
          <w:rFonts w:ascii="Arial" w:cs="Arial" w:eastAsia="Arial" w:hAnsi="Arial"/>
          <w:sz w:val="13"/>
          <w:szCs w:val="13"/>
          <w:color w:val="auto"/>
        </w:rPr>
      </w:pPr>
    </w:p>
    <w:p>
      <w:pPr>
        <w:ind w:left="1500" w:right="200" w:hanging="408"/>
        <w:spacing w:after="0" w:line="276" w:lineRule="auto"/>
        <w:tabs>
          <w:tab w:leader="none" w:pos="1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$3,481 of valuation allowances on deferred tax assets incurred primarily in connection with 2006 and 2008 acquisitions was released through goodwill, $7,172 of valuation allowances on deferred tax assets was written off against the related deferred tax assets, the remaining deductions in the valuation allowances on net deferred tax assets were released to earnings.</w:t>
      </w:r>
    </w:p>
    <w:p>
      <w:pPr>
        <w:spacing w:after="0" w:line="48" w:lineRule="exact"/>
        <w:rPr>
          <w:rFonts w:ascii="Arial" w:cs="Arial" w:eastAsia="Arial" w:hAnsi="Arial"/>
          <w:sz w:val="13"/>
          <w:szCs w:val="13"/>
          <w:color w:val="auto"/>
        </w:rPr>
      </w:pPr>
    </w:p>
    <w:p>
      <w:pPr>
        <w:ind w:left="1500" w:hanging="408"/>
        <w:spacing w:after="0"/>
        <w:tabs>
          <w:tab w:leader="none" w:pos="1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Primarily attributable to a settlement with a customer in which the allowances were written off against the related accounts receivable.</w:t>
      </w: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F-40</w:t>
      </w:r>
    </w:p>
    <w:p>
      <w:pPr>
        <w:sectPr>
          <w:pgSz w:w="11900" w:h="16838" w:orient="portrait"/>
          <w:cols w:equalWidth="0" w:num="1">
            <w:col w:w="10660"/>
          </w:cols>
          <w:pgMar w:left="220" w:top="349" w:right="10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3"/>
          <w:szCs w:val="13"/>
          <w:b w:val="1"/>
          <w:bCs w:val="1"/>
          <w:u w:val="single" w:color="auto"/>
          <w:color w:val="auto"/>
        </w:rPr>
        <w:t>Exhibit 8</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Significant Subsidiaries of Amdocs Limited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60" w:type="dxa"/>
            <w:vAlign w:val="bottom"/>
          </w:tcPr>
          <w:p>
            <w:pPr>
              <w:jc w:val="center"/>
              <w:spacing w:after="0"/>
              <w:rPr>
                <w:sz w:val="20"/>
                <w:szCs w:val="20"/>
                <w:color w:val="auto"/>
              </w:rPr>
            </w:pPr>
            <w:r>
              <w:rPr>
                <w:rFonts w:ascii="Arial" w:cs="Arial" w:eastAsia="Arial" w:hAnsi="Arial"/>
                <w:sz w:val="11"/>
                <w:szCs w:val="11"/>
                <w:b w:val="1"/>
                <w:bCs w:val="1"/>
                <w:color w:val="auto"/>
                <w:w w:val="87"/>
              </w:rPr>
              <w:t>Jurisdiction of</w:t>
            </w:r>
          </w:p>
        </w:tc>
        <w:tc>
          <w:tcPr>
            <w:tcW w:w="3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60" w:type="dxa"/>
            <w:vAlign w:val="bottom"/>
            <w:vMerge w:val="restart"/>
          </w:tcPr>
          <w:p>
            <w:pPr>
              <w:ind w:left="1660"/>
              <w:spacing w:after="0"/>
              <w:rPr>
                <w:sz w:val="20"/>
                <w:szCs w:val="20"/>
                <w:color w:val="auto"/>
              </w:rPr>
            </w:pPr>
            <w:r>
              <w:rPr>
                <w:rFonts w:ascii="Arial" w:cs="Arial" w:eastAsia="Arial" w:hAnsi="Arial"/>
                <w:sz w:val="11"/>
                <w:szCs w:val="11"/>
                <w:b w:val="1"/>
                <w:bCs w:val="1"/>
                <w:color w:val="auto"/>
              </w:rPr>
              <w:t>List of the Subsidiaries*</w:t>
            </w:r>
          </w:p>
        </w:tc>
        <w:tc>
          <w:tcPr>
            <w:tcW w:w="340" w:type="dxa"/>
            <w:vAlign w:val="bottom"/>
          </w:tcPr>
          <w:p>
            <w:pPr>
              <w:spacing w:after="0"/>
              <w:rPr>
                <w:sz w:val="9"/>
                <w:szCs w:val="9"/>
                <w:color w:val="auto"/>
              </w:rPr>
            </w:pPr>
          </w:p>
        </w:tc>
        <w:tc>
          <w:tcPr>
            <w:tcW w:w="2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Incorporation or</w:t>
            </w:r>
          </w:p>
        </w:tc>
        <w:tc>
          <w:tcPr>
            <w:tcW w:w="340" w:type="dxa"/>
            <w:vAlign w:val="bottom"/>
          </w:tcPr>
          <w:p>
            <w:pPr>
              <w:spacing w:after="0"/>
              <w:rPr>
                <w:sz w:val="9"/>
                <w:szCs w:val="9"/>
                <w:color w:val="auto"/>
              </w:rPr>
            </w:pPr>
          </w:p>
        </w:tc>
        <w:tc>
          <w:tcPr>
            <w:tcW w:w="3540" w:type="dxa"/>
            <w:vAlign w:val="bottom"/>
            <w:vMerge w:val="restart"/>
          </w:tcPr>
          <w:p>
            <w:pPr>
              <w:ind w:left="1420"/>
              <w:spacing w:after="0"/>
              <w:rPr>
                <w:sz w:val="20"/>
                <w:szCs w:val="20"/>
                <w:color w:val="auto"/>
              </w:rPr>
            </w:pPr>
            <w:r>
              <w:rPr>
                <w:rFonts w:ascii="Arial" w:cs="Arial" w:eastAsia="Arial" w:hAnsi="Arial"/>
                <w:sz w:val="11"/>
                <w:szCs w:val="11"/>
                <w:b w:val="1"/>
                <w:bCs w:val="1"/>
                <w:color w:val="auto"/>
              </w:rPr>
              <w:t>Business Name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60" w:type="dxa"/>
            <w:vAlign w:val="bottom"/>
            <w:tcBorders>
              <w:bottom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Organization</w:t>
            </w:r>
          </w:p>
        </w:tc>
        <w:tc>
          <w:tcPr>
            <w:tcW w:w="340" w:type="dxa"/>
            <w:vAlign w:val="bottom"/>
          </w:tcPr>
          <w:p>
            <w:pPr>
              <w:spacing w:after="0"/>
              <w:rPr>
                <w:sz w:val="11"/>
                <w:szCs w:val="11"/>
                <w:color w:val="auto"/>
              </w:rPr>
            </w:pPr>
          </w:p>
        </w:tc>
        <w:tc>
          <w:tcPr>
            <w:tcW w:w="3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60" w:type="dxa"/>
            <w:vAlign w:val="bottom"/>
          </w:tcPr>
          <w:p>
            <w:pPr>
              <w:spacing w:after="0" w:line="141" w:lineRule="exact"/>
              <w:rPr>
                <w:sz w:val="20"/>
                <w:szCs w:val="20"/>
                <w:color w:val="auto"/>
              </w:rPr>
            </w:pPr>
            <w:r>
              <w:rPr>
                <w:rFonts w:ascii="Arial" w:cs="Arial" w:eastAsia="Arial" w:hAnsi="Arial"/>
                <w:sz w:val="13"/>
                <w:szCs w:val="13"/>
                <w:color w:val="auto"/>
              </w:rPr>
              <w:t>Amdocs Astrum Limited</w:t>
            </w:r>
          </w:p>
        </w:tc>
        <w:tc>
          <w:tcPr>
            <w:tcW w:w="340" w:type="dxa"/>
            <w:vAlign w:val="bottom"/>
          </w:tcPr>
          <w:p>
            <w:pPr>
              <w:spacing w:after="0"/>
              <w:rPr>
                <w:sz w:val="12"/>
                <w:szCs w:val="12"/>
                <w:color w:val="auto"/>
              </w:rPr>
            </w:pPr>
          </w:p>
        </w:tc>
        <w:tc>
          <w:tcPr>
            <w:tcW w:w="2760" w:type="dxa"/>
            <w:vAlign w:val="bottom"/>
          </w:tcPr>
          <w:p>
            <w:pPr>
              <w:spacing w:after="0" w:line="141" w:lineRule="exact"/>
              <w:rPr>
                <w:sz w:val="20"/>
                <w:szCs w:val="20"/>
                <w:color w:val="auto"/>
              </w:rPr>
            </w:pPr>
            <w:r>
              <w:rPr>
                <w:rFonts w:ascii="Arial" w:cs="Arial" w:eastAsia="Arial" w:hAnsi="Arial"/>
                <w:sz w:val="13"/>
                <w:szCs w:val="13"/>
                <w:color w:val="auto"/>
              </w:rPr>
              <w:t>Ireland</w:t>
            </w:r>
          </w:p>
        </w:tc>
        <w:tc>
          <w:tcPr>
            <w:tcW w:w="340" w:type="dxa"/>
            <w:vAlign w:val="bottom"/>
          </w:tcPr>
          <w:p>
            <w:pPr>
              <w:spacing w:after="0"/>
              <w:rPr>
                <w:sz w:val="12"/>
                <w:szCs w:val="12"/>
                <w:color w:val="auto"/>
              </w:rPr>
            </w:pPr>
          </w:p>
        </w:tc>
        <w:tc>
          <w:tcPr>
            <w:tcW w:w="3540" w:type="dxa"/>
            <w:vAlign w:val="bottom"/>
          </w:tcPr>
          <w:p>
            <w:pPr>
              <w:spacing w:after="0" w:line="141" w:lineRule="exact"/>
              <w:rPr>
                <w:sz w:val="20"/>
                <w:szCs w:val="20"/>
                <w:color w:val="auto"/>
              </w:rPr>
            </w:pPr>
            <w:r>
              <w:rPr>
                <w:rFonts w:ascii="Arial" w:cs="Arial" w:eastAsia="Arial" w:hAnsi="Arial"/>
                <w:sz w:val="13"/>
                <w:szCs w:val="13"/>
                <w:color w:val="auto"/>
              </w:rPr>
              <w:t>Amdocs Astrum Limited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BCS, Inc.</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State of California</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BCS, Inc.</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BCS Vision, Inc.</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State of North Carolina</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BCS Vision, Inc.</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Canadian Managed Services, Inc.</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Canada</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Canadian Managed Services Inc.</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Champaign, Inc.</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State of Delaware</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Champaign, Inc.</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(Denmark) ApS</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Denmark</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(Denmark) ApS</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Development Centre India Private Limited</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India</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Development Centre India Private Limited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Development Limited</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Republic of Cyprus</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Development Limited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Holdings ULC</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Canada</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Holdings ULC</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Inc.</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State of Delaware</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Inc.</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International GmbH</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Switzerland</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International GmbH</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(Israel) Limited</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Israel</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(Israel) Limited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Management Limited</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United Kingdom</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Management Limited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Software Solutions Kft</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Hungary</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Software Solutions Limited Liability Company</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Software Systems Ltd.</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Ireland</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Software Systems Ltd.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Stamford, Inc.</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State of Delaware</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Stamford, Inc.</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Amdocs (UK) Limited</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United Kingdom</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(UK) Limited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Cramer Systems Group Limited</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United Kingdom</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Systems Group Limited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European Software Marketing Ltd.</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Island of Guernsey, Channel Islands</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European Software Marketing Ltd.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Longshine Information Technology Co. Ltd.</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British Virgin Islands</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Longshine Information Technology Co. Ltd.</w:t>
            </w:r>
          </w:p>
        </w:tc>
        <w:tc>
          <w:tcPr>
            <w:tcW w:w="0" w:type="dxa"/>
            <w:vAlign w:val="bottom"/>
          </w:tcPr>
          <w:p>
            <w:pPr>
              <w:spacing w:after="0"/>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color w:val="auto"/>
              </w:rPr>
              <w:t>Sypress, Inc.</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State of Delaware</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Sypress, Inc.</w:t>
            </w: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Arial" w:cs="Arial" w:eastAsia="Arial" w:hAnsi="Arial"/>
                <w:sz w:val="13"/>
                <w:szCs w:val="13"/>
                <w:color w:val="auto"/>
              </w:rPr>
              <w:t>Qpass, Inc.</w:t>
            </w:r>
          </w:p>
        </w:tc>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State of Washington</w:t>
            </w:r>
          </w:p>
        </w:tc>
        <w:tc>
          <w:tcPr>
            <w:tcW w:w="3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3"/>
                <w:szCs w:val="13"/>
                <w:color w:val="auto"/>
              </w:rPr>
              <w:t>Amdocs Qpass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131191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11910" cy="6350"/>
                    </a:xfrm>
                    <a:prstGeom prst="rect">
                      <a:avLst/>
                    </a:prstGeom>
                    <a:noFill/>
                  </pic:spPr>
                </pic:pic>
              </a:graphicData>
            </a:graphic>
          </wp:anchor>
        </w:drawing>
      </w:r>
    </w:p>
    <w:p>
      <w:pPr>
        <w:spacing w:after="0" w:line="242" w:lineRule="exact"/>
        <w:rPr>
          <w:sz w:val="20"/>
          <w:szCs w:val="20"/>
          <w:color w:val="auto"/>
        </w:rPr>
      </w:pPr>
    </w:p>
    <w:p>
      <w:pPr>
        <w:ind w:left="460" w:hanging="459"/>
        <w:spacing w:after="0"/>
        <w:tabs>
          <w:tab w:leader="none" w:pos="4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Each subsidiary listed is directly or indirectly wholly-owned by Amdocs Limited.</w:t>
      </w:r>
    </w:p>
    <w:p>
      <w:pPr>
        <w:sectPr>
          <w:pgSz w:w="11900" w:h="16838" w:orient="portrait"/>
          <w:cols w:equalWidth="0" w:num="1">
            <w:col w:w="11460"/>
          </w:cols>
          <w:pgMar w:left="220" w:top="127"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3"/>
          <w:szCs w:val="13"/>
          <w:color w:val="auto"/>
        </w:rPr>
        <w:t>EXHIBIT 12.1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I, Dov Baharav, certify that:</w:t>
      </w:r>
    </w:p>
    <w:p>
      <w:pPr>
        <w:spacing w:after="0" w:line="92" w:lineRule="exact"/>
        <w:rPr>
          <w:sz w:val="20"/>
          <w:szCs w:val="20"/>
          <w:color w:val="auto"/>
        </w:rPr>
      </w:pPr>
    </w:p>
    <w:p>
      <w:pPr>
        <w:ind w:left="300" w:hanging="132"/>
        <w:spacing w:after="0"/>
        <w:tabs>
          <w:tab w:leader="none" w:pos="3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Amdocs Limited;</w:t>
      </w:r>
    </w:p>
    <w:p>
      <w:pPr>
        <w:spacing w:after="0" w:line="92" w:lineRule="exact"/>
        <w:rPr>
          <w:rFonts w:ascii="Arial" w:cs="Arial" w:eastAsia="Arial" w:hAnsi="Arial"/>
          <w:sz w:val="13"/>
          <w:szCs w:val="13"/>
          <w:color w:val="auto"/>
        </w:rPr>
      </w:pPr>
    </w:p>
    <w:p>
      <w:pPr>
        <w:ind w:right="120" w:firstLine="168"/>
        <w:spacing w:after="0" w:line="294" w:lineRule="auto"/>
        <w:tabs>
          <w:tab w:leader="none" w:pos="302" w:val="left"/>
        </w:tabs>
        <w:numPr>
          <w:ilvl w:val="0"/>
          <w:numId w:val="6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3"/>
          <w:szCs w:val="13"/>
          <w:color w:val="auto"/>
        </w:rPr>
      </w:pPr>
    </w:p>
    <w:p>
      <w:pPr>
        <w:ind w:right="140" w:firstLine="168"/>
        <w:spacing w:after="0" w:line="294" w:lineRule="auto"/>
        <w:tabs>
          <w:tab w:leader="none" w:pos="302" w:val="left"/>
        </w:tabs>
        <w:numPr>
          <w:ilvl w:val="0"/>
          <w:numId w:val="6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6" w:lineRule="exact"/>
        <w:rPr>
          <w:rFonts w:ascii="Arial" w:cs="Arial" w:eastAsia="Arial" w:hAnsi="Arial"/>
          <w:sz w:val="13"/>
          <w:szCs w:val="13"/>
          <w:color w:val="auto"/>
        </w:rPr>
      </w:pPr>
    </w:p>
    <w:p>
      <w:pPr>
        <w:ind w:right="180" w:firstLine="168"/>
        <w:spacing w:after="0" w:line="294" w:lineRule="auto"/>
        <w:tabs>
          <w:tab w:leader="none" w:pos="3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6" w:lineRule="exact"/>
        <w:rPr>
          <w:rFonts w:ascii="Arial" w:cs="Arial" w:eastAsia="Arial" w:hAnsi="Arial"/>
          <w:sz w:val="13"/>
          <w:szCs w:val="13"/>
          <w:color w:val="auto"/>
        </w:rPr>
      </w:pPr>
    </w:p>
    <w:p>
      <w:pPr>
        <w:ind w:right="240" w:firstLine="336"/>
        <w:spacing w:after="0" w:line="294" w:lineRule="auto"/>
        <w:tabs>
          <w:tab w:leader="none" w:pos="518" w:val="left"/>
        </w:tabs>
        <w:numPr>
          <w:ilvl w:val="1"/>
          <w:numId w:val="6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3"/>
          <w:szCs w:val="13"/>
          <w:color w:val="auto"/>
        </w:rPr>
      </w:pPr>
    </w:p>
    <w:p>
      <w:pPr>
        <w:ind w:right="440" w:firstLine="336"/>
        <w:spacing w:after="0" w:line="294" w:lineRule="auto"/>
        <w:tabs>
          <w:tab w:leader="none" w:pos="526" w:val="left"/>
        </w:tabs>
        <w:numPr>
          <w:ilvl w:val="1"/>
          <w:numId w:val="6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3"/>
          <w:szCs w:val="13"/>
          <w:color w:val="auto"/>
        </w:rPr>
      </w:pPr>
    </w:p>
    <w:p>
      <w:pPr>
        <w:ind w:firstLine="336"/>
        <w:spacing w:after="0" w:line="294" w:lineRule="auto"/>
        <w:tabs>
          <w:tab w:leader="none" w:pos="518" w:val="left"/>
        </w:tabs>
        <w:numPr>
          <w:ilvl w:val="1"/>
          <w:numId w:val="64"/>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3"/>
          <w:szCs w:val="13"/>
          <w:color w:val="auto"/>
        </w:rPr>
      </w:pPr>
    </w:p>
    <w:p>
      <w:pPr>
        <w:ind w:right="260" w:firstLine="336"/>
        <w:spacing w:after="0" w:line="294" w:lineRule="auto"/>
        <w:tabs>
          <w:tab w:leader="none" w:pos="526" w:val="left"/>
        </w:tabs>
        <w:numPr>
          <w:ilvl w:val="1"/>
          <w:numId w:val="64"/>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6" w:lineRule="exact"/>
        <w:rPr>
          <w:rFonts w:ascii="Arial" w:cs="Arial" w:eastAsia="Arial" w:hAnsi="Arial"/>
          <w:sz w:val="13"/>
          <w:szCs w:val="13"/>
          <w:color w:val="auto"/>
        </w:rPr>
      </w:pPr>
    </w:p>
    <w:p>
      <w:pPr>
        <w:ind w:right="380" w:firstLine="168"/>
        <w:spacing w:after="0" w:line="294" w:lineRule="auto"/>
        <w:tabs>
          <w:tab w:leader="none" w:pos="302"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8789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18" w:name="page119"/>
    <w:bookmarkEnd w:id="118"/>
    <w:p>
      <w:pPr>
        <w:ind w:firstLine="336"/>
        <w:spacing w:after="0" w:line="294" w:lineRule="auto"/>
        <w:tabs>
          <w:tab w:leader="none" w:pos="511" w:val="left"/>
        </w:tabs>
        <w:numPr>
          <w:ilvl w:val="0"/>
          <w:numId w:val="6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6" w:lineRule="exact"/>
        <w:rPr>
          <w:rFonts w:ascii="Arial" w:cs="Arial" w:eastAsia="Arial" w:hAnsi="Arial"/>
          <w:sz w:val="13"/>
          <w:szCs w:val="13"/>
          <w:color w:val="auto"/>
        </w:rPr>
      </w:pPr>
    </w:p>
    <w:p>
      <w:pPr>
        <w:ind w:left="520" w:hanging="184"/>
        <w:spacing w:after="0"/>
        <w:tabs>
          <w:tab w:leader="none" w:pos="5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Date: December 7, 2009</w:t>
      </w: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Dov Baharav</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-93980</wp:posOffset>
            </wp:positionV>
            <wp:extent cx="269367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93670" cy="635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Amdocs Management Limited</w:t>
      </w:r>
    </w:p>
    <w:p>
      <w:pPr>
        <w:sectPr>
          <w:pgSz w:w="11900" w:h="16838" w:orient="portrait"/>
          <w:cols w:equalWidth="0" w:num="1">
            <w:col w:w="11300"/>
          </w:cols>
          <w:pgMar w:left="220" w:top="733" w:right="3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color w:val="auto"/>
        </w:rPr>
        <w:t>EXHIBIT 12.2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I, Tamar Rapaport-Dagim, certify that:</w:t>
      </w:r>
    </w:p>
    <w:p>
      <w:pPr>
        <w:spacing w:after="0" w:line="92" w:lineRule="exact"/>
        <w:rPr>
          <w:sz w:val="20"/>
          <w:szCs w:val="20"/>
          <w:color w:val="auto"/>
        </w:rPr>
      </w:pPr>
    </w:p>
    <w:p>
      <w:pPr>
        <w:ind w:left="300" w:hanging="132"/>
        <w:spacing w:after="0"/>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Amdocs Limited;</w:t>
      </w:r>
    </w:p>
    <w:p>
      <w:pPr>
        <w:spacing w:after="0" w:line="92" w:lineRule="exact"/>
        <w:rPr>
          <w:rFonts w:ascii="Arial" w:cs="Arial" w:eastAsia="Arial" w:hAnsi="Arial"/>
          <w:sz w:val="13"/>
          <w:szCs w:val="13"/>
          <w:color w:val="auto"/>
        </w:rPr>
      </w:pPr>
    </w:p>
    <w:p>
      <w:pPr>
        <w:ind w:right="120" w:firstLine="168"/>
        <w:spacing w:after="0" w:line="294" w:lineRule="auto"/>
        <w:tabs>
          <w:tab w:leader="none" w:pos="302" w:val="left"/>
        </w:tabs>
        <w:numPr>
          <w:ilvl w:val="0"/>
          <w:numId w:val="6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3"/>
          <w:szCs w:val="13"/>
          <w:color w:val="auto"/>
        </w:rPr>
      </w:pPr>
    </w:p>
    <w:p>
      <w:pPr>
        <w:ind w:right="140" w:firstLine="168"/>
        <w:spacing w:after="0" w:line="294" w:lineRule="auto"/>
        <w:tabs>
          <w:tab w:leader="none" w:pos="302" w:val="left"/>
        </w:tabs>
        <w:numPr>
          <w:ilvl w:val="0"/>
          <w:numId w:val="6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6" w:lineRule="exact"/>
        <w:rPr>
          <w:rFonts w:ascii="Arial" w:cs="Arial" w:eastAsia="Arial" w:hAnsi="Arial"/>
          <w:sz w:val="13"/>
          <w:szCs w:val="13"/>
          <w:color w:val="auto"/>
        </w:rPr>
      </w:pPr>
    </w:p>
    <w:p>
      <w:pPr>
        <w:ind w:right="180" w:firstLine="168"/>
        <w:spacing w:after="0" w:line="294" w:lineRule="auto"/>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6" w:lineRule="exact"/>
        <w:rPr>
          <w:rFonts w:ascii="Arial" w:cs="Arial" w:eastAsia="Arial" w:hAnsi="Arial"/>
          <w:sz w:val="13"/>
          <w:szCs w:val="13"/>
          <w:color w:val="auto"/>
        </w:rPr>
      </w:pPr>
    </w:p>
    <w:p>
      <w:pPr>
        <w:ind w:right="240" w:firstLine="336"/>
        <w:spacing w:after="0" w:line="294" w:lineRule="auto"/>
        <w:tabs>
          <w:tab w:leader="none" w:pos="518" w:val="left"/>
        </w:tabs>
        <w:numPr>
          <w:ilvl w:val="1"/>
          <w:numId w:val="6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3"/>
          <w:szCs w:val="13"/>
          <w:color w:val="auto"/>
        </w:rPr>
      </w:pPr>
    </w:p>
    <w:p>
      <w:pPr>
        <w:ind w:right="440" w:firstLine="336"/>
        <w:spacing w:after="0" w:line="294" w:lineRule="auto"/>
        <w:tabs>
          <w:tab w:leader="none" w:pos="526" w:val="left"/>
        </w:tabs>
        <w:numPr>
          <w:ilvl w:val="1"/>
          <w:numId w:val="6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3"/>
          <w:szCs w:val="13"/>
          <w:color w:val="auto"/>
        </w:rPr>
      </w:pPr>
    </w:p>
    <w:p>
      <w:pPr>
        <w:ind w:firstLine="336"/>
        <w:spacing w:after="0" w:line="294" w:lineRule="auto"/>
        <w:tabs>
          <w:tab w:leader="none" w:pos="518" w:val="left"/>
        </w:tabs>
        <w:numPr>
          <w:ilvl w:val="1"/>
          <w:numId w:val="66"/>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3"/>
          <w:szCs w:val="13"/>
          <w:color w:val="auto"/>
        </w:rPr>
      </w:pPr>
    </w:p>
    <w:p>
      <w:pPr>
        <w:ind w:right="260" w:firstLine="336"/>
        <w:spacing w:after="0" w:line="294" w:lineRule="auto"/>
        <w:tabs>
          <w:tab w:leader="none" w:pos="526" w:val="left"/>
        </w:tabs>
        <w:numPr>
          <w:ilvl w:val="1"/>
          <w:numId w:val="66"/>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6" w:lineRule="exact"/>
        <w:rPr>
          <w:rFonts w:ascii="Arial" w:cs="Arial" w:eastAsia="Arial" w:hAnsi="Arial"/>
          <w:sz w:val="13"/>
          <w:szCs w:val="13"/>
          <w:color w:val="auto"/>
        </w:rPr>
      </w:pPr>
    </w:p>
    <w:p>
      <w:pPr>
        <w:ind w:right="380" w:firstLine="168"/>
        <w:spacing w:after="0" w:line="294" w:lineRule="auto"/>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8789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20" w:name="page121"/>
    <w:bookmarkEnd w:id="120"/>
    <w:p>
      <w:pPr>
        <w:ind w:firstLine="336"/>
        <w:spacing w:after="0" w:line="294" w:lineRule="auto"/>
        <w:tabs>
          <w:tab w:leader="none" w:pos="511" w:val="left"/>
        </w:tabs>
        <w:numPr>
          <w:ilvl w:val="0"/>
          <w:numId w:val="6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6" w:lineRule="exact"/>
        <w:rPr>
          <w:rFonts w:ascii="Arial" w:cs="Arial" w:eastAsia="Arial" w:hAnsi="Arial"/>
          <w:sz w:val="13"/>
          <w:szCs w:val="13"/>
          <w:color w:val="auto"/>
        </w:rPr>
      </w:pPr>
    </w:p>
    <w:p>
      <w:pPr>
        <w:ind w:left="520" w:hanging="184"/>
        <w:spacing w:after="0"/>
        <w:tabs>
          <w:tab w:leader="none" w:pos="5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 December 7, 2009</w:t>
      </w: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Tamar Rapaport-Dagim</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-93980</wp:posOffset>
            </wp:positionV>
            <wp:extent cx="269367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93670" cy="635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Amdocs Management Limited</w:t>
      </w:r>
    </w:p>
    <w:p>
      <w:pPr>
        <w:sectPr>
          <w:pgSz w:w="11900" w:h="16838" w:orient="portrait"/>
          <w:cols w:equalWidth="0" w:num="1">
            <w:col w:w="11300"/>
          </w:cols>
          <w:pgMar w:left="220" w:top="733" w:right="379" w:bottom="1440" w:gutter="0" w:footer="0" w:header="0"/>
        </w:sectPr>
      </w:pPr>
    </w:p>
    <w:bookmarkStart w:id="121" w:name="page122"/>
    <w:bookmarkEnd w:id="121"/>
    <w:p>
      <w:pPr>
        <w:jc w:val="right"/>
        <w:spacing w:after="0"/>
        <w:rPr>
          <w:sz w:val="20"/>
          <w:szCs w:val="20"/>
          <w:color w:val="auto"/>
        </w:rPr>
      </w:pPr>
      <w:r>
        <w:rPr>
          <w:rFonts w:ascii="Arial" w:cs="Arial" w:eastAsia="Arial" w:hAnsi="Arial"/>
          <w:sz w:val="13"/>
          <w:szCs w:val="13"/>
          <w:color w:val="auto"/>
        </w:rPr>
        <w:t>EXHIBIT 13.1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906 OF THE SARBANES-OXLEY ACT OF 2002</w:t>
      </w:r>
    </w:p>
    <w:p>
      <w:pPr>
        <w:spacing w:after="0" w:line="82" w:lineRule="exact"/>
        <w:rPr>
          <w:sz w:val="20"/>
          <w:szCs w:val="20"/>
          <w:color w:val="auto"/>
        </w:rPr>
      </w:pPr>
    </w:p>
    <w:p>
      <w:pPr>
        <w:ind w:right="80" w:firstLine="168"/>
        <w:spacing w:after="0" w:line="294" w:lineRule="auto"/>
        <w:rPr>
          <w:sz w:val="20"/>
          <w:szCs w:val="20"/>
          <w:color w:val="auto"/>
        </w:rPr>
      </w:pPr>
      <w:r>
        <w:rPr>
          <w:rFonts w:ascii="Arial" w:cs="Arial" w:eastAsia="Arial" w:hAnsi="Arial"/>
          <w:sz w:val="13"/>
          <w:szCs w:val="13"/>
          <w:color w:val="auto"/>
        </w:rPr>
        <w:t>In connection with the annual report on Form 20-F of Amdocs Limited (the “Company”) for the period ended September 30, 2009 as filed with the Securities and Exchange Commission on the date hereof (the “Report”), the undersigned, Dov Baharav, Chief Executive Officer of the Company, hereby certifies, pursuant to 18 U.S.C. Section 1350, that to the best of his knowledge and belief:</w:t>
      </w:r>
    </w:p>
    <w:p>
      <w:pPr>
        <w:spacing w:after="0" w:line="37" w:lineRule="exact"/>
        <w:rPr>
          <w:sz w:val="20"/>
          <w:szCs w:val="20"/>
          <w:color w:val="auto"/>
        </w:rPr>
      </w:pPr>
    </w:p>
    <w:p>
      <w:pPr>
        <w:ind w:left="360" w:hanging="192"/>
        <w:spacing w:after="0"/>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2" w:lineRule="exact"/>
        <w:rPr>
          <w:rFonts w:ascii="Arial" w:cs="Arial" w:eastAsia="Arial" w:hAnsi="Arial"/>
          <w:sz w:val="13"/>
          <w:szCs w:val="13"/>
          <w:color w:val="auto"/>
        </w:rPr>
      </w:pPr>
    </w:p>
    <w:p>
      <w:pPr>
        <w:ind w:left="360" w:hanging="192"/>
        <w:spacing w:after="0"/>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Dated: December 7, 2009</w:t>
      </w: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Dov Baharav</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Dov Baharav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-93980</wp:posOffset>
            </wp:positionV>
            <wp:extent cx="269367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93670" cy="635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Amdocs Management Limited</w:t>
      </w:r>
    </w:p>
    <w:p>
      <w:pPr>
        <w:sectPr>
          <w:pgSz w:w="11900" w:h="16838" w:orient="portrait"/>
          <w:cols w:equalWidth="0" w:num="1">
            <w:col w:w="11460"/>
          </w:cols>
          <w:pgMar w:left="220" w:top="129"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3"/>
          <w:szCs w:val="13"/>
          <w:color w:val="auto"/>
        </w:rPr>
        <w:t>EXHIBIT 13.2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906 OF THE SARBANES-OXLEY ACT OF 2002</w:t>
      </w:r>
    </w:p>
    <w:p>
      <w:pPr>
        <w:spacing w:after="0" w:line="82" w:lineRule="exact"/>
        <w:rPr>
          <w:sz w:val="20"/>
          <w:szCs w:val="20"/>
          <w:color w:val="auto"/>
        </w:rPr>
      </w:pPr>
    </w:p>
    <w:p>
      <w:pPr>
        <w:ind w:right="80" w:firstLine="168"/>
        <w:spacing w:after="0" w:line="338" w:lineRule="auto"/>
        <w:rPr>
          <w:sz w:val="20"/>
          <w:szCs w:val="20"/>
          <w:color w:val="auto"/>
        </w:rPr>
      </w:pPr>
      <w:r>
        <w:rPr>
          <w:rFonts w:ascii="Arial" w:cs="Arial" w:eastAsia="Arial" w:hAnsi="Arial"/>
          <w:sz w:val="12"/>
          <w:szCs w:val="12"/>
          <w:color w:val="auto"/>
        </w:rPr>
        <w:t>In connection with the annual report on Form 20-F of Amdocs Limited (the “Company”) for the period ended September 30, 2009 as filed with the Securities and Exchange Commission on the date hereof (the “Report”), the undersigned, Tamar Rapaport-Dagim, Chief Financial Officer of the Company, hereby certifies, pursuant to 18 U.S.C. Section 1350, that to the best of his knowledge and belief:</w:t>
      </w:r>
    </w:p>
    <w:p>
      <w:pPr>
        <w:spacing w:after="0" w:line="14" w:lineRule="exact"/>
        <w:rPr>
          <w:sz w:val="20"/>
          <w:szCs w:val="20"/>
          <w:color w:val="auto"/>
        </w:rPr>
      </w:pPr>
    </w:p>
    <w:p>
      <w:pPr>
        <w:ind w:left="360" w:hanging="192"/>
        <w:spacing w:after="0"/>
        <w:tabs>
          <w:tab w:leader="none" w:pos="3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2" w:lineRule="exact"/>
        <w:rPr>
          <w:rFonts w:ascii="Arial" w:cs="Arial" w:eastAsia="Arial" w:hAnsi="Arial"/>
          <w:sz w:val="13"/>
          <w:szCs w:val="13"/>
          <w:color w:val="auto"/>
        </w:rPr>
      </w:pPr>
    </w:p>
    <w:p>
      <w:pPr>
        <w:ind w:left="360" w:hanging="192"/>
        <w:spacing w:after="0"/>
        <w:tabs>
          <w:tab w:leader="none" w:pos="3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Dated: December 7, 2009</w:t>
      </w: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Tamar Rapaport-Dagim</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-93980</wp:posOffset>
            </wp:positionV>
            <wp:extent cx="269367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93670" cy="635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Amdocs Management Limited</w:t>
      </w:r>
    </w:p>
    <w:p>
      <w:pPr>
        <w:sectPr>
          <w:pgSz w:w="11900" w:h="16838" w:orient="portrait"/>
          <w:cols w:equalWidth="0" w:num="1">
            <w:col w:w="11460"/>
          </w:cols>
          <w:pgMar w:left="220" w:top="129"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14.1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92" w:lineRule="exact"/>
        <w:rPr>
          <w:sz w:val="20"/>
          <w:szCs w:val="20"/>
          <w:color w:val="auto"/>
        </w:rPr>
      </w:pPr>
    </w:p>
    <w:p>
      <w:pPr>
        <w:ind w:right="420" w:firstLine="165"/>
        <w:spacing w:after="0" w:line="294" w:lineRule="auto"/>
        <w:rPr>
          <w:sz w:val="20"/>
          <w:szCs w:val="20"/>
          <w:color w:val="auto"/>
        </w:rPr>
      </w:pPr>
      <w:r>
        <w:rPr>
          <w:rFonts w:ascii="Arial" w:cs="Arial" w:eastAsia="Arial" w:hAnsi="Arial"/>
          <w:sz w:val="13"/>
          <w:szCs w:val="13"/>
          <w:color w:val="auto"/>
        </w:rPr>
        <w:t>We consent to the reference to our firm in the headnote to Item 3. Key Information — Selected Financial Data included in this Annual Report (Form 20-F) of Amdocs Limited and to the incorporation by reference in the following Registration Statements: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333-91847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333-92705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333-31506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333-34104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333-58454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333-114077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333-132968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333-135320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333-137617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333-139310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333-140728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333-159163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333-39278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333-44994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333-57036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333-67572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333-114079</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333-114344</w:t>
      </w:r>
    </w:p>
    <w:p>
      <w:pPr>
        <w:spacing w:after="0" w:line="82"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of our reports dated December 7, 2009, with respect to the consolidated financial statements and financial statement schedule of Amdocs Limited and the effectiveness of internal control over financial reporting of Amdocs Limited, included in this Annual Report (Form 20-F) for the year ended September 30, 2009.</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 ERNST &amp; YOUNG LLP</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December 7, 2009</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o"/>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o"/>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lvl w:ilvl="1">
      <w:lvlJc w:val="left"/>
      <w:lvlText w:val="•"/>
      <w:numFmt w:val="bullet"/>
      <w:start w:val="1"/>
    </w:lvl>
  </w:abstractNum>
  <w:abstractNum w:abstractNumId="16">
    <w:nsid w:val="2A487CB0"/>
    <w:multiLevelType w:val="hybridMultilevel"/>
    <w:lvl w:ilvl="0">
      <w:lvlJc w:val="left"/>
      <w:lvlText w:val="•"/>
      <w:numFmt w:val="bullet"/>
      <w:start w:val="1"/>
    </w:lvl>
    <w:lvl w:ilvl="1">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lvl w:ilvl="1">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lvl w:ilvl="1">
      <w:lvlJc w:val="left"/>
      <w:lvlText w:val="•"/>
      <w:numFmt w:val="bullet"/>
      <w:start w:val="1"/>
    </w:lvl>
  </w:abstractNum>
  <w:abstractNum w:abstractNumId="29">
    <w:nsid w:val="579478FE"/>
    <w:multiLevelType w:val="hybridMultilevel"/>
    <w:lvl w:ilvl="0">
      <w:lvlJc w:val="left"/>
      <w:lvlText w:val="•"/>
      <w:numFmt w:val="bullet"/>
      <w:start w:val="1"/>
    </w:lvl>
    <w:lvl w:ilvl="1">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lowerRoman"/>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lowerRoman"/>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8"/>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lowerRoman"/>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2019-12-10T17:32:49Z</dcterms:created>
  <dcterms:modified xsi:type="dcterms:W3CDTF">2019-12-10T17:32:49Z</dcterms:modified>
</cp:coreProperties>
</file>