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173355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4"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PURSUANT TO RULE 13A-16 OR 15D-16 OF</w:t>
      </w: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the month of December 2017</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165735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190500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3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St. Peter Port, Guernsey, GY1 2NG</w:t>
      </w:r>
    </w:p>
    <w:p>
      <w:pPr>
        <w:spacing w:after="0" w:line="95"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3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142240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422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78" w:lineRule="exact"/>
        <w:rPr>
          <w:sz w:val="24"/>
          <w:szCs w:val="24"/>
          <w:color w:val="auto"/>
        </w:rPr>
      </w:pPr>
    </w:p>
    <w:p>
      <w:pPr>
        <w:ind w:left="466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163195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580"/>
          </w:cols>
          <w:pgMar w:left="440" w:top="362" w:right="87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BE HELD ON FRIDAY, JANUARY 26,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w:t>
      </w:r>
    </w:p>
    <w:p>
      <w:pPr>
        <w:spacing w:after="0" w:line="117"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The annual general meeting of shareholders of Amdocs Limited will be held at 11:00 a.m., local time, on Friday, January 26, 2018, at the offices of Davis Polk &amp; Wardwell LLP, 450 Lexington Avenue, New York, New York, for the following purposes:</w:t>
      </w:r>
    </w:p>
    <w:p>
      <w:pPr>
        <w:spacing w:after="0" w:line="54" w:lineRule="exact"/>
        <w:rPr>
          <w:sz w:val="20"/>
          <w:szCs w:val="20"/>
          <w:color w:val="auto"/>
        </w:rPr>
      </w:pPr>
    </w:p>
    <w:p>
      <w:pPr>
        <w:ind w:left="440" w:right="40" w:firstLine="428"/>
        <w:spacing w:after="0" w:line="266" w:lineRule="auto"/>
        <w:tabs>
          <w:tab w:leader="none" w:pos="104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election of each of the following 11 individuals to serve as directors of Amdocs Limited until the next annual general meeting of shareholders or until his or her earlier resignation or removal or until his or her respective successor is elected and qualified (Proposal I);</w:t>
      </w:r>
    </w:p>
    <w:p>
      <w:pPr>
        <w:spacing w:after="0" w:line="6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Robert A. Minicucci</w:t>
      </w:r>
    </w:p>
    <w:p>
      <w:pPr>
        <w:spacing w:after="0" w:line="2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Adrian Gardner</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John T. McLennan</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Zohar Zisapel</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Julian A. Brodsky</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Eli Gelman</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James S. Kahan</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Richard T.C. LeFave</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Giora Yaron</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Ariane de Rothschild</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Rafael de la Vega</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 To approve an increase in the dividend rate under our quarterly cash dividend program from $0.22 per share to $0.25 per share (Proposal</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II);</w:t>
      </w:r>
    </w:p>
    <w:p>
      <w:pPr>
        <w:spacing w:after="0" w:line="99" w:lineRule="exact"/>
        <w:rPr>
          <w:sz w:val="20"/>
          <w:szCs w:val="20"/>
          <w:color w:val="auto"/>
        </w:rPr>
      </w:pPr>
    </w:p>
    <w:p>
      <w:pPr>
        <w:ind w:left="1040" w:hanging="172"/>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our Consolidated Financial Statements for the fiscal year ended September 30, 2017 (Proposal III); and</w:t>
      </w:r>
    </w:p>
    <w:p>
      <w:pPr>
        <w:spacing w:after="0" w:line="117" w:lineRule="exact"/>
        <w:rPr>
          <w:rFonts w:ascii="Times New Roman" w:cs="Times New Roman" w:eastAsia="Times New Roman" w:hAnsi="Times New Roman"/>
          <w:sz w:val="18"/>
          <w:szCs w:val="18"/>
          <w:color w:val="auto"/>
        </w:rPr>
      </w:pPr>
    </w:p>
    <w:p>
      <w:pPr>
        <w:jc w:val="both"/>
        <w:ind w:left="440" w:right="260" w:firstLine="428"/>
        <w:spacing w:after="0" w:line="266" w:lineRule="auto"/>
        <w:tabs>
          <w:tab w:leader="none" w:pos="10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and approve the appointment of Ernst &amp; Young LLP as our independent registered public accounting firm for the fiscal year ending September 30, 2018,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shareholders will also act on such other business as may properly come before the annual general meeting.</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November 30, 2017 as the record date for the determination of our shareholders entitled to notice of, and to vote on the matters proposed at, the annual general meeting and any adjournments thereof.</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17145</wp:posOffset>
            </wp:positionV>
            <wp:extent cx="2590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4" w:lineRule="exact"/>
        <w:rPr>
          <w:sz w:val="20"/>
          <w:szCs w:val="20"/>
          <w:color w:val="auto"/>
        </w:rPr>
      </w:pPr>
    </w:p>
    <w:p>
      <w:pPr>
        <w:ind w:left="6940"/>
        <w:spacing w:after="0"/>
        <w:tabs>
          <w:tab w:leader="none" w:pos="75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Matthew E. Smith</w:t>
      </w:r>
    </w:p>
    <w:p>
      <w:pPr>
        <w:spacing w:after="0" w:line="9" w:lineRule="exact"/>
        <w:rPr>
          <w:sz w:val="20"/>
          <w:szCs w:val="20"/>
          <w:color w:val="auto"/>
        </w:rPr>
      </w:pPr>
    </w:p>
    <w:p>
      <w:pPr>
        <w:ind w:left="6940"/>
        <w:spacing w:after="0"/>
        <w:tabs>
          <w:tab w:leader="none" w:pos="7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Secretary</w:t>
      </w:r>
    </w:p>
    <w:p>
      <w:pPr>
        <w:sectPr>
          <w:pgSz w:w="11900" w:h="16838" w:orient="portrait"/>
          <w:cols w:equalWidth="0" w:num="1">
            <w:col w:w="10940"/>
          </w:cols>
          <w:pgMar w:left="440" w:top="266" w:right="519" w:bottom="1440" w:gutter="0" w:footer="0" w:header="0"/>
        </w:sectPr>
      </w:pPr>
    </w:p>
    <w:bookmarkStart w:id="2" w:name="page3"/>
    <w:bookmarkEnd w:id="2"/>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408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1408430"/>
                    </a:xfrm>
                    <a:prstGeom prst="rect">
                      <a:avLst/>
                    </a:prstGeom>
                    <a:noFill/>
                  </pic:spPr>
                </pic:pic>
              </a:graphicData>
            </a:graphic>
          </wp:anchor>
        </w:drawing>
        <w:t>YOUR VOTE IS IMPORTANT</w:t>
      </w:r>
    </w:p>
    <w:p>
      <w:pPr>
        <w:spacing w:after="0" w:line="22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b w:val="1"/>
          <w:bCs w:val="1"/>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182245</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620" w:right="80" w:hanging="424"/>
        <w:spacing w:after="0" w:line="261"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card for the annual general meeting for the fiscal year ended September 30, 2017 is enclosed and our Annual Report on Form 20-F is available on our website at www.amdocs.com/proxy or by request. The proxy card shall be delivered to our Secretary, in care of our principal U.S. subsidiary, Amdocs, Inc., by delivery to our transfer agent, American Stock Transfer &amp; Trust Company, LLC, at 6201 15th Avenue, Brooklyn, New York 11219, as soon as possible.</w:t>
      </w:r>
    </w:p>
    <w:p>
      <w:pPr>
        <w:spacing w:after="0" w:line="85" w:lineRule="exact"/>
        <w:rPr>
          <w:rFonts w:ascii="Times New Roman" w:cs="Times New Roman" w:eastAsia="Times New Roman" w:hAnsi="Times New Roman"/>
          <w:sz w:val="18"/>
          <w:szCs w:val="18"/>
          <w:color w:val="auto"/>
        </w:rPr>
      </w:pPr>
    </w:p>
    <w:p>
      <w:pPr>
        <w:ind w:left="620" w:right="140" w:hanging="424"/>
        <w:spacing w:after="0" w:line="266"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held by such shareholder.</w:t>
      </w:r>
    </w:p>
    <w:p>
      <w:pPr>
        <w:spacing w:after="0" w:line="81" w:lineRule="exact"/>
        <w:rPr>
          <w:rFonts w:ascii="Times New Roman" w:cs="Times New Roman" w:eastAsia="Times New Roman" w:hAnsi="Times New Roman"/>
          <w:sz w:val="18"/>
          <w:szCs w:val="18"/>
          <w:color w:val="auto"/>
        </w:rPr>
      </w:pPr>
    </w:p>
    <w:p>
      <w:pPr>
        <w:ind w:left="620" w:hanging="424"/>
        <w:spacing w:after="0" w:line="258"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for the annual general meeting shall be two shareholders or more holding a majority of the ordinary shares outstanding as of the record date. If within 30 minutes from the appointed time for the annual general meeting, a quorum is not present, it shall stand adjourned to any other time and any other place as determined by the Chairman of the annual general meeting. It shall not be necessary to notify any shareholder of any adjournment of less than 20 days if the time and place of the adjourned meeting are announced at the annual general meeting at which adjournment is taken, unless after the adjournment a new record date is fixed for the adjourned meeting.</w:t>
      </w:r>
    </w:p>
    <w:p>
      <w:pPr>
        <w:spacing w:after="0" w:line="89" w:lineRule="exact"/>
        <w:rPr>
          <w:rFonts w:ascii="Times New Roman" w:cs="Times New Roman" w:eastAsia="Times New Roman" w:hAnsi="Times New Roman"/>
          <w:sz w:val="18"/>
          <w:szCs w:val="18"/>
          <w:color w:val="auto"/>
        </w:rPr>
      </w:pPr>
    </w:p>
    <w:p>
      <w:pPr>
        <w:ind w:left="620" w:hanging="42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shareholder present in person or by proxy shall have one vote for each ordinary share held by him, her or it.</w:t>
      </w:r>
    </w:p>
    <w:p>
      <w:pPr>
        <w:sectPr>
          <w:pgSz w:w="11900" w:h="16838" w:orient="portrait"/>
          <w:cols w:equalWidth="0" w:num="1">
            <w:col w:w="10760"/>
          </w:cols>
          <w:pgMar w:left="680" w:top="320" w:right="459" w:bottom="1440" w:gutter="0" w:footer="0" w:header="0"/>
        </w:sectPr>
      </w:pPr>
    </w:p>
    <w:bookmarkStart w:id="3" w:name="page4"/>
    <w:bookmarkEnd w:id="3"/>
    <w:p>
      <w:pPr>
        <w:ind w:left="47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1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FRIDAY, JANUARY 26, 2018</w:t>
      </w:r>
    </w:p>
    <w:p>
      <w:pPr>
        <w:spacing w:after="0" w:line="205" w:lineRule="exact"/>
        <w:rPr>
          <w:sz w:val="20"/>
          <w:szCs w:val="20"/>
          <w:color w:val="auto"/>
        </w:rPr>
      </w:pPr>
    </w:p>
    <w:p>
      <w:pPr>
        <w:ind w:right="44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Proxy Statement to “Amdocs”, “we”, “our” and “us” refer to Amdocs Limited and its consolidated subsidiaries and their respective predecessors.</w:t>
      </w:r>
    </w:p>
    <w:p>
      <w:pPr>
        <w:spacing w:after="0" w:line="160"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11:00 a.m., local time, on Friday, January 26, 2018, at the offices of Davis Polk &amp; Wardwell LLP, 450 Lexington Avenue, New York, New York, or at any adjournments thereof (the “General Meeting”).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Proxy Statement and the accompanying proxy are first being mailed or delivered to our shareholders on or about December 20, 2017.</w:t>
      </w:r>
    </w:p>
    <w:p>
      <w:pPr>
        <w:spacing w:after="0" w:line="225"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At the General Meeting, the holders of our ordinary shares as of the close of business on November 30, 2017 (the “Record Date”) will be asked to take the following actions:</w:t>
      </w:r>
    </w:p>
    <w:p>
      <w:pPr>
        <w:spacing w:after="0" w:line="54" w:lineRule="exact"/>
        <w:rPr>
          <w:sz w:val="20"/>
          <w:szCs w:val="20"/>
          <w:color w:val="auto"/>
        </w:rPr>
      </w:pPr>
    </w:p>
    <w:p>
      <w:pPr>
        <w:ind w:left="440" w:right="100" w:firstLine="428"/>
        <w:spacing w:after="0" w:line="282" w:lineRule="auto"/>
        <w:tabs>
          <w:tab w:leader="none" w:pos="10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11 directors to serve until the next annual general meeting of shareholders or until their earlier resignation or removal or successors are elected and qualified (Proposal I);</w:t>
      </w:r>
    </w:p>
    <w:p>
      <w:pPr>
        <w:spacing w:after="0" w:line="53" w:lineRule="exact"/>
        <w:rPr>
          <w:rFonts w:ascii="Times New Roman" w:cs="Times New Roman" w:eastAsia="Times New Roman" w:hAnsi="Times New Roman"/>
          <w:sz w:val="18"/>
          <w:szCs w:val="18"/>
          <w:color w:val="auto"/>
        </w:rPr>
      </w:pPr>
    </w:p>
    <w:p>
      <w:pPr>
        <w:ind w:left="1040" w:hanging="172"/>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increase in the dividend rate under our quarterly cash dividend program from $0.22 per share to $0.25 per share (Proposal II);</w:t>
      </w:r>
    </w:p>
    <w:p>
      <w:pPr>
        <w:spacing w:after="0" w:line="117" w:lineRule="exact"/>
        <w:rPr>
          <w:rFonts w:ascii="Times New Roman" w:cs="Times New Roman" w:eastAsia="Times New Roman" w:hAnsi="Times New Roman"/>
          <w:sz w:val="18"/>
          <w:szCs w:val="18"/>
          <w:color w:val="auto"/>
        </w:rPr>
      </w:pPr>
    </w:p>
    <w:p>
      <w:pPr>
        <w:ind w:left="1040" w:hanging="172"/>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our Consolidated Financial Statements for the fiscal year ended September 30, 2017 (Proposal III); and</w:t>
      </w:r>
    </w:p>
    <w:p>
      <w:pPr>
        <w:spacing w:after="0" w:line="117" w:lineRule="exact"/>
        <w:rPr>
          <w:rFonts w:ascii="Times New Roman" w:cs="Times New Roman" w:eastAsia="Times New Roman" w:hAnsi="Times New Roman"/>
          <w:sz w:val="18"/>
          <w:szCs w:val="18"/>
          <w:color w:val="auto"/>
        </w:rPr>
      </w:pPr>
    </w:p>
    <w:p>
      <w:pPr>
        <w:ind w:left="440" w:firstLine="428"/>
        <w:spacing w:after="0" w:line="266" w:lineRule="auto"/>
        <w:tabs>
          <w:tab w:leader="none" w:pos="10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and approve the appointment of Ernst &amp; Young LLP as our independent registered public accounting firm for the fiscal year ending September 30, 2018,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176"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 holders.</w:t>
      </w:r>
    </w:p>
    <w:p>
      <w:pPr>
        <w:spacing w:after="0" w:line="180"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As of the Record Date, Amdocs had outstanding 143,914,331 ordinary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184"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Approval of Proposals I, II, III and IV requires the affirmative vote of a majority of our ordinary shares voted in person or by proxy at the General Meeting.</w:t>
      </w:r>
    </w:p>
    <w:p>
      <w:pPr>
        <w:spacing w:after="0" w:line="162"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The enclosed proxy provides that each shareholder may specify that his, her or its ordinary shares be voted “for”, “against” or “abstain” from voting for each of the director nominees named in Proposal I and with respect</w:t>
      </w:r>
    </w:p>
    <w:p>
      <w:pPr>
        <w:sectPr>
          <w:pgSz w:w="11900" w:h="16838" w:orient="portrait"/>
          <w:cols w:equalWidth="0" w:num="1">
            <w:col w:w="11020"/>
          </w:cols>
          <w:pgMar w:left="440" w:top="266" w:right="439" w:bottom="1440" w:gutter="0" w:footer="0" w:header="0"/>
        </w:sectPr>
      </w:pPr>
    </w:p>
    <w:bookmarkStart w:id="4" w:name="page5"/>
    <w:bookmarkEnd w:id="4"/>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each of Proposals II, III and IV. If proxies in the accompanying form are properly executed and returned, the ordinary shares represented thereby will be voted in the manner specified therein. If not otherwise specified, in the reasonable discretion of the proxy holders, the ordinary shares represented by a proxy will be voted FOR each of the proposals.</w:t>
      </w:r>
    </w:p>
    <w:p>
      <w:pPr>
        <w:spacing w:after="0" w:line="176"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88"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General Meeting on January 26, 2018. We strongly encourage our shareholders to use the enclosed proxy card or to authorize the voting of their shares over the Internet or by telephone as provided in the instructions set forth in the enclosed proxy card.</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shareholder giving a proxy may revoke it at any time before it is exercised at the General Meeting by:</w:t>
      </w:r>
    </w:p>
    <w:p>
      <w:pPr>
        <w:spacing w:after="0" w:line="131" w:lineRule="exact"/>
        <w:rPr>
          <w:sz w:val="20"/>
          <w:szCs w:val="20"/>
          <w:color w:val="auto"/>
        </w:rPr>
      </w:pPr>
    </w:p>
    <w:p>
      <w:pPr>
        <w:ind w:left="860" w:right="120" w:hanging="424"/>
        <w:spacing w:after="0" w:line="261"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85" w:lineRule="exact"/>
        <w:rPr>
          <w:rFonts w:ascii="Times New Roman" w:cs="Times New Roman" w:eastAsia="Times New Roman" w:hAnsi="Times New Roman"/>
          <w:sz w:val="18"/>
          <w:szCs w:val="18"/>
          <w:color w:val="auto"/>
        </w:rPr>
      </w:pPr>
    </w:p>
    <w:p>
      <w:pPr>
        <w:ind w:left="860" w:right="700" w:hanging="424"/>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General Meeting and voting in person (although attendance at the General Meeting will not in and of itself constitute revocation of a proxy).</w:t>
      </w:r>
    </w:p>
    <w:p>
      <w:pPr>
        <w:spacing w:after="0" w:line="158" w:lineRule="exact"/>
        <w:rPr>
          <w:sz w:val="20"/>
          <w:szCs w:val="20"/>
          <w:color w:val="auto"/>
        </w:rPr>
      </w:pPr>
    </w:p>
    <w:p>
      <w:pPr>
        <w:jc w:val="center"/>
        <w:ind w:left="460" w:right="206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GENERAL MEETING OF SHAREHOLDERS TO BE HELD ON JANUARY 26, 2018</w:t>
      </w:r>
    </w:p>
    <w:p>
      <w:pPr>
        <w:spacing w:after="0" w:line="171"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This proxy statement and the 2017 Annual Report to Shareholders are available for viewing, printing and downloading at www.amdocs.com/proxy.</w:t>
      </w:r>
    </w:p>
    <w:p>
      <w:pPr>
        <w:spacing w:after="0" w:line="15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You may also request a copy of the materials relating to our annual general meeting, including this proxy statement and form of proxy for our annual general meeting, and our Annual Report on Form 20-F for the fiscal year ended September 30, 2017 by contacting our investor relations department by telephone at (314) 212-8328 or by e-mail at dox_info@amdocs.com.</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ind w:right="6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Eleven directors currently serve on our Board of Directors. As set forth below, the Board of Directors has nominated 11 individuals as nominees for election as directors at the General Meeting, 9 of whom are incumbent directors and two of whom are new nominees. Each director elected at the General Meeting will serve until the next annual general meeting of shareholders or until his or her earlier resignation or removal or a successor is elected and qualified. In August 2017, the Board of Directors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renewed annually for it to stay in effect. Julian A. Brodsky was granted a one-time waiver to continue as director past the age of 73 years for an additional year in light of Mr. Brodsky’s vast experience in the Multiple System Operators (“MSO”) market which is in the midst of a major modernization cycle.</w:t>
      </w:r>
    </w:p>
    <w:p>
      <w:pPr>
        <w:spacing w:after="0" w:line="18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Ordinary shares represented by proxies returned duly executed will be voted, unless otherwise specified, in favor of the 11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80"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Set forth below are the names and ages of the nominees for director, the principal occupations of each nominee currently and for at least the past five years, and the year in which he became a director of Amdocs.</w:t>
      </w:r>
    </w:p>
    <w:p>
      <w:pPr>
        <w:sectPr>
          <w:pgSz w:w="11900" w:h="16838" w:orient="portrait"/>
          <w:cols w:equalWidth="0" w:num="1">
            <w:col w:w="11000"/>
          </w:cols>
          <w:pgMar w:left="440" w:top="266" w:right="459" w:bottom="1440" w:gutter="0" w:footer="0" w:header="0"/>
        </w:sect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Robert A. Minicucci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Adrian Gardner</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7620</wp:posOffset>
            </wp:positionV>
            <wp:extent cx="317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ind w:left="480" w:right="40" w:hanging="367"/>
        <w:spacing w:after="0" w:line="267" w:lineRule="auto"/>
        <w:tabs>
          <w:tab w:leader="none" w:pos="4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Minicucci has been Chairman of the Board of Directors of Amdocs since 2011 and a director since 1997. Mr. Minicucci joined Welsh, Carson, Anderson &amp; Stowe, or WCAS, in 1993. Mr. Minicucci has served as a managing member of the general partners of certain funds affiliated with WCAS and has focused on the information and business services industry. Until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 director of one other publicly-held company, Alliance Data Systems, Inc. He is also a director of several private companies. Mr. Minicucci’s career in information technology investing, including as a director of more than 20 different public and private companies, and his experience as chief financial officer to a public company and treasurer of another public company, have provided him with strong business acumen and strategic and financial expertise.</w:t>
      </w:r>
    </w:p>
    <w:p>
      <w:pPr>
        <w:spacing w:after="0" w:line="69" w:lineRule="exact"/>
        <w:rPr>
          <w:sz w:val="20"/>
          <w:szCs w:val="20"/>
          <w:color w:val="auto"/>
        </w:rPr>
      </w:pPr>
    </w:p>
    <w:p>
      <w:pPr>
        <w:ind w:left="480" w:right="400" w:hanging="367"/>
        <w:spacing w:after="0" w:line="258"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Gardner has been a director of Amdocs since 1998 and is Chairman of the Audit Committee. Mr. Gardner serves as Chief Financial Officer of Ipes Holdings Limited, a provider of outsourced services to private equity firms, from October 2016. Mr. Gardner has served as a member of the Audit &amp; Risk Committee of Worcester College, Oxford University since May 2017. From 2014 to September 2016, Mr. Gardner served as Chief</w:t>
      </w:r>
    </w:p>
    <w:p>
      <w:pPr>
        <w:spacing w:after="0" w:line="11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2340" w:space="720"/>
            <w:col w:w="7940"/>
          </w:cols>
          <w:pgMar w:left="440" w:top="266" w:right="4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80"/>
        </w:trPr>
        <w:tc>
          <w:tcPr>
            <w:tcW w:w="2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184"/>
        </w:trPr>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5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6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Financial Officer of International Personal Finance plc, an international home credit business.</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Mr. Gardner was Chief Financial Officer and a director of RSM Tenon Group PLC, a London-based</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 and advisory firm listed on the London Stock Exchange, from 2011 until the acquisition in</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2013 of its operating subsidiaries by Baker Tilly UK Holdings Limited, since renamed RSM UK</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 Mr. Gardner was Chief Financial Officer of PA Consulting Group, a London-based business</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consulting firm from 2007 to 2011. Mr. Gardner was Chief Financial Officer and a director of</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ProStrakan Group plc, a pharmaceuticals company based in the United Kingdom and listed on the</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London Stock Exchange, from 2002 until 2007. Prior to joining ProStrakan, he was a Managing</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of Lazard LLC, based in London, where he worked with technology and telecommunications-</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companies. Prior to joining Lazard in 1989, Mr. Gardner qualified as a chartered accountant</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Price Waterhouse (now PricewaterhouseCoopers). Mr. Gardner is a fellow of the Institute of</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Chartered Accountants in England &amp; Wales. Mr. Gardner’s extensive experience as an accountant,</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technology investment banker and chief financial officer enables him to make valuable contributions to</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our strategic and financial affairs.</w:t>
            </w:r>
          </w:p>
        </w:tc>
      </w:tr>
      <w:tr>
        <w:trPr>
          <w:trHeight w:val="306"/>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T. McLennan</w:t>
            </w:r>
          </w:p>
        </w:tc>
        <w:tc>
          <w:tcPr>
            <w:tcW w:w="8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72  Mr. McLennan has been a director of Amdocs since 1999 and is Chairman of the Management</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Resources and Compensation Committee. From 2000 until 2004, he served as Vice-Chair and Chief</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Executive Officer of Allstream (formerly AT&amp;T Canada). Mr. McLennan founded Jenmark Consulting</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 and was its President from 1997 until 2000. From 1993 to 1997, Mr. McLennan served as the</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President and Chief Executive Officer of Bell Canada. Prior to that, he held various positions at several</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telecommunications companies, including BCE Mobile Communications and Cantel Inc.</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Mr. McLennan is also a director of Emera Inc., a Canadian publicly-held energy services company, and</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was its Chairman from 2009 to 2014. We believe Mr. McLennan’s qualifications to sit on our Board of</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include his years of experience in the telecommunications industry, including as chief</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officer of a leading Canadian telecommunications provider, and his experience providing</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strategic advice to complex organizations across a variety of industries, including as a public company</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306"/>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Zohar Zisapel</w:t>
            </w:r>
          </w:p>
        </w:tc>
        <w:tc>
          <w:tcPr>
            <w:tcW w:w="8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68  Mr. Zisapel has been a director of Amdocs since 2008 and is the Chairman of the Technology and</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Innovation Committee. Mr. Zisapel co-founded RAD Data Communications Ltd., a privately-held</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voice and data communications company and part of the RAD Group, a family of independent</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networking and telecommunications companies, and was its CEO from 1982 until 1998 and Chairman</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from 1998 until 2012. Mr. Zisapel also serves as chairman of Ceragon Networks Ltd. and as a director</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Radcom Ltd., both public companies traded on Nasdaq, and on the boards of directors of several</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privately-held companies. Mr. Zisapel served as chairman of the Israel Association of Electronic</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Industries from 1998 until 2001. Mr. Zisapel received an Honorary Doctorate from the Technion —</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Israel Institute of Technology, and he is teaching Entrepreneurship at the Tel Aviv University.</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Mr. Zisapel’s experience as founder, chairman and director of several public and private high</w:t>
            </w:r>
          </w:p>
        </w:tc>
      </w:tr>
      <w:tr>
        <w:trPr>
          <w:trHeight w:val="36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120" w:type="dxa"/>
            <w:vAlign w:val="bottom"/>
            <w:gridSpan w:val="2"/>
          </w:tcPr>
          <w:p>
            <w:pPr>
              <w:jc w:val="right"/>
              <w:ind w:right="5330"/>
              <w:spacing w:after="0"/>
              <w:rPr>
                <w:sz w:val="20"/>
                <w:szCs w:val="20"/>
                <w:color w:val="auto"/>
              </w:rPr>
            </w:pPr>
            <w:r>
              <w:rPr>
                <w:rFonts w:ascii="Times New Roman" w:cs="Times New Roman" w:eastAsia="Times New Roman" w:hAnsi="Times New Roman"/>
                <w:sz w:val="18"/>
                <w:szCs w:val="18"/>
                <w:color w:val="auto"/>
              </w:rPr>
              <w:t>4</w:t>
            </w:r>
          </w:p>
        </w:tc>
      </w:tr>
    </w:tbl>
    <w:p>
      <w:pPr>
        <w:jc w:val="right"/>
        <w:ind w:right="5330"/>
        <w:spacing w:after="0"/>
        <w:rPr>
          <w:sz w:val="20"/>
          <w:szCs w:val="20"/>
          <w:color w:val="auto"/>
        </w:rPr>
        <w:sectPr>
          <w:pgSz w:w="11900" w:h="16838" w:orient="portrait"/>
          <w:cols w:equalWidth="0" w:num="1">
            <w:col w:w="10980"/>
          </w:cols>
          <w:pgMar w:left="440" w:top="317"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180"/>
        </w:trPr>
        <w:tc>
          <w:tcPr>
            <w:tcW w:w="2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184"/>
        </w:trPr>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5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64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technology companies, and his leadership in several government organizations, demonstrate his</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leadership capability and provide him with valuable insights into the voice and data communications</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industries.</w:t>
            </w:r>
          </w:p>
        </w:tc>
      </w:tr>
      <w:tr>
        <w:trPr>
          <w:trHeight w:val="306"/>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Julian A. Brodsky</w:t>
            </w:r>
          </w:p>
        </w:tc>
        <w:tc>
          <w:tcPr>
            <w:tcW w:w="8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84  Mr. Brodsky has been a director of Amdocs since 2003. Since 2011, Mr. Brodsky has served as a senior</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advisor to Comcast Corporation. Mr. Brodsky served as a director of Comcast Corporation from 1969</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2011, and as Vice Chairman of Comcast Corporation from 1989 to 2011. From 1999 to 2004,</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Mr. Brodsky was Chairman of Comcast Ventures (formerly Comcast Interactive Capital, LP), a venture</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 affiliated with Comcast. He is a director of RBB Fund, Inc. Mr. Brodsky brings to our Board of</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deep and extensive knowledge of business in general and of the cable industry in particular</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gained through his longstanding executive leadership roles at Comcast, as well as financial expertise in</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capital markets, accounting and tax matters gained through his experience as Chief Financial Officer of</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Comcast and as a practicing CPA.</w:t>
            </w:r>
          </w:p>
        </w:tc>
      </w:tr>
      <w:tr>
        <w:trPr>
          <w:trHeight w:val="306"/>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 Gelman</w:t>
            </w:r>
          </w:p>
        </w:tc>
        <w:tc>
          <w:tcPr>
            <w:tcW w:w="8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59  Mr. Gelman has been a director of Amdocs since 2002. Mr. Gelman became the President and Chief</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Executive Officer of Amdocs Management Limited, our wholly-owned subsidiary, in 2010. From 2010</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until 2013, Mr. Gelman served as a director of Retalix, a global software company, and during 2010, he</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also served as its Chairman. From 2008 to 2010, Mr. Gelman devoted his time to charitable matters</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focused on youth education. He served as Executive Vice President of Amdocs Management Limited</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from 2002 until 2008 and as our Chief Operating Officer from 2006 until 2008. Prior to 2002, he was a</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Vice President, where he headed our U.S. sales and marketing operations and helped spearhead</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our entry into the customer care and billing systems market. Before that, Mr. Gelman was an account</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manager for our major European and North American installations, and has led several major software</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projects. Before joining Amdocs, Mr. Gelman was involved in the development of real-</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software systems for communications networks and software projects for NASA. Mr. Gelman’s</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qualifications to serve on our Board of Directors include his more than two decades of service to</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Amdocs and its customers, including as our Chief Operating Officer. With more than 30 years of</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experience in the software industry, he possesses a vast institutional knowledge and strategic</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understanding of our organization and industry.</w:t>
            </w:r>
          </w:p>
        </w:tc>
      </w:tr>
      <w:tr>
        <w:trPr>
          <w:trHeight w:val="306"/>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S. Kahan</w:t>
            </w:r>
          </w:p>
        </w:tc>
        <w:tc>
          <w:tcPr>
            <w:tcW w:w="8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70  Mr. Kahan has been a director of Amdocs since 1998. From 1983 until his retirement in 2007, he</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worked at SBC, which is now AT&amp;T, and served as a Senior Executive Vice President from 1992 until</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2007. AT&amp;T is our most significant customer. Prior to joining AT&amp;T, Mr. Kahan held various positions</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at several telecommunications companies, including Western Electric, Bell Laboratories, South Central</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Bell and AT&amp;T Corp. Mr. Kahan also serves on the Board of Directors of Live Nation Entertainment,</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 a publicly-traded live music and ticketing entity, as well as two private companies. Mr. Kahan’s</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 service at SBC and AT&amp;T, as well as his management and financial experience at several public</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private companies, have provided him with extensive knowledge of the telecommunications</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industry, particularly with respect to corporate development, mergers and acquisitions and business</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integration.</w:t>
            </w:r>
          </w:p>
        </w:tc>
      </w:tr>
      <w:tr>
        <w:trPr>
          <w:trHeight w:val="36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14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5</w:t>
            </w:r>
          </w:p>
        </w:tc>
      </w:tr>
    </w:tbl>
    <w:p>
      <w:pPr>
        <w:ind w:left="2600"/>
        <w:spacing w:after="0"/>
        <w:rPr>
          <w:sz w:val="20"/>
          <w:szCs w:val="20"/>
          <w:color w:val="auto"/>
        </w:rPr>
        <w:sectPr>
          <w:pgSz w:w="11900" w:h="16838" w:orient="portrait"/>
          <w:cols w:equalWidth="0" w:num="1">
            <w:col w:w="11000"/>
          </w:cols>
          <w:pgMar w:left="440" w:top="317" w:right="4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Richard T.C. LeFave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7620</wp:posOffset>
            </wp:positionV>
            <wp:extent cx="317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Mr. LeFave has been a director of Amdocs since 2011. Since 2008, Mr. LeFave has been a Principal at D&amp;L Partners, LLC, an information technology consulting firm. Mr. LeFave served as Chief Information Officer for Nextel Communications, a telecommunications company, from 1999 until its merger with Sprint Corporation in 2005, after which he served as Chief Information Officer for Sprint Nextel Corporation until 2008. From 1995 to 1999, Mr. LeFave served as Chief Information Officer for Southern New England Telephone Company, a provider of communications products and services. We believe Mr. LeFave’s qualifications to sit on our board include his extensive experience and leadership in the information technology and telecommunications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-1336675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3">
            <w:col w:w="2340" w:space="720"/>
            <w:col w:w="300" w:space="180"/>
            <w:col w:w="7480"/>
          </w:cols>
          <w:pgMar w:left="440" w:top="317" w:right="439" w:bottom="1440" w:gutter="0" w:footer="0" w:header="0"/>
        </w:sectPr>
      </w:pPr>
    </w:p>
    <w:p>
      <w:pPr>
        <w:spacing w:after="0"/>
        <w:tabs>
          <w:tab w:leader="none" w:pos="3160" w:val="left"/>
          <w:tab w:leader="none" w:pos="3520" w:val="left"/>
        </w:tabs>
        <w:rPr>
          <w:sz w:val="20"/>
          <w:szCs w:val="20"/>
          <w:color w:val="auto"/>
        </w:rPr>
      </w:pPr>
      <w:r>
        <w:rPr>
          <w:rFonts w:ascii="Times New Roman" w:cs="Times New Roman" w:eastAsia="Times New Roman" w:hAnsi="Times New Roman"/>
          <w:sz w:val="18"/>
          <w:szCs w:val="18"/>
          <w:color w:val="auto"/>
        </w:rPr>
        <w:t>Giora Yaron</w:t>
      </w:r>
      <w:r>
        <w:rPr>
          <w:sz w:val="20"/>
          <w:szCs w:val="20"/>
          <w:color w:val="auto"/>
        </w:rPr>
        <w:tab/>
      </w: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color w:val="auto"/>
        </w:rPr>
        <w:t>Dr. Yaron has been a director of Amdocs since 2009. Dr. Yaron co-founded Itamar Medical Ltd., a</w:t>
      </w:r>
    </w:p>
    <w:p>
      <w:pPr>
        <w:spacing w:after="0" w:line="27" w:lineRule="exact"/>
        <w:rPr>
          <w:sz w:val="20"/>
          <w:szCs w:val="20"/>
          <w:color w:val="auto"/>
        </w:rPr>
      </w:pPr>
    </w:p>
    <w:p>
      <w:pPr>
        <w:ind w:left="3540" w:right="20"/>
        <w:spacing w:after="0" w:line="251" w:lineRule="auto"/>
        <w:rPr>
          <w:sz w:val="20"/>
          <w:szCs w:val="20"/>
          <w:color w:val="auto"/>
        </w:rPr>
      </w:pPr>
      <w:r>
        <w:rPr>
          <w:rFonts w:ascii="Times New Roman" w:cs="Times New Roman" w:eastAsia="Times New Roman" w:hAnsi="Times New Roman"/>
          <w:sz w:val="18"/>
          <w:szCs w:val="18"/>
          <w:color w:val="auto"/>
        </w:rPr>
        <w:t>publicly-traded medical technology company, and has been its co-chairman since 1997 and since 2015, served as its chairman. Dr. Yaron provides consulting services to Itamar Medical and to various other technology companies. He co-founded P-cube, Pentacom, Qumranet, Exanet and Comsys, privately-held companies sold to multinational corporations. In 2009, Dr. Yaron also co-founded Qwilt, Inc., a privately-held video technology company and serves as one of its directors. Dr. Yaron served as a director of Hyperwise Security, a company focused on providing a comprehensive APT protection, which was sold to Checkpoint in early 2015, serves as Chairman of the Board at Excelero (ExpressIO), a company focused on providing ultra-fast block storage solution and Equalum focused on streaming in real-time changes from a variety of data bases to a unified platform for real-time Big Data Analytics. Since 2010, Dr. Yaron has been the chairman of The Executive Council of Tel Aviv University, an institution of higher education and a director of Ramot, which is the Tel Aviv University’s technology transfer company until 2015. Dr. Yaron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83" w:lineRule="exact"/>
        <w:rPr>
          <w:sz w:val="20"/>
          <w:szCs w:val="20"/>
          <w:color w:val="auto"/>
        </w:rPr>
      </w:pPr>
    </w:p>
    <w:p>
      <w:pPr>
        <w:spacing w:after="0"/>
        <w:tabs>
          <w:tab w:leader="none" w:pos="3160" w:val="left"/>
          <w:tab w:leader="none" w:pos="3520" w:val="left"/>
        </w:tabs>
        <w:rPr>
          <w:sz w:val="20"/>
          <w:szCs w:val="20"/>
          <w:color w:val="auto"/>
        </w:rPr>
      </w:pPr>
      <w:r>
        <w:rPr>
          <w:rFonts w:ascii="Times New Roman" w:cs="Times New Roman" w:eastAsia="Times New Roman" w:hAnsi="Times New Roman"/>
          <w:sz w:val="18"/>
          <w:szCs w:val="18"/>
          <w:color w:val="auto"/>
        </w:rPr>
        <w:t>Ariane de Rothschild</w:t>
      </w:r>
      <w:r>
        <w:rPr>
          <w:sz w:val="20"/>
          <w:szCs w:val="20"/>
          <w:color w:val="auto"/>
        </w:rPr>
        <w:tab/>
      </w: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Baroness Ariane de Rothschild is a nominee for director at Amdocs. Since January 2015, she has</w:t>
      </w:r>
    </w:p>
    <w:p>
      <w:pPr>
        <w:spacing w:after="0" w:line="27" w:lineRule="exact"/>
        <w:rPr>
          <w:sz w:val="20"/>
          <w:szCs w:val="20"/>
          <w:color w:val="auto"/>
        </w:rPr>
      </w:pPr>
    </w:p>
    <w:p>
      <w:pPr>
        <w:ind w:left="3540"/>
        <w:spacing w:after="0" w:line="252" w:lineRule="auto"/>
        <w:rPr>
          <w:sz w:val="20"/>
          <w:szCs w:val="20"/>
          <w:color w:val="auto"/>
        </w:rPr>
      </w:pPr>
      <w:r>
        <w:rPr>
          <w:rFonts w:ascii="Times New Roman" w:cs="Times New Roman" w:eastAsia="Times New Roman" w:hAnsi="Times New Roman"/>
          <w:sz w:val="18"/>
          <w:szCs w:val="18"/>
          <w:color w:val="auto"/>
        </w:rPr>
        <w:t>served as the Chairwoman of the Executive Committee of Edmond de Rothschild. Since 2009, Baroness de Rothschild has served as the vice-president of Edmond de Rothschild Group’s supervisory board and has also served as the vice-president of the Edmond de Rothschild Holding SA since 1999. Baroness de Rothschild now holds various board positions across Holding Benjamin &amp; Edmond de Rothschild Pregny, Compagnie Benjamin de Rothschild Conseil S.A., Siaci Saint-Honoré Insurance Broker, and Barons and Baronne Associés. We believe Baroness de Rothschild’s qualifications to sit on our Board of Directors include her strong financial and banking expertise and her international business experience.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317"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Rafael de la Vega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7620</wp:posOffset>
            </wp:positionV>
            <wp:extent cx="317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Mr. Rafael de la Vega is a nominee for director at Amdocs. Since 2017, he has served as the Chairman and Founder of the De La Vega Group, a consultancy and advisory services firm. From February 2016 to December 2016, Mr. de la Vega served as the Vice Chairman of AT&amp;T Inc. and CEO of Business Solutions &amp; International. From 2014 to 2016 Mr. de la Vega served as President and CEO of AT&amp;T Mobile and Business Solutions and from 2007 to 2014 he served as the President and CEO of AT&amp;T Mobility. Mr. de la Vega also held various positions at several telecommunications companies, including Cingular Wireless and Bell South Latin America. During his time at Cingular Wireless, he was responsible for the integration of AT&amp;T Wireless and Cingular Wireless. He also serves on the boards of American Express Company and New York Life Insurance Company. He also serves on the Executive Committee and is Chairman of the 2017 Jamboree for the Boy Scouts of America. He is the former Chairman of Junior Achievement Worldwide and continues to serve on its board of directors. We believe Mr. de la Vega’s qualifications to sit on our Board of Directors includes his extensive experience and leadership in the telecommunications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-2020570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21" w:lineRule="exact"/>
        <w:rPr>
          <w:sz w:val="20"/>
          <w:szCs w:val="20"/>
          <w:color w:val="auto"/>
        </w:rPr>
      </w:pPr>
    </w:p>
    <w:p>
      <w:pPr>
        <w:sectPr>
          <w:pgSz w:w="11900" w:h="16838" w:orient="portrait"/>
          <w:cols w:equalWidth="0" w:num="3">
            <w:col w:w="2340" w:space="720"/>
            <w:col w:w="300" w:space="180"/>
            <w:col w:w="7480"/>
          </w:cols>
          <w:pgMar w:left="440" w:top="317" w:right="439" w:bottom="1440" w:gutter="0" w:footer="0" w:header="0"/>
        </w:sectPr>
      </w:pPr>
    </w:p>
    <w:p>
      <w:pPr>
        <w:ind w:left="440"/>
        <w:spacing w:after="0"/>
        <w:rPr>
          <w:sz w:val="20"/>
          <w:szCs w:val="20"/>
          <w:color w:val="auto"/>
        </w:rPr>
      </w:pPr>
      <w:r>
        <w:rPr>
          <w:rFonts w:ascii="Times New Roman" w:cs="Times New Roman" w:eastAsia="Times New Roman" w:hAnsi="Times New Roman"/>
          <w:sz w:val="18"/>
          <w:szCs w:val="18"/>
          <w:color w:val="auto"/>
        </w:rPr>
        <w:t>Our Board of Directors maintains four committees as described below. Members of each committee are appointed by the Board of Directors.</w:t>
      </w:r>
    </w:p>
    <w:p>
      <w:pPr>
        <w:spacing w:after="0" w:line="223"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The Audit Committee reviews, acts on and reports to the Board of Directors with respect to various auditing and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Messrs. Gardner (Chair), LeFave and Olswang (outgoing member), all of whom are independent directors, as defined by the rules of Nasdaq, and pursuant to the categorical director independence standards adopted by our Board of Directors. Mr. Minicucci, an independent director, as defined by the rules of Nasdaq, and pursuant to the categorical independence standards adopted by our Board of Directors, has been selected by our Board of Directors as a nominee to replace Mr. Olswang on the Audit Committee. The Board of Directors has determined that Mr. Gardner is an “audit committee financial expert” as defined by rules promulgated by the SEC, and that each member of the Audit Committee is financially literate as required by the rules of Nasdaq. The Audit Committee written charter is available on our website at </w:t>
      </w:r>
      <w:r>
        <w:rPr>
          <w:rFonts w:ascii="Times New Roman" w:cs="Times New Roman" w:eastAsia="Times New Roman" w:hAnsi="Times New Roman"/>
          <w:sz w:val="18"/>
          <w:szCs w:val="18"/>
          <w:i w:val="1"/>
          <w:iCs w:val="1"/>
          <w:color w:val="auto"/>
        </w:rPr>
        <w:t>www.amdocs.com.</w:t>
      </w:r>
    </w:p>
    <w:p>
      <w:pPr>
        <w:spacing w:after="0" w:line="193"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The Nominating and Corporate Governance Committee identifies individuals qualified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The current members of the Nominating and Corporate Governance Committee are Messrs. Olswang (outgoing Chair), Brodsky, Kahan (incoming Chair), all of whom are independent directors, in accordance with Nasdaq standards, and pursuant to the categorical director independence standards adopted by our Board of Directors. Baroness de Rothschild, who our Board of Directors has determined would be an independent director, as defined by the rules of Nasdaq, and pursuant to the categorical independence standards adopted by our Board of Directors, has been selected by our Board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317" w:right="439" w:bottom="1440" w:gutter="0" w:footer="0" w:header="0"/>
          <w:type w:val="continuous"/>
        </w:sectPr>
      </w:pPr>
    </w:p>
    <w:bookmarkStart w:id="10" w:name="page11"/>
    <w:bookmarkEnd w:id="10"/>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Directors as a nominee to replace Mr. Olswang on the Nominating and Corporate Governance Committee. The Nominating and Corporate Governance Committee written charter is available on our website at www.amdocs.com. The Nominating and Corporate Governance Committee has approved corporate governance guidelines that are also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 You may request a copy of the corporate governance guidelines, at no cost, by writing to us at the address listed below under the heading “Annual Report on Form 20-F.”</w:t>
      </w:r>
    </w:p>
    <w:p>
      <w:pPr>
        <w:spacing w:after="0" w:line="178"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Management Resources and Compensation Committee. </w:t>
      </w:r>
      <w:r>
        <w:rPr>
          <w:rFonts w:ascii="Times New Roman" w:cs="Times New Roman" w:eastAsia="Times New Roman" w:hAnsi="Times New Roman"/>
          <w:sz w:val="18"/>
          <w:szCs w:val="18"/>
          <w:color w:val="auto"/>
        </w:rPr>
        <w:t>The Management Resources and Compensation Committee discharges the responsibilities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McLennan (Chair), LeFave and Minicucci, all of whom are independent directors, as defined by the rules of Nasdaq, and pursuant to the categorical director independence standards adopted by our Board of Directors. The Management Resources and Compensation Committee written charter is available on our website at </w:t>
      </w:r>
      <w:r>
        <w:rPr>
          <w:rFonts w:ascii="Times New Roman" w:cs="Times New Roman" w:eastAsia="Times New Roman" w:hAnsi="Times New Roman"/>
          <w:sz w:val="18"/>
          <w:szCs w:val="18"/>
          <w:i w:val="1"/>
          <w:iCs w:val="1"/>
          <w:color w:val="auto"/>
        </w:rPr>
        <w:t>www.amdocs.com.</w:t>
      </w:r>
    </w:p>
    <w:p>
      <w:pPr>
        <w:spacing w:after="0" w:line="183" w:lineRule="exact"/>
        <w:rPr>
          <w:sz w:val="20"/>
          <w:szCs w:val="20"/>
          <w:color w:val="auto"/>
        </w:rPr>
      </w:pPr>
    </w:p>
    <w:p>
      <w:pPr>
        <w:jc w:val="both"/>
        <w:ind w:right="16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Technology and Innovation Committee</w:t>
      </w:r>
      <w:r>
        <w:rPr>
          <w:rFonts w:ascii="Times New Roman" w:cs="Times New Roman" w:eastAsia="Times New Roman" w:hAnsi="Times New Roman"/>
          <w:sz w:val="18"/>
          <w:szCs w:val="18"/>
          <w:color w:val="auto"/>
        </w:rPr>
        <w:t>. The Technology and Innovation Committee was established to assist the Board of Directors in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technological development, opportunities and innovation, in connection with the current and future business and markets. The current members of our Technology and Innovation Committee are Messrs. Zisapel (Chair), Gelman, LeFave and Dr. Yaron.</w:t>
      </w:r>
    </w:p>
    <w:p>
      <w:pPr>
        <w:spacing w:after="0" w:line="176"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Our directors who are not our employees, or Non-Employee Directors, receive no compensation from us, except in connection with their membership on the Board of Directors and its committees as described below regarding Non-Employee Directors under the heading “Compensation of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121"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During the past fiscal year, the Board of Directors held five meetings. In addition, the Audit Committee held eight meetings, the Management Resources and Compensation Committee held three meetings, the Nominating and Corporate Governance Committee held four meetings and the Technology and Innovation Committee held three meetings in the 2017 fiscal year. During fiscal 2017, each of our directors who are being nominated for reelection attended at least 75% of the aggregate of the number of Board of Directors meetings held during the time he was serving as a director and meetings held by all committees on which he then served. During fiscal 2017, our Non-Employee Directors held four meetings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Communicating with the Independent Directors</w:t>
      </w:r>
    </w:p>
    <w:p>
      <w:pPr>
        <w:spacing w:after="0" w:line="121" w:lineRule="exact"/>
        <w:rPr>
          <w:sz w:val="20"/>
          <w:szCs w:val="20"/>
          <w:color w:val="auto"/>
        </w:rPr>
      </w:pPr>
    </w:p>
    <w:p>
      <w:pPr>
        <w:ind w:right="20" w:firstLine="441"/>
        <w:spacing w:after="0" w:line="289" w:lineRule="auto"/>
        <w:rPr>
          <w:sz w:val="20"/>
          <w:szCs w:val="20"/>
          <w:color w:val="auto"/>
        </w:rPr>
      </w:pPr>
      <w:r>
        <w:rPr>
          <w:rFonts w:ascii="Times New Roman" w:cs="Times New Roman" w:eastAsia="Times New Roman" w:hAnsi="Times New Roman"/>
          <w:sz w:val="17"/>
          <w:szCs w:val="17"/>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58" w:lineRule="exact"/>
        <w:rPr>
          <w:sz w:val="20"/>
          <w:szCs w:val="20"/>
          <w:color w:val="auto"/>
        </w:rPr>
      </w:pPr>
    </w:p>
    <w:p>
      <w:pPr>
        <w:ind w:right="560" w:firstLine="441"/>
        <w:spacing w:after="0" w:line="282" w:lineRule="auto"/>
        <w:rPr>
          <w:sz w:val="20"/>
          <w:szCs w:val="20"/>
          <w:color w:val="auto"/>
        </w:rPr>
      </w:pPr>
      <w:r>
        <w:rPr>
          <w:rFonts w:ascii="Times New Roman" w:cs="Times New Roman" w:eastAsia="Times New Roman" w:hAnsi="Times New Roman"/>
          <w:sz w:val="18"/>
          <w:szCs w:val="18"/>
          <w:color w:val="auto"/>
        </w:rPr>
        <w:t>Communications are forwarded to all directors if they relate to important substantive matters and include suggestions or comments that our Chairman and corporate secretary consider to be important for the directors 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1" w:name="page12"/>
    <w:bookmarkEnd w:id="11"/>
    <w:p>
      <w:pPr>
        <w:ind w:right="8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76"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Shareholders who wish to send communications on any topic to the Board of Directors or to our independent or presiding directors should address such communications c/o Corporate Secretary, Amdocs Inc., 1390 Timberlake Manor Parkway, Chesterfield, Missouri 63017.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Corporate Governance Differences</w:t>
      </w:r>
    </w:p>
    <w:p>
      <w:pPr>
        <w:spacing w:after="0" w:line="121"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We believe there are no significant ways that our corporate governance practices differ from those followed by U.S. domestic issuers under the Nasdaq listing standards.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Qualification Standards</w:t>
      </w:r>
    </w:p>
    <w:p>
      <w:pPr>
        <w:spacing w:after="0" w:line="12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formal set of categorical independence standards with respect to the determination of director independence. In accordance with these standards and Nasdaq rules, a director employed by us cannot be deemed to be an independent director and, consequently, Mr. Gelman is not an independent director. Our Board of Directors has determined that each of the following nominees for director has no material relationship with us that would interfere with the exercise of independent judgment in carrying out the responsibilities of a director and is independent under such standards and rules: Messrs. Minicucci, Gardner, McLennan, Brodsky, de la Vega, Kahan, LeFave, Baroness de Rothschild and Dr. Yaron. In addition, our Board of Directors has determined that Mr. Zisapel is not independent due to a commercial transaction between the Company and Radcom Ltd. (“Radcom”), a company in which Mr. Zisapel and certain of his family members have interests. In 2015, certain of our subsidiaries entered into a number of contracts with Radcom for it to act as a subcontractor for us and/or a value added reseller. In addition, in the ordinary course of business we purchase certain products from other entities in which Mr. Zisapel has an interest. In fiscal 2017, our aggregate payments with respect to all these transactions were substantially less than 1% of our total operating expenses.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full text of our categorical standards is attached to this Proxy Statement as Appendix 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Business Conduct</w:t>
      </w:r>
    </w:p>
    <w:p>
      <w:pPr>
        <w:spacing w:after="0" w:line="121"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Code of Ethics and Business Conduct that sets forth legal and ethical standards of conduct for our directors and employees, including executive officers, our subsidiaries and other business entities controlled by us worldwide. The code is available on our website at www.amdocs.com and you may request a copy, at no cost, by writing to us at the address listed below under the heading “Annual Report on Form 20-F.” We intend to post on our website all disclosures that are required by law or Nasdaq rules concerning any amendments to, or waivers from, any provision of the code.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Oversight</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assessing and managing risk, and periodically reviews areas of material risk within our organization in order to evaluate and enhance risk identification and mitigation strategies. Our Board of Directors oversees and reviews these risk management efforts as they relate to strategic and business risks. Our audit committee oversees and reviews the Company’s policies and processes with respect to enterprise risk management, discusses these efforts as they relate to operational and financial risks, and periodically reports and makes recommendations to our Board of Directors regarding these matters.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Policies and Practices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structure our compensation to consist of both fixed and variable elements, including salary, equity, cash bonuses and insurance benefits.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2" w:name="page13"/>
    <w:bookmarkEnd w:id="12"/>
    <w:p>
      <w:pPr>
        <w:ind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fixed portions of compensation, such as salary, are designed to be market based and provide steady income regardless of our stock price performance. The variable portions of compensation, such as equity incentives and performance bonuses, are designed to reward the accomplishment of both short- and long-term corporate objectives. By basing a portion of our compensation on our long-term performance, we believe we reduce the risk that employees will focus on short-term goals to the detriment of our long-term stability. Further, our short-term incentive compensation is designed to reward short-term goals that we believe will enhance our long-term corporate success. Additionally, although we vary the elements of compensation that we use at different employee positions and rank, our compensation philosophy is applicable to all employees, including our executives. We believe this encourages consistent behavior across our organization, rather than establishing different approaches depending on an employee’s position or rank. We do not believe our compensation policies and practices encourage excessive or inappropriate risk taking.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2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Commencing in fiscal 2017, each of our Non-Employee Directors receives an annual cash payment of $80,000. Each member of our Audit Committee who is a Non-Employee Director and who is not the chairman of such committee receives an annual cash payment of $25,000. Each member of our Management Resources and Compensation Committee who is a Non-Employee Director and who is not a committee chairman receives an annual cash payment of $15,000. Each member of our Nominating and Corporate Governance and Technology and Innovation Committees who is a Non-Employee Director and who is not a committee chairman receives an annual cash payment of $10,000. The Chairman of our Audit Committee receives an annual cash payment of $35,000 and the Chairman of our Management Resources and Compensation Committee receives an annual cash payment of $25,000. The Chairmen of our Nominating and Corporate Governance and Technology and Innovation Committees each receive an annual cash payment of $20,000. Each Non-Employee Director receives an annual grant of ordinary shares at a total value of $245,000. The Chairman of the Board of Directors receives an additional annual amount equal to $200,000 awarded in the form of ordinary shares. All ordinary share awards to our Non-Employee Directors are fully vested upon grant. The price per share for the purpose of determining the value of the grants to our Non-Employee Directors is the Nasdaq closing price of our shares on the last trading day preceding the grant date. We reimburse all of our Non-Employee Directors for their reasonable travel expenses incurred in connection with attending Board or committee meetings. Cash and equity compensation paid to our Non-Employee Directors are prorated for partial year service.</w:t>
      </w:r>
    </w:p>
    <w:p>
      <w:pPr>
        <w:spacing w:after="0" w:line="189"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During the 2017 fiscal year, we granted to our 10 Non-Employee Directors an aggregate of 45,202 shares at a weighted average price of $58.62 per share, which were fully vested upon grant.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21"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It is proposed that each of the following 11 individuals be elected to serve as a director of Amdocs Limited until the next annual general meeting of shareholders or until his or her earlier resignation or removal or until his or her respective successor is elected and qualified:</w:t>
      </w:r>
    </w:p>
    <w:p>
      <w:pPr>
        <w:spacing w:after="0" w:line="27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Robert A. Minicucci</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Adrian Gardner</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John T. McLennan</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Zohar Zisapel</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Julian A. Brodsky</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Eli Gelman</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James S. Kahan</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Richard T.C. LeFave</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Giora Yaron</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Ariane de Rothschild</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Rafael de la Vega</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Affirmative Vote</w:t>
      </w:r>
    </w:p>
    <w:p>
      <w:pPr>
        <w:spacing w:after="0" w:line="12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affirmative vote of holders of a majority of our ordinary shares represented in person or by proxy at the General Meeting is necessary for the election of each director nominee named above.</w:t>
      </w:r>
    </w:p>
    <w:p>
      <w:pPr>
        <w:spacing w:after="0" w:line="266" w:lineRule="exact"/>
        <w:rPr>
          <w:sz w:val="20"/>
          <w:szCs w:val="20"/>
          <w:color w:val="auto"/>
        </w:rPr>
      </w:pPr>
    </w:p>
    <w:p>
      <w:pPr>
        <w:ind w:right="6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EACH OF THE DIRECTOR NOMINEES NAMED ABOVE.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40" w:top="266" w:right="559" w:bottom="1440" w:gutter="0" w:footer="0" w:header="0"/>
        </w:sectPr>
      </w:pPr>
    </w:p>
    <w:bookmarkStart w:id="14" w:name="page15"/>
    <w:bookmarkEnd w:id="14"/>
    <w:p>
      <w:pPr>
        <w:jc w:val="center"/>
        <w:ind w:right="-3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w:t>
      </w:r>
    </w:p>
    <w:p>
      <w:pPr>
        <w:spacing w:after="0" w:line="31"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8"/>
          <w:szCs w:val="18"/>
          <w:b w:val="1"/>
          <w:bCs w:val="1"/>
          <w:color w:val="auto"/>
        </w:rPr>
        <w:t>BENEFICIAL OWNERS AND MANAGEMENT</w:t>
      </w:r>
    </w:p>
    <w:p>
      <w:pPr>
        <w:spacing w:after="0" w:line="207" w:lineRule="exact"/>
        <w:rPr>
          <w:sz w:val="20"/>
          <w:szCs w:val="20"/>
          <w:color w:val="auto"/>
        </w:rPr>
      </w:pPr>
    </w:p>
    <w:p>
      <w:pPr>
        <w:ind w:left="436"/>
        <w:spacing w:after="0"/>
        <w:rPr>
          <w:sz w:val="20"/>
          <w:szCs w:val="20"/>
          <w:color w:val="auto"/>
        </w:rPr>
      </w:pPr>
      <w:r>
        <w:rPr>
          <w:rFonts w:ascii="Times New Roman" w:cs="Times New Roman" w:eastAsia="Times New Roman" w:hAnsi="Times New Roman"/>
          <w:sz w:val="18"/>
          <w:szCs w:val="18"/>
          <w:color w:val="auto"/>
        </w:rPr>
        <w:t>The following table sets forth specified information with respect to the beneficial ownership of our ordinary shares, as of November 30, 2017, of</w:t>
      </w:r>
    </w:p>
    <w:p>
      <w:pPr>
        <w:spacing w:after="0" w:line="27" w:lineRule="exact"/>
        <w:rPr>
          <w:sz w:val="20"/>
          <w:szCs w:val="20"/>
          <w:color w:val="auto"/>
        </w:rPr>
      </w:pPr>
    </w:p>
    <w:p>
      <w:pPr>
        <w:ind w:left="-4" w:firstLine="4"/>
        <w:spacing w:after="0" w:line="252" w:lineRule="auto"/>
        <w:tabs>
          <w:tab w:leader="none" w:pos="21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known by us to be the beneficial owner of more than 5% of our ordinary shares, and (ii) all of our directors and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143,914,331 ordinary shares outstanding as of November 30, 2017. Information concerning shareholders other than our directors and officers is based on periodic public filings made by such shareholders and may not necessarily be accurate as of November 30, 2017.</w:t>
      </w:r>
    </w:p>
    <w:p>
      <w:pPr>
        <w:spacing w:after="0" w:line="198" w:lineRule="exact"/>
        <w:rPr>
          <w:sz w:val="20"/>
          <w:szCs w:val="20"/>
          <w:color w:val="auto"/>
        </w:rPr>
      </w:pPr>
    </w:p>
    <w:tbl>
      <w:tblPr>
        <w:tblLayout w:type="fixed"/>
        <w:tblInd w:w="876"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4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540" w:type="dxa"/>
            <w:vAlign w:val="bottom"/>
            <w:vMerge w:val="restart"/>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0" w:type="dxa"/>
            <w:vAlign w:val="bottom"/>
            <w:tcBorders>
              <w:bottom w:val="single" w:sz="8" w:color="auto"/>
            </w:tcBorders>
            <w:vMerge w:val="continue"/>
          </w:tcPr>
          <w:p>
            <w:pPr>
              <w:spacing w:after="0"/>
              <w:rPr>
                <w:sz w:val="13"/>
                <w:szCs w:val="13"/>
                <w:color w:val="auto"/>
              </w:rPr>
            </w:pPr>
          </w:p>
        </w:tc>
        <w:tc>
          <w:tcPr>
            <w:tcW w:w="6540" w:type="dxa"/>
            <w:vAlign w:val="bottom"/>
            <w:vMerge w:val="continue"/>
          </w:tcPr>
          <w:p>
            <w:pPr>
              <w:spacing w:after="0"/>
              <w:rPr>
                <w:sz w:val="13"/>
                <w:szCs w:val="13"/>
                <w:color w:val="auto"/>
              </w:rPr>
            </w:pPr>
          </w:p>
        </w:tc>
        <w:tc>
          <w:tcPr>
            <w:tcW w:w="144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90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0"/>
        </w:trPr>
        <w:tc>
          <w:tcPr>
            <w:tcW w:w="6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FMR LLC(1)</w:t>
            </w:r>
          </w:p>
        </w:tc>
        <w:tc>
          <w:tcPr>
            <w:tcW w:w="8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14,872,361</w:t>
            </w:r>
          </w:p>
        </w:tc>
        <w:tc>
          <w:tcPr>
            <w:tcW w:w="5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34"/>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officers as a group (15 persons)(2)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1,907,443</w:t>
            </w:r>
          </w:p>
        </w:tc>
        <w:tc>
          <w:tcPr>
            <w:tcW w:w="5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694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2" w:lineRule="exact"/>
        <w:rPr>
          <w:sz w:val="20"/>
          <w:szCs w:val="20"/>
          <w:color w:val="auto"/>
        </w:rPr>
      </w:pPr>
    </w:p>
    <w:p>
      <w:pPr>
        <w:jc w:val="both"/>
        <w:ind w:left="436" w:right="140" w:hanging="436"/>
        <w:spacing w:after="0" w:line="257" w:lineRule="auto"/>
        <w:tabs>
          <w:tab w:leader="none" w:pos="4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FMR LLC, or FMR, with the SEC on August 10, 2017, as of July 31, 2017, FMR had sole power to vote or direct the vote over 1,122,307 shares and sole power to dispose or direct the disposition of 14,872,36 shares. Edward C. Johnson 3d is a Director and the Chairman of FMR and Abigail P. Johnson is a Director, the Vice Chairman, the Chief Executive Officer and the President of FMR.</w:t>
      </w:r>
    </w:p>
    <w:p>
      <w:pPr>
        <w:spacing w:after="0" w:line="1" w:lineRule="exact"/>
        <w:rPr>
          <w:rFonts w:ascii="Times New Roman" w:cs="Times New Roman" w:eastAsia="Times New Roman" w:hAnsi="Times New Roman"/>
          <w:sz w:val="18"/>
          <w:szCs w:val="18"/>
          <w:color w:val="auto"/>
        </w:rPr>
      </w:pPr>
    </w:p>
    <w:p>
      <w:pPr>
        <w:ind w:left="436" w:righ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family of Edward C. Johnson 3d, including Abigail P. Johnson, directly or through trusts, own approximately 49% of the voting power of FMR. The address of FMR is 245 Summer Street, Boston, Massachusetts 02210.</w:t>
      </w:r>
    </w:p>
    <w:p>
      <w:pPr>
        <w:ind w:left="436" w:right="80" w:hanging="436"/>
        <w:spacing w:after="0" w:line="261" w:lineRule="auto"/>
        <w:tabs>
          <w:tab w:leader="none" w:pos="4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held by such directors and executive officers that are exercisable within 60 days after November 30, 2017. As of such date, none of our directors or executive officers beneficially owned 1% or more of our outstanding ordinary shares.</w:t>
      </w:r>
    </w:p>
    <w:p>
      <w:pPr>
        <w:spacing w:after="0" w:line="112"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96"/>
          </w:cols>
          <w:pgMar w:left="444" w:top="266" w:right="4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MATTERS</w:t>
      </w:r>
    </w:p>
    <w:p>
      <w:pPr>
        <w:spacing w:after="0" w:line="229"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184" w:lineRule="exact"/>
        <w:rPr>
          <w:sz w:val="20"/>
          <w:szCs w:val="20"/>
          <w:color w:val="auto"/>
        </w:rPr>
      </w:pPr>
    </w:p>
    <w:p>
      <w:pPr>
        <w:ind w:right="660" w:firstLine="441"/>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our audited financial statements for the fiscal year ended September 30, 2017 and has discussed these financial statements with our management and independent registered public accounting firm.</w:t>
      </w:r>
    </w:p>
    <w:p>
      <w:pPr>
        <w:spacing w:after="0" w:line="162"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The Audit Committee has also discussed with our independent registered public accounting firm the matters required to be discussed by the Public Company Accounting Oversight Board (PCAOB) Auditing Standard No. 16 (Communications with Audit Committees) (AS 16), which requires our independent registered public accounting firm to discuss with our Audit Committee, among other things, the following:</w:t>
      </w:r>
    </w:p>
    <w:p>
      <w:pPr>
        <w:spacing w:after="0" w:line="82" w:lineRule="exact"/>
        <w:rPr>
          <w:sz w:val="20"/>
          <w:szCs w:val="20"/>
          <w:color w:val="auto"/>
        </w:rPr>
      </w:pPr>
    </w:p>
    <w:p>
      <w:pPr>
        <w:ind w:left="860" w:hanging="424"/>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to account for significant unusual transactions;</w:t>
      </w:r>
    </w:p>
    <w:p>
      <w:pPr>
        <w:spacing w:after="0" w:line="130" w:lineRule="exact"/>
        <w:rPr>
          <w:rFonts w:ascii="Times New Roman" w:cs="Times New Roman" w:eastAsia="Times New Roman" w:hAnsi="Times New Roman"/>
          <w:sz w:val="18"/>
          <w:szCs w:val="18"/>
          <w:color w:val="auto"/>
        </w:rPr>
      </w:pPr>
    </w:p>
    <w:p>
      <w:pPr>
        <w:ind w:left="860" w:right="720" w:hanging="424"/>
        <w:spacing w:after="0" w:line="282"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significant accounting policies in controversial or emerging areas for which there is a lack of authoritative guidance or consensus;</w:t>
      </w:r>
    </w:p>
    <w:p>
      <w:pPr>
        <w:spacing w:after="0" w:line="67" w:lineRule="exact"/>
        <w:rPr>
          <w:rFonts w:ascii="Times New Roman" w:cs="Times New Roman" w:eastAsia="Times New Roman" w:hAnsi="Times New Roman"/>
          <w:sz w:val="18"/>
          <w:szCs w:val="18"/>
          <w:color w:val="auto"/>
        </w:rPr>
      </w:pPr>
    </w:p>
    <w:p>
      <w:pPr>
        <w:ind w:left="860" w:right="520" w:hanging="424"/>
        <w:spacing w:after="0" w:line="282"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used by management in formulating particularly sensitive accounting estimates and the basis for the auditors’ conclusions regarding the reasonableness of those estimates; and</w:t>
      </w:r>
    </w:p>
    <w:p>
      <w:pPr>
        <w:spacing w:after="0" w:line="67" w:lineRule="exact"/>
        <w:rPr>
          <w:rFonts w:ascii="Times New Roman" w:cs="Times New Roman" w:eastAsia="Times New Roman" w:hAnsi="Times New Roman"/>
          <w:sz w:val="18"/>
          <w:szCs w:val="18"/>
          <w:color w:val="auto"/>
        </w:rPr>
      </w:pPr>
    </w:p>
    <w:p>
      <w:pPr>
        <w:ind w:left="860" w:right="660" w:hanging="424"/>
        <w:spacing w:after="0" w:line="282"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management over matters that could be (individually or in the aggregate) significant to the Company’s financial statements or the auditor’s report.</w:t>
      </w:r>
    </w:p>
    <w:p>
      <w:pPr>
        <w:spacing w:after="0" w:line="162"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also provided the Audit Committee with the written disclosures and the letter required by PCAOB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184" w:lineRule="exact"/>
        <w:rPr>
          <w:sz w:val="20"/>
          <w:szCs w:val="20"/>
          <w:color w:val="auto"/>
        </w:rPr>
      </w:pPr>
    </w:p>
    <w:p>
      <w:pPr>
        <w:jc w:val="both"/>
        <w:ind w:right="540" w:firstLine="441"/>
        <w:spacing w:after="0" w:line="266"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0" w:lineRule="exact"/>
        <w:rPr>
          <w:sz w:val="20"/>
          <w:szCs w:val="20"/>
          <w:color w:val="auto"/>
        </w:rPr>
      </w:pPr>
    </w:p>
    <w:p>
      <w:pPr>
        <w:ind w:right="280" w:firstLine="441"/>
        <w:spacing w:after="0" w:line="261" w:lineRule="auto"/>
        <w:rPr>
          <w:sz w:val="20"/>
          <w:szCs w:val="20"/>
          <w:color w:val="auto"/>
        </w:rPr>
      </w:pPr>
      <w:r>
        <w:rPr>
          <w:rFonts w:ascii="Times New Roman" w:cs="Times New Roman" w:eastAsia="Times New Roman" w:hAnsi="Times New Roman"/>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2017, our Audit Committee approved all of the services provided by Ernst &amp; Young.</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6" w:right="4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APPROVAL OF INCREASE OF THE QUARTERLY DIVIDEND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Article 92 of our Articles of Incorporation provides that our Board of Directors may declare and pay dividends on our ordinary shares, subject to compliance with applicable law and subject to the approval of our shareholders by ordinary resolution.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2012, our shareholders approved the institution of a quarterly cash dividend program at the quarterly rate of $0.13 per ordinary share.</w:t>
      </w:r>
    </w:p>
    <w:p>
      <w:pPr>
        <w:spacing w:after="0" w:line="225"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Under this authorization, our Board of Directors has the authority to reduce the quarterly dividend or discontinue the dividend program should it determine that doing so is in the best interests of our shareholders or is necessary pursuant to Guernsey law, but our Board of Directors does not have authority to increase the per share amount or frequency of the dividend without shareholder approval. In 2014, our shareholders approved an increase in the rate of the quarterly cash dividend to $0.155 per share, in 2015, our shareholders approved an increase to $0.17 per share, and in 2016 our shareholders approved our shareholders approved another increase to $0.195 per share. In 2017, our shareholders approved another increase to $0.22 per share.</w:t>
      </w:r>
    </w:p>
    <w:p>
      <w:pPr>
        <w:spacing w:after="0" w:line="188" w:lineRule="exact"/>
        <w:rPr>
          <w:sz w:val="20"/>
          <w:szCs w:val="20"/>
          <w:color w:val="auto"/>
        </w:rPr>
      </w:pPr>
    </w:p>
    <w:p>
      <w:pPr>
        <w:ind w:right="60" w:firstLine="441"/>
        <w:spacing w:after="0" w:line="313" w:lineRule="auto"/>
        <w:rPr>
          <w:sz w:val="20"/>
          <w:szCs w:val="20"/>
          <w:color w:val="auto"/>
        </w:rPr>
      </w:pPr>
      <w:r>
        <w:rPr>
          <w:rFonts w:ascii="Times New Roman" w:cs="Times New Roman" w:eastAsia="Times New Roman" w:hAnsi="Times New Roman"/>
          <w:sz w:val="17"/>
          <w:szCs w:val="17"/>
          <w:color w:val="auto"/>
        </w:rPr>
        <w:t>In November 2017, our Board of Directors approved an increase in the quarterly cash dividend rate to $0.25 per ordinary share. In order to permit us to implement this dividend rate increase, our Board of Directors proposes that our shareholders approve the ordinary resolution set forth below.</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Proposed Increase in Quarterly Dividend Rate</w:t>
      </w:r>
    </w:p>
    <w:p>
      <w:pPr>
        <w:spacing w:after="0" w:line="121"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Our Board of Directors believes that it is in the best interest of our shareholders to increase the quarterly dividend rate in light of our financial and business performance and outlook. For example, since we implemented our dividend program in 2012, we have generated increases in annual revenue, net income and free cash flow. At the same time, we have continued to repurchase our ordinary shares, through a subsidiary, and repurchased approximately $454.0 million, $413.4 million and 340.6 million (excluding broker and transaction fees) of our ordinary shares during the fiscal years ended September 30, 2015, 2016 and 2017, respectively. The increase in the quarterly dividend rate coincides with our general long-term guideline to retain a portion of our free cash flow (calculated as cash flow from operations less net capital expenditures and other) to support the growth of our business, including possible mergers and acquisitions, with the majority returned to our shareholders through share repurchases and dividends. This is not a complete presentation of our financial position, results of operations and cash flows in conformity with U.S. generally accepted accounting principles, so we encourage you to review our consolidated financial statements for the fiscal year ended September 30, 2017 set forth in our Annual Report on Form 20-F filed on December 11, 2017 with the U.S. Securities and Exchange Commission, or the SEC.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of the Dividend Program</w:t>
      </w:r>
    </w:p>
    <w:p>
      <w:pPr>
        <w:spacing w:after="0" w:line="121"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If our shareholders approve the proposal, our Board of Directors will continue to consider on a quarterly basis whether to declare and pay a dividend in accordance with the terms of the dividend program and in accordance with applicable Guernsey law. Guernsey law requires that our Board of Directors consider a dividend’s effects on our solvency before it may be declared or paid. Provided that the per share amount and the frequency of the dividend do not increase, then no further shareholder approval will be required for dividends payable pursuant to our quarterly cash dividend program. However, any increase to the per share amount or frequency of the dividend would require further shareholder approval.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shareholder approval, we expect to begin paying the dividend at the increased rate commencing in April 2018.</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event that shareholder approval is not obtained, the quarterly dividend rate will remain at $0.22 per share.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Considerations Related to Distributions</w:t>
      </w:r>
    </w:p>
    <w:p>
      <w:pPr>
        <w:spacing w:after="0" w:line="121"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In general, a U.S. holder receiving a distribution with respect to the ordinary shares will be required to include such distribution (including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8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Dividend income is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“qualified foreign corporations,” including shares of a foreign corporation that are readily tradable on an established securities market in the United States. Since our ordinary shares are listed on Nasdaq, we believe that dividends paid by us with respect to our ordinary shares should constitute “qualified dividend income” for U.S. federal income tax purposes, provided that the applicable holding period and other requirements are satisfied. The preferential rate will not apply to dividends received to the extent that the U.S. holder elects to treat dividends as “investment income,” which may be offset by investment interest expense. In addition, dividends paid by us will not qualify for the preferential U.S. federal income tax rate if we are, for the tax year in which the dividends are paid, or were, for the preceding tax year, a “passive foreign investment company” (“PFIC”) for U.S. federal income tax purposes, which we would be if (i) at least 75% of our gross income is “passive income” (e.g., dividends, interest and certain royalties, rents and gains (including goodwill) from commodities and securities transactions), or (ii) 50% or more of the average quarterly value of all our assets is attributable to assets that produce “passive income” or are held for the production of “passive income.” We believe that we were not a PFIC for the prior taxable year and do not expect to be a PFIC for the current taxable year.</w:t>
      </w:r>
    </w:p>
    <w:p>
      <w:pPr>
        <w:spacing w:after="0" w:line="19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An additional 3.8% tax is imposed on the net investment income (which includes taxable dividends) received by U.S. holders that are individuals, trusts or estates earning income above certain thresholds.</w:t>
      </w:r>
    </w:p>
    <w:p>
      <w:pPr>
        <w:spacing w:after="0" w:line="162"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Dividends paid by us generally will be classified as foreign source “passive category income” or, in certain cases, “general category income” for U.S. foreign tax credit purposes.</w:t>
      </w:r>
    </w:p>
    <w:p>
      <w:pPr>
        <w:spacing w:after="0" w:line="162"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Payments to U.S. holders generally will be subject to information reporting requirements with respect to dividends that are paid within the United States or through U.S.-related financial intermediaries, unless the U.S. holder is an “exempt recipient.” Such payments may also be subject to backup withholding (currently at a rate of 28%) unless the U.S. holder provides a taxpayer identification number and a duly executed Internal Revenue Service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Internal Revenue Service.</w:t>
      </w:r>
    </w:p>
    <w:p>
      <w:pPr>
        <w:spacing w:after="0" w:line="188"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U.S. holders are urged to consult their tax advisors regarding the tax treatment of any dividends received by such holder in respect of ordinary shares.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440" w:top="270"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Resolution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 is proposed that the following ordinary resolution be adopted at the General Meeting:</w:t>
      </w:r>
    </w:p>
    <w:p>
      <w:pPr>
        <w:spacing w:after="0" w:line="115" w:lineRule="exact"/>
        <w:rPr>
          <w:sz w:val="20"/>
          <w:szCs w:val="20"/>
          <w:color w:val="auto"/>
        </w:rPr>
      </w:pPr>
    </w:p>
    <w:p>
      <w:pPr>
        <w:ind w:left="440" w:firstLine="423"/>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RESOLVED</w:t>
      </w:r>
      <w:r>
        <w:rPr>
          <w:rFonts w:ascii="Times New Roman" w:cs="Times New Roman" w:eastAsia="Times New Roman" w:hAnsi="Times New Roman"/>
          <w:sz w:val="18"/>
          <w:szCs w:val="18"/>
          <w:color w:val="auto"/>
        </w:rPr>
        <w:t>, that an increase in the dividend rate under Amdocs Limited’s quarterly cash dividend program from $0.22 per share to $0.25 per share be, and hereby is, approved.”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21"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The affirmative vote of holders of a majority of our ordinary shares represented in person or by proxy at the General Meeting is necessary for approval of the increase in the dividend rate under our quarterly cash dividend program.</w:t>
      </w:r>
    </w:p>
    <w:p>
      <w:pPr>
        <w:spacing w:after="0" w:line="158" w:lineRule="exact"/>
        <w:rPr>
          <w:sz w:val="20"/>
          <w:szCs w:val="20"/>
          <w:color w:val="auto"/>
        </w:rPr>
      </w:pPr>
    </w:p>
    <w:p>
      <w:pPr>
        <w:ind w:right="8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INCREASE IN THE QUARTERLY DIVIDEND RATE UNDER THE CASH DIVIDEND PROGRAM.</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80"/>
          </w:cols>
          <w:pgMar w:left="440" w:top="266" w:right="579" w:bottom="1440" w:gutter="0" w:footer="0" w:header="0"/>
        </w:sectPr>
      </w:pPr>
    </w:p>
    <w:bookmarkStart w:id="19" w:name="page20"/>
    <w:bookmarkEnd w:id="19"/>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III</w:t>
      </w:r>
    </w:p>
    <w:p>
      <w:pPr>
        <w:spacing w:after="0" w:line="11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APPROVAL OF OUR CONSOLIDATED FINANCIAL STATEMENTS</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2017</w:t>
      </w:r>
    </w:p>
    <w:p>
      <w:pPr>
        <w:spacing w:after="0" w:line="20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Our Annual Report for the fiscal year ended September 30, 2017 is available on our website at http://www.amdocs.com/About/Pages/AnnualReport.aspx. Our Consolidated Financial Statements for the fiscal year ended September 30, 2017 are included in our Annual Report. At the General Meeting, we will review the Operating and Financial Review and Prospects section of our Annual Report and will answer appropriate questions related thereto.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 is proposed that the following ordinary resolution be adopted at the General Meeting:</w:t>
      </w:r>
    </w:p>
    <w:p>
      <w:pPr>
        <w:spacing w:after="0" w:line="115" w:lineRule="exact"/>
        <w:rPr>
          <w:sz w:val="20"/>
          <w:szCs w:val="20"/>
          <w:color w:val="auto"/>
        </w:rPr>
      </w:pPr>
    </w:p>
    <w:p>
      <w:pPr>
        <w:ind w:left="440" w:firstLine="423"/>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RESOLVED</w:t>
      </w:r>
      <w:r>
        <w:rPr>
          <w:rFonts w:ascii="Times New Roman" w:cs="Times New Roman" w:eastAsia="Times New Roman" w:hAnsi="Times New Roman"/>
          <w:sz w:val="18"/>
          <w:szCs w:val="18"/>
          <w:color w:val="auto"/>
        </w:rPr>
        <w:t>, that the Consolidated Financial Statements of Amdocs Limited for the fiscal year ended September 30, 2017 be, and the same hereby are, approved.”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21"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58" w:lineRule="exact"/>
        <w:rPr>
          <w:sz w:val="20"/>
          <w:szCs w:val="20"/>
          <w:color w:val="auto"/>
        </w:rPr>
      </w:pPr>
    </w:p>
    <w:p>
      <w:pPr>
        <w:ind w:right="8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APPROVAL OF OUR CONSOLIDATED FINANCIAL STATEMENTS.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6" w:right="479" w:bottom="1440" w:gutter="0" w:footer="0" w:header="0"/>
        </w:sectPr>
      </w:pPr>
    </w:p>
    <w:bookmarkStart w:id="20" w:name="page21"/>
    <w:bookmarkEnd w:id="20"/>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IV</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RATIFICATION AND APPROVAL OF</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right="160" w:firstLine="441"/>
        <w:spacing w:after="0" w:line="255"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the firm of Ernst &amp; Young LLP to continue to serve as our independent registered public accounting firm for the fiscal year ending September 30, 2018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2017 and has served as our independent public accounting firm since 1996. One or more representatives of Ernst &amp; Young LLP are expected to be present at the General Meeting, will have an opportunity to make a statement if he or she so desires and will be available to respond to appropriate questions.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Accountant Fees and Other Matters</w:t>
      </w:r>
    </w:p>
    <w:p>
      <w:pPr>
        <w:spacing w:after="0" w:line="121"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4480" w:type="dxa"/>
            <w:vAlign w:val="bottom"/>
            <w:gridSpan w:val="2"/>
          </w:tcPr>
          <w:p>
            <w:pPr>
              <w:jc w:val="center"/>
              <w:ind w:left="357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20" w:type="dxa"/>
            <w:vAlign w:val="bottom"/>
            <w:gridSpan w:val="2"/>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Audit Fees(1)</w:t>
            </w:r>
          </w:p>
        </w:tc>
        <w:tc>
          <w:tcPr>
            <w:tcW w:w="366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$3,600,000</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$ 3,200,000</w:t>
            </w: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4480" w:type="dxa"/>
            <w:vAlign w:val="bottom"/>
            <w:gridSpan w:val="2"/>
          </w:tcPr>
          <w:p>
            <w:pPr>
              <w:jc w:val="center"/>
              <w:ind w:left="3576"/>
              <w:spacing w:after="0"/>
              <w:rPr>
                <w:sz w:val="20"/>
                <w:szCs w:val="20"/>
                <w:color w:val="auto"/>
              </w:rPr>
            </w:pPr>
            <w:r>
              <w:rPr>
                <w:rFonts w:ascii="Times New Roman" w:cs="Times New Roman" w:eastAsia="Times New Roman" w:hAnsi="Times New Roman"/>
                <w:sz w:val="18"/>
                <w:szCs w:val="18"/>
                <w:color w:val="auto"/>
              </w:rPr>
              <w:t>$1,200,000</w:t>
            </w:r>
          </w:p>
        </w:tc>
        <w:tc>
          <w:tcPr>
            <w:tcW w:w="1220" w:type="dxa"/>
            <w:vAlign w:val="bottom"/>
            <w:gridSpan w:val="2"/>
          </w:tcPr>
          <w:p>
            <w:pPr>
              <w:jc w:val="center"/>
              <w:ind w:left="296"/>
              <w:spacing w:after="0"/>
              <w:rPr>
                <w:sz w:val="20"/>
                <w:szCs w:val="20"/>
                <w:color w:val="auto"/>
              </w:rPr>
            </w:pPr>
            <w:r>
              <w:rPr>
                <w:rFonts w:ascii="Times New Roman" w:cs="Times New Roman" w:eastAsia="Times New Roman" w:hAnsi="Times New Roman"/>
                <w:sz w:val="18"/>
                <w:szCs w:val="18"/>
                <w:color w:val="auto"/>
                <w:w w:val="98"/>
              </w:rPr>
              <w:t>$ 1,200,000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4480" w:type="dxa"/>
            <w:vAlign w:val="bottom"/>
            <w:gridSpan w:val="2"/>
            <w:shd w:val="clear" w:color="auto" w:fill="CCEEFF"/>
          </w:tcPr>
          <w:p>
            <w:pPr>
              <w:jc w:val="center"/>
              <w:ind w:left="3576"/>
              <w:spacing w:after="0"/>
              <w:rPr>
                <w:sz w:val="20"/>
                <w:szCs w:val="20"/>
                <w:color w:val="auto"/>
              </w:rPr>
            </w:pPr>
            <w:r>
              <w:rPr>
                <w:rFonts w:ascii="Times New Roman" w:cs="Times New Roman" w:eastAsia="Times New Roman" w:hAnsi="Times New Roman"/>
                <w:sz w:val="18"/>
                <w:szCs w:val="18"/>
                <w:color w:val="auto"/>
              </w:rPr>
              <w:t>$1,700,000</w:t>
            </w:r>
          </w:p>
        </w:tc>
        <w:tc>
          <w:tcPr>
            <w:tcW w:w="1220" w:type="dxa"/>
            <w:vAlign w:val="bottom"/>
            <w:gridSpan w:val="2"/>
            <w:shd w:val="clear" w:color="auto" w:fill="CCEEFF"/>
          </w:tcPr>
          <w:p>
            <w:pPr>
              <w:jc w:val="center"/>
              <w:ind w:left="296"/>
              <w:spacing w:after="0"/>
              <w:rPr>
                <w:sz w:val="20"/>
                <w:szCs w:val="20"/>
                <w:color w:val="auto"/>
              </w:rPr>
            </w:pPr>
            <w:r>
              <w:rPr>
                <w:rFonts w:ascii="Times New Roman" w:cs="Times New Roman" w:eastAsia="Times New Roman" w:hAnsi="Times New Roman"/>
                <w:sz w:val="18"/>
                <w:szCs w:val="18"/>
                <w:color w:val="auto"/>
                <w:w w:val="98"/>
              </w:rPr>
              <w:t>$ 1,600,000</w:t>
            </w: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ind w:left="440" w:right="160" w:hanging="436"/>
        <w:spacing w:after="0" w:line="261"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associated with the annual audit and reviews of our quarterly financial results submitted on Form 6-K, consultations on various accounting issues and performance of local statutory audits.</w:t>
      </w:r>
    </w:p>
    <w:p>
      <w:pPr>
        <w:ind w:left="440" w:right="420" w:hanging="436"/>
        <w:spacing w:after="0" w:line="250"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services principally include Statement on Standards for Attestation Engagements (SSAE) 16 report issuances and due diligence examinations.</w:t>
      </w:r>
    </w:p>
    <w:p>
      <w:pPr>
        <w:ind w:left="440" w:hanging="43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associated with tax compliance, tax advice and tax planning services.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 is proposed that the following ordinary resolution be adopted at the General Meeting:</w:t>
      </w:r>
    </w:p>
    <w:p>
      <w:pPr>
        <w:spacing w:after="0" w:line="115" w:lineRule="exact"/>
        <w:rPr>
          <w:sz w:val="20"/>
          <w:szCs w:val="20"/>
          <w:color w:val="auto"/>
        </w:rPr>
      </w:pPr>
    </w:p>
    <w:p>
      <w:pPr>
        <w:ind w:left="440" w:right="280" w:firstLine="423"/>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RESOLVED</w:t>
      </w:r>
      <w:r>
        <w:rPr>
          <w:rFonts w:ascii="Times New Roman" w:cs="Times New Roman" w:eastAsia="Times New Roman" w:hAnsi="Times New Roman"/>
          <w:sz w:val="17"/>
          <w:szCs w:val="17"/>
          <w:color w:val="auto"/>
        </w:rPr>
        <w:t>, that (i) the appointment of Ernst &amp; Young LLP as Amdocs Limited’s independent registered public accounting firm for the fiscal year ending September 30, 2018 and until Amdocs Limited’s next annual general meeting be, and it hereby is, ratified and approved, and</w:t>
      </w:r>
    </w:p>
    <w:p>
      <w:pPr>
        <w:spacing w:after="0" w:line="1" w:lineRule="exact"/>
        <w:rPr>
          <w:sz w:val="20"/>
          <w:szCs w:val="20"/>
          <w:color w:val="auto"/>
        </w:rPr>
      </w:pPr>
    </w:p>
    <w:p>
      <w:pPr>
        <w:ind w:left="440" w:right="260" w:firstLine="4"/>
        <w:spacing w:after="0" w:line="261" w:lineRule="auto"/>
        <w:tabs>
          <w:tab w:leader="none" w:pos="7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the Board of Directors be, and it hereby is, authorized to fix the remuneration of such independent registered public accounting firm in accordance with the nature and extent of its services.”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21"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172"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40"/>
          </w:cols>
          <w:pgMar w:left="440" w:top="266" w:right="41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right="500" w:firstLine="441"/>
        <w:spacing w:after="0" w:line="282" w:lineRule="auto"/>
        <w:rPr>
          <w:sz w:val="20"/>
          <w:szCs w:val="20"/>
          <w:color w:val="auto"/>
        </w:rPr>
      </w:pPr>
      <w:r>
        <w:rPr>
          <w:rFonts w:ascii="Times New Roman" w:cs="Times New Roman" w:eastAsia="Times New Roman" w:hAnsi="Times New Roman"/>
          <w:sz w:val="18"/>
          <w:szCs w:val="18"/>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on Form 20-F</w:t>
      </w:r>
    </w:p>
    <w:p>
      <w:pPr>
        <w:spacing w:after="0" w:line="121" w:lineRule="exact"/>
        <w:rPr>
          <w:sz w:val="20"/>
          <w:szCs w:val="20"/>
          <w:color w:val="auto"/>
        </w:rPr>
      </w:pPr>
    </w:p>
    <w:p>
      <w:pPr>
        <w:ind w:right="240" w:firstLine="441"/>
        <w:spacing w:after="0" w:line="261" w:lineRule="auto"/>
        <w:rPr>
          <w:sz w:val="20"/>
          <w:szCs w:val="20"/>
          <w:color w:val="auto"/>
        </w:rPr>
      </w:pPr>
      <w:r>
        <w:rPr>
          <w:rFonts w:ascii="Times New Roman" w:cs="Times New Roman" w:eastAsia="Times New Roman" w:hAnsi="Times New Roman"/>
          <w:sz w:val="18"/>
          <w:szCs w:val="18"/>
          <w:color w:val="auto"/>
        </w:rPr>
        <w:t>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website located at http://www.sec.gov as well as on our website at www.amdocs.com. Requests for copies of our Annual Report on Form 20-F should be provided to our principal U.S. subsidiary at:</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Amdocs,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1390 Timberlake Manor Parkway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Chesterfield, Missouri 63017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Fax: (314) 212-8358</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dox_info@amdocs.com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Mr. Matthew E. Smith</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Secretary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12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D.F. King &amp; Co., Inc. to assist in the solicitation of proxies. We will also reimburse brokerage houses and other custodians, nominees and fiduciaries for their expenses in accordance with Nasdaq rules concerning the sending of proxies and proxy materials to the beneficial owners of our ordinary shares.</w:t>
      </w:r>
    </w:p>
    <w:p>
      <w:pPr>
        <w:spacing w:after="0" w:line="21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17145</wp:posOffset>
            </wp:positionV>
            <wp:extent cx="25641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620" w:val="left"/>
        </w:tabs>
        <w:rPr>
          <w:sz w:val="20"/>
          <w:szCs w:val="20"/>
          <w:color w:val="auto"/>
        </w:rPr>
      </w:pPr>
      <w:r>
        <w:rPr>
          <w:rFonts w:ascii="Times New Roman" w:cs="Times New Roman" w:eastAsia="Times New Roman" w:hAnsi="Times New Roman"/>
          <w:sz w:val="18"/>
          <w:szCs w:val="18"/>
          <w:color w:val="auto"/>
        </w:rPr>
        <w:t>Name:</w:t>
        <w:tab/>
        <w:t>Matthew E. Smith</w:t>
      </w:r>
    </w:p>
    <w:p>
      <w:pPr>
        <w:spacing w:after="0" w:line="27" w:lineRule="exact"/>
        <w:rPr>
          <w:sz w:val="20"/>
          <w:szCs w:val="20"/>
          <w:color w:val="auto"/>
        </w:rPr>
      </w:pPr>
    </w:p>
    <w:p>
      <w:pPr>
        <w:ind w:left="698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 2017</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CATEGORICAL STANDARDS</w:t>
      </w:r>
    </w:p>
    <w:p>
      <w:pPr>
        <w:spacing w:after="0" w:line="229"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In addition to applying the requirements under the NASDAQ rules, the Board has adopted guidelines to assist it in determining whether a director has a relationship that would interfere with the exercise of independent judgment in carrying out the responsibilities of a director. Under these guidelines, a director will be considered to have such a relationship if during the last three years prior to the independence determination date:</w:t>
      </w:r>
    </w:p>
    <w:p>
      <w:pPr>
        <w:spacing w:after="0" w:line="80" w:lineRule="exact"/>
        <w:rPr>
          <w:sz w:val="20"/>
          <w:szCs w:val="20"/>
          <w:color w:val="auto"/>
        </w:rPr>
      </w:pPr>
    </w:p>
    <w:p>
      <w:pPr>
        <w:ind w:left="860" w:right="160" w:hanging="424"/>
        <w:spacing w:after="0" w:line="267" w:lineRule="auto"/>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Charitable Contributions</w:t>
      </w:r>
      <w:r>
        <w:rPr>
          <w:rFonts w:ascii="Times New Roman" w:cs="Times New Roman" w:eastAsia="Times New Roman" w:hAnsi="Times New Roman"/>
          <w:sz w:val="18"/>
          <w:szCs w:val="18"/>
          <w:color w:val="auto"/>
        </w:rPr>
        <w:t>. The director, or an immediate family member of the director, has served as an executive officer of a charitable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 that receives payments from the Company in an amount which, in any single fiscal year since the determination date, exceeds the greater of $200,000, or 5% of such charitable organization’s revenues;</w:t>
      </w:r>
    </w:p>
    <w:p>
      <w:pPr>
        <w:spacing w:after="0" w:line="78" w:lineRule="exact"/>
        <w:rPr>
          <w:rFonts w:ascii="Times New Roman" w:cs="Times New Roman" w:eastAsia="Times New Roman" w:hAnsi="Times New Roman"/>
          <w:sz w:val="18"/>
          <w:szCs w:val="18"/>
          <w:color w:val="auto"/>
        </w:rPr>
      </w:pPr>
    </w:p>
    <w:p>
      <w:pPr>
        <w:ind w:left="860" w:hanging="424"/>
        <w:spacing w:after="0" w:line="261" w:lineRule="auto"/>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The director or an immediate family member of the director has served, as an executive officer of another company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revenues;</w:t>
      </w:r>
    </w:p>
    <w:p>
      <w:pPr>
        <w:spacing w:after="0" w:line="182" w:lineRule="exact"/>
        <w:rPr>
          <w:sz w:val="20"/>
          <w:szCs w:val="20"/>
          <w:color w:val="auto"/>
        </w:rPr>
      </w:pPr>
    </w:p>
    <w:p>
      <w:pPr>
        <w:jc w:val="both"/>
        <w:ind w:right="120" w:firstLine="441"/>
        <w:spacing w:after="0" w:line="266" w:lineRule="auto"/>
        <w:rPr>
          <w:sz w:val="20"/>
          <w:szCs w:val="20"/>
          <w:color w:val="auto"/>
        </w:rPr>
      </w:pPr>
      <w:r>
        <w:rPr>
          <w:rFonts w:ascii="Times New Roman" w:cs="Times New Roman" w:eastAsia="Times New Roman" w:hAnsi="Times New Roman"/>
          <w:sz w:val="18"/>
          <w:szCs w:val="18"/>
          <w:color w:val="auto"/>
        </w:rPr>
        <w:t>For purposes of the above standards: (i) “COMPANY” includes Amdocs Limited and any parent or subsidiary that would be required under U.S. generally accepted accounting principles to prepare financial statements on a consolidated basis; and (ii) “IMMEDIATE FAMILY MEMBER” includes a person’s spouse, parents, children, and siblings, whether by blood, marriage, or adoption, or anyone residing in such person’s home.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GENERAL MEETING OF SHAREHOLDERS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26, 2018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INTERNET AVAILABILITY OF PROXY MATERIAL: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Notice of Meeting, Proxy Statement, Proxy Card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are available at www.amdocs.com/proxy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sign, date and mail</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your proxy card in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envelope provided as soon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possible.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 Please detach along perforated line and mail in the envelope provided. 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AMDOCS’ BOARD OF DIRECTORS RECOMMENDS A VOTE “FOR”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6997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AND A VOTE “FOR” PROPOSALS 2, 3 AND 4.</w:t>
      </w:r>
    </w:p>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6997700" cy="3456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345630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p>
      <w:pPr>
        <w:spacing w:after="0" w:line="125" w:lineRule="exact"/>
        <w:rPr>
          <w:sz w:val="20"/>
          <w:szCs w:val="20"/>
          <w:color w:val="auto"/>
        </w:rPr>
      </w:pPr>
    </w:p>
    <w:p>
      <w:pPr>
        <w:ind w:left="300" w:hanging="296"/>
        <w:spacing w:after="0"/>
        <w:tabs>
          <w:tab w:leader="none" w:pos="3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DIRECTORS:FOR  AGAINST  ABSTAIN</w:t>
      </w:r>
    </w:p>
    <w:p>
      <w:pPr>
        <w:spacing w:after="0" w:line="86"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Robert A. Minicucci</w:t>
            </w:r>
          </w:p>
        </w:tc>
        <w:tc>
          <w:tcPr>
            <w:tcW w:w="8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Adrian Gardner</w:t>
            </w:r>
          </w:p>
        </w:tc>
        <w:tc>
          <w:tcPr>
            <w:tcW w:w="8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John T. McLennan</w:t>
            </w:r>
          </w:p>
        </w:tc>
        <w:tc>
          <w:tcPr>
            <w:tcW w:w="8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Zohar Zisapel</w:t>
            </w:r>
          </w:p>
        </w:tc>
        <w:tc>
          <w:tcPr>
            <w:tcW w:w="8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Julian A. Brodsky</w:t>
            </w:r>
          </w:p>
        </w:tc>
        <w:tc>
          <w:tcPr>
            <w:tcW w:w="8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Eli Gelman</w:t>
            </w:r>
          </w:p>
        </w:tc>
        <w:tc>
          <w:tcPr>
            <w:tcW w:w="8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James S. Kahan</w:t>
            </w:r>
          </w:p>
        </w:tc>
        <w:tc>
          <w:tcPr>
            <w:tcW w:w="8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Richard T.C. LeFave</w:t>
            </w:r>
          </w:p>
        </w:tc>
        <w:tc>
          <w:tcPr>
            <w:tcW w:w="8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Giora Yaron</w:t>
            </w:r>
          </w:p>
        </w:tc>
        <w:tc>
          <w:tcPr>
            <w:tcW w:w="8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Ariane de Rothschild</w:t>
            </w:r>
          </w:p>
        </w:tc>
        <w:tc>
          <w:tcPr>
            <w:tcW w:w="800" w:type="dxa"/>
            <w:vAlign w:val="bottom"/>
            <w:vMerge w:val="restart"/>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vMerge w:val="restart"/>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09"/>
        </w:trPr>
        <w:tc>
          <w:tcPr>
            <w:tcW w:w="1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Rafael de la Vega</w:t>
            </w:r>
          </w:p>
        </w:tc>
        <w:tc>
          <w:tcPr>
            <w:tcW w:w="8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660" w:type="dxa"/>
            <w:vAlign w:val="bottom"/>
            <w:vMerge w:val="continue"/>
          </w:tcPr>
          <w:p>
            <w:pPr>
              <w:spacing w:after="0"/>
              <w:rPr>
                <w:sz w:val="14"/>
                <w:szCs w:val="14"/>
                <w:color w:val="auto"/>
              </w:rPr>
            </w:pPr>
          </w:p>
        </w:tc>
        <w:tc>
          <w:tcPr>
            <w:tcW w:w="800" w:type="dxa"/>
            <w:vAlign w:val="bottom"/>
            <w:vMerge w:val="restart"/>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vMerge w:val="restart"/>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36"/>
        </w:trPr>
        <w:tc>
          <w:tcPr>
            <w:tcW w:w="16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540" w:type="dxa"/>
            <w:vAlign w:val="bottom"/>
            <w:tcBorders>
              <w:top w:val="single" w:sz="8" w:color="auto"/>
            </w:tcBorders>
            <w:gridSpan w:val="2"/>
          </w:tcPr>
          <w:p>
            <w:pPr>
              <w:spacing w:after="0" w:line="139" w:lineRule="exact"/>
              <w:rPr>
                <w:sz w:val="20"/>
                <w:szCs w:val="20"/>
                <w:color w:val="auto"/>
              </w:rPr>
            </w:pPr>
            <w:r>
              <w:rPr>
                <w:rFonts w:ascii="Times New Roman" w:cs="Times New Roman" w:eastAsia="Times New Roman" w:hAnsi="Times New Roman"/>
                <w:sz w:val="14"/>
                <w:szCs w:val="14"/>
                <w:color w:val="auto"/>
              </w:rPr>
              <w:t>To change the address on your account, please check the</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box at right and indicate your new address in the address</w:t>
            </w:r>
          </w:p>
        </w:tc>
        <w:tc>
          <w:tcPr>
            <w:tcW w:w="760" w:type="dxa"/>
            <w:vAlign w:val="bottom"/>
            <w:gridSpan w:val="3"/>
            <w:vMerge w:val="restart"/>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space above. Please note that changes to the registered</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name(s) on the account may not be submitted via this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method.</w:t>
            </w: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Signature of Shareholder</w:t>
            </w:r>
          </w:p>
        </w:tc>
        <w:tc>
          <w:tcPr>
            <w:tcW w:w="1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w w:val="92"/>
              </w:rPr>
              <w:t>Date:</w:t>
            </w:r>
          </w:p>
        </w:tc>
        <w:tc>
          <w:tcPr>
            <w:tcW w:w="0" w:type="dxa"/>
            <w:vAlign w:val="bottom"/>
          </w:tcPr>
          <w:p>
            <w:pPr>
              <w:spacing w:after="0"/>
              <w:rPr>
                <w:sz w:val="1"/>
                <w:szCs w:val="1"/>
                <w:color w:val="auto"/>
              </w:rPr>
            </w:pPr>
          </w:p>
        </w:tc>
      </w:tr>
      <w:tr>
        <w:trPr>
          <w:trHeight w:val="142"/>
        </w:trPr>
        <w:tc>
          <w:tcPr>
            <w:tcW w:w="1780" w:type="dxa"/>
            <w:vAlign w:val="bottom"/>
            <w:vMerge w:val="continue"/>
          </w:tcPr>
          <w:p>
            <w:pPr>
              <w:spacing w:after="0"/>
              <w:rPr>
                <w:sz w:val="12"/>
                <w:szCs w:val="12"/>
                <w:color w:val="auto"/>
              </w:rPr>
            </w:pPr>
          </w:p>
        </w:tc>
        <w:tc>
          <w:tcPr>
            <w:tcW w:w="1760" w:type="dxa"/>
            <w:vAlign w:val="bottom"/>
            <w:tcBorders>
              <w:left w:val="single" w:sz="8" w:color="auto"/>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6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8"/>
              </w:rPr>
              <w:t>ABSTAIN</w:t>
            </w:r>
          </w:p>
        </w:tc>
      </w:tr>
      <w:tr>
        <w:trPr>
          <w:trHeight w:val="226"/>
        </w:trPr>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75"/>
              </w:rPr>
              <w:t>2.</w:t>
            </w:r>
          </w:p>
        </w:tc>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approve an increase in the dividend rate under our quarterly cash dividend</w:t>
            </w: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8"/>
        </w:trPr>
        <w:tc>
          <w:tcPr>
            <w:tcW w:w="240" w:type="dxa"/>
            <w:vAlign w:val="bottom"/>
          </w:tcPr>
          <w:p>
            <w:pPr>
              <w:spacing w:after="0"/>
              <w:rPr>
                <w:sz w:val="16"/>
                <w:szCs w:val="16"/>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program from $0.22 per share to $0.25 per share (Proposal II).</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811"/>
        </w:trPr>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75"/>
              </w:rPr>
              <w:t>3.</w:t>
            </w:r>
          </w:p>
        </w:tc>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approve our Consolidated Financial Statements for the fiscal year ended</w:t>
            </w: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8"/>
        </w:trPr>
        <w:tc>
          <w:tcPr>
            <w:tcW w:w="240" w:type="dxa"/>
            <w:vAlign w:val="bottom"/>
          </w:tcPr>
          <w:p>
            <w:pPr>
              <w:spacing w:after="0"/>
              <w:rPr>
                <w:sz w:val="16"/>
                <w:szCs w:val="16"/>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September 30, 2017 (Proposal III).</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642"/>
        </w:trPr>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75"/>
              </w:rPr>
              <w:t>4.</w:t>
            </w:r>
          </w:p>
        </w:tc>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ratify and approve the appointment of Ernst &amp; Young LLP as our</w:t>
            </w: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bl>
    <w:p>
      <w:pPr>
        <w:ind w:left="360" w:right="1900"/>
        <w:spacing w:after="0" w:line="228" w:lineRule="auto"/>
        <w:rPr>
          <w:sz w:val="20"/>
          <w:szCs w:val="20"/>
          <w:color w:val="auto"/>
        </w:rPr>
      </w:pPr>
      <w:r>
        <w:rPr>
          <w:rFonts w:ascii="Times New Roman" w:cs="Times New Roman" w:eastAsia="Times New Roman" w:hAnsi="Times New Roman"/>
          <w:sz w:val="14"/>
          <w:szCs w:val="14"/>
          <w:color w:val="auto"/>
        </w:rPr>
        <w:t>independent registered public accounting firm for the fiscal year ending September 30, 2018,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Our shareholders will also act on such other business as may properly come before the annual general meeting.</w:t>
      </w:r>
    </w:p>
    <w:p>
      <w:pPr>
        <w:spacing w:after="0" w:line="109" w:lineRule="exact"/>
        <w:rPr>
          <w:sz w:val="20"/>
          <w:szCs w:val="20"/>
          <w:color w:val="auto"/>
        </w:rPr>
      </w:pPr>
    </w:p>
    <w:p>
      <w:pPr>
        <w:ind w:left="220"/>
        <w:spacing w:after="0" w:line="241" w:lineRule="auto"/>
        <w:rPr>
          <w:sz w:val="20"/>
          <w:szCs w:val="20"/>
          <w:color w:val="auto"/>
        </w:rPr>
      </w:pPr>
      <w:r>
        <w:rPr>
          <w:rFonts w:ascii="Times New Roman" w:cs="Times New Roman" w:eastAsia="Times New Roman" w:hAnsi="Times New Roman"/>
          <w:sz w:val="14"/>
          <w:szCs w:val="14"/>
          <w:color w:val="auto"/>
        </w:rPr>
        <w:t>The Board of Directors has fixed the close of business on November 30, 2017 as the record date for the determination of our shareholders entitled to notice of, and to vote on the matters proposed at, the annual general meeting and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49530</wp:posOffset>
            </wp:positionV>
            <wp:extent cx="565785" cy="111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 cy="11176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49530</wp:posOffset>
            </wp:positionV>
            <wp:extent cx="565785" cy="111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 cy="111760"/>
                    </a:xfrm>
                    <a:prstGeom prst="rect">
                      <a:avLst/>
                    </a:prstGeom>
                    <a:noFill/>
                  </pic:spPr>
                </pic:pic>
              </a:graphicData>
            </a:graphic>
          </wp:anchor>
        </w:drawing>
      </w:r>
    </w:p>
    <w:p>
      <w:pPr>
        <w:spacing w:after="0" w:line="38" w:lineRule="exact"/>
        <w:rPr>
          <w:sz w:val="20"/>
          <w:szCs w:val="20"/>
          <w:color w:val="auto"/>
        </w:rPr>
      </w:pPr>
    </w:p>
    <w:tbl>
      <w:tblPr>
        <w:tblLayout w:type="fixed"/>
        <w:tblInd w:w="1020" w:type="dxa"/>
        <w:tblCellMar>
          <w:top w:w="0" w:type="dxa"/>
          <w:left w:w="0" w:type="dxa"/>
          <w:bottom w:w="0" w:type="dxa"/>
          <w:right w:w="0" w:type="dxa"/>
        </w:tblCellMar>
      </w:tblPr>
      <w:tr>
        <w:trPr>
          <w:trHeight w:val="162"/>
        </w:trPr>
        <w:tc>
          <w:tcPr>
            <w:tcW w:w="1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Signature of Shareholder</w:t>
            </w:r>
          </w:p>
        </w:tc>
        <w:tc>
          <w:tcPr>
            <w:tcW w:w="2860" w:type="dxa"/>
            <w:vAlign w:val="bottom"/>
            <w:tcBorders>
              <w:top w:val="single" w:sz="8" w:color="auto"/>
              <w:bottom w:val="single" w:sz="8" w:color="auto"/>
              <w:right w:val="single" w:sz="8" w:color="auto"/>
            </w:tcBorders>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Date:</w:t>
            </w:r>
          </w:p>
        </w:tc>
      </w:tr>
    </w:tbl>
    <w:p>
      <w:pPr>
        <w:spacing w:after="0" w:line="5" w:lineRule="exact"/>
        <w:rPr>
          <w:sz w:val="20"/>
          <w:szCs w:val="20"/>
          <w:color w:val="auto"/>
        </w:rPr>
      </w:pPr>
    </w:p>
    <w:p>
      <w:pPr>
        <w:sectPr>
          <w:pgSz w:w="11900" w:h="16838" w:orient="portrait"/>
          <w:cols w:equalWidth="0" w:num="2">
            <w:col w:w="4300" w:space="0"/>
            <w:col w:w="6720"/>
          </w:cols>
          <w:pgMar w:left="440" w:top="266" w:right="4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10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Please sign exactly as your name or names appear on this Proxy. When shares are held jointly, each holder should sign. When signing as executor, administrator, attorney,</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2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trustee or guardian, please give full title as such. If the signer is a corporation, please sign full corporate name by duly authorized officer, giving full title as such. If signer is a</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88"/>
        </w:trPr>
        <w:tc>
          <w:tcPr>
            <w:tcW w:w="160" w:type="dxa"/>
            <w:vAlign w:val="bottom"/>
            <w:vMerge w:val="continue"/>
          </w:tcPr>
          <w:p>
            <w:pPr>
              <w:spacing w:after="0"/>
              <w:rPr>
                <w:sz w:val="16"/>
                <w:szCs w:val="16"/>
                <w:color w:val="auto"/>
              </w:rPr>
            </w:pPr>
          </w:p>
        </w:tc>
        <w:tc>
          <w:tcPr>
            <w:tcW w:w="106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partnership, please sign in partnership name by authorized person.</w:t>
            </w:r>
          </w:p>
        </w:tc>
        <w:tc>
          <w:tcPr>
            <w:tcW w:w="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9720"/>
        <w:spacing w:after="0"/>
        <w:tabs>
          <w:tab w:leader="none" w:pos="10920" w:val="left"/>
        </w:tabs>
        <w:rPr>
          <w:sz w:val="20"/>
          <w:szCs w:val="20"/>
          <w:color w:val="auto"/>
        </w:rPr>
      </w:pPr>
      <w:r>
        <w:rPr>
          <w:rFonts w:ascii="Times New Roman" w:cs="Times New Roman" w:eastAsia="Times New Roman" w:hAnsi="Times New Roman"/>
          <w:sz w:val="18"/>
          <w:szCs w:val="18"/>
          <w:color w:val="auto"/>
        </w:rPr>
        <w:t>0</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29"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The undersigned hereby appoints Robert A. Minicucci and Amir Kaiser as Proxies, each with the power to appoint his substitute, and hereby authorizes them to represent and vote, as designated on the reverse side, all Ordinary Shares of Amdocs Limited (the “Company”) held of record by the undersigned on November 30, 2017, at the annual General Meeting of shareholders to be held on January 26, 2018 or any adjournment thereof.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56" w:lineRule="exact"/>
        <w:rPr>
          <w:sz w:val="20"/>
          <w:szCs w:val="20"/>
          <w:color w:val="auto"/>
        </w:rPr>
      </w:pPr>
    </w:p>
    <w:p>
      <w:pPr>
        <w:spacing w:after="0"/>
        <w:tabs>
          <w:tab w:leader="none" w:pos="10380" w:val="left"/>
        </w:tabs>
        <w:rPr>
          <w:sz w:val="20"/>
          <w:szCs w:val="20"/>
          <w:color w:val="auto"/>
        </w:rPr>
      </w:pPr>
      <w:r>
        <w:rPr>
          <w:rFonts w:ascii="Times New Roman" w:cs="Times New Roman" w:eastAsia="Times New Roman" w:hAnsi="Times New Roman"/>
          <w:sz w:val="18"/>
          <w:szCs w:val="18"/>
          <w:color w:val="auto"/>
        </w:rPr>
        <w:t>¢ 11</w:t>
      </w:r>
      <w:r>
        <w:rPr>
          <w:sz w:val="20"/>
          <w:szCs w:val="20"/>
          <w:color w:val="auto"/>
        </w:rPr>
        <w:tab/>
      </w:r>
      <w:r>
        <w:rPr>
          <w:rFonts w:ascii="Times New Roman" w:cs="Times New Roman" w:eastAsia="Times New Roman" w:hAnsi="Times New Roman"/>
          <w:sz w:val="18"/>
          <w:szCs w:val="18"/>
          <w:color w:val="auto"/>
        </w:rPr>
        <w:t>14475 ¢</w:t>
      </w:r>
    </w:p>
    <w:p>
      <w:pPr>
        <w:sectPr>
          <w:pgSz w:w="11900" w:h="16838" w:orient="portrait"/>
          <w:cols w:equalWidth="0" w:num="1">
            <w:col w:w="11020"/>
          </w:cols>
          <w:pgMar w:left="440" w:top="1440" w:right="4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GENERAL MEETING OF SHAREHOLDERS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174625</wp:posOffset>
            </wp:positionV>
            <wp:extent cx="2324100" cy="317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24100" cy="317500"/>
                    </a:xfrm>
                    <a:prstGeom prst="rect">
                      <a:avLst/>
                    </a:prstGeom>
                    <a:noFill/>
                  </pic:spPr>
                </pic:pic>
              </a:graphicData>
            </a:graphic>
          </wp:anchor>
        </w:drawing>
      </w:r>
    </w:p>
    <w:p>
      <w:pPr>
        <w:spacing w:after="0" w:line="36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PROXY VOTING INSTRUCTIONS</w:t>
      </w:r>
    </w:p>
    <w:p>
      <w:pPr>
        <w:sectPr>
          <w:pgSz w:w="11900" w:h="16838" w:orient="portrait"/>
          <w:cols w:equalWidth="0" w:num="1">
            <w:col w:w="11040"/>
          </w:cols>
          <w:pgMar w:left="440" w:top="266" w:right="4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INTERNET</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Access “</w:t>
      </w:r>
      <w:r>
        <w:rPr>
          <w:rFonts w:ascii="Times New Roman" w:cs="Times New Roman" w:eastAsia="Times New Roman" w:hAnsi="Times New Roman"/>
          <w:sz w:val="18"/>
          <w:szCs w:val="18"/>
          <w:b w:val="1"/>
          <w:bCs w:val="1"/>
          <w:color w:val="auto"/>
        </w:rPr>
        <w:t>www.voteproxy.com</w:t>
      </w:r>
      <w:r>
        <w:rPr>
          <w:rFonts w:ascii="Times New Roman" w:cs="Times New Roman" w:eastAsia="Times New Roman" w:hAnsi="Times New Roman"/>
          <w:sz w:val="18"/>
          <w:szCs w:val="18"/>
          <w:color w:val="auto"/>
        </w:rPr>
        <w:t>” and follow the on-screen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or scan the QR code with your smartphone. Have your proxy card available when you access the web page.</w:t>
      </w:r>
    </w:p>
    <w:p>
      <w:pPr>
        <w:spacing w:after="0" w:line="76"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TELEPHONE</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Call toll-free</w:t>
      </w:r>
      <w:r>
        <w:rPr>
          <w:rFonts w:ascii="Times New Roman" w:cs="Times New Roman" w:eastAsia="Times New Roman" w:hAnsi="Times New Roman"/>
          <w:sz w:val="18"/>
          <w:szCs w:val="18"/>
          <w:b w:val="1"/>
          <w:bCs w:val="1"/>
          <w:color w:val="auto"/>
        </w:rPr>
        <w:t xml:space="preserve"> 1-800-PROXIES </w:t>
      </w:r>
      <w:r>
        <w:rPr>
          <w:rFonts w:ascii="Times New Roman" w:cs="Times New Roman" w:eastAsia="Times New Roman" w:hAnsi="Times New Roman"/>
          <w:sz w:val="18"/>
          <w:szCs w:val="18"/>
          <w:color w:val="auto"/>
        </w:rPr>
        <w:t>(1-800-776-9437)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United States or </w:t>
      </w:r>
      <w:r>
        <w:rPr>
          <w:rFonts w:ascii="Times New Roman" w:cs="Times New Roman" w:eastAsia="Times New Roman" w:hAnsi="Times New Roman"/>
          <w:sz w:val="18"/>
          <w:szCs w:val="18"/>
          <w:b w:val="1"/>
          <w:bCs w:val="1"/>
          <w:color w:val="auto"/>
        </w:rPr>
        <w:t>1-718-921-8500</w:t>
      </w:r>
      <w:r>
        <w:rPr>
          <w:rFonts w:ascii="Times New Roman" w:cs="Times New Roman" w:eastAsia="Times New Roman" w:hAnsi="Times New Roman"/>
          <w:sz w:val="18"/>
          <w:szCs w:val="18"/>
          <w:color w:val="auto"/>
        </w:rPr>
        <w:t xml:space="preserve"> from foreign countries from any touch-tone telephone and follow the instructions. Have your proxy card available when you call.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online/phone until 11:59 PM EST the day before the meeting.</w:t>
      </w:r>
    </w:p>
    <w:p>
      <w:pPr>
        <w:spacing w:after="0" w:line="12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MAIL</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Sign, date and mail your proxy card in the envelope provided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soon as possible.</w:t>
      </w:r>
    </w:p>
    <w:p>
      <w:pPr>
        <w:spacing w:after="0" w:line="6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IN PERSON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You may vote your shares in person by attending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-203835</wp:posOffset>
            </wp:positionV>
            <wp:extent cx="3078480" cy="9690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78480" cy="96901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-752475</wp:posOffset>
            </wp:positionV>
            <wp:extent cx="342900" cy="3517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0" cy="351790"/>
                    </a:xfrm>
                    <a:prstGeom prst="rect">
                      <a:avLst/>
                    </a:prstGeom>
                    <a:noFill/>
                  </pic:spPr>
                </pic:pic>
              </a:graphicData>
            </a:graphic>
          </wp:anchor>
        </w:drawing>
      </w: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ACCOUNT NUMBER</w:t>
      </w:r>
    </w:p>
    <w:p>
      <w:pPr>
        <w:spacing w:after="0" w:line="1364" w:lineRule="exact"/>
        <w:rPr>
          <w:sz w:val="20"/>
          <w:szCs w:val="20"/>
          <w:color w:val="auto"/>
        </w:rPr>
      </w:pPr>
    </w:p>
    <w:p>
      <w:pPr>
        <w:sectPr>
          <w:pgSz w:w="11900" w:h="16838" w:orient="portrait"/>
          <w:cols w:equalWidth="0" w:num="2">
            <w:col w:w="5840" w:space="720"/>
            <w:col w:w="4480"/>
          </w:cols>
          <w:pgMar w:left="440" w:top="266" w:right="419" w:bottom="1440" w:gutter="0" w:footer="0" w:header="0"/>
          <w:type w:val="continuous"/>
        </w:sectPr>
      </w:pPr>
    </w:p>
    <w:p>
      <w:pPr>
        <w:spacing w:after="0" w:line="9" w:lineRule="exact"/>
        <w:rPr>
          <w:sz w:val="20"/>
          <w:szCs w:val="20"/>
          <w:color w:val="auto"/>
        </w:rPr>
      </w:pPr>
    </w:p>
    <w:p>
      <w:pPr>
        <w:jc w:val="center"/>
        <w:ind w:left="760" w:right="6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NOTICE OF INTERNET AVAILABILITY OF PROXY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Notice of Meeting, Proxy Statement,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available at www.amdocs.com/proxy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006590" cy="300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6590" cy="3003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i Please detach along perforated line and mail in the envelope provided </w:t>
      </w:r>
      <w:r>
        <w:rPr>
          <w:rFonts w:ascii="Times New Roman" w:cs="Times New Roman" w:eastAsia="Times New Roman" w:hAnsi="Times New Roman"/>
          <w:sz w:val="14"/>
          <w:szCs w:val="14"/>
          <w:u w:val="single" w:color="auto"/>
          <w:color w:val="auto"/>
        </w:rPr>
        <w:t>IF</w:t>
      </w:r>
      <w:r>
        <w:rPr>
          <w:rFonts w:ascii="Times New Roman" w:cs="Times New Roman" w:eastAsia="Times New Roman" w:hAnsi="Times New Roman"/>
          <w:sz w:val="14"/>
          <w:szCs w:val="14"/>
          <w:color w:val="auto"/>
        </w:rPr>
        <w:t xml:space="preserve"> you are not voting via telephone or the Internet. i</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AMDOCS’ BOARD OF DIRECTORS RECOMMENDS A VOTE “FOR”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AND A VOTE “FOR” PROPOSALS 2, 3 AND 4</w:t>
      </w:r>
    </w:p>
    <w:p>
      <w:pPr>
        <w:ind w:left="18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6997700" cy="3473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700" cy="3473450"/>
                    </a:xfrm>
                    <a:prstGeom prst="rect">
                      <a:avLst/>
                    </a:prstGeom>
                    <a:noFill/>
                  </pic:spPr>
                </pic:pic>
              </a:graphicData>
            </a:graphic>
          </wp:anchor>
        </w:drawing>
      </w:r>
    </w:p>
    <w:p>
      <w:pPr>
        <w:sectPr>
          <w:pgSz w:w="11900" w:h="16838" w:orient="portrait"/>
          <w:cols w:equalWidth="0" w:num="1">
            <w:col w:w="11040"/>
          </w:cols>
          <w:pgMar w:left="440" w:top="266" w:right="419" w:bottom="1440" w:gutter="0" w:footer="0" w:header="0"/>
          <w:type w:val="continuous"/>
        </w:sectPr>
      </w:pPr>
    </w:p>
    <w:p>
      <w:pPr>
        <w:spacing w:after="0" w:line="31" w:lineRule="exact"/>
        <w:rPr>
          <w:sz w:val="20"/>
          <w:szCs w:val="20"/>
          <w:color w:val="auto"/>
        </w:rPr>
      </w:pPr>
    </w:p>
    <w:p>
      <w:pPr>
        <w:ind w:left="300" w:hanging="296"/>
        <w:spacing w:after="0"/>
        <w:tabs>
          <w:tab w:leader="none" w:pos="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DIRECTORS:    FOR  AGAINST  ABSTAIN</w:t>
      </w:r>
    </w:p>
    <w:p>
      <w:pPr>
        <w:spacing w:after="0" w:line="73"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Robert A. Minicucci</w:t>
            </w:r>
          </w:p>
        </w:tc>
        <w:tc>
          <w:tcPr>
            <w:tcW w:w="7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Adrian Gardner</w:t>
            </w:r>
          </w:p>
        </w:tc>
        <w:tc>
          <w:tcPr>
            <w:tcW w:w="7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John T. McLennan</w:t>
            </w:r>
          </w:p>
        </w:tc>
        <w:tc>
          <w:tcPr>
            <w:tcW w:w="7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Zohar Zisapel</w:t>
            </w:r>
          </w:p>
        </w:tc>
        <w:tc>
          <w:tcPr>
            <w:tcW w:w="7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Julian A. Brodsky</w:t>
            </w:r>
          </w:p>
        </w:tc>
        <w:tc>
          <w:tcPr>
            <w:tcW w:w="7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Eli Gelman</w:t>
            </w:r>
          </w:p>
        </w:tc>
        <w:tc>
          <w:tcPr>
            <w:tcW w:w="7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James S. Kahan</w:t>
            </w:r>
          </w:p>
        </w:tc>
        <w:tc>
          <w:tcPr>
            <w:tcW w:w="7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Richard T.C. LeFave</w:t>
            </w:r>
          </w:p>
        </w:tc>
        <w:tc>
          <w:tcPr>
            <w:tcW w:w="7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Giora Yaron</w:t>
            </w:r>
          </w:p>
        </w:tc>
        <w:tc>
          <w:tcPr>
            <w:tcW w:w="7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Ariane de Rothschild</w:t>
            </w:r>
          </w:p>
        </w:tc>
        <w:tc>
          <w:tcPr>
            <w:tcW w:w="760" w:type="dxa"/>
            <w:vAlign w:val="bottom"/>
            <w:vMerge w:val="restart"/>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vMerge w:val="restart"/>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09"/>
        </w:trPr>
        <w:tc>
          <w:tcPr>
            <w:tcW w:w="1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Rafael de la Vega</w:t>
            </w: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640" w:type="dxa"/>
            <w:vAlign w:val="bottom"/>
            <w:vMerge w:val="continue"/>
          </w:tcPr>
          <w:p>
            <w:pPr>
              <w:spacing w:after="0"/>
              <w:rPr>
                <w:sz w:val="14"/>
                <w:szCs w:val="14"/>
                <w:color w:val="auto"/>
              </w:rPr>
            </w:pPr>
          </w:p>
        </w:tc>
        <w:tc>
          <w:tcPr>
            <w:tcW w:w="760" w:type="dxa"/>
            <w:vAlign w:val="bottom"/>
            <w:vMerge w:val="restart"/>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vMerge w:val="restart"/>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36"/>
        </w:trPr>
        <w:tc>
          <w:tcPr>
            <w:tcW w:w="16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800"/>
        <w:spacing w:after="0" w:line="219" w:lineRule="auto"/>
        <w:rPr>
          <w:sz w:val="20"/>
          <w:szCs w:val="20"/>
          <w:color w:val="auto"/>
        </w:rPr>
      </w:pPr>
      <w:r>
        <w:rPr>
          <w:rFonts w:ascii="Times New Roman" w:cs="Times New Roman" w:eastAsia="Times New Roman" w:hAnsi="Times New Roman"/>
          <w:sz w:val="14"/>
          <w:szCs w:val="14"/>
          <w:color w:val="auto"/>
        </w:rPr>
        <w:t>To change the address on your account, please check the box at right and indicate your new address in the address space above. Please note that changes to the registered</w:t>
      </w:r>
    </w:p>
    <w:p>
      <w:pPr>
        <w:spacing w:after="0" w:line="1" w:lineRule="exact"/>
        <w:rPr>
          <w:sz w:val="20"/>
          <w:szCs w:val="20"/>
          <w:color w:val="auto"/>
        </w:rPr>
      </w:pPr>
    </w:p>
    <w:p>
      <w:pPr>
        <w:ind w:right="200"/>
        <w:spacing w:after="0" w:line="207" w:lineRule="exact"/>
        <w:rPr>
          <w:sz w:val="20"/>
          <w:szCs w:val="20"/>
          <w:color w:val="auto"/>
        </w:rPr>
      </w:pPr>
      <w:r>
        <w:rPr>
          <w:rFonts w:ascii="Times New Roman" w:cs="Times New Roman" w:eastAsia="Times New Roman" w:hAnsi="Times New Roman"/>
          <w:sz w:val="14"/>
          <w:szCs w:val="14"/>
          <w:color w:val="auto"/>
        </w:rPr>
        <w:t xml:space="preserve">name(s) on the account may not be submitted via this </w:t>
      </w:r>
      <w:r>
        <w:rPr>
          <w:rFonts w:ascii="MS PGothic" w:cs="MS PGothic" w:eastAsia="MS PGothic" w:hAnsi="MS PGothic"/>
          <w:sz w:val="18"/>
          <w:szCs w:val="18"/>
          <w:color w:val="auto"/>
        </w:rPr>
        <w:t>☐</w:t>
      </w:r>
      <w:r>
        <w:rPr>
          <w:rFonts w:ascii="Times New Roman" w:cs="Times New Roman" w:eastAsia="Times New Roman" w:hAnsi="Times New Roman"/>
          <w:sz w:val="14"/>
          <w:szCs w:val="14"/>
          <w:color w:val="auto"/>
        </w:rPr>
        <w:t xml:space="preserve"> method.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6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8"/>
              </w:rPr>
              <w:t>ABSTAIN</w:t>
            </w:r>
          </w:p>
        </w:tc>
      </w:tr>
      <w:tr>
        <w:trPr>
          <w:trHeight w:val="213"/>
        </w:trPr>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75"/>
              </w:rPr>
              <w:t>2.</w:t>
            </w:r>
          </w:p>
        </w:tc>
        <w:tc>
          <w:tcPr>
            <w:tcW w:w="4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 approve an increase in the dividend rate under our quarterly cash dividend</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8"/>
        </w:trPr>
        <w:tc>
          <w:tcPr>
            <w:tcW w:w="220" w:type="dxa"/>
            <w:vAlign w:val="bottom"/>
          </w:tcPr>
          <w:p>
            <w:pPr>
              <w:spacing w:after="0"/>
              <w:rPr>
                <w:sz w:val="16"/>
                <w:szCs w:val="16"/>
                <w:color w:val="auto"/>
              </w:rPr>
            </w:pPr>
          </w:p>
        </w:tc>
        <w:tc>
          <w:tcPr>
            <w:tcW w:w="4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program from $0.22 per share to $0.25 per share (Proposal II).</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717"/>
        </w:trPr>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75"/>
              </w:rPr>
              <w:t>3.</w:t>
            </w:r>
          </w:p>
        </w:tc>
        <w:tc>
          <w:tcPr>
            <w:tcW w:w="4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 approve our Consolidated Financial Statements for the fiscal year ended</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8"/>
        </w:trPr>
        <w:tc>
          <w:tcPr>
            <w:tcW w:w="220" w:type="dxa"/>
            <w:vAlign w:val="bottom"/>
          </w:tcPr>
          <w:p>
            <w:pPr>
              <w:spacing w:after="0"/>
              <w:rPr>
                <w:sz w:val="16"/>
                <w:szCs w:val="16"/>
                <w:color w:val="auto"/>
              </w:rPr>
            </w:pPr>
          </w:p>
        </w:tc>
        <w:tc>
          <w:tcPr>
            <w:tcW w:w="4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September 30, 2017 (Proposal III).</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717"/>
        </w:trPr>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75"/>
              </w:rPr>
              <w:t>4.</w:t>
            </w:r>
          </w:p>
        </w:tc>
        <w:tc>
          <w:tcPr>
            <w:tcW w:w="4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 ratify and approve the appointment of Ernst &amp; Young LLP as our</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55"/>
        </w:trPr>
        <w:tc>
          <w:tcPr>
            <w:tcW w:w="220" w:type="dxa"/>
            <w:vAlign w:val="bottom"/>
          </w:tcPr>
          <w:p>
            <w:pPr>
              <w:spacing w:after="0"/>
              <w:rPr>
                <w:sz w:val="13"/>
                <w:szCs w:val="13"/>
                <w:color w:val="auto"/>
              </w:rPr>
            </w:pPr>
          </w:p>
        </w:tc>
        <w:tc>
          <w:tcPr>
            <w:tcW w:w="468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independent registered public accounting firm for the fiscal year ending</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r>
    </w:tbl>
    <w:p>
      <w:pPr>
        <w:ind w:left="360" w:right="1940"/>
        <w:spacing w:after="0" w:line="230" w:lineRule="auto"/>
        <w:rPr>
          <w:sz w:val="20"/>
          <w:szCs w:val="20"/>
          <w:color w:val="auto"/>
        </w:rPr>
      </w:pPr>
      <w:r>
        <w:rPr>
          <w:rFonts w:ascii="Times New Roman" w:cs="Times New Roman" w:eastAsia="Times New Roman" w:hAnsi="Times New Roman"/>
          <w:sz w:val="14"/>
          <w:szCs w:val="14"/>
          <w:color w:val="auto"/>
        </w:rPr>
        <w:t>September 30, 2018,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right="2220"/>
        <w:spacing w:after="0" w:line="262" w:lineRule="auto"/>
        <w:rPr>
          <w:sz w:val="20"/>
          <w:szCs w:val="20"/>
          <w:color w:val="auto"/>
        </w:rPr>
      </w:pPr>
      <w:r>
        <w:rPr>
          <w:rFonts w:ascii="Times New Roman" w:cs="Times New Roman" w:eastAsia="Times New Roman" w:hAnsi="Times New Roman"/>
          <w:sz w:val="14"/>
          <w:szCs w:val="14"/>
          <w:color w:val="auto"/>
        </w:rPr>
        <w:t>Our shareholders will also act on such other business as may properly come before the annual general meeting.</w:t>
      </w:r>
    </w:p>
    <w:p>
      <w:pPr>
        <w:spacing w:after="0" w:line="67" w:lineRule="exact"/>
        <w:rPr>
          <w:sz w:val="20"/>
          <w:szCs w:val="20"/>
          <w:color w:val="auto"/>
        </w:rPr>
      </w:pPr>
    </w:p>
    <w:p>
      <w:pPr>
        <w:ind w:left="200" w:right="1960"/>
        <w:spacing w:after="0" w:line="236" w:lineRule="auto"/>
        <w:rPr>
          <w:sz w:val="20"/>
          <w:szCs w:val="20"/>
          <w:color w:val="auto"/>
        </w:rPr>
      </w:pPr>
      <w:r>
        <w:rPr>
          <w:rFonts w:ascii="Times New Roman" w:cs="Times New Roman" w:eastAsia="Times New Roman" w:hAnsi="Times New Roman"/>
          <w:sz w:val="14"/>
          <w:szCs w:val="14"/>
          <w:color w:val="auto"/>
        </w:rPr>
        <w:t>The Board of Directors has fixed the close of business on November 30, 2017 as the record date for the determination of our shareholders entitled to notice of, and to vote on the matters proposed at, the annual general meeting and any adjournments thereof.</w:t>
      </w:r>
    </w:p>
    <w:p>
      <w:pPr>
        <w:spacing w:after="0" w:line="31" w:lineRule="exact"/>
        <w:rPr>
          <w:sz w:val="20"/>
          <w:szCs w:val="20"/>
          <w:color w:val="auto"/>
        </w:rPr>
      </w:pPr>
    </w:p>
    <w:p>
      <w:pPr>
        <w:sectPr>
          <w:pgSz w:w="11900" w:h="16838" w:orient="portrait"/>
          <w:cols w:equalWidth="0" w:num="2">
            <w:col w:w="4080" w:space="160"/>
            <w:col w:w="6800"/>
          </w:cols>
          <w:pgMar w:left="440" w:top="266" w:right="41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1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Signature of Shareholder</w:t>
            </w:r>
          </w:p>
        </w:tc>
        <w:tc>
          <w:tcPr>
            <w:tcW w:w="2520" w:type="dxa"/>
            <w:vAlign w:val="bottom"/>
            <w:tcBorders>
              <w:top w:val="single" w:sz="8" w:color="auto"/>
              <w:bottom w:val="single" w:sz="8" w:color="auto"/>
              <w:right w:val="single" w:sz="8" w:color="auto"/>
            </w:tcBorders>
          </w:tcPr>
          <w:p>
            <w:pPr>
              <w:spacing w:after="0"/>
              <w:rPr>
                <w:sz w:val="14"/>
                <w:szCs w:val="14"/>
                <w:color w:val="auto"/>
              </w:rPr>
            </w:pP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Date:</w:t>
            </w:r>
          </w:p>
        </w:tc>
        <w:tc>
          <w:tcPr>
            <w:tcW w:w="860" w:type="dxa"/>
            <w:vAlign w:val="bottom"/>
            <w:tcBorders>
              <w:top w:val="single" w:sz="8" w:color="auto"/>
              <w:bottom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w w:val="98"/>
              </w:rPr>
              <w:t>Signature of Shareholder</w:t>
            </w:r>
          </w:p>
        </w:tc>
        <w:tc>
          <w:tcPr>
            <w:tcW w:w="2140" w:type="dxa"/>
            <w:vAlign w:val="bottom"/>
            <w:tcBorders>
              <w:top w:val="single" w:sz="8" w:color="auto"/>
              <w:bottom w:val="single" w:sz="8" w:color="auto"/>
              <w:right w:val="single" w:sz="8" w:color="auto"/>
            </w:tcBorders>
          </w:tcPr>
          <w:p>
            <w:pPr>
              <w:spacing w:after="0"/>
              <w:rPr>
                <w:sz w:val="14"/>
                <w:szCs w:val="14"/>
                <w:color w:val="auto"/>
              </w:rPr>
            </w:pPr>
          </w:p>
        </w:tc>
        <w:tc>
          <w:tcPr>
            <w:tcW w:w="66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Date:</w:t>
            </w:r>
          </w:p>
        </w:tc>
        <w:tc>
          <w:tcPr>
            <w:tcW w:w="4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0" w:type="dxa"/>
            <w:vAlign w:val="bottom"/>
          </w:tcPr>
          <w:p>
            <w:pPr>
              <w:spacing w:after="0"/>
              <w:rPr>
                <w:sz w:val="13"/>
                <w:szCs w:val="13"/>
                <w:color w:val="auto"/>
              </w:rPr>
            </w:pPr>
          </w:p>
        </w:tc>
        <w:tc>
          <w:tcPr>
            <w:tcW w:w="10380" w:type="dxa"/>
            <w:vAlign w:val="bottom"/>
            <w:gridSpan w:val="9"/>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Please sign exactly as your name or names appear on this Proxy. When shares are held jointly, each holder should sign. When signing as executor, administrator,</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380" w:type="dxa"/>
            <w:vAlign w:val="bottom"/>
            <w:gridSpan w:val="9"/>
          </w:tcPr>
          <w:p>
            <w:pPr>
              <w:ind w:left="620"/>
              <w:spacing w:after="0" w:line="149" w:lineRule="exact"/>
              <w:rPr>
                <w:sz w:val="20"/>
                <w:szCs w:val="20"/>
                <w:color w:val="auto"/>
              </w:rPr>
            </w:pPr>
            <w:r>
              <w:rPr>
                <w:rFonts w:ascii="Times New Roman" w:cs="Times New Roman" w:eastAsia="Times New Roman" w:hAnsi="Times New Roman"/>
                <w:sz w:val="14"/>
                <w:szCs w:val="14"/>
                <w:color w:val="auto"/>
              </w:rPr>
              <w:t>attorney, trustee or guardian, please give full title as such. If the signer is a corporation, please sign full corporate name by duly authorized officer, giving full title as</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8"/>
        </w:trPr>
        <w:tc>
          <w:tcPr>
            <w:tcW w:w="280" w:type="dxa"/>
            <w:vAlign w:val="bottom"/>
            <w:vMerge w:val="continue"/>
          </w:tcPr>
          <w:p>
            <w:pPr>
              <w:spacing w:after="0"/>
              <w:rPr>
                <w:sz w:val="16"/>
                <w:szCs w:val="16"/>
                <w:color w:val="auto"/>
              </w:rPr>
            </w:pPr>
          </w:p>
        </w:tc>
        <w:tc>
          <w:tcPr>
            <w:tcW w:w="5660" w:type="dxa"/>
            <w:vAlign w:val="bottom"/>
            <w:gridSpan w:val="5"/>
          </w:tcPr>
          <w:p>
            <w:pPr>
              <w:ind w:left="620"/>
              <w:spacing w:after="0"/>
              <w:rPr>
                <w:sz w:val="20"/>
                <w:szCs w:val="20"/>
                <w:color w:val="auto"/>
              </w:rPr>
            </w:pPr>
            <w:r>
              <w:rPr>
                <w:rFonts w:ascii="Times New Roman" w:cs="Times New Roman" w:eastAsia="Times New Roman" w:hAnsi="Times New Roman"/>
                <w:sz w:val="14"/>
                <w:szCs w:val="14"/>
                <w:color w:val="auto"/>
              </w:rPr>
              <w:t>such. If signer is a partnership, please sign in partnership name by authorized person.</w:t>
            </w:r>
          </w:p>
        </w:tc>
        <w:tc>
          <w:tcPr>
            <w:tcW w:w="14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66" w:right="419" w:bottom="1440" w:gutter="0" w:footer="0" w:header="0"/>
          <w:type w:val="continuous"/>
        </w:sectPr>
      </w:pPr>
    </w:p>
    <w:bookmarkStart w:id="26" w:name="page27"/>
    <w:bookmarkEnd w:id="26"/>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17145</wp:posOffset>
            </wp:positionV>
            <wp:extent cx="25901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4" w:lineRule="exact"/>
        <w:rPr>
          <w:sz w:val="20"/>
          <w:szCs w:val="20"/>
          <w:color w:val="auto"/>
        </w:rPr>
      </w:pPr>
    </w:p>
    <w:p>
      <w:pPr>
        <w:ind w:left="6940"/>
        <w:spacing w:after="0"/>
        <w:tabs>
          <w:tab w:leader="none" w:pos="75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Matthew E. Smith</w:t>
      </w:r>
    </w:p>
    <w:p>
      <w:pPr>
        <w:spacing w:after="0" w:line="9" w:lineRule="exact"/>
        <w:rPr>
          <w:sz w:val="20"/>
          <w:szCs w:val="20"/>
          <w:color w:val="auto"/>
        </w:rPr>
      </w:pPr>
    </w:p>
    <w:p>
      <w:pPr>
        <w:ind w:left="6940"/>
        <w:spacing w:after="0"/>
        <w:tabs>
          <w:tab w:leader="none" w:pos="7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Secretary and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20, 2017</w:t>
      </w:r>
    </w:p>
    <w:sectPr>
      <w:pgSz w:w="11900" w:h="16838" w:orient="portrait"/>
      <w:cols w:equalWidth="0" w:num="1">
        <w:col w:w="10720"/>
      </w:cols>
      <w:pgMar w:left="440" w:top="266"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3"/>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65"/>
    </w:lvl>
  </w:abstractNum>
  <w:abstractNum w:abstractNumId="6">
    <w:nsid w:val="1F16E9E8"/>
    <w:multiLevelType w:val="hybridMultilevel"/>
    <w:lvl w:ilvl="0">
      <w:lvlJc w:val="left"/>
      <w:lvlText w:val="%1"/>
      <w:numFmt w:val="decimal"/>
      <w:start w:val="55"/>
    </w:lvl>
  </w:abstractNum>
  <w:abstractNum w:abstractNumId="7">
    <w:nsid w:val="1190CDE7"/>
    <w:multiLevelType w:val="hybridMultilevel"/>
    <w:lvl w:ilvl="0">
      <w:lvlJc w:val="left"/>
      <w:lvlText w:val="(%1)"/>
      <w:numFmt w:val="lowerRoman"/>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lowerRoman"/>
      <w:start w:val="2"/>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2019-12-06T09:45:17Z</dcterms:created>
  <dcterms:modified xsi:type="dcterms:W3CDTF">2019-12-06T09:45:17Z</dcterms:modified>
</cp:coreProperties>
</file>