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9 pages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360" w:right="11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3)1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G02602 10 3</w:t>
      </w:r>
    </w:p>
    <w:p>
      <w:pPr>
        <w:jc w:val="center"/>
        <w:ind w:right="165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Welsh, Carson, Anderson</w:t>
      </w:r>
    </w:p>
    <w:p>
      <w:pPr>
        <w:ind w:left="740"/>
        <w:spacing w:after="0" w:line="238" w:lineRule="auto"/>
        <w:rPr>
          <w:sz w:val="20"/>
          <w:szCs w:val="20"/>
          <w:color w:val="auto"/>
        </w:rPr>
      </w:pPr>
      <w:r>
        <w:rPr>
          <w:rFonts w:ascii="Courier New" w:cs="Courier New" w:eastAsia="Courier New" w:hAnsi="Courier New"/>
          <w:sz w:val="18"/>
          <w:szCs w:val="18"/>
          <w:color w:val="auto"/>
        </w:rPr>
        <w:t>&amp; Stowe IX, L.P.,</w:t>
      </w:r>
    </w:p>
    <w:p>
      <w:pPr>
        <w:ind w:left="740"/>
        <w:spacing w:after="0"/>
        <w:rPr>
          <w:sz w:val="20"/>
          <w:szCs w:val="20"/>
          <w:color w:val="auto"/>
        </w:rPr>
      </w:pPr>
      <w:r>
        <w:rPr>
          <w:rFonts w:ascii="Courier New" w:cs="Courier New" w:eastAsia="Courier New" w:hAnsi="Courier New"/>
          <w:sz w:val="18"/>
          <w:szCs w:val="18"/>
          <w:color w:val="auto"/>
        </w:rPr>
        <w:t>320 Park Avenue, Suite 2500</w:t>
      </w: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Attention: Jonathan M. Rather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William J. Hewitt, Esq.</w:t>
      </w:r>
    </w:p>
    <w:p>
      <w:pPr>
        <w:spacing w:after="0" w:line="238" w:lineRule="auto"/>
        <w:rPr>
          <w:sz w:val="20"/>
          <w:szCs w:val="20"/>
          <w:color w:val="auto"/>
        </w:rPr>
      </w:pPr>
      <w:r>
        <w:rPr>
          <w:rFonts w:ascii="Courier New" w:cs="Courier New" w:eastAsia="Courier New" w:hAnsi="Courier New"/>
          <w:sz w:val="18"/>
          <w:szCs w:val="18"/>
          <w:color w:val="auto"/>
        </w:rPr>
        <w:t>Ropes &amp; Gray LLP</w:t>
      </w:r>
    </w:p>
    <w:p>
      <w:pPr>
        <w:spacing w:after="0"/>
        <w:rPr>
          <w:sz w:val="20"/>
          <w:szCs w:val="20"/>
          <w:color w:val="auto"/>
        </w:rPr>
      </w:pPr>
      <w:r>
        <w:rPr>
          <w:rFonts w:ascii="Courier New" w:cs="Courier New" w:eastAsia="Courier New" w:hAnsi="Courier New"/>
          <w:sz w:val="18"/>
          <w:szCs w:val="18"/>
          <w:color w:val="auto"/>
        </w:rPr>
        <w:t>45 Rockefeller Plaza</w:t>
      </w:r>
    </w:p>
    <w:p>
      <w:pPr>
        <w:spacing w:after="0"/>
        <w:tabs>
          <w:tab w:leader="none" w:pos="20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10111</w:t>
      </w:r>
    </w:p>
    <w:p>
      <w:pPr>
        <w:spacing w:after="0" w:line="238" w:lineRule="auto"/>
        <w:rPr>
          <w:sz w:val="20"/>
          <w:szCs w:val="20"/>
          <w:color w:val="auto"/>
        </w:rPr>
      </w:pPr>
      <w:r>
        <w:rPr>
          <w:rFonts w:ascii="Courier New" w:cs="Courier New" w:eastAsia="Courier New" w:hAnsi="Courier New"/>
          <w:sz w:val="18"/>
          <w:szCs w:val="18"/>
          <w:color w:val="auto"/>
        </w:rPr>
        <w:t>Tel. (212) 841-5700</w:t>
      </w:r>
    </w:p>
    <w:p>
      <w:pPr>
        <w:spacing w:after="0" w:line="5" w:lineRule="exact"/>
        <w:rPr>
          <w:sz w:val="24"/>
          <w:szCs w:val="24"/>
          <w:color w:val="auto"/>
        </w:rPr>
      </w:pPr>
    </w:p>
    <w:p>
      <w:pPr>
        <w:sectPr>
          <w:pgSz w:w="11900" w:h="16838" w:orient="portrait"/>
          <w:cols w:equalWidth="0" w:num="2">
            <w:col w:w="4140" w:space="720"/>
            <w:col w:w="5359"/>
          </w:cols>
          <w:pgMar w:left="240" w:top="244"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Tel. (212) 893-9500</w:t>
      </w:r>
    </w:p>
    <w:p>
      <w:pPr>
        <w:sectPr>
          <w:pgSz w:w="11900" w:h="16838"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24, 2003</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4"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9 pages</w:t>
      </w:r>
    </w:p>
    <w:p>
      <w:pPr>
        <w:spacing w:after="0" w:line="200"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2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Welsh, Carson, Anderson &amp; Stowe IX, L.P.</w:t>
      </w:r>
    </w:p>
    <w:p>
      <w:pPr>
        <w:spacing w:after="0" w:line="825" w:lineRule="exact"/>
        <w:rPr>
          <w:sz w:val="24"/>
          <w:szCs w:val="24"/>
          <w:color w:val="auto"/>
        </w:rPr>
      </w:pPr>
    </w:p>
    <w:p>
      <w:pPr>
        <w:sectPr>
          <w:pgSz w:w="11900" w:h="16838" w:orient="portrait"/>
          <w:cols w:equalWidth="0" w:num="2">
            <w:col w:w="3400" w:space="720"/>
            <w:col w:w="6099"/>
          </w:cols>
          <w:pgMar w:left="240" w:top="244" w:right="1440"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4100" w:val="left"/>
        </w:tabs>
        <w:rPr>
          <w:sz w:val="20"/>
          <w:szCs w:val="20"/>
          <w:color w:val="auto"/>
        </w:rPr>
      </w:pPr>
      <w:r>
        <w:rPr>
          <w:rFonts w:ascii="Courier New" w:cs="Courier New" w:eastAsia="Courier New" w:hAnsi="Courier New"/>
          <w:sz w:val="18"/>
          <w:szCs w:val="18"/>
          <w:color w:val="auto"/>
        </w:rPr>
        <w:t>2)</w:t>
        <w:tab/>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420"/>
        <w:spacing w:after="0"/>
        <w:rPr>
          <w:sz w:val="20"/>
          <w:szCs w:val="20"/>
          <w:color w:val="auto"/>
        </w:rPr>
      </w:pPr>
      <w:r>
        <w:rPr>
          <w:rFonts w:ascii="Courier New" w:cs="Courier New" w:eastAsia="Courier New" w:hAnsi="Courier New"/>
          <w:sz w:val="18"/>
          <w:szCs w:val="18"/>
          <w:color w:val="auto"/>
        </w:rPr>
        <w:t>Required Pursuant to</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With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bl>
    <w:p>
      <w:pPr>
        <w:spacing w:after="0" w:line="207" w:lineRule="exact"/>
        <w:rPr>
          <w:sz w:val="20"/>
          <w:szCs w:val="20"/>
          <w:color w:val="auto"/>
        </w:rPr>
      </w:pPr>
    </w:p>
    <w:p>
      <w:pPr>
        <w:ind w:right="1679"/>
        <w:spacing w:after="0"/>
        <w:rPr>
          <w:sz w:val="20"/>
          <w:szCs w:val="20"/>
          <w:color w:val="auto"/>
        </w:rPr>
      </w:pPr>
      <w:r>
        <w:rPr>
          <w:rFonts w:ascii="Courier New" w:cs="Courier New" w:eastAsia="Courier New" w:hAnsi="Courier New"/>
          <w:sz w:val="18"/>
          <w:szCs w:val="18"/>
          <w:color w:val="auto"/>
        </w:rPr>
        <w:t>- ------------------------------------------------------------------------------- 11) Aggregate Amount Beneficially -0-Owned by Each Reporting Person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(11) Excludes Certain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Percent of Class Represented by</w:t>
            </w:r>
          </w:p>
        </w:tc>
        <w:tc>
          <w:tcPr>
            <w:tcW w:w="4520" w:type="dxa"/>
            <w:vAlign w:val="bottom"/>
          </w:tcPr>
          <w:p>
            <w:pPr>
              <w:jc w:val="center"/>
              <w:ind w:right="37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4520" w:type="dxa"/>
            <w:vAlign w:val="bottom"/>
          </w:tcPr>
          <w:p>
            <w:pPr>
              <w:spacing w:after="0"/>
              <w:rPr>
                <w:sz w:val="17"/>
                <w:szCs w:val="17"/>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PN</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9 pages</w:t>
      </w:r>
    </w:p>
    <w:p>
      <w:pPr>
        <w:spacing w:after="0" w:line="200" w:lineRule="exact"/>
        <w:rPr>
          <w:sz w:val="20"/>
          <w:szCs w:val="20"/>
          <w:color w:val="auto"/>
        </w:rPr>
      </w:pPr>
    </w:p>
    <w:p>
      <w:pPr>
        <w:sectPr>
          <w:pgSz w:w="11900" w:h="16838" w:orient="portrait"/>
          <w:cols w:equalWidth="0" w:num="2">
            <w:col w:w="5920" w:space="720"/>
            <w:col w:w="3579"/>
          </w:cols>
          <w:pgMar w:left="240" w:top="723" w:right="1440" w:bottom="1440" w:gutter="0" w:footer="0" w:header="0"/>
        </w:sectPr>
      </w:pPr>
    </w:p>
    <w:p>
      <w:pPr>
        <w:spacing w:after="0" w:line="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Welsh, Carson, Anderson &amp; Stowe VII, L.P.</w:t>
      </w:r>
    </w:p>
    <w:p>
      <w:pPr>
        <w:spacing w:after="0" w:line="825"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100" w:val="left"/>
        </w:tabs>
        <w:rPr>
          <w:sz w:val="20"/>
          <w:szCs w:val="20"/>
          <w:color w:val="auto"/>
        </w:rPr>
      </w:pPr>
      <w:r>
        <w:rPr>
          <w:rFonts w:ascii="Courier New" w:cs="Courier New" w:eastAsia="Courier New" w:hAnsi="Courier New"/>
          <w:sz w:val="18"/>
          <w:szCs w:val="18"/>
          <w:color w:val="auto"/>
        </w:rPr>
        <w:t>2)</w:t>
        <w:tab/>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420"/>
        <w:spacing w:after="0"/>
        <w:rPr>
          <w:sz w:val="20"/>
          <w:szCs w:val="20"/>
          <w:color w:val="auto"/>
        </w:rPr>
      </w:pPr>
      <w:r>
        <w:rPr>
          <w:rFonts w:ascii="Courier New" w:cs="Courier New" w:eastAsia="Courier New" w:hAnsi="Courier New"/>
          <w:sz w:val="18"/>
          <w:szCs w:val="18"/>
          <w:color w:val="auto"/>
        </w:rPr>
        <w:t>Required Pursuant to</w:t>
      </w:r>
    </w:p>
    <w:p>
      <w:pPr>
        <w:ind w:left="42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With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bl>
    <w:p>
      <w:pPr>
        <w:spacing w:after="0" w:line="207" w:lineRule="exact"/>
        <w:rPr>
          <w:sz w:val="20"/>
          <w:szCs w:val="20"/>
          <w:color w:val="auto"/>
        </w:rPr>
      </w:pPr>
    </w:p>
    <w:p>
      <w:pPr>
        <w:ind w:right="1679"/>
        <w:spacing w:after="0"/>
        <w:rPr>
          <w:sz w:val="20"/>
          <w:szCs w:val="20"/>
          <w:color w:val="auto"/>
        </w:rPr>
      </w:pPr>
      <w:r>
        <w:rPr>
          <w:rFonts w:ascii="Courier New" w:cs="Courier New" w:eastAsia="Courier New" w:hAnsi="Courier New"/>
          <w:sz w:val="18"/>
          <w:szCs w:val="18"/>
          <w:color w:val="auto"/>
        </w:rPr>
        <w:t>- ------------------------------------------------------------------------------- 11) Aggregate Amount Beneficially -0-Owned by Each Reporting Person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(11) Excludes Certain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Percent of Class Represented by</w:t>
            </w:r>
          </w:p>
        </w:tc>
        <w:tc>
          <w:tcPr>
            <w:tcW w:w="4520" w:type="dxa"/>
            <w:vAlign w:val="bottom"/>
          </w:tcPr>
          <w:p>
            <w:pPr>
              <w:jc w:val="center"/>
              <w:ind w:right="37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4520" w:type="dxa"/>
            <w:vAlign w:val="bottom"/>
          </w:tcPr>
          <w:p>
            <w:pPr>
              <w:spacing w:after="0"/>
              <w:rPr>
                <w:sz w:val="17"/>
                <w:szCs w:val="17"/>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PN</w:t>
            </w:r>
          </w:p>
        </w:tc>
      </w:tr>
    </w:tbl>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9 pages</w:t>
      </w:r>
    </w:p>
    <w:p>
      <w:pPr>
        <w:spacing w:after="0" w:line="200" w:lineRule="exact"/>
        <w:rPr>
          <w:sz w:val="20"/>
          <w:szCs w:val="20"/>
          <w:color w:val="auto"/>
        </w:rPr>
      </w:pPr>
    </w:p>
    <w:p>
      <w:pPr>
        <w:sectPr>
          <w:pgSz w:w="11900" w:h="16838" w:orient="portrait"/>
          <w:cols w:equalWidth="0" w:num="2">
            <w:col w:w="5920" w:space="720"/>
            <w:col w:w="3579"/>
          </w:cols>
          <w:pgMar w:left="240" w:top="723" w:right="1440" w:bottom="1440" w:gutter="0" w:footer="0" w:header="0"/>
        </w:sectPr>
      </w:pPr>
    </w:p>
    <w:p>
      <w:pPr>
        <w:spacing w:after="0" w:line="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Welsh, Carson, Anderson &amp; Stowe VI, L.P.</w:t>
      </w:r>
    </w:p>
    <w:p>
      <w:pPr>
        <w:spacing w:after="0" w:line="825"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100" w:val="left"/>
        </w:tabs>
        <w:rPr>
          <w:sz w:val="20"/>
          <w:szCs w:val="20"/>
          <w:color w:val="auto"/>
        </w:rPr>
      </w:pPr>
      <w:r>
        <w:rPr>
          <w:rFonts w:ascii="Courier New" w:cs="Courier New" w:eastAsia="Courier New" w:hAnsi="Courier New"/>
          <w:sz w:val="18"/>
          <w:szCs w:val="18"/>
          <w:color w:val="auto"/>
        </w:rPr>
        <w:t>2)</w:t>
        <w:tab/>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420"/>
        <w:spacing w:after="0"/>
        <w:rPr>
          <w:sz w:val="20"/>
          <w:szCs w:val="20"/>
          <w:color w:val="auto"/>
        </w:rPr>
      </w:pPr>
      <w:r>
        <w:rPr>
          <w:rFonts w:ascii="Courier New" w:cs="Courier New" w:eastAsia="Courier New" w:hAnsi="Courier New"/>
          <w:sz w:val="18"/>
          <w:szCs w:val="18"/>
          <w:color w:val="auto"/>
        </w:rPr>
        <w:t>Required Pursuant to</w:t>
      </w:r>
    </w:p>
    <w:p>
      <w:pPr>
        <w:ind w:left="42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With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bl>
    <w:p>
      <w:pPr>
        <w:spacing w:after="0" w:line="207" w:lineRule="exact"/>
        <w:rPr>
          <w:sz w:val="20"/>
          <w:szCs w:val="20"/>
          <w:color w:val="auto"/>
        </w:rPr>
      </w:pPr>
    </w:p>
    <w:p>
      <w:pPr>
        <w:ind w:right="1679"/>
        <w:spacing w:after="0"/>
        <w:rPr>
          <w:sz w:val="20"/>
          <w:szCs w:val="20"/>
          <w:color w:val="auto"/>
        </w:rPr>
      </w:pPr>
      <w:r>
        <w:rPr>
          <w:rFonts w:ascii="Courier New" w:cs="Courier New" w:eastAsia="Courier New" w:hAnsi="Courier New"/>
          <w:sz w:val="18"/>
          <w:szCs w:val="18"/>
          <w:color w:val="auto"/>
        </w:rPr>
        <w:t>- ------------------------------------------------------------------------------- 11) Aggregate Amount Beneficially -0-Owned by Each Reporting Person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(11) Excludes Certain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Percent of Class Represented by</w:t>
            </w:r>
          </w:p>
        </w:tc>
        <w:tc>
          <w:tcPr>
            <w:tcW w:w="4520" w:type="dxa"/>
            <w:vAlign w:val="bottom"/>
          </w:tcPr>
          <w:p>
            <w:pPr>
              <w:jc w:val="center"/>
              <w:ind w:right="37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4520" w:type="dxa"/>
            <w:vAlign w:val="bottom"/>
          </w:tcPr>
          <w:p>
            <w:pPr>
              <w:spacing w:after="0"/>
              <w:rPr>
                <w:sz w:val="17"/>
                <w:szCs w:val="17"/>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PN</w:t>
            </w:r>
          </w:p>
        </w:tc>
      </w:tr>
    </w:tbl>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9 pages</w:t>
      </w:r>
    </w:p>
    <w:p>
      <w:pPr>
        <w:spacing w:after="0" w:line="200" w:lineRule="exact"/>
        <w:rPr>
          <w:sz w:val="20"/>
          <w:szCs w:val="20"/>
          <w:color w:val="auto"/>
        </w:rPr>
      </w:pPr>
    </w:p>
    <w:p>
      <w:pPr>
        <w:sectPr>
          <w:pgSz w:w="11900" w:h="16838" w:orient="portrait"/>
          <w:cols w:equalWidth="0" w:num="2">
            <w:col w:w="5920" w:space="720"/>
            <w:col w:w="3579"/>
          </w:cols>
          <w:pgMar w:left="240" w:top="723" w:right="1440" w:bottom="1440" w:gutter="0" w:footer="0" w:header="0"/>
        </w:sectPr>
      </w:pPr>
    </w:p>
    <w:p>
      <w:pPr>
        <w:spacing w:after="0" w:line="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Welsh, Carson, Anderson &amp; Stowe III, L.P.</w:t>
      </w:r>
    </w:p>
    <w:p>
      <w:pPr>
        <w:spacing w:after="0" w:line="825"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100" w:val="left"/>
        </w:tabs>
        <w:rPr>
          <w:sz w:val="20"/>
          <w:szCs w:val="20"/>
          <w:color w:val="auto"/>
        </w:rPr>
      </w:pPr>
      <w:r>
        <w:rPr>
          <w:rFonts w:ascii="Courier New" w:cs="Courier New" w:eastAsia="Courier New" w:hAnsi="Courier New"/>
          <w:sz w:val="18"/>
          <w:szCs w:val="18"/>
          <w:color w:val="auto"/>
        </w:rPr>
        <w:t>2)</w:t>
        <w:tab/>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420"/>
        <w:spacing w:after="0"/>
        <w:rPr>
          <w:sz w:val="20"/>
          <w:szCs w:val="20"/>
          <w:color w:val="auto"/>
        </w:rPr>
      </w:pPr>
      <w:r>
        <w:rPr>
          <w:rFonts w:ascii="Courier New" w:cs="Courier New" w:eastAsia="Courier New" w:hAnsi="Courier New"/>
          <w:sz w:val="18"/>
          <w:szCs w:val="18"/>
          <w:color w:val="auto"/>
        </w:rPr>
        <w:t>Required Pursuant to</w:t>
      </w:r>
    </w:p>
    <w:p>
      <w:pPr>
        <w:ind w:left="42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 Each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With</w:t>
            </w:r>
          </w:p>
        </w:tc>
        <w:tc>
          <w:tcPr>
            <w:tcW w:w="300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2"/>
              </w:rPr>
              <w:t>----------------------------------------------------</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7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96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960" w:type="dxa"/>
            <w:vAlign w:val="bottom"/>
          </w:tcPr>
          <w:p>
            <w:pPr>
              <w:spacing w:after="0"/>
              <w:rPr>
                <w:sz w:val="17"/>
                <w:szCs w:val="17"/>
                <w:color w:val="auto"/>
              </w:rPr>
            </w:pPr>
          </w:p>
        </w:tc>
      </w:tr>
    </w:tbl>
    <w:p>
      <w:pPr>
        <w:spacing w:after="0" w:line="207" w:lineRule="exact"/>
        <w:rPr>
          <w:sz w:val="20"/>
          <w:szCs w:val="20"/>
          <w:color w:val="auto"/>
        </w:rPr>
      </w:pPr>
    </w:p>
    <w:p>
      <w:pPr>
        <w:ind w:right="1679"/>
        <w:spacing w:after="0"/>
        <w:rPr>
          <w:sz w:val="20"/>
          <w:szCs w:val="20"/>
          <w:color w:val="auto"/>
        </w:rPr>
      </w:pPr>
      <w:r>
        <w:rPr>
          <w:rFonts w:ascii="Courier New" w:cs="Courier New" w:eastAsia="Courier New" w:hAnsi="Courier New"/>
          <w:sz w:val="18"/>
          <w:szCs w:val="18"/>
          <w:color w:val="auto"/>
        </w:rPr>
        <w:t>- ------------------------------------------------------------------------------- 11) Aggregate Amount Beneficially -0-Owned by Each Reporting Person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(11) Excludes Certain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Percent of Class Represented by</w:t>
            </w:r>
          </w:p>
        </w:tc>
        <w:tc>
          <w:tcPr>
            <w:tcW w:w="4520" w:type="dxa"/>
            <w:vAlign w:val="bottom"/>
          </w:tcPr>
          <w:p>
            <w:pPr>
              <w:jc w:val="center"/>
              <w:ind w:right="37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 in Row (11)</w:t>
            </w:r>
          </w:p>
        </w:tc>
        <w:tc>
          <w:tcPr>
            <w:tcW w:w="4520" w:type="dxa"/>
            <w:vAlign w:val="bottom"/>
          </w:tcPr>
          <w:p>
            <w:pPr>
              <w:spacing w:after="0"/>
              <w:rPr>
                <w:sz w:val="17"/>
                <w:szCs w:val="17"/>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w:t>
            </w:r>
          </w:p>
        </w:tc>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PN</w:t>
            </w:r>
          </w:p>
        </w:tc>
      </w:tr>
    </w:tbl>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6 of 9 pages</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Amendment No. 3 to Schedule 13D (Final Amendment)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Reference is hereby made to the statement on Schedule 13D filed with the Securities and Exchange Commission on July 15, 2002, Amendment No. 1 thereto filed on August 8, 2002 and Amendment No. 2 thereto filed on August 1, 2003 (as so amended, the "Schedule 13D"). Terms defined in the Schedule 13D are used herein as so defined.</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Schedule 13D is hereby amended as follows: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5 is hereby amended and restated to read in its entirety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information below is based on a total of 216,021,000 Ordinary Shares outstanding as of June 30, 2003, as reported in the Issuer's Report on Form 6-K filed on August 15, 2003.</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IX and IX Associates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IX and IX Associates own no shares of Common Stock.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VII and VII Partners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VII and VII Partners own no shares of Common Stock.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 and VI Partners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 and VI Partners own no shares of Common Stock.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CP III and CP III Associates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CP III and CP III Associates own no shares of Common Stock.</w:t>
      </w:r>
    </w:p>
    <w:p>
      <w:pPr>
        <w:spacing w:after="0" w:line="207" w:lineRule="exact"/>
        <w:rPr>
          <w:sz w:val="20"/>
          <w:szCs w:val="20"/>
          <w:color w:val="auto"/>
        </w:rPr>
      </w:pPr>
    </w:p>
    <w:p>
      <w:pPr>
        <w:ind w:left="1060" w:right="2099"/>
        <w:spacing w:after="0" w:line="235" w:lineRule="auto"/>
        <w:rPr>
          <w:sz w:val="20"/>
          <w:szCs w:val="20"/>
          <w:color w:val="auto"/>
        </w:rPr>
      </w:pPr>
      <w:r>
        <w:rPr>
          <w:rFonts w:ascii="Courier New" w:cs="Courier New" w:eastAsia="Courier New" w:hAnsi="Courier New"/>
          <w:sz w:val="18"/>
          <w:szCs w:val="18"/>
          <w:color w:val="auto"/>
        </w:rPr>
        <w:t>Managing Members of IX Associates and CP III Associates and General Partners of VII Partners and VI Partners</w:t>
      </w: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061"/>
        <w:spacing w:after="0" w:line="235"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Patrick J. Welsh directly beneficially owns 1,008,603 Ordinary Shares, or approximately 0.5% of the Ordinary Shares outstanding.</w:t>
      </w:r>
    </w:p>
    <w:p>
      <w:pPr>
        <w:spacing w:after="0" w:line="208" w:lineRule="exact"/>
        <w:rPr>
          <w:rFonts w:ascii="Courier New" w:cs="Courier New" w:eastAsia="Courier New" w:hAnsi="Courier New"/>
          <w:sz w:val="18"/>
          <w:szCs w:val="18"/>
          <w:color w:val="auto"/>
        </w:rPr>
      </w:pPr>
    </w:p>
    <w:p>
      <w:pPr>
        <w:ind w:right="1879" w:firstLine="1061"/>
        <w:spacing w:after="0" w:line="290"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Russell L. Carson directly beneficially owns 697,715 Ordinary Shares, and indirectly beneficially owns (through trusts for the benefit of his</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7 of 9 pages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children) 15,400 Ordinary Shares, or in the aggregate 713,115 Ordinary Shares or approximately 0.3% of the Ordinary Shares outstanding.</w:t>
      </w:r>
    </w:p>
    <w:p>
      <w:pPr>
        <w:spacing w:after="0" w:line="208" w:lineRule="exact"/>
        <w:rPr>
          <w:sz w:val="20"/>
          <w:szCs w:val="20"/>
          <w:color w:val="auto"/>
        </w:rPr>
      </w:pPr>
    </w:p>
    <w:p>
      <w:pPr>
        <w:ind w:right="187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 directly beneficially owns 1,769,912 Ordinary Shares, or approximately 0.8%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E. McInerney directly beneficially owns 741,006 Ordinary Shares, or approximately 0.3%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Minicucci directly beneficially owns 351,427 Ordinary Shares, or approximately 0.2% of the Ordinary Shares outstanding.</w:t>
      </w:r>
    </w:p>
    <w:p>
      <w:pPr>
        <w:spacing w:after="0" w:line="208" w:lineRule="exact"/>
        <w:rPr>
          <w:rFonts w:ascii="Courier New" w:cs="Courier New" w:eastAsia="Courier New" w:hAnsi="Courier New"/>
          <w:sz w:val="18"/>
          <w:szCs w:val="18"/>
          <w:color w:val="auto"/>
        </w:rPr>
      </w:pPr>
    </w:p>
    <w:p>
      <w:pPr>
        <w:ind w:right="1779" w:firstLine="1061"/>
        <w:spacing w:after="0" w:line="272"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Anthony J. deNicola directly beneficially owns 75,806 Ordinary Shares, indirectly beneficially owns (through a family foundation) 9,977 Ordinary Shares, indirectly beneficially owns (through a family investment partnership) 537 Ordinary Shares and indirectly beneficially owns (through trusts for the benefit of his children) 570 Ordinary Shares, or in the aggregate 86,890 Ordinary Shares or less than 0.1% of the Ordinary Shares outstanding.</w:t>
      </w:r>
    </w:p>
    <w:p>
      <w:pPr>
        <w:spacing w:after="0" w:line="185" w:lineRule="exact"/>
        <w:rPr>
          <w:rFonts w:ascii="Courier New" w:cs="Courier New" w:eastAsia="Courier New" w:hAnsi="Courier New"/>
          <w:sz w:val="16"/>
          <w:szCs w:val="16"/>
          <w:color w:val="auto"/>
        </w:rPr>
      </w:pPr>
    </w:p>
    <w:p>
      <w:pPr>
        <w:ind w:right="241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Paul B. Queally directly beneficially owns 74,960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 Rather directly beneficially owns 7,560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D. Clark directly beneficially owns 2,756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Sanjay Swani directly beneficially owns 2,756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51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Scott Mackesy directly beneficially owns 4,298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Matthews directly beneficially owns 2,756 Ordinary Shares, or less than 0.1% of the Ordinary Shares outstanding.</w:t>
      </w:r>
    </w:p>
    <w:p>
      <w:pPr>
        <w:spacing w:after="0" w:line="203" w:lineRule="exact"/>
        <w:rPr>
          <w:sz w:val="20"/>
          <w:szCs w:val="20"/>
          <w:color w:val="auto"/>
        </w:rPr>
      </w:pPr>
    </w:p>
    <w:p>
      <w:pPr>
        <w:ind w:left="1480" w:hanging="419"/>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2319" w:firstLine="1061"/>
        <w:spacing w:after="0" w:line="290" w:lineRule="auto"/>
        <w:tabs>
          <w:tab w:leader="none" w:pos="14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24, 2003, Ordinary Shares owned by the Reporting Persons were distributed to their respective partners as follows:</w:t>
      </w:r>
    </w:p>
    <w:p>
      <w:pPr>
        <w:spacing w:after="0" w:line="169" w:lineRule="exact"/>
        <w:rPr>
          <w:rFonts w:ascii="Courier New" w:cs="Courier New" w:eastAsia="Courier New" w:hAnsi="Courier New"/>
          <w:sz w:val="16"/>
          <w:szCs w:val="16"/>
          <w:color w:val="auto"/>
        </w:rPr>
      </w:pPr>
    </w:p>
    <w:p>
      <w:pPr>
        <w:ind w:right="1779" w:firstLine="1483"/>
        <w:spacing w:after="0" w:line="236" w:lineRule="auto"/>
        <w:tabs>
          <w:tab w:leader="none" w:pos="189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WCAS IX distributed 6,715,835 Ordinary Shares to its partners, including 67,162 to IX Associates, immediately followed by the distribution of such 67,162 shares to the members of IX Associates;</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8 of 9 pages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(ii) WCAS VII distributed 2,653,054 Ordinary Shares to its</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line="207" w:lineRule="exact"/>
        <w:rPr>
          <w:sz w:val="20"/>
          <w:szCs w:val="20"/>
          <w:color w:val="auto"/>
        </w:rPr>
      </w:pPr>
    </w:p>
    <w:p>
      <w:pPr>
        <w:ind w:right="1779" w:firstLine="1483"/>
        <w:spacing w:after="0" w:line="236"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WCAS VI distributed 830,792 Ordinary Shares to its partners, including 150,112 to VI Partners, immediately followed by the distribution of such 150,112 shares to the partners of VI Partners; and</w:t>
      </w:r>
    </w:p>
    <w:p>
      <w:pPr>
        <w:spacing w:after="0" w:line="208" w:lineRule="exact"/>
        <w:rPr>
          <w:rFonts w:ascii="Courier New" w:cs="Courier New" w:eastAsia="Courier New" w:hAnsi="Courier New"/>
          <w:sz w:val="18"/>
          <w:szCs w:val="18"/>
          <w:color w:val="auto"/>
        </w:rPr>
      </w:pPr>
    </w:p>
    <w:p>
      <w:pPr>
        <w:ind w:right="1779" w:firstLine="1483"/>
        <w:spacing w:after="0" w:line="236" w:lineRule="auto"/>
        <w:tabs>
          <w:tab w:leader="none" w:pos="200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CP III distributed 764,494 Ordinary Shares to its partners, including 159,014 to CP III Associates, immediately followed by the distribution of such 159,014 shares to the members of CP III Associates.</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this statement, no person has the power to direct the receipt of dividends on, or the proceeds of sales of, the Ordinary Shares owned by the Reporting Persons.</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ceased to be the beneficial owners of more than five percent of the Ordinary Shares on September 24, 2003.</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9 of 9 pages</w:t>
      </w:r>
    </w:p>
    <w:p>
      <w:pPr>
        <w:spacing w:after="0" w:line="200" w:lineRule="exact"/>
        <w:rPr>
          <w:sz w:val="20"/>
          <w:szCs w:val="20"/>
          <w:color w:val="auto"/>
        </w:rPr>
      </w:pPr>
    </w:p>
    <w:p>
      <w:pPr>
        <w:sectPr>
          <w:pgSz w:w="11900" w:h="16838" w:orient="portrait"/>
          <w:cols w:equalWidth="0" w:num="2">
            <w:col w:w="5920" w:space="720"/>
            <w:col w:w="3579"/>
          </w:cols>
          <w:pgMar w:left="240" w:top="723" w:right="1440" w:bottom="1440" w:gutter="0" w:footer="0" w:header="0"/>
        </w:sectPr>
      </w:pPr>
    </w:p>
    <w:p>
      <w:pPr>
        <w:spacing w:after="0" w:line="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WELSH, CARSON, ANDERSON &amp; STOWE IX, L.P.</w:t>
      </w: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IX Associates, LLC,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Jonathan M. Rather</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WELSH, CARSON, ANDERSON &amp; STOWE VII, L.P.</w:t>
      </w: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VII Partners, L.P.,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Jonathan M. Rather</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WELSH, CARSON, ANDERSON &amp; STOWE VI, L.P.</w:t>
      </w: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 Partners, L.P.,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Jonathan M. Rather</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WCAS CAPITAL PARTNERS III, L.P.</w:t>
      </w: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CP III Associates, LLC,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Jonathan M. Rather</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24, 2003</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3"/>
    </w:lvl>
  </w:abstractNum>
  <w:abstractNum w:abstractNumId="1">
    <w:nsid w:val="1190CDE7"/>
    <w:multiLevelType w:val="hybridMultilevel"/>
    <w:lvl w:ilvl="0">
      <w:lvlJc w:val="left"/>
      <w:lvlText w:val="%1)"/>
      <w:numFmt w:val="decimal"/>
      <w:start w:val="5"/>
    </w:lvl>
  </w:abstractNum>
  <w:abstractNum w:abstractNumId="2">
    <w:nsid w:val="66EF438D"/>
    <w:multiLevelType w:val="hybridMultilevel"/>
    <w:lvl w:ilvl="0">
      <w:lvlJc w:val="left"/>
      <w:lvlText w:val="%1)"/>
      <w:numFmt w:val="decimal"/>
      <w:start w:val="6"/>
    </w:lvl>
  </w:abstractNum>
  <w:abstractNum w:abstractNumId="3">
    <w:nsid w:val="140E0F76"/>
    <w:multiLevelType w:val="hybridMultilevel"/>
    <w:lvl w:ilvl="0">
      <w:lvlJc w:val="left"/>
      <w:lvlText w:val="%1)"/>
      <w:numFmt w:val="decimal"/>
      <w:start w:val="1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12"/>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5"/>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decimal"/>
      <w:start w:val="12"/>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12"/>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lowerRoman"/>
      <w:start w:val="3"/>
    </w:lvl>
  </w:abstractNum>
  <w:abstractNum w:abstractNumId="18">
    <w:nsid w:val="62BBD95A"/>
    <w:multiLevelType w:val="hybridMultilevel"/>
    <w:lvl w:ilvl="0">
      <w:lvlJc w:val="left"/>
      <w:lvlText w:val="(%1)"/>
      <w:numFmt w:val="lowerLetter"/>
      <w:start w:val="2"/>
    </w:lvl>
    <w:lvl w:ilvl="1">
      <w:lvlJc w:val="left"/>
      <w:lvlText w:val="(%2)"/>
      <w:numFmt w:val="lowerLetter"/>
      <w:start w:val="9"/>
    </w:lvl>
  </w:abstractNum>
  <w:abstractNum w:abstractNumId="19">
    <w:nsid w:val="436C6125"/>
    <w:multiLevelType w:val="hybridMultilevel"/>
    <w:lvl w:ilvl="0">
      <w:lvlJc w:val="left"/>
      <w:lvlText w:val="%1"/>
      <w:numFmt w:val="lowerLetter"/>
      <w:start w:val="1"/>
    </w:lvl>
    <w:lvl w:ilvl="1">
      <w:lvlJc w:val="left"/>
      <w:lvlText w:val="(%2)"/>
      <w:numFmt w:val="lowerRoman"/>
      <w:start w:val="3"/>
    </w:lvl>
  </w:abstractNum>
  <w:abstractNum w:abstractNumId="20">
    <w:nsid w:val="628C895D"/>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2019-12-14T21:12:25Z</dcterms:created>
  <dcterms:modified xsi:type="dcterms:W3CDTF">2019-12-14T21:12:25Z</dcterms:modified>
</cp:coreProperties>
</file>