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jc w:val="center"/>
        <w:ind w:right="3190"/>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20-F</w:t>
      </w:r>
    </w:p>
    <w:p>
      <w:pPr>
        <w:spacing w:after="0" w:line="175" w:lineRule="exact"/>
        <w:rPr>
          <w:sz w:val="24"/>
          <w:szCs w:val="24"/>
          <w:color w:val="auto"/>
        </w:rPr>
      </w:pPr>
    </w:p>
    <w:p>
      <w:pPr>
        <w:ind w:left="530" w:right="4239" w:hanging="530"/>
        <w:spacing w:after="0" w:line="235" w:lineRule="auto"/>
        <w:tabs>
          <w:tab w:leader="none" w:pos="17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REGISTRATION STATEMENT PURSUANT TO SECTION 12(B) OR (G) OF THE SECURITIES EXCHANGE ACT OF 1934</w:t>
      </w:r>
    </w:p>
    <w:p>
      <w:pPr>
        <w:spacing w:after="0" w:line="170"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530" w:right="3359" w:hanging="530"/>
        <w:spacing w:after="0" w:line="235" w:lineRule="auto"/>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For the fiscal year ended September 30, 1998</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530" w:right="3799" w:hanging="530"/>
        <w:spacing w:after="0" w:line="235" w:lineRule="auto"/>
        <w:tabs>
          <w:tab w:leader="none" w:pos="17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0"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For the transition period from ______ to _____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 1-14840</w:t>
      </w:r>
    </w:p>
    <w:p>
      <w:pPr>
        <w:spacing w:after="0" w:line="169"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ind w:left="1330"/>
        <w:spacing w:after="0"/>
        <w:rPr>
          <w:sz w:val="20"/>
          <w:szCs w:val="20"/>
          <w:color w:val="auto"/>
        </w:rPr>
      </w:pPr>
      <w:r>
        <w:rPr>
          <w:rFonts w:ascii="Courier New" w:cs="Courier New" w:eastAsia="Courier New" w:hAnsi="Courier New"/>
          <w:sz w:val="15"/>
          <w:szCs w:val="15"/>
          <w:color w:val="auto"/>
        </w:rPr>
        <w:t>and translation of Registrant's name into English)</w:t>
      </w:r>
    </w:p>
    <w:p>
      <w:pPr>
        <w:spacing w:after="0" w:line="169"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Island of Guernsey</w:t>
      </w:r>
    </w:p>
    <w:p>
      <w:pPr>
        <w:spacing w:after="0" w:line="169" w:lineRule="exact"/>
        <w:rPr>
          <w:sz w:val="24"/>
          <w:szCs w:val="24"/>
          <w:color w:val="auto"/>
        </w:rPr>
      </w:pPr>
    </w:p>
    <w:p>
      <w:pPr>
        <w:jc w:val="center"/>
        <w:ind w:right="3270"/>
        <w:spacing w:after="0"/>
        <w:rPr>
          <w:sz w:val="20"/>
          <w:szCs w:val="20"/>
          <w:color w:val="auto"/>
        </w:rPr>
      </w:pPr>
      <w:r>
        <w:rPr>
          <w:rFonts w:ascii="Courier New" w:cs="Courier New" w:eastAsia="Courier New" w:hAnsi="Courier New"/>
          <w:sz w:val="15"/>
          <w:szCs w:val="15"/>
          <w:color w:val="auto"/>
        </w:rPr>
        <w:t>(Jurisdiction of incorporation or organization)</w:t>
      </w:r>
    </w:p>
    <w:p>
      <w:pPr>
        <w:spacing w:after="0" w:line="169" w:lineRule="exact"/>
        <w:rPr>
          <w:sz w:val="24"/>
          <w:szCs w:val="24"/>
          <w:color w:val="auto"/>
        </w:rPr>
      </w:pPr>
    </w:p>
    <w:p>
      <w:pPr>
        <w:jc w:val="center"/>
        <w:ind w:right="3270"/>
        <w:spacing w:after="0"/>
        <w:rPr>
          <w:sz w:val="20"/>
          <w:szCs w:val="20"/>
          <w:color w:val="auto"/>
        </w:rPr>
      </w:pPr>
      <w:r>
        <w:rPr>
          <w:rFonts w:ascii="Courier New" w:cs="Courier New" w:eastAsia="Courier New" w:hAnsi="Courier New"/>
          <w:sz w:val="15"/>
          <w:szCs w:val="15"/>
          <w:color w:val="auto"/>
        </w:rPr>
        <w:t>Tower Hill House Le Bordage GY1 3QT</w:t>
      </w:r>
    </w:p>
    <w:p>
      <w:pPr>
        <w:jc w:val="center"/>
        <w:ind w:right="3270"/>
        <w:spacing w:after="0"/>
        <w:rPr>
          <w:sz w:val="20"/>
          <w:szCs w:val="20"/>
          <w:color w:val="auto"/>
        </w:rPr>
      </w:pPr>
      <w:r>
        <w:rPr>
          <w:rFonts w:ascii="Courier New" w:cs="Courier New" w:eastAsia="Courier New" w:hAnsi="Courier New"/>
          <w:sz w:val="15"/>
          <w:szCs w:val="15"/>
          <w:color w:val="auto"/>
        </w:rPr>
        <w:t>St. Peter Port, Island of Guernsey, Channel Islands</w:t>
      </w:r>
    </w:p>
    <w:p>
      <w:pPr>
        <w:spacing w:after="0" w:line="169"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Amdocs, Inc.</w:t>
      </w:r>
    </w:p>
    <w:p>
      <w:pPr>
        <w:jc w:val="center"/>
        <w:ind w:right="3190"/>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16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(Address of principal executive offices)</w:t>
      </w:r>
    </w:p>
    <w:p>
      <w:pPr>
        <w:sectPr>
          <w:pgSz w:w="11900" w:h="16838" w:orient="portrait"/>
          <w:cols w:equalWidth="0" w:num="1">
            <w:col w:w="10229"/>
          </w:cols>
          <w:pgMar w:left="230" w:top="226" w:right="1440" w:bottom="1440" w:gutter="0" w:footer="0" w:header="0"/>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exchange on which registered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870" w:space="720"/>
            <w:col w:w="563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Ordinary Shares, par value pound sterling 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0"/>
          <w:szCs w:val="20"/>
          <w:color w:val="auto"/>
        </w:rPr>
      </w:pPr>
    </w:p>
    <w:p>
      <w:pPr>
        <w:sectPr>
          <w:pgSz w:w="11900" w:h="16838" w:orient="portrait"/>
          <w:cols w:equalWidth="0" w:num="2">
            <w:col w:w="4050" w:space="540"/>
            <w:col w:w="5639"/>
          </w:cols>
          <w:pgMar w:left="230" w:top="283" w:right="1440" w:bottom="1440" w:gutter="0" w:footer="0" w:header="0"/>
          <w:type w:val="continuous"/>
        </w:sectPr>
      </w:pPr>
    </w:p>
    <w:p>
      <w:pPr>
        <w:spacing w:after="0" w:line="31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17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None</w:t>
      </w: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w:t>
      </w:r>
    </w:p>
    <w:p>
      <w:pPr>
        <w:ind w:left="10"/>
        <w:spacing w:after="0"/>
        <w:rPr>
          <w:sz w:val="20"/>
          <w:szCs w:val="20"/>
          <w:color w:val="auto"/>
        </w:rPr>
      </w:pPr>
      <w:r>
        <w:rPr>
          <w:rFonts w:ascii="Courier New" w:cs="Courier New" w:eastAsia="Courier New" w:hAnsi="Courier New"/>
          <w:sz w:val="15"/>
          <w:szCs w:val="15"/>
          <w:color w:val="auto"/>
        </w:rPr>
        <w:t>OF THE ACT.</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None</w:t>
      </w: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Ordinary Shares,</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par value pound sterling 0.01</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166,565,324(1)</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Non-Voting Ordinary Shares, par value pound sterling 0.01</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30,234,700</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(Title of class)</w:t>
            </w:r>
          </w:p>
        </w:tc>
        <w:tc>
          <w:tcPr>
            <w:tcW w:w="37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r>
    </w:tbl>
    <w:p>
      <w:pPr>
        <w:spacing w:after="0" w:line="344" w:lineRule="exact"/>
        <w:rPr>
          <w:sz w:val="20"/>
          <w:szCs w:val="20"/>
          <w:color w:val="auto"/>
        </w:rPr>
      </w:pPr>
    </w:p>
    <w:p>
      <w:pPr>
        <w:ind w:left="10" w:right="3259" w:hanging="10"/>
        <w:spacing w:after="0" w:line="237" w:lineRule="auto"/>
        <w:tabs>
          <w:tab w:leader="none" w:pos="3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including 4,100,000 Ordinary Shares available for grant under the Company's 1998 Stock Option and Incentive Plan. As of December 1, 1998, options to purchase an aggregate of 3,539,600 Ordinary Shares had been granted and 560,400 Ordinary Shares remain available for future grants.</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rPr>
          <w:sz w:val="20"/>
          <w:szCs w:val="20"/>
          <w:color w:val="auto"/>
        </w:rPr>
      </w:pPr>
    </w:p>
    <w:p>
      <w:pPr>
        <w:ind w:left="2550"/>
        <w:spacing w:after="0"/>
        <w:tabs>
          <w:tab w:leader="none" w:pos="3689"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70" w:lineRule="exact"/>
        <w:rPr>
          <w:sz w:val="20"/>
          <w:szCs w:val="20"/>
          <w:color w:val="auto"/>
        </w:rPr>
      </w:pPr>
    </w:p>
    <w:p>
      <w:pPr>
        <w:ind w:left="2210"/>
        <w:spacing w:after="0"/>
        <w:tabs>
          <w:tab w:leader="none" w:pos="3689" w:val="left"/>
        </w:tabs>
        <w:rPr>
          <w:sz w:val="20"/>
          <w:szCs w:val="20"/>
          <w:color w:val="auto"/>
        </w:rPr>
      </w:pPr>
      <w:r>
        <w:rPr>
          <w:rFonts w:ascii="Courier New" w:cs="Courier New" w:eastAsia="Courier New" w:hAnsi="Courier New"/>
          <w:sz w:val="15"/>
          <w:szCs w:val="15"/>
          <w:color w:val="auto"/>
        </w:rPr>
        <w:t>ITEM 17 [ ]</w:t>
      </w:r>
      <w:r>
        <w:rPr>
          <w:sz w:val="20"/>
          <w:szCs w:val="20"/>
          <w:color w:val="auto"/>
        </w:rPr>
        <w:tab/>
      </w:r>
      <w:r>
        <w:rPr>
          <w:rFonts w:ascii="Courier New" w:cs="Courier New" w:eastAsia="Courier New" w:hAnsi="Courier New"/>
          <w:sz w:val="14"/>
          <w:szCs w:val="14"/>
          <w:color w:val="auto"/>
        </w:rPr>
        <w:t>ITEM 18 [X]</w:t>
      </w:r>
    </w:p>
    <w:p>
      <w:pPr>
        <w:sectPr>
          <w:pgSz w:w="11900" w:h="16838" w:orient="portrait"/>
          <w:cols w:equalWidth="0" w:num="1">
            <w:col w:w="10229"/>
          </w:cols>
          <w:pgMar w:left="230" w:top="28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20-F</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ANNUAL REPORT FOR THE FISCAL YEAR ENDED SEPTEMBER 30, 1998</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rPr>
          <w:sz w:val="20"/>
          <w:szCs w:val="20"/>
          <w:color w:val="auto"/>
        </w:rPr>
      </w:pPr>
      <w:r>
        <w:rPr>
          <w:rFonts w:ascii="Courier New" w:cs="Courier New" w:eastAsia="Courier New" w:hAnsi="Courier New"/>
          <w:sz w:val="15"/>
          <w:szCs w:val="15"/>
          <w:color w:val="auto"/>
        </w:rPr>
        <w:t>Item 2.</w:t>
      </w:r>
    </w:p>
    <w:p>
      <w:pPr>
        <w:spacing w:after="0"/>
        <w:rPr>
          <w:sz w:val="20"/>
          <w:szCs w:val="20"/>
          <w:color w:val="auto"/>
        </w:rPr>
      </w:pPr>
      <w:r>
        <w:rPr>
          <w:rFonts w:ascii="Courier New" w:cs="Courier New" w:eastAsia="Courier New" w:hAnsi="Courier New"/>
          <w:sz w:val="15"/>
          <w:szCs w:val="15"/>
          <w:color w:val="auto"/>
        </w:rPr>
        <w:t>Item 3.</w:t>
      </w:r>
    </w:p>
    <w:p>
      <w:pPr>
        <w:spacing w:after="0" w:line="238" w:lineRule="auto"/>
        <w:rPr>
          <w:sz w:val="20"/>
          <w:szCs w:val="20"/>
          <w:color w:val="auto"/>
        </w:rPr>
      </w:pPr>
      <w:r>
        <w:rPr>
          <w:rFonts w:ascii="Courier New" w:cs="Courier New" w:eastAsia="Courier New" w:hAnsi="Courier New"/>
          <w:sz w:val="15"/>
          <w:szCs w:val="15"/>
          <w:color w:val="auto"/>
        </w:rPr>
        <w:t>Item 4.</w:t>
      </w:r>
    </w:p>
    <w:p>
      <w:pPr>
        <w:spacing w:after="0"/>
        <w:rPr>
          <w:sz w:val="20"/>
          <w:szCs w:val="20"/>
          <w:color w:val="auto"/>
        </w:rPr>
      </w:pPr>
      <w:r>
        <w:rPr>
          <w:rFonts w:ascii="Courier New" w:cs="Courier New" w:eastAsia="Courier New" w:hAnsi="Courier New"/>
          <w:sz w:val="15"/>
          <w:szCs w:val="15"/>
          <w:color w:val="auto"/>
        </w:rPr>
        <w:t>Item 5.</w:t>
      </w:r>
    </w:p>
    <w:p>
      <w:pPr>
        <w:spacing w:after="0"/>
        <w:rPr>
          <w:sz w:val="20"/>
          <w:szCs w:val="20"/>
          <w:color w:val="auto"/>
        </w:rPr>
      </w:pPr>
      <w:r>
        <w:rPr>
          <w:rFonts w:ascii="Courier New" w:cs="Courier New" w:eastAsia="Courier New" w:hAnsi="Courier New"/>
          <w:sz w:val="15"/>
          <w:szCs w:val="15"/>
          <w:color w:val="auto"/>
        </w:rPr>
        <w:t>Item 6.</w:t>
      </w:r>
    </w:p>
    <w:p>
      <w:pPr>
        <w:spacing w:after="0" w:line="238" w:lineRule="auto"/>
        <w:rPr>
          <w:sz w:val="20"/>
          <w:szCs w:val="20"/>
          <w:color w:val="auto"/>
        </w:rPr>
      </w:pPr>
      <w:r>
        <w:rPr>
          <w:rFonts w:ascii="Courier New" w:cs="Courier New" w:eastAsia="Courier New" w:hAnsi="Courier New"/>
          <w:sz w:val="15"/>
          <w:szCs w:val="15"/>
          <w:color w:val="auto"/>
        </w:rPr>
        <w:t>Item 7.</w:t>
      </w:r>
    </w:p>
    <w:p>
      <w:pPr>
        <w:spacing w:after="0"/>
        <w:rPr>
          <w:sz w:val="20"/>
          <w:szCs w:val="20"/>
          <w:color w:val="auto"/>
        </w:rPr>
      </w:pPr>
      <w:r>
        <w:rPr>
          <w:rFonts w:ascii="Courier New" w:cs="Courier New" w:eastAsia="Courier New" w:hAnsi="Courier New"/>
          <w:sz w:val="15"/>
          <w:szCs w:val="15"/>
          <w:color w:val="auto"/>
        </w:rPr>
        <w:t>Item 8.</w:t>
      </w:r>
    </w:p>
    <w:p>
      <w:pPr>
        <w:spacing w:after="0"/>
        <w:rPr>
          <w:sz w:val="20"/>
          <w:szCs w:val="20"/>
          <w:color w:val="auto"/>
        </w:rPr>
      </w:pPr>
      <w:r>
        <w:rPr>
          <w:rFonts w:ascii="Courier New" w:cs="Courier New" w:eastAsia="Courier New" w:hAnsi="Courier New"/>
          <w:sz w:val="15"/>
          <w:szCs w:val="15"/>
          <w:color w:val="auto"/>
        </w:rPr>
        <w:t>Item 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rPr>
          <w:sz w:val="20"/>
          <w:szCs w:val="20"/>
          <w:color w:val="auto"/>
        </w:rPr>
      </w:pPr>
      <w:r>
        <w:rPr>
          <w:rFonts w:ascii="Courier New" w:cs="Courier New" w:eastAsia="Courier New" w:hAnsi="Courier New"/>
          <w:sz w:val="15"/>
          <w:szCs w:val="15"/>
          <w:color w:val="auto"/>
        </w:rPr>
        <w:t>Description of Property</w:t>
      </w:r>
    </w:p>
    <w:p>
      <w:pPr>
        <w:spacing w:after="0"/>
        <w:rPr>
          <w:sz w:val="20"/>
          <w:szCs w:val="20"/>
          <w:color w:val="auto"/>
        </w:rPr>
      </w:pPr>
      <w:r>
        <w:rPr>
          <w:rFonts w:ascii="Courier New" w:cs="Courier New" w:eastAsia="Courier New" w:hAnsi="Courier New"/>
          <w:sz w:val="15"/>
          <w:szCs w:val="15"/>
          <w:color w:val="auto"/>
        </w:rPr>
        <w:t>Legal Proceedings</w:t>
      </w:r>
    </w:p>
    <w:p>
      <w:pPr>
        <w:spacing w:after="0" w:line="238" w:lineRule="auto"/>
        <w:rPr>
          <w:sz w:val="20"/>
          <w:szCs w:val="20"/>
          <w:color w:val="auto"/>
        </w:rPr>
      </w:pPr>
      <w:r>
        <w:rPr>
          <w:rFonts w:ascii="Courier New" w:cs="Courier New" w:eastAsia="Courier New" w:hAnsi="Courier New"/>
          <w:sz w:val="15"/>
          <w:szCs w:val="15"/>
          <w:color w:val="auto"/>
        </w:rPr>
        <w:t>Control of the Registrant</w:t>
      </w:r>
    </w:p>
    <w:p>
      <w:pPr>
        <w:spacing w:after="0"/>
        <w:rPr>
          <w:sz w:val="20"/>
          <w:szCs w:val="20"/>
          <w:color w:val="auto"/>
        </w:rPr>
      </w:pPr>
      <w:r>
        <w:rPr>
          <w:rFonts w:ascii="Courier New" w:cs="Courier New" w:eastAsia="Courier New" w:hAnsi="Courier New"/>
          <w:sz w:val="15"/>
          <w:szCs w:val="15"/>
          <w:color w:val="auto"/>
        </w:rPr>
        <w:t>Nature of Trading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Controls and Other Limitations Affecting Security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rPr>
          <w:sz w:val="20"/>
          <w:szCs w:val="20"/>
          <w:color w:val="auto"/>
        </w:rPr>
      </w:pPr>
      <w:r>
        <w:rPr>
          <w:rFonts w:ascii="Courier New" w:cs="Courier New" w:eastAsia="Courier New" w:hAnsi="Courier New"/>
          <w:sz w:val="15"/>
          <w:szCs w:val="15"/>
          <w:color w:val="auto"/>
        </w:rPr>
        <w:t>Quantitative and Qualitative Disclosure About Market Risk</w:t>
      </w:r>
    </w:p>
    <w:p>
      <w:pPr>
        <w:spacing w:after="0"/>
        <w:rPr>
          <w:sz w:val="20"/>
          <w:szCs w:val="20"/>
          <w:color w:val="auto"/>
        </w:rPr>
      </w:pPr>
      <w:r>
        <w:rPr>
          <w:rFonts w:ascii="Courier New" w:cs="Courier New" w:eastAsia="Courier New" w:hAnsi="Courier New"/>
          <w:sz w:val="15"/>
          <w:szCs w:val="15"/>
          <w:color w:val="auto"/>
        </w:rPr>
        <w:t>Directors and Officers of Registrant</w:t>
      </w:r>
    </w:p>
    <w:p>
      <w:pPr>
        <w:spacing w:after="0" w:line="238" w:lineRule="auto"/>
        <w:rPr>
          <w:sz w:val="20"/>
          <w:szCs w:val="20"/>
          <w:color w:val="auto"/>
        </w:rPr>
      </w:pPr>
      <w:r>
        <w:rPr>
          <w:rFonts w:ascii="Courier New" w:cs="Courier New" w:eastAsia="Courier New" w:hAnsi="Courier New"/>
          <w:sz w:val="15"/>
          <w:szCs w:val="15"/>
          <w:color w:val="auto"/>
        </w:rPr>
        <w:t>Compensation of Directors and Officers</w:t>
      </w:r>
    </w:p>
    <w:p>
      <w:pPr>
        <w:spacing w:after="0"/>
        <w:rPr>
          <w:sz w:val="20"/>
          <w:szCs w:val="20"/>
          <w:color w:val="auto"/>
        </w:rPr>
      </w:pPr>
      <w:r>
        <w:rPr>
          <w:rFonts w:ascii="Courier New" w:cs="Courier New" w:eastAsia="Courier New" w:hAnsi="Courier New"/>
          <w:sz w:val="15"/>
          <w:szCs w:val="15"/>
          <w:color w:val="auto"/>
        </w:rPr>
        <w:t>Options to Purchase Securities from Registrant or Subsidiaries</w:t>
      </w:r>
    </w:p>
    <w:p>
      <w:pPr>
        <w:spacing w:after="0"/>
        <w:rPr>
          <w:sz w:val="20"/>
          <w:szCs w:val="20"/>
          <w:color w:val="auto"/>
        </w:rPr>
      </w:pPr>
      <w:r>
        <w:rPr>
          <w:rFonts w:ascii="Courier New" w:cs="Courier New" w:eastAsia="Courier New" w:hAnsi="Courier New"/>
          <w:sz w:val="15"/>
          <w:szCs w:val="15"/>
          <w:color w:val="auto"/>
        </w:rPr>
        <w:t>Interest of Management in Certain Transactions</w:t>
      </w:r>
    </w:p>
    <w:p>
      <w:pPr>
        <w:spacing w:after="0" w:line="174" w:lineRule="exact"/>
        <w:rPr>
          <w:sz w:val="20"/>
          <w:szCs w:val="20"/>
          <w:color w:val="auto"/>
        </w:rPr>
      </w:pPr>
    </w:p>
    <w:p>
      <w:pPr>
        <w:sectPr>
          <w:pgSz w:w="11900" w:h="16838" w:orient="portrait"/>
          <w:cols w:equalWidth="0" w:num="2">
            <w:col w:w="700" w:space="520"/>
            <w:col w:w="899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II</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Securities to be Registered - Not applicable</w:t>
      </w:r>
    </w:p>
    <w:p>
      <w:pPr>
        <w:spacing w:after="0" w:line="180" w:lineRule="exact"/>
        <w:rPr>
          <w:sz w:val="20"/>
          <w:szCs w:val="20"/>
          <w:color w:val="auto"/>
        </w:rPr>
      </w:pPr>
    </w:p>
    <w:p>
      <w:pPr>
        <w:sectPr>
          <w:pgSz w:w="11900" w:h="16838" w:orient="portrait"/>
          <w:cols w:equalWidth="0" w:num="2">
            <w:col w:w="700" w:space="520"/>
            <w:col w:w="899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III</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Defaults Upon Senior Securities - 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Securities and Changes in Security</w:t>
      </w:r>
    </w:p>
    <w:p>
      <w:pPr>
        <w:spacing w:after="0"/>
        <w:rPr>
          <w:sz w:val="20"/>
          <w:szCs w:val="20"/>
          <w:color w:val="auto"/>
        </w:rPr>
      </w:pPr>
      <w:r>
        <w:rPr>
          <w:rFonts w:ascii="Courier New" w:cs="Courier New" w:eastAsia="Courier New" w:hAnsi="Courier New"/>
          <w:sz w:val="15"/>
          <w:szCs w:val="15"/>
          <w:color w:val="auto"/>
        </w:rPr>
        <w:t>for Registered Securities</w:t>
      </w:r>
    </w:p>
    <w:p>
      <w:pPr>
        <w:spacing w:after="0" w:line="174" w:lineRule="exact"/>
        <w:rPr>
          <w:sz w:val="20"/>
          <w:szCs w:val="20"/>
          <w:color w:val="auto"/>
        </w:rPr>
      </w:pPr>
    </w:p>
    <w:p>
      <w:pPr>
        <w:sectPr>
          <w:pgSz w:w="11900" w:h="16838" w:orient="portrait"/>
          <w:cols w:equalWidth="0" w:num="2">
            <w:col w:w="700" w:space="520"/>
            <w:col w:w="899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IV</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 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rPr>
          <w:sz w:val="20"/>
          <w:szCs w:val="20"/>
          <w:color w:val="auto"/>
        </w:rPr>
      </w:pPr>
      <w:r>
        <w:rPr>
          <w:rFonts w:ascii="Courier New" w:cs="Courier New" w:eastAsia="Courier New" w:hAnsi="Courier New"/>
          <w:sz w:val="15"/>
          <w:szCs w:val="15"/>
          <w:color w:val="auto"/>
        </w:rPr>
        <w:t>Financial Statements and Exhibits</w:t>
      </w:r>
    </w:p>
    <w:p>
      <w:pPr>
        <w:sectPr>
          <w:pgSz w:w="11900" w:h="16838" w:orient="portrait"/>
          <w:cols w:equalWidth="0" w:num="2">
            <w:col w:w="700" w:space="520"/>
            <w:col w:w="8999"/>
          </w:cols>
          <w:pgMar w:left="240" w:top="28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 Subsidiaries of 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 Consent of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 Amdocs Limited Press Release dated November 11, 1998</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DESCRIPTION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Amdocs Limited is a holding company incorporated under the laws of the Island of Guernsey. The Company's global business, conducted through subsidiaries, is to provide product-driven information system solutions to major telecommunication companies in the United States and around the world.</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Unless the context otherwise requires, all references in this report to Amdocs or the Company include Amdocs Limited and its subsidiaries and their respective predecessors.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Company's business was founded in 1982. Prior to 1995, the Company and its operating subsidiaries were operated as a group of companies owned by common shareholders. In 1995, the companies underwent a reorganization as a result of which Amdocs Limited became the holding company for all the affiliated companies.</w:t>
      </w:r>
    </w:p>
    <w:p>
      <w:pPr>
        <w:spacing w:after="0" w:line="178"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The Company's Ordinary Shares are publicly traded on the New York Stock Exchange under the symbol "DOX."</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 the United States, the Company's main sales and development center is located in St. Louis, Missouri. The executive offices of the Company's principal subsidiary in the United States are located at 1610 Des Peres Road, St. Louis, Missouri 63131, and the telephone number at that location is (314) 821-3242.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Company's Business Support Systems ("BSS") consist of families of customized software products and services designed to meet the mission-critical needs of specific telecommunications market sectors. The Company provides primarily Customer Care and Billing Systems ("CC&amp;B Systems") for wireless (cellular, PCS and paging), wireline (local, long distance, international and Internet) network operators and service providers, as well as for companies that offer multiple service packages, commonly referred to as convergent services (combinations of local, long distance, international, mobile, cable television (CATV) and Internet services). In addition, the Company provides a full-range of Directory Sales and Publishing Systems ("Directory Systems") to publishers of both traditional printed yellow page and white page directories and electronic Internet directories. Due to the complexity of the process and the expertise required for system support, the Company also provides extensive customization, implementation, ongoing support, system enhancement and maintenance services.</w:t>
      </w:r>
    </w:p>
    <w:p>
      <w:pPr>
        <w:spacing w:after="0" w:line="165" w:lineRule="exact"/>
        <w:rPr>
          <w:sz w:val="20"/>
          <w:szCs w:val="20"/>
          <w:color w:val="auto"/>
        </w:rPr>
      </w:pPr>
    </w:p>
    <w:p>
      <w:pPr>
        <w:ind w:right="4139" w:firstLine="793"/>
        <w:spacing w:after="0" w:line="237" w:lineRule="auto"/>
        <w:rPr>
          <w:sz w:val="20"/>
          <w:szCs w:val="20"/>
          <w:color w:val="auto"/>
        </w:rPr>
      </w:pPr>
      <w:r>
        <w:rPr>
          <w:rFonts w:ascii="Courier New" w:cs="Courier New" w:eastAsia="Courier New" w:hAnsi="Courier New"/>
          <w:sz w:val="15"/>
          <w:szCs w:val="15"/>
          <w:color w:val="auto"/>
        </w:rPr>
        <w:t>Since the inception of its business in 1982, the Company has concentrated on providing software products and services to major telecommunications companies. By focusing on this</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market, Amdocs believes that it has been able to develop the innovative products and the industry expertise, project management skills and technological competencies required for the advanced, large-scale, specifications-intensive system projects typical of the telecommunications industry. The Company's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 The Company has been able to establish long-term working relationships with many of its customers, due, in part, to its broad-based expertise and its ability to address the evolving needs of a dynamic telecommunications industry. Of the Company's current customer base of over 60 customers, fifteen have been customers for five years or more.</w:t>
      </w:r>
    </w:p>
    <w:p>
      <w:pPr>
        <w:spacing w:after="0" w:line="33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(e.g., competitive local exchange carriers) to provide both traditional and new types of services, including Internet, VOIP telephony, Internet directories, satellite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 This trend, in turn, has created the need for sophisticated and flexible customer information solutions to support these services.</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BSS products and related services are designed to manage and improve key aspects of the business operations of telecommunications companies, such as customer care, call rating, invoice calculation, bill formatting, collections, fraud management and directory publishing services. The BSS products are tailored to address the unique needs of each telecommunications provider.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Telecommunications Industry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entrants began to invade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w:t>
      </w:r>
    </w:p>
    <w:p>
      <w:pPr>
        <w:spacing w:after="0" w:line="183"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Internationally, privatization and deregulation are resulting in increased international</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competition and the emergence of newly-authorized telecommunications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Information Systems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82"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which creates significant opportunities for the Company. Unlike the Company, however, many third-party vendors generally provide only generic software packages and maintenance services, while customization, implementation and other related and ongoing tasks are performed by a separate systems integration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believes that its total solutions orientation, product-driven approach and commitment to and support of quality personnel permit the Company to offer effective solutions to its customers that are both highly innovative and reliable, thus creating significant competitive advantages in the market for information systems solutions. The Company believes that its success derives from a combination of the following factors that differentiate it from most of its competitors.</w:t>
      </w:r>
    </w:p>
    <w:p>
      <w:pPr>
        <w:spacing w:after="0" w:line="177"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Total Solutions Orientation. Amdocs offers its customers total solutions that include BSS product-driven software tailored to the customer's specific requirements, implementation capability, systems integration, maintenance and ongoing support. By providing solutions support services directly to the customer, rather than through intermediaries and system integrators, the Company is able to utilize effectively its intensive technical knowledge of its BSS products in the overall execution of the project, significantly reducing project risk.</w:t>
      </w:r>
    </w:p>
    <w:p>
      <w:pPr>
        <w:spacing w:after="0" w:line="179" w:lineRule="exact"/>
        <w:rPr>
          <w:sz w:val="20"/>
          <w:szCs w:val="20"/>
          <w:color w:val="auto"/>
        </w:rPr>
      </w:pPr>
    </w:p>
    <w:p>
      <w:pPr>
        <w:ind w:left="780" w:right="3179" w:firstLine="793"/>
        <w:spacing w:after="0" w:line="238" w:lineRule="auto"/>
        <w:rPr>
          <w:sz w:val="20"/>
          <w:szCs w:val="20"/>
          <w:color w:val="auto"/>
        </w:rPr>
      </w:pPr>
      <w:r>
        <w:rPr>
          <w:rFonts w:ascii="Courier New" w:cs="Courier New" w:eastAsia="Courier New" w:hAnsi="Courier New"/>
          <w:sz w:val="15"/>
          <w:szCs w:val="15"/>
          <w:color w:val="auto"/>
        </w:rPr>
        <w:t>Amdocs product-driven software solutions approach is distinctly different from the project-based strategy that has traditionally characterized many of the telecommunications information systems providers over the past twenty years. The Company's product-driven software solutions use the Company's BSS products as the starting point for each project. This approach enhances the Company's ability to provide its customers with timely, cost-effective, low-risk solutions at a consistent level of quality.</w:t>
      </w:r>
    </w:p>
    <w:p>
      <w:pPr>
        <w:spacing w:after="0" w:line="178" w:lineRule="exact"/>
        <w:rPr>
          <w:sz w:val="20"/>
          <w:szCs w:val="20"/>
          <w:color w:val="auto"/>
        </w:rPr>
      </w:pPr>
    </w:p>
    <w:p>
      <w:pPr>
        <w:ind w:left="780" w:right="3359"/>
        <w:spacing w:after="0" w:line="257" w:lineRule="auto"/>
        <w:rPr>
          <w:sz w:val="20"/>
          <w:szCs w:val="20"/>
          <w:color w:val="auto"/>
        </w:rPr>
      </w:pPr>
      <w:r>
        <w:rPr>
          <w:rFonts w:ascii="Courier New" w:cs="Courier New" w:eastAsia="Courier New" w:hAnsi="Courier New"/>
          <w:sz w:val="14"/>
          <w:szCs w:val="14"/>
          <w:color w:val="auto"/>
        </w:rPr>
        <w:t>Functional and Flexible BSS Products. The Company's BSS products are based on an open, multi-tier, client-server, rule-based architecture that provides the functionality, scalability, modularity and adaptability required in today's deregulated, highly competitive telecommunications industry. Using BSS products, the Company's customers have achieved significant time-to-market advantages and reduced their dependence on technical and other staff, as a result of the open systems approach adopted by the Company.</w:t>
      </w:r>
    </w:p>
    <w:p>
      <w:pPr>
        <w:spacing w:after="0" w:line="167"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Highly Skilled Personnel. Amdocs is able to offer its customers superior products and services on a worldwide basis in large part due to its highly qualified and trained technical, sales, marketing and managerial personnel. The Company invests significantly in the ongoing training of its personnel, in key areas such as industry knowledge, software technologies and management capabilities. Primarily based on the skills and knowledge of its employees, the Company believes that it has developed a reputation for the reliable delivery of quality solutions within agreed time frames and budgets. The Company has a global recruitment capability and has development centers in Israel, the United States and Cyprus.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5"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The Company's goal is to provide advanced information technology software products</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and related customer service and support to the world's leading telecommunications companies. The Company seeks to accomplish its goal by pursuing the strategies described below.</w:t>
      </w:r>
    </w:p>
    <w:p>
      <w:pPr>
        <w:spacing w:after="0" w:line="175" w:lineRule="exact"/>
        <w:rPr>
          <w:sz w:val="20"/>
          <w:szCs w:val="20"/>
          <w:color w:val="auto"/>
        </w:rPr>
      </w:pPr>
    </w:p>
    <w:p>
      <w:pPr>
        <w:ind w:left="1220" w:right="3259" w:hanging="789"/>
        <w:spacing w:after="0" w:line="257"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Telecommunications Industry. The Company intends to continue to concentrate its resources and efforts on providing strategic information systems to the growing number of telecommunications industry participants. This strategy has enabled the Company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66" w:lineRule="exact"/>
        <w:rPr>
          <w:rFonts w:ascii="Courier New" w:cs="Courier New" w:eastAsia="Courier New" w:hAnsi="Courier New"/>
          <w:sz w:val="14"/>
          <w:szCs w:val="14"/>
          <w:color w:val="auto"/>
        </w:rPr>
      </w:pPr>
    </w:p>
    <w:p>
      <w:pPr>
        <w:ind w:left="1220" w:right="3179" w:hanging="789"/>
        <w:spacing w:after="0" w:line="257"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and Promising New Entrants. The Company intends to continue to direct its marketing efforts principally towards the major telecommunications companies and new entrants that are believed to have the potential to be market leaders. The Company's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 The Company believes that the development of this premier customer base has helped position the Company as a market leader, while contributing to the stability of the Company's business. By targeting industry leaders and promising new entrants that require the most sophisticated information systems solutions, the Company believes that it is best able to ensure that it remains at the forefront of developments in the industry.</w:t>
      </w:r>
    </w:p>
    <w:p>
      <w:pPr>
        <w:spacing w:after="0" w:line="164" w:lineRule="exact"/>
        <w:rPr>
          <w:rFonts w:ascii="Courier New" w:cs="Courier New" w:eastAsia="Courier New" w:hAnsi="Courier New"/>
          <w:sz w:val="14"/>
          <w:szCs w:val="14"/>
          <w:color w:val="auto"/>
        </w:rPr>
      </w:pPr>
    </w:p>
    <w:p>
      <w:pPr>
        <w:ind w:left="1220" w:right="3179" w:hanging="789"/>
        <w:spacing w:after="0" w:line="257"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The Company's strategy is to use its BSS products as the basis for providing customers with total systems solutions. Using this product-driven solutions strategy, the Company strives to tailor its core software modules to the specific, individualized requirements of its customers. Working directly with the customer, the Company's development personnel develop the detailed functional specifications of the system required by the customer. In accordance with such specifications, the Company's system modules are then adapted or customized to meet the customer's specific business requirements. The Company believes that this approach minimizes risks and increases efficiencies by drawing on field-proven BSS products and techniques, and also helps to create for its customers significant time-to-market and other competitive advantages. By leveraging its specialized product knowledge, the Company believes that it can provide more effective system integration and implementation support services to its customers.</w:t>
      </w:r>
    </w:p>
    <w:p>
      <w:pPr>
        <w:spacing w:after="0" w:line="333" w:lineRule="exact"/>
        <w:rPr>
          <w:rFonts w:ascii="Courier New" w:cs="Courier New" w:eastAsia="Courier New" w:hAnsi="Courier New"/>
          <w:sz w:val="14"/>
          <w:szCs w:val="14"/>
          <w:color w:val="auto"/>
        </w:rPr>
      </w:pPr>
    </w:p>
    <w:p>
      <w:pPr>
        <w:ind w:left="1220" w:right="3179" w:hanging="789"/>
        <w:spacing w:after="0" w:line="238" w:lineRule="auto"/>
        <w:tabs>
          <w:tab w:leader="none" w:pos="12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The Company seeks to maintain and develop long-term, mutually beneficial relationships with its customers. As a result of this strategy, the Company has been able to establish long-term working relationships with many of its customers. Of the Company's current base of over 60 customers, fifteen have been customers for five years or</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220" w:right="3179"/>
        <w:spacing w:after="0" w:line="238" w:lineRule="auto"/>
        <w:rPr>
          <w:sz w:val="20"/>
          <w:szCs w:val="20"/>
          <w:color w:val="auto"/>
        </w:rPr>
      </w:pPr>
      <w:r>
        <w:rPr>
          <w:rFonts w:ascii="Courier New" w:cs="Courier New" w:eastAsia="Courier New" w:hAnsi="Courier New"/>
          <w:sz w:val="15"/>
          <w:szCs w:val="15"/>
          <w:color w:val="auto"/>
        </w:rPr>
        <w:t>more. These relationships have generally involved additional product sales, as well as ongoing support, system enhancement and maintenance services. The Company believes that such relationships are facilitated in many cases by the mission-critical strategic nature of the systems provided by the Company and by the customer's reliance on the Company's specialized skills and knowledge. In addition, the Company's strategy is to solidify its existing customer relationships by means of long-term support and maintenance contracts.</w:t>
      </w:r>
    </w:p>
    <w:p>
      <w:pPr>
        <w:spacing w:after="0" w:line="179" w:lineRule="exact"/>
        <w:rPr>
          <w:sz w:val="20"/>
          <w:szCs w:val="20"/>
          <w:color w:val="auto"/>
        </w:rPr>
      </w:pPr>
    </w:p>
    <w:p>
      <w:pPr>
        <w:ind w:left="1220" w:right="3179" w:hanging="789"/>
        <w:spacing w:after="0" w:line="238" w:lineRule="auto"/>
        <w:tabs>
          <w:tab w:leader="none" w:pos="12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The Company intends to continue to develop and enhance its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The Company believes it has developed the human and other resources required to conduct business on a global basis and is well positioned to respond to the demands of a worldwide industry, including the increasing trend for the major telecommunications companies to invest in new national markets, often in partnership with local companies. The Company has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developed core competencies in various advanced technologies that are used in the Company's BSS products. By utilizing technologies such as rule-based techniques, intelligent agents, Internet technology, object-oriented design and programming and data mining, the Company is able to provide telecommunication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the Company has been able to improve access to information for remote users, both internally within a telecommunication company's organization and between the organization and its subscribers.</w:t>
      </w:r>
    </w:p>
    <w:p>
      <w:pPr>
        <w:spacing w:after="0" w:line="18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its customers to operate all of their distributed and mainframe applications, the Company's BSS products are designed to work in a number of network and operating system environments, including UNIX, MVS and Windows NT.</w:t>
      </w:r>
    </w:p>
    <w:p>
      <w:pPr>
        <w:spacing w:after="0" w:line="178"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1220" w:right="3259" w:hanging="789"/>
        <w:spacing w:after="0" w:line="237" w:lineRule="auto"/>
        <w:tabs>
          <w:tab w:leader="none" w:pos="12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220" w:right="3439"/>
        <w:spacing w:after="0" w:line="235" w:lineRule="auto"/>
        <w:rPr>
          <w:sz w:val="20"/>
          <w:szCs w:val="20"/>
          <w:color w:val="auto"/>
        </w:rPr>
      </w:pPr>
      <w:r>
        <w:rPr>
          <w:rFonts w:ascii="Courier New" w:cs="Courier New" w:eastAsia="Courier New" w:hAnsi="Courier New"/>
          <w:sz w:val="15"/>
          <w:szCs w:val="15"/>
          <w:color w:val="auto"/>
        </w:rPr>
        <w:t>software, the Company's BSS products can support operations for small as well as very large service providers.</w:t>
      </w:r>
    </w:p>
    <w:p>
      <w:pPr>
        <w:spacing w:after="0" w:line="176" w:lineRule="exact"/>
        <w:rPr>
          <w:sz w:val="20"/>
          <w:szCs w:val="20"/>
          <w:color w:val="auto"/>
        </w:rPr>
      </w:pPr>
    </w:p>
    <w:p>
      <w:pPr>
        <w:ind w:left="1220" w:right="3179" w:hanging="789"/>
        <w:spacing w:after="0" w:line="238" w:lineRule="auto"/>
        <w:tabs>
          <w:tab w:leader="none" w:pos="12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standalone basis, interfacing with the customer's existing systems, or as part of an integrated BSS environment. This modularity provides the Company's customers with a highly flexible and cost effective solution that is able to incrementally expand with the customer's growing needs and capabilities. The modular approach also preserves the customers' initial investments in BSS products, while minimizing future disruptions and the overall cost of system implementation.</w:t>
      </w:r>
    </w:p>
    <w:p>
      <w:pPr>
        <w:spacing w:after="0" w:line="179" w:lineRule="exact"/>
        <w:rPr>
          <w:rFonts w:ascii="Courier New" w:cs="Courier New" w:eastAsia="Courier New" w:hAnsi="Courier New"/>
          <w:sz w:val="15"/>
          <w:szCs w:val="15"/>
          <w:color w:val="auto"/>
        </w:rPr>
      </w:pPr>
    </w:p>
    <w:p>
      <w:pPr>
        <w:ind w:left="1220" w:right="3259" w:hanging="789"/>
        <w:spacing w:after="0" w:line="238" w:lineRule="auto"/>
        <w:tabs>
          <w:tab w:leader="none" w:pos="12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the Company's customers are able to choose from a variety of hardware vendors, including Digital, Hewlett-Packard, IBM and Sun Microsystems. In implementing solutions for wireline companies, the Company is also able to employ MVS and hybrid UNIX/MVS platforms. The BSS products utilize, where applicable, Java-based design and programming to augment cross-platform portability.</w:t>
      </w:r>
    </w:p>
    <w:p>
      <w:pPr>
        <w:spacing w:after="0" w:line="177" w:lineRule="exact"/>
        <w:rPr>
          <w:rFonts w:ascii="Courier New" w:cs="Courier New" w:eastAsia="Courier New" w:hAnsi="Courier New"/>
          <w:sz w:val="15"/>
          <w:szCs w:val="15"/>
          <w:color w:val="auto"/>
        </w:rPr>
      </w:pPr>
    </w:p>
    <w:p>
      <w:pPr>
        <w:ind w:left="1220" w:right="3259" w:hanging="789"/>
        <w:spacing w:after="0" w:line="238" w:lineRule="auto"/>
        <w:tabs>
          <w:tab w:leader="none" w:pos="12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 party modules or packages. The systems are not dependent on any single hardware vendor or specific relational database management system, enabling the Company's customers to select among multiple hardware platforms and a variety of network and operating system environments. Similarly, the Company's BSS products utilize standard programming languages, such as C++, to ensure compatibility with the operating environments employed in most telecommunications companies. It is also the general policy of the Company to deliver to its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Amdocs has developed an extensive library of BSS software products, providing comprehensive information systems functionality for wireless (cellular, PCS and paging), wireline (local, long distance, international and Internet) and directory publishing operations. Core elements include customer care, call rating, invoice calculation, bill formatting, collections, fraud management and directory publishing services.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SIM-card functionality for GSM networks, value added services introduced by Advanced Intelligent Network (AIN) and preferred interexchange carrier functionality for long distance carriers). In addition, the Company has developed systems to support resellers and wholesalers of</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telecommunication services. The Company's systems also support telecommunications providers that offer multiple service packages, commonly referred to as convergent services (combinations of local, long distance, international, mobile, cable television and Internet services).</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configures individual BSS modules into families of products, which serve as marketing packages oriented to the needs of specific customer segments. The Company offers Ensemble, its Customer Care and Billing System, in a number of versions to serve the different needs of telecommunications operators in the various network and business segments, such as wholesale and retail operations, and local, cellular, long distance, international and convergent operations. With the recent introduction of Ensemble, the Company is also able to provide enhanced support for convergent customer care and billing activities in fixed-line and mobile multi-service environments. The Company also offers its new generation ("NG") line of "ADSNG/Family of Products" which provides comprehensive support for directory publishing operations. Each individual module from the product families can be installed as an independent standalone application, interfacing with the customer's legacy and third party systems, or as part of an integrated Amdocs solution. The Company has also recently introduced a number of new products for Internet and electronic commerce applications, such as Internet-based bill viewing. The Company anticipates that over the next several years products developed or to be developed for such applications will make a modest but increasing contribution to revenue.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Both the "Customer Care and Billing Platform" and the "Convergence/Family of Products" offered by the Company encompass the following key application areas:</w:t>
      </w:r>
    </w:p>
    <w:p>
      <w:pPr>
        <w:spacing w:after="0" w:line="175" w:lineRule="exact"/>
        <w:rPr>
          <w:sz w:val="20"/>
          <w:szCs w:val="20"/>
          <w:color w:val="auto"/>
        </w:rPr>
      </w:pPr>
    </w:p>
    <w:p>
      <w:pPr>
        <w:ind w:left="1220" w:right="3439" w:hanging="789"/>
        <w:spacing w:after="0" w:line="237" w:lineRule="auto"/>
        <w:tabs>
          <w:tab w:leader="none" w:pos="12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Care--provides customer account information management and service support, including account initiation, handling of service orders, on-line assistance in choosing a price plan, installation scheduling and complaint handling.</w:t>
      </w:r>
    </w:p>
    <w:p>
      <w:pPr>
        <w:spacing w:after="0" w:line="176" w:lineRule="exact"/>
        <w:rPr>
          <w:rFonts w:ascii="Courier New" w:cs="Courier New" w:eastAsia="Courier New" w:hAnsi="Courier New"/>
          <w:sz w:val="15"/>
          <w:szCs w:val="15"/>
          <w:color w:val="auto"/>
        </w:rPr>
      </w:pPr>
    </w:p>
    <w:p>
      <w:pPr>
        <w:ind w:left="1220" w:right="3179" w:hanging="789"/>
        <w:spacing w:after="0" w:line="257" w:lineRule="auto"/>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Message Processing--calculates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66" w:lineRule="exact"/>
        <w:rPr>
          <w:rFonts w:ascii="Courier New" w:cs="Courier New" w:eastAsia="Courier New" w:hAnsi="Courier New"/>
          <w:sz w:val="14"/>
          <w:szCs w:val="14"/>
          <w:color w:val="auto"/>
        </w:rPr>
      </w:pPr>
    </w:p>
    <w:p>
      <w:pPr>
        <w:ind w:left="1220" w:right="3259" w:hanging="789"/>
        <w:spacing w:after="0" w:line="259" w:lineRule="auto"/>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Invoicing--provides comprehensive functionality for bill preparation (totaling of usage and other charges, application of discounts, taxes and credits) and bill production, as well as the ability to offer so-called "hot billing" (or real-time billing).</w:t>
      </w:r>
    </w:p>
    <w:p>
      <w:pPr>
        <w:spacing w:after="0" w:line="162" w:lineRule="exact"/>
        <w:rPr>
          <w:rFonts w:ascii="Courier New" w:cs="Courier New" w:eastAsia="Courier New" w:hAnsi="Courier New"/>
          <w:sz w:val="14"/>
          <w:szCs w:val="14"/>
          <w:color w:val="auto"/>
        </w:rPr>
      </w:pPr>
    </w:p>
    <w:p>
      <w:pPr>
        <w:ind w:left="1220" w:right="3359" w:hanging="789"/>
        <w:spacing w:after="0" w:line="237" w:lineRule="auto"/>
        <w:tabs>
          <w:tab w:leader="none" w:pos="12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 Formatter--enables the flexible definition and modification of bill formats, according to user requests (e.g., to combine charges from multiple services onto a</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ind w:left="1220"/>
        <w:spacing w:after="0"/>
        <w:rPr>
          <w:sz w:val="20"/>
          <w:szCs w:val="20"/>
          <w:color w:val="auto"/>
        </w:rPr>
      </w:pPr>
      <w:r>
        <w:rPr>
          <w:rFonts w:ascii="Courier New" w:cs="Courier New" w:eastAsia="Courier New" w:hAnsi="Courier New"/>
          <w:sz w:val="15"/>
          <w:szCs w:val="15"/>
          <w:color w:val="auto"/>
        </w:rPr>
        <w:t>single bill or to permit certain types of charges to be</w:t>
      </w:r>
    </w:p>
    <w:p>
      <w:pPr>
        <w:ind w:left="1220"/>
        <w:spacing w:after="0"/>
        <w:rPr>
          <w:sz w:val="20"/>
          <w:szCs w:val="20"/>
          <w:color w:val="auto"/>
        </w:rPr>
      </w:pPr>
      <w:r>
        <w:rPr>
          <w:rFonts w:ascii="Courier New" w:cs="Courier New" w:eastAsia="Courier New" w:hAnsi="Courier New"/>
          <w:sz w:val="15"/>
          <w:szCs w:val="15"/>
          <w:color w:val="auto"/>
        </w:rPr>
        <w:t>highlighted).</w:t>
      </w:r>
    </w:p>
    <w:p>
      <w:pPr>
        <w:spacing w:after="0" w:line="174" w:lineRule="exact"/>
        <w:rPr>
          <w:sz w:val="20"/>
          <w:szCs w:val="20"/>
          <w:color w:val="auto"/>
        </w:rPr>
      </w:pPr>
    </w:p>
    <w:p>
      <w:pPr>
        <w:ind w:left="1220" w:right="3439" w:hanging="789"/>
        <w:spacing w:after="0" w:line="259" w:lineRule="auto"/>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Management--provides comprehensive functionality for accounts receivable and collections, including invoice receipt, payment receipt, payment posting, financial reporting and automated handling of customers with outstanding debts.</w:t>
      </w:r>
    </w:p>
    <w:p>
      <w:pPr>
        <w:spacing w:after="0" w:line="162" w:lineRule="exact"/>
        <w:rPr>
          <w:rFonts w:ascii="Courier New" w:cs="Courier New" w:eastAsia="Courier New" w:hAnsi="Courier New"/>
          <w:sz w:val="14"/>
          <w:szCs w:val="14"/>
          <w:color w:val="auto"/>
        </w:rPr>
      </w:pPr>
    </w:p>
    <w:p>
      <w:pPr>
        <w:ind w:left="1220" w:right="3179" w:hanging="789"/>
        <w:spacing w:after="0" w:line="238" w:lineRule="auto"/>
        <w:tabs>
          <w:tab w:leader="none" w:pos="12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Mediation--manages the carrier's inventory of telephone numbers and SIM cards. This module also manages the interface between a telecommunications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jc w:val="both"/>
        <w:ind w:left="1220" w:right="3259" w:hanging="789"/>
        <w:spacing w:after="0" w:line="237" w:lineRule="auto"/>
        <w:tabs>
          <w:tab w:leader="none" w:pos="12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Dealer Compensation--manages the financial relationship between a wireless carrier and its authorized dealers, including commission calculation, chargebacks and residual compensation.</w:t>
      </w:r>
    </w:p>
    <w:p>
      <w:pPr>
        <w:spacing w:after="0" w:line="174" w:lineRule="exact"/>
        <w:rPr>
          <w:rFonts w:ascii="Courier New" w:cs="Courier New" w:eastAsia="Courier New" w:hAnsi="Courier New"/>
          <w:sz w:val="15"/>
          <w:szCs w:val="15"/>
          <w:color w:val="auto"/>
        </w:rPr>
      </w:pPr>
    </w:p>
    <w:p>
      <w:pPr>
        <w:ind w:left="1220" w:right="3179" w:hanging="789"/>
        <w:spacing w:after="0" w:line="237" w:lineRule="auto"/>
        <w:tabs>
          <w:tab w:leader="none" w:pos="12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Retail--provides complete point of sale support, by managing sales and installation, supporting equipment rental, repairs and returns, cash register functions, inventory control and installation scheduling.</w:t>
      </w:r>
    </w:p>
    <w:p>
      <w:pPr>
        <w:spacing w:after="0" w:line="176" w:lineRule="exact"/>
        <w:rPr>
          <w:rFonts w:ascii="Courier New" w:cs="Courier New" w:eastAsia="Courier New" w:hAnsi="Courier New"/>
          <w:sz w:val="15"/>
          <w:szCs w:val="15"/>
          <w:color w:val="auto"/>
        </w:rPr>
      </w:pPr>
    </w:p>
    <w:p>
      <w:pPr>
        <w:ind w:left="1220" w:right="3179" w:hanging="789"/>
        <w:spacing w:after="0" w:line="237" w:lineRule="auto"/>
        <w:tabs>
          <w:tab w:leader="none" w:pos="12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Management--employs sophisticated data analysis tools and makes use of the integrated user database to detect the fraudulent use of wireless phones and phone numbers.</w:t>
      </w:r>
    </w:p>
    <w:p>
      <w:pPr>
        <w:spacing w:after="0" w:line="174" w:lineRule="exact"/>
        <w:rPr>
          <w:rFonts w:ascii="Courier New" w:cs="Courier New" w:eastAsia="Courier New" w:hAnsi="Courier New"/>
          <w:sz w:val="15"/>
          <w:szCs w:val="15"/>
          <w:color w:val="auto"/>
        </w:rPr>
      </w:pPr>
    </w:p>
    <w:p>
      <w:pPr>
        <w:ind w:left="1220" w:right="3539" w:hanging="789"/>
        <w:spacing w:after="0" w:line="265" w:lineRule="auto"/>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Internet-based Bill Viewing--enables user interaction and bill view capabilities over the Internet through www.self.service.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"ADS(NG)/Family of Products"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178" w:lineRule="exact"/>
        <w:rPr>
          <w:sz w:val="20"/>
          <w:szCs w:val="20"/>
          <w:color w:val="auto"/>
        </w:rPr>
      </w:pPr>
    </w:p>
    <w:p>
      <w:pPr>
        <w:ind w:left="1220" w:right="3359" w:hanging="789"/>
        <w:spacing w:after="0" w:line="238" w:lineRule="auto"/>
        <w:tabs>
          <w:tab w:leader="none" w:pos="12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9" w:lineRule="exact"/>
        <w:rPr>
          <w:rFonts w:ascii="Courier New" w:cs="Courier New" w:eastAsia="Courier New" w:hAnsi="Courier New"/>
          <w:sz w:val="15"/>
          <w:szCs w:val="15"/>
          <w:color w:val="auto"/>
        </w:rPr>
      </w:pPr>
    </w:p>
    <w:p>
      <w:pPr>
        <w:ind w:left="1220" w:right="3259" w:hanging="789"/>
        <w:spacing w:after="0" w:line="237" w:lineRule="auto"/>
        <w:tabs>
          <w:tab w:leader="none" w:pos="12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Publishing--supports the process of entering, proofing and extracting the telephone listing and advertising information that is to be published in a directory.</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220" w:right="3359"/>
        <w:spacing w:after="0" w:line="260" w:lineRule="auto"/>
        <w:rPr>
          <w:sz w:val="20"/>
          <w:szCs w:val="20"/>
          <w:color w:val="auto"/>
        </w:rPr>
      </w:pPr>
      <w:r>
        <w:rPr>
          <w:rFonts w:ascii="Courier New" w:cs="Courier New" w:eastAsia="Courier New" w:hAnsi="Courier New"/>
          <w:sz w:val="14"/>
          <w:szCs w:val="14"/>
          <w:color w:val="auto"/>
        </w:rPr>
        <w:t>These modules encompass contract processing, service order processing, listing information management and directory extract in preparation for the actual production of the directory.</w:t>
      </w:r>
    </w:p>
    <w:p>
      <w:pPr>
        <w:spacing w:after="0" w:line="163" w:lineRule="exact"/>
        <w:rPr>
          <w:sz w:val="20"/>
          <w:szCs w:val="20"/>
          <w:color w:val="auto"/>
        </w:rPr>
      </w:pPr>
    </w:p>
    <w:p>
      <w:pPr>
        <w:ind w:left="1220" w:right="3179" w:hanging="789"/>
        <w:spacing w:after="0" w:line="238"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9" w:lineRule="exact"/>
        <w:rPr>
          <w:rFonts w:ascii="Courier New" w:cs="Courier New" w:eastAsia="Courier New" w:hAnsi="Courier New"/>
          <w:sz w:val="15"/>
          <w:szCs w:val="15"/>
          <w:color w:val="auto"/>
        </w:rPr>
      </w:pPr>
    </w:p>
    <w:p>
      <w:pPr>
        <w:ind w:left="1220" w:right="3259" w:hanging="789"/>
        <w:spacing w:after="0" w:line="237"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8" w:lineRule="exact"/>
        <w:rPr>
          <w:rFonts w:ascii="Courier New" w:cs="Courier New" w:eastAsia="Courier New" w:hAnsi="Courier New"/>
          <w:sz w:val="15"/>
          <w:szCs w:val="15"/>
          <w:color w:val="auto"/>
        </w:rPr>
      </w:pPr>
    </w:p>
    <w:p>
      <w:pPr>
        <w:ind w:left="1220" w:right="3539" w:hanging="789"/>
        <w:spacing w:after="0" w:line="260"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Service--permits online support for handling customer inquiries and resolving customer complaints, including online correction of advertising data and billing adjustments.</w:t>
      </w:r>
    </w:p>
    <w:p>
      <w:pPr>
        <w:spacing w:after="0" w:line="162" w:lineRule="exact"/>
        <w:rPr>
          <w:rFonts w:ascii="Courier New" w:cs="Courier New" w:eastAsia="Courier New" w:hAnsi="Courier New"/>
          <w:sz w:val="14"/>
          <w:szCs w:val="14"/>
          <w:color w:val="auto"/>
        </w:rPr>
      </w:pPr>
    </w:p>
    <w:p>
      <w:pPr>
        <w:ind w:left="1220" w:right="3619" w:hanging="789"/>
        <w:spacing w:after="0" w:line="237" w:lineRule="auto"/>
        <w:tabs>
          <w:tab w:leader="none" w:pos="12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Management--specifically designed for the directory publisher's billing, accounts receivable and collections functions.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The Company believes that the methodology it employs to deliver its BSS products is one of the key factors that enable the Company to achieve the time-frame, budget and quality objectives of its customers' projects. The Company's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the Company modifies its BSS software modules to provide the complete functionality needed by the customer. The process permits both the Company and the customer to identify and jointly plan for ongoing resource requirements, as well as jointly to create specific guidelines for the types of organizational and other changes that may be required for implementation and integration.</w:t>
      </w:r>
    </w:p>
    <w:p>
      <w:pPr>
        <w:spacing w:after="0" w:line="17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the Company and the customer in parallel with the customization effort. Implementation and</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the Company is able to provide full system implementation and integration services.</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Once the system becomes operational, the Company is generally retained by the customer to provide on-going services such as maintenance, enhancement design and development, and operational support. For substantially all of the Company's customers, the implementation and integration of an initial BSS product has been followed by the sale of additional systems and modules. In recent years, the Company has established long-term maintenance and support contracts with a number of its customers. These contracts have generally involved an expansion in the scope of support provided, while also ensuring a recurring source of revenue to the Company.</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business is conducted on a global basis. Amdocs maintains three development facilities located in Israel, the United States and Cyprus, operates a support center located in Brazil and has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part of the Company's effort to provide comprehensive solutions to its customers, it is actively considering entering into long-term agreements with certain of its existing and potential customers to provide a full range of services in connection with those operations of the customer that involve the Company's BSS products. These functions would include full responsibility for the ongoing development and enhancement of the customer's BSS products, the purchase and management of all related hardware assets and overall management of the customer's associated data centers. The Company concluded its first major multi-year services agreement in May 1998, entering into a six-year agreement with an affiliate of Telstra Corporation Ltd. of Australia. Under the agreement the Company will be responsible for software development, maintenance, support and facility management for Telstra's directory publishing activities.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sales and marketing activities are primarily directed at major telecommunications companies and at emerging network operators or services providers that are potential market leaders. As a result of the strategic importance of the Company's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the Company's systems, the time between the making of an initial proposal to a prospective customer and the signing of a sales contract is typically between six and twelve months.</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employs a relatively small dedicated sales force and maintains sales offices in the United States, the United Kingdom, and several other countries. The Company's sales activities are supported by a marketing group, which is responsible for advertising, preparation of sales proposals and market research and analysis of industry trends and developments. The Company's sales efforts are dependent upon a close cooperation between the Company's sales representatives and development personnel. Development personnel are intensively involved from the early stages of the sales cycle. This approach enables the Company to demonstrate its technical and professional skills to potential customers, while creating the opportunity to discuss with the customer its system needs. To ensure that the Company has a clear understanding of customer needs and expectations, it is the Company's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6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management of the Company's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the Company's quality standards while also adhering to the project's cost and schedule parameters.</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also interacts with various third parties in its sales activities, including independent sales agents, information systems consultants engaged by the Company's customers or prospective customers and systems integrators that provide complementary products and services to such customers. The Company also has value-added reseller agreements with certain hardware and database vendors.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target market is comprised of telecommunications companies that require information systems with advanced functionality and technology. The companies in this market segment are typically industry leaders or innovative, well-backed new entrants. By working with such companies, the Company helps ensure that it remains at the forefront of developments in the telecommunications industry and that its product offerings continue to address the market's most sophisticated needs. The Company has an international orientation, focusing on potential customers in the developed, industrialized countries in North America, Europe, Latin America and the Asia-Pacific region.</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a world-class customer base comprising over 60 telecommunications companies. The Company's customers include global telecommunications leaders, as well as other leading network operators and service providers and directory publishers in the United States and around the world. The Company's customers include SBC Communications Inc. ("SBC") and a number of its operating subsidiaries, such as Southwestern Bell Mobile Systems, Southwestern Bell Yellow Pages and Southwestern Bell Communications Services (SBC's long distance provider) and Southwestern Bell Telephone Company. Additional customers of the Company include Bell Atlantic, BellSouth, US West, GTE, Sprint, Deutsche Telekom (Germany), SEAT (Italy), Telstra Corporation Ltd. (Australia), Telus (Canada), Telecom Eireann</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(Ireland), Korean Telecom (South Korea), Vodac (United Kingdom), Bezeq (Israel), BCP (Brazil) and New Zealand Telecom (New Zealand). The Company has been able to establish long-term working relationships with many of its customers. Of the Company's total customer base, fifteen have been customers for five or more years. These long-term relationships are due, in part, to the Company's broad-based expertise and its ability to address the evolving needs of a dynamic telecommunications industry.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single largest group of customers is SBC and its operating subsidiaries identified above, which accounted for in the aggregate 20.9%, 34.5% and 38.0% of the Company's revenue in fiscal 1998, fiscal 1997 and fiscal 1996, respectively. The Company's next largest customer is BellSouth, which accounted for 15.8%, 4.5% and 1.5% of the Company's revenue in fiscal 1998, fiscal 1997 and fiscal 1996, respectively. The third largest customer is Telstra, which accounted for 8.2%, 13.0% and 16.0% of the Company's revenue in fiscal years 1998, 1997 and 1996, respectively.</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Revenue derived from the Company's five largest customers, excluding SBC and its operating subsidiaries, accounted for approximately 27.1%, 33.2% and 42.7% of the Company's revenue in fiscal 1998, fiscal 1997 and fiscal 1996, respectively.</w:t>
      </w:r>
    </w:p>
    <w:p>
      <w:pPr>
        <w:spacing w:after="0" w:line="176"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92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the Company expects competition to increase. The Company competes with many independent providers of information systems and services, including Alltel Corporation, American Management Systems, Convergys, Kenan Systems, LHS Group Inc. and Saville Systems, with system integrators, such as Andersen Consulting and EDS, and internal information systems departments of larger telecommunications carriers. The Company expects continued growth and competition in the telecommunications industry and the entrance of new competitors into the software information systems market in the future.</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the principal competitive factors in its market include responsiveness to carrier needs, timeliness of implementation, quality and reliability of products, price, project management capability and technical expertise. The Company also believes that its ability to compete depends in part on a number of competitive factors, including the development by others of software that is competitive with the Company's products and services, the price at</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which others offer competitive software and services, the extent of competitors' responsiveness to customer needs and the ability of the Company's competitors to hire, retain and motivate key personnel. The Company competes with a number of companies that have longer operating histories, larger customer bases, substantially greater financial, technical, sales, marketing and other resources, and greater name recognition than the Company. Current and potential competitors have established, and may establish in the future, cooperative relationships among themselves or with third parties to increase their ability to address the needs of the Company's prospective customers. Accordingly, new competitors or alliances among competitors may emerge and rapidly acquire significant market share. As a result, the Company's competitors may be able to adapt more quickly than the Company to new or emerging technologies and changes in customer requirements, or to devote greater resources to the promotion and sale of their products. There can be no assurance that the Company will be able to compete successfully with existing or new competitors. Failure by the Company to adapt to changing market conditions and to compete successfully with established or new competitors may have a material adverse effect on the Company's results of operations and financial condition.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regards significant portions of its software products and systems as proprietary and relies on a combination of statutory and common law copyright, trademark and trade secret laws, customer licensing agreements, employee and third-party nondisclosure agreements and other methods to protect its proprietary rights. The Company generally enters into confidentiality agreements with its employees, consultants, customers and potential customers and limits access to, and distribution of, its proprietary information. The Company believes that the sophistication and complexity of its systems make it very difficult to copy such information or to subject such information to unauthorized use.</w:t>
      </w:r>
    </w:p>
    <w:p>
      <w:pPr>
        <w:spacing w:after="0" w:line="180"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has developed a unique methodology for product development. Initially, the Company develops a core idea and the initial modules in-house. Thereafter, the Company approaches a customer and introduces the initial developments to a customer and further develops the product in conjunction with a project conducted for such a customer, thus allowing the Company to resolve and develop specific, novel information technology solutions addressing actual needs of the market. The Company maintains sole ownership of its products.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a result of certain strategic development projects conducted with SBC and certain of its subsidiaries, some of the Company's products were jointly developed and owned in the past by the Company and SBC subsidiaries. In September 1997, the Company entered into a series of agreements with such SBC subsidiaries pursuant to which the Company purchased certain rights from these SBC subsidiaries and terminated related future royalty payment obligations for a total consideration of $40.0 million.</w:t>
      </w:r>
    </w:p>
    <w:p>
      <w:pPr>
        <w:spacing w:after="0" w:line="177"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Company does not include in its software any mechanisms to prevent or inhibit unauthorized use, but generally enters into confidentiality agreements with its employees, consultants, customers and potential customers and limits access to, and distribution of, its proprietary information. Despite these precautions, it may be possible for a third party to copy or otherwise obtain and use the Company's technology without authorization, or to develop similar</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technology independently. Furthermore, the laws of certain countries in which the Company sells its products do not protect the Company's software and intellectual property rights to the same extent as do the laws of the United States. If unauthorized copying or misuse of the Company's products were to occur to any substantial degree, the Company's business and results of operations could be materially adversely affected. There can be no assurance that the Company's means of protecting its proprietary rights will be adequate or that the Company's competitors will not independently develop similar technology.</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Although the Company has not received any notices from third parties alleging infringement claims, there can be no assurance that third parties will not claim that the Company's current or future products infringe the proprietary rights of others. The Company expects that software developers will increasingly be subject to such claims as the number of products and competitors providing software and services to the telecommunications industry increases and overlaps occur. Any such claim, with or without merit, could result in costly litigation or might require the Company to enter into royalty or licensing agreements, any of which could have a material adverse effect on the Company's business, results of operations and financial condition. Such royalty or licensing agreements, if required, may not be available on terms acceptable to the Company or at all.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September 30, 1998, the Company and its subsidiaries employed on a full-time basis 2,900 software and information technology specialists, engaged in research, development, maintenance and support activities, and approximately 375 managers and administrative professionals. The Company employs over 2,100 software and information specialists in Israel, with the remaining 800 located in the United States, Canada, Europe and the Asia-Pacific region. The Company often maintains teams of employees at a customer's premises to work on specific projects.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invests significant resources in recruitment, training and retention of quality personnel. Training programs cover areas such as technology, applications, development methodology, project methodology, programming standards, industry background and management development. The Company's management development scheme is reinforced by a divisional structure, which provides opportunities for talented managers to gain experience in general management roles at the division level. The Company also invests considerable resources in personnel motivation, including providing various incentive plans for senior employees. The Company's future success depends in large part upon its continuing ability to attract and retain highly qualified managerial, technical, sales and marketing personnel.</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to comply with various labor and immigration laws throughout the world, including laws and regulations in Australia, Europe, Israel, Japan and the United States. To date, compliance with such laws has not been a material burden for the Company. As the number of the Company's employees increases over time, the Company's compliance with such regulations could become more burdensome.</w:t>
      </w:r>
    </w:p>
    <w:p>
      <w:pPr>
        <w:spacing w:after="0" w:line="176"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Company's operating subsidiaries are not party to any collective bargaining</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agreements. However, the Company's Israeli subsidiary is subject to certain labor related statutes and to certain provisions of collective bargaining agreements between the Histadrut (General Federation of Labor in Israel) and the Coordinating Bureau of Economic Organizations (including the Industrialists' Association), which are applicable to the Company's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The Company considers its relationship with its employees to be good and has never experienced a labor dispute, strike or work stoppage.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goals of the Company's research and development staff are to be responsive to customer needs, to keep abreast of industry developments, to apply technology selectively to the Company's systems, to build transition plans for adopting new technologies and to build a system architecture that is capable of absorbing such technologies. The Company has historically developed new modules and product offerings in response to an identified market demand. The Company's product development strategy is to fund the research and development of an advanced prototype, typically based on the Company's existing products or modules. Products are usually developed in conjunction with a customer project. By adopting this strategy, Amdocs seeks to remain at the forefront of technological development by working on technologically advanced solutions with its customers. Close cooperation with customers helps to ensure the relevance and timeliness of the products developed.</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its ability to identify innovative applications for emerging technologies has yielded the Company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estimated amounts spent by the Company on research and development activities were $25.6, $17.4 and $14.7 million in fiscal 1998, fiscal 1997 and fiscal 1996, respectively, or 6.3%, 6.0% and 6.9%, respectively, of total revenue in each such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Dependence on the Telecommunications Industry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provides customized software products and services to telecommunications and directory publishing companies exclusively and, accordingly, is highly dependent upon the condition of the telecommunications industry. Although the markets for local exchange, long distance and wireless service have experienced significant growth and have been characterized by increased deregulation and competition in recent years, there can be no assurance that such trends will continue at similar rates, if at all, or that the Company will be able to market and sell effectively its information systems to potential customers in those markets. Developments in the telecommunications industry, such as industry consolidation, the formation</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of alliances among network operators and service providers and changes in the regulatory environment, could adversely affect the Company's existing or potential customers and, in turn, could have a material adverse effect on the operating results and financial condition of the Company.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its future success depends to a significant extent on its ability to develop new customer relationships with successful network operators and service providers. Many new entrants into the telecommunications market lack significant financial and other resources. There can be no assurance that the Company will be able to develop new customer relationships or that the Company's new customers will be successful. Failure by the Company to attract new customer relationships or the failure of new customers to be successful could have a material adverse effect on the Company's business, results of operations and financial condition.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Rapid Technological Change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market for the Company's products and services is characterized by rapidly developing technology, evolving industry standards and changing customer needs. Therefore, the Company believes that its future success will depend, to a significant extent, upon its ability to enhance its existing products and to introduce new products and features to meet the requirements of its customers. The Company is currently devoting significant resources to refining and expanding its base software modules and to developing BSS products that operate on state-of-the-art operating systems. There can be no assurance that the Company's present or future products will satisfy the evolving needs of the telecommunications market. If the Company is unable, due to resource, technological or other constraints, to anticipate or respond adequately to such demands, the Company's business and results of operations could be materially adversely affected.</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Dependence on SBC Communications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single largest group of customers are SBC and its operating subsidiaries. SBC International Inc. ("SBCI"), a wholly-owned subsidiary of SBC, is also a significant shareholder of the Company, which holds approximately 22.7% of the Company's outstanding Ordinary Shares, including 100% of the Company's non-voting Ordinary Shares. The Company has had a strategic relationship with SBC and its operating subsidiaries since 1984, which has included the development of certain software products by the Company for several SBC operating subsidiaries. In September 1997, the Company acquired certain rights related to such software products from the SBC subsidiaries and terminated related future royalty payment obligations for a total consideration of $40.0 million.</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Substantially all the Company's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20.9%, 34.5% and 38.0% of the Company's revenue in fiscal 1998, fiscal 1997 and fiscal 1996, respectively.</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absolute amount of revenue attributable to SBC and such subsidiaries amounted to $84.4 million in fiscal 1998, $99.9 million in fiscal 1997 and $80.5 million in fiscal 1996.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Although the Company has received a substantial portion of its revenue from business with SBC and its operating subsidiaries, neither SBC nor any of its operating subsidiaries has any long-term contractual obligation to purchase additional products or services, and these customers generally have acquired fully-paid licenses to their installed systems. Additionally, all previous agreements entered into between the Company and SBC or its subsidiaries were entered into on an individual ad-hoc basis and not as part of any overall long-term commitment. Any future strategic agreements between the Company and SBC or its subsidiaries would be subject to negotiation between the parties. A significant decrease in the sale of products and services to SBC or its subsidiaries may materially adversely affect the Company's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Reliance on Significant Customers</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Company's business is highly dependent on a limited number of significant customers. The Company has approximately 60 customers, and revenue derived from the Company's five largest customers, excluding SBC and its operating subsidiaries, accounted for approximately 27.1%, 33.2% and 42.7% of total revenue in fiscal 1998, fiscal 1997 and fiscal 1996, respectively.</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Although the Company has received a substantial portion of its revenue from repeat business with established customers, most of the Company's major customers do not have any obligation to purchase additional products or services and generally have already acquired fully-paid licenses to their installed systems. Therefore, there can be no assurance that the Company's customers will continue to purchase new systems, system enhancements and services in amounts similar to previous years. The loss of any significant customer or a significant decrease in business from any such customer could have a material adverse effect on the Company's results of operations and financial condition.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Fluctuations in Quarterly Operating Results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experienced fluctuations in its quarterly operating results and anticipates that such fluctuations may continue and could intensify. There can be no assurance that the Company will be profitable in the future or that the levels of profitability will not vary significantly among quarterly periods. The Company's operating results may fluctuate as a result of many factors, including the size and timing of significant customer projects and license fees, increased competition, cancellations of significant projects by customers, changes in operating expenses, changes in Company strategy, personnel changes, foreign currency exchange rates and general economic and political factors. Most of the Company's license fee revenue and all of its service fee revenue are recognized as work is performed, using percentage of completion accounting. Given the Company's reliance on a limited number of significant customers, the Company's quarterly results may be significantly affected by the size and timing of customer projects and the Company's progress in completing such projects.</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the placement of customer orders may be concentrated in specific quarterly periods due to customers' buying patterns and budgeting cycles in the telecommunications industry. Although the Company recognizes revenue as projects progress, which progress may vary significantly from project to project, the Company believes that variations in quarterly revenue are sometimes attributable to the timing of initial order placements. Due to the relatively fixed nature of certain of the Company's costs, a decline of revenue in any quarter would result in lower profitability for that quarter and, in such event, the price of the Company's Ordinary Shares could be materially adversely affected. See "Management's Discussion and Analysis of Results of Operation and Financial Condition".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Length of Sales Cycle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For these and other reasons, the sales cycle associated with the purchase of the Company's information systems is lengthy, with the time between the making of an initial proposal to a prospective customer and the signing of a sales contract typically being between six and twelve months. There can be no assurance that delays associated with such timing factors will not have a material adverse effect on the Company's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Associated with International Markets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business is conducted on a global basis. Amdocs maintains three development facilities located in Israel, the United States and Cyprus, operates a support center located in Brazil and has operations in Europe, North America, Latin America and the Asia-Pacific region. Although a majority of the Company's revenue in fiscal 1998 was derived from customers in North America, the Company obtains significant revenue from customers in Germany, Australia, the United Kingdom and Brazil. The Company's strategy is to continue to broaden its U.S. and European customer base and to expand into new international markets, the most significant of which are located in Latin America and the Asia-Pacific region.</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is subject to certain risks inherent in doing business in international markets, including lack of acceptance of non-localized products, legal and cultural differences in the conduct of business, difficulties in staffing and managing foreign operations, longer payment cycles, difficulties in collecting accounts receivable and withholding taxes that limit the repatriation of earnings, trade barriers, immigration regulations that limit the ability of the Company to deploy its employees, and political instability. To the extent profit is generated or losses are incurred in particular foreign countries, there may also be material differences in the Company's effective income tax rate. There can be no assurance that one or more of such factors will not have a material adverse effect on the Company's international operations.</w:t>
      </w:r>
    </w:p>
    <w:p>
      <w:pPr>
        <w:spacing w:after="0" w:line="166"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Companies operating internationally are also subject to the risks of fluctuations in foreign currency exchange rates. The effects of such fluctuations on the Company are mitigated by the</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fact that a significant portion of the Company's revenue is in U.S. dollars and the Company generally hedges its currency exposure on both a short-term and long-term basis with respect to the balance of its revenue. However, a significant portion of the Company's operating costs are incurred outside the United States, and therefore fluctuations in exchange rates between the currencies in which such costs are incurred and the U.S. dollar may have a material adverse effect on the Company's results of operations and financial condition. The cost of the Company's operations in Israel, as expressed in dollars, is influenced by the extent to which any increase in the rate of inflation in Israel is not offset (or is offset on a lagging basis) by a devaluation of the Israeli currency in relation to the dollar. As a result of this differential, the Company from time to time experiences increases in the costs of its operations in Israel, as expressed in dollars, which could in the future have a material adverse effect on its results of operations and financial condition.</w:t>
      </w:r>
    </w:p>
    <w:p>
      <w:pPr>
        <w:spacing w:after="0" w:line="18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the Company's business, results of operations and financial condition.</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Failure to Attract and Retain Skilled Professionals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Company's success depends in large part on its ability to attract, train, motivate and retain highly skilled information technology professionals, software programmers and telecommunication engineers. These types of qualified personnel are in great demand and are likely to remain a limited resource for the foreseeable future. There can be no assurance that the Company will be able to continue to attract and retain the skilled employees it requires and any inability to do so could adversely impact the Company's ability to manage and complete its existing projects and to compete for new customer contracts. In addition, the resources required to attract and retain such personnel may adversely affect the Company's operating margins. The failure to attract and retain qualified personnel may have a material adverse effect on the Company's business, results of operations and financial condition. The Company's success also depends, to a certain extent, upon the continued active participation of a relatively small group of senior management personnel who have been with the Company for many years. The loss of the services of all or some of such employees could have a material adverse effect on the Company's business.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of Government Programs and Tax Benefits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benefits from certain government programs and tax benefits, including programs and benefits in Israel, Cyprus and the United Kingdom. To be eligible for these programs and tax benefits, the Company must continue to meet certain conditions. If the Company fails to meet such conditions in the future, it could be required to refund tax benefits already received. Additionally, certain of these programs and the related tax benefits are available to the Company for a limited number of years, and such benefits expire from time to time. There can be no assurance that such programs will be continued, that the Company will be able to meet the requirements for continuing to qualify for such programs or that such programs and tax benefits will be available at their current levels or that, upon expiration of a particular benefit, the Company will become eligible to participate in a new program or qualify for a new</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tax benefit that would offset the loss of the expiring tax benefit. The termination or reduction of certain programs and tax benefits, or the requirement to refund previously accredited tax benefits if the Company is found to be in violation of the stipulated conditions, could have a material adverse effect on the Company's overall effective tax rate.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Project Risk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software products are highly complex and may, from time to time, contain design defects or software errors that may be difficult to detect and correct. There can be no assurance that such defects or errors will not cause delays in product introductions or damage customer satisfaction or that such events, were they to occur, would not have a material adverse effect on the Company's business, results of operations and financial condition.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Since the Company's products are generally used by its customers to perform mission-critical functions, design defects, software errors, misuse of the Company's products, incorrect data from external sources or other potential problems within or out of the Company's control may arise from the use of the Company's products, and may result in financial or other damages to the Company's customers. Completion of the development and implementation phases of a project requires between six and twelve months of additional work. During this period, a customer's budgeting constraints and internal reviews, over which the Company has little or no control, can impact operating results. The Company's failure or inability to meet a customer's expectations in the provision of its products or the performance of its services may result in the termination of the Company's relationship with such customer or could give rise to claims against the Company. Although the Company has license agreements with its customers that contain provisions designed to limit the Company's exposure to potential claims and liabilities arising from customer problems, these provisions may not effectively protect the Company against such claims in all cases. Such an event could damage the Company's reputation, adversely affecting its business, results of operations and financial condition.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Compliance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Many currently installed computer systems and software products are coded to accept only two digit entries in the date code field. These date code fields will need to accept four digit entries to distinguish 21st century dates from 20th century dates. As a result, prior to January 1, 2000, computer systems and/or software used by many companies may need to be upgraded to comply with such "Year 2000" requirements. Significant uncertainty exists in the software industry concerning the potential consequences of the Year 2000 phenomenon. Although the Company currently offers software products that are designed or have been modified to comply with the Year 2000 requirements, there can be no assurance that the Company's current software contains all necessary date code changes. The Company believes that a small number of its computer products marketed by the Company or currently used by its customers are not Year 2000 compliant. In addition, certain products and services provided to the Company's customers by other software vendors may not be Year 2000 compliant, thereby disrupting the ability of the Company's customers to use the Company's software. The Company has accrued $3.6 million as an expense to address such Year 2000 issues. See "Management's Discussion and Analysis of</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Results of Operation and Financial Condition -- Year 2000 Issues". There can be no assurances that the costs to the Company to address the Year 2000 issues will not exceed such costs and will not have a material adverse effect on the Company's results of operations and business and financial condition. Moreover, due to the Company's dependence on a limited number of significant customers, any material adverse impact on such customers due to Year 2000 issues could also have a material adverse effect on the results of operations and business and financial condition of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European Monetary Union currency, or the euro, will be phased in over a three-year period commencing January 1, 1999, when participating European countries will begin using the euro currency for non-cash transactions. The Company intends to offer software products that are capable of accepting the euro currency and converting from local currencies to the euro. There can be no assurance that the Company's software or software provided to the Company's customers by other vendors will ensure an errorless transition to the euro currency. The Company has accrued $2.5 million representing the estimated amount of costs to modify its software products to accept the euro currency under existing agreements with customers relating to previously sold products. The Company does not currently anticipate recovering these expenditures from the customers, as they relate to warranty agreements. See "Management's Discussion and Analysis of Results of Operation and Financial Condition -- European Monetary Union Currency". There can be no assurances that such costs will not significantly exceed such estimate, in which case such costs could have a material adverse effect on the Company's results of operations and financial condition.</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Location of Certain Facilities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business is conducted on a global basis. Amdocs maintains three development facilities located in Israel, the United States and Cyprus, operates a support center in Brazil and has operations in Europe, North America, Latin America and the Asia-Pacific region. The Company's Israeli subsidiary employs on a full-time basis over 2,100 software and information specialists and operates the Company's largest development facility. The Company's development facility in Cyprus has approximately 100 employees, and the Company is in the process of significantly expanding such facility. Any major hostilities involving Israel or Cypress or the interruption or curtailment of trade between Israel or Cypress and their current trading partners could have a material adverse effect on the Company. Accordingly, the Company may be significantly affected by conditions in Israel and Cyprus, including those described below.</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Conditions in Israel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largest development center is located in the State of Israel. Although a substantial majority of the Company's sales are made to customers outside Israel and the Company maintains significant service teams on site with its customers, the Company is nonetheless directly influenced by the political, economic and military conditions affecting Israel. The Company has developed certain contingency plans to move certain development operations to various sites both within and outside of Israel in the event political or military conditions disrupt the Company's normal operations.</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Political Conditions. Since the establishment of the State of Israel in 1948, a number of armed conflicts have taken place between Israel and its Arab neighbors and a state of hostility, varying from time to time in intensity and degree, has led to security and economic problems for Israel. However, a peace agreement between Israel and Egypt was signed in 1979, a peace agreement between Israel and Jordan was signed in 1994 and, since 1993, several agreements between Israel and Palestinian representatives have been signed, including most recently the Wye accords signed in October 1998. In addition, Israel and several other Arab States have announced their intention to establish trade and other relations and are discussing certain projects. However, as of the date hereof, Israel has not entered into any peace agreement with Syria or Lebanon and, in recent months, there has been increased tension between Israel and the Palestinian community. Consequently, there can be no assurance as to how the peace process will develop or what effect it may have upon the Company.</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Despite the progress towards peace between Israel, its Arab neighbors and the Palestinians, certain countries, companies and organizations continue to participate in a boycott of Israeli firms. The Company does not believe that the boycott has had a material adverse effect on the Company, but there can be no assurance that restrictive laws, policies or practices directed towards Israel or Israeli businesses will not have an adverse impact on the Company's business or financial condition in the future.</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Economic Conditions. Israel's economy has been subject to numerous destabilizing factors, including periods of inflation, low foreign exchange reserves, fluctuations in world commodity prices, military conflicts and civil unrest. The Israeli Government has, for these and other reasons, intervened in the economy by utilizing, among other means, fiscal and monetary policies, import duties, foreign currency restrictions and control of wages, prices and exchange rates. The Israeli Government has periodically changed its policies in all these areas. Although the Company derives most of its revenue outside of Israel, a substantial portion of its expenses are incurred in Israel and are affected by economic conditions in the country.</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Israel is a member of the United Nations, the International Monetary Fund, the International Bank for Reconstruction and Development, and the International Finance Corporation. Israel is a signatory to the General Agreement on Tariffs and Trade, which provides for the reciprocal lowering of trade barriers among its members. In addition, Israel has been granted preferences under the Generalized System of Preferences from the United States, Canada and Japan. These preferences allow Israel to export the products covered by such program either duty-free or at reduced tariffs. Israel became associated with the European Economic Community (now known as the European Union) in a Free Trade Agreement concluded in 1975, which confers certain advantages with respect to Israeli exports to most European countries and obligates Israel to lower its tariffs with respect to imports from those countries over a number of years.</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Israel and the United States entered into a Free Trade Agreement ("FTA") in 1985. Under the FTA, most products receive immediate duty-free status. The FTA eliminated all tariff and certain non-tariff barriers on most trade between the two countries in 1995. In September 1992, Israel signed a free trade agreement with the European Free Trade Association ("EFTA"),</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whose members include Switzerland, Norway, Iceland and Liechtenstein. The agreement became effective January 1, 1993, and entitles the exporting countries of EFTA trading with Israel to conditions similar to those that Israel enjoys trading with the United States. In recent years, Israel has established commercial and trade relations with a number of other nations (including China, Russia, India and other nations in Asia and Eastern Europe) with which Israel had not previously had such relations.</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Labor Relations. Although the Company's Israeli subsidiary is not party to any collective bargaining agreements, it is subject to certain labor related statutes and to certain provisions of the collective bargaining agreements between the Histadrut (General Federation of Labor in Israel) and the Coordination Bureau of Economic Organizations (including the Industrialists Association of Israel) which are applicable to the Company's Israeli employees by order of the Israeli Ministry of Labor and Welfare.</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Israeli law generally requires the payment by employers of severance pay upon the retirement or death of an employee or upon termination of employment by the employer with due cause. The Company currently funds its ongoing severance obligations by making monthly payments to approved severance funds or insurance policies. The majority of the permanent employees of the Company are covered by life and pension insurance policies providing customary benefits to employees, including retirement and severance benefits. The Company contributes generally up to 15.83% (depending on the employee) of base wages to such plans and the permanent employees contribute 5% of base wages. In addition, according to the National Insurance Law, Israeli employees and employers are required to pay specified sums to the National Insurance Institute, which is similar to the U.S. Social Security Administration. Since January 1, 1995, such amounts also include payments for national health insurance. The payments to the National Insurance Institute are approximately 14.5% of wages (up to a specified amount), of which the employee contributes approximately 66% and the employer contributes approximately 34%.</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Army Service. Generally, all male adult citizens and permanent residents of Israel under the age of 51 are, unless exempt, required to perform up to 39 days of military reserve duty annually. Additionally, all such residents are subject to being called to active duty at any time under emergency circumstances. Some of the Company's officers and employees are currently obligated to perform annual reserve duty. Although the Company has operated effectively under these requirements since it began operations, there can be no assurance that such will be the case in the future.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Conditions in Cyprus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Political Conditions. Cyprus was established as an independent republic in 1960. Intercommunal strife between the Greek and Turkish communities brought a Turkish invasion in 1974 that resulted in the occupation of about 40% of the Island. Efforts have been made over the last twenty years, by the United States, Great Britain, the European Union and other countries or organizations, to solve the problem through negotiations. Up to now these negotiations have not resulted in a solution agreeable to both communities. The Government of Cyprus, which is the only one recognized internationally, does not have control over or access to the northern part of</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island which is occupied by the Turkish army. Recent efforts to resume United Nations sponsored peace talks aimed at unifying Cyprus have apparently failed. Tensions between Greek and Turkish Cypriots and between the Greek and Turkish Governments have increased during the last several months over the potential admission of Cyprus to the European Union and certain military defense issues.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Economic Conditions. The economy of Cyprus is based on a free enterprise system. The Government has generally pursued an economic policy aimed at promoting and maintaining favorable investment conditions and supplementing, where considered necessary, private initiatives. In recent years the economy of Cyprus has been growing at an average rate of 4%. At the same time the economy is operating at near full employment with an unemployment rate of 3.1% in 1996. Inflation has also been relatively modest, with an increase in the retail price index of 3% in 1996.</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Cyprus is a member of the United Nations and the International Monetary Fund, and is a signatory to the General Agreement on Tariffs and Trade. Since 1972 Cyprus has had an association agreement with the European Union ("EU"). A Customers Union has been established and today there is free movement of goods between the two parties. Cyprus has applied for full membership of the EU and entry negotiations commenced in March 1998.</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Labor Relations. Cypriot law provides that both employees and employers contribute to the Social Insurance Fund and other related funds. Employers contribute 11.0% and employees 9.3% of gross salary, up to a maximum monthly amount. Non-Cypriot employees of the Company's Cypriot subsidiary are not covered by these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This report contains certain forward-looking statements (as such term is defined in the Private Securities Litigation Reform Act of 1995) and information relating to the Company that are based on the beliefs of the management of the Company as well as assumptions made by and information currently available to the management of the Company. When used in this report, the words "anticipate," "believe," "estimate," "expect," "intend" and similar expressions, as they relate to the Company or the management of the Company identify forward-looking statements. Such statements, which include, without limitation, the matters set forth herein under the captions "Description of Business" and "Management's Discussion and Analysis of Results of Operations and Financial Condition," reflect the current views of the Company with respect to future events, the outcome of which is subject to certain risks, including among others the Company's ability to develop and introduce new products in the telecommunications market, any significant deterioration in the Company's relationship with its key customers, changes in the political and economic conditions in Israel and Cyprus, and other factors which may be outside of the Company's control including those discussed in this section. Should one or more of these risks or uncertainties materialize, or should underlying assumptions prove incorrect, actual results or outcomes may vary materially from those described herein as anticipated, believed, estimated, expected or intended.</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DESCRIPTION OF PROPERTY</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leases space in numerous facilities in Israel, aggregating approximately 530,000 square feet, pursuant to leases expiring on various dates between December 1998 and December 2003, and has various options to extend the terms of such leases. Approximately 69,000 square feet of such facilities are owned by related companies which lease such facilities to the Company. The Company currently pays in Israel total yearly rental fees of approximately $9.5 million which are linked, in most cases, to the U.S. dollar.</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September 1996, the Company's Israeli subsidiary entered into a ten 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18,300 square feet in Ra'anana.</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August 1998, the Company entered into a 7 year lease (commencing December 1998) for 79,900 square feet in Chesterfield, Missouri. The Company intends to relocate its development center and all of its administrative personnel, now principally centered around St. Louis, Missouri, to such location. The annual rent for the facility will be approximately $1.7 million. In the beginning of 1999, the Company intends to terminate its current lease for approximately $300,000 annually. The Company also holds a number of other leases in the United States with an aggregate annual rent of approximately $75,000.</w:t>
      </w:r>
    </w:p>
    <w:p>
      <w:pPr>
        <w:spacing w:after="0" w:line="16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Company also leases 26,750 square feet for its development facility in Cyprus at an annual rent of approximately $330,000.</w:t>
      </w:r>
    </w:p>
    <w:p>
      <w:pPr>
        <w:spacing w:after="0" w:line="176"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The Company leases additional office space in the United Kingdom, Australia, Germany, Japan, Korea and Brazil.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not involved in any material legal proceedings.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 OF THE REGISTRANT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Company's voting Ordinary Shares are owned 34.4% by Welsh, Carson, Anderson &amp; Stowe ("WCAS"), a private investment firm, and its affiliates, 8.7% by SBCI, 27.7% by Amdocs International Limited ("AIL"), a private</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company ultimately controlled by Morris S. Kahn, and 12.4% by entities in which certain members of management (including one who is a director) have a beneficial interest. In addition, an entity in which such members of management have a beneficial interest holds in the aggregate an 18.7% non-voting interest in AIL. SBCI also owns non-voting Ordinary Shares, which together with its voting Ordinary Shares, represent</w:t>
      </w:r>
    </w:p>
    <w:p>
      <w:pPr>
        <w:sectPr>
          <w:pgSz w:w="11900" w:h="16838" w:orient="portrait"/>
          <w:cols w:equalWidth="0" w:num="1">
            <w:col w:w="10219"/>
          </w:cols>
          <w:pgMar w:left="240" w:top="283" w:right="1440"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22.7% of the voting Ordinary Shares and non-voting Ordinary Shares outstanding as of September 30, 1998. In connection with the recapitalization of the Company that preceded its initial public offering in June 1998, WCAS and certain entities in which members of management have a beneficial interest granted irrevocable proxies with respect to a portion of the Ordinary Shares held by them to a company beneficially owned by Morris S. Kahn. After giving effect to such proxies, such company and AIL will together have the right to vote 46.1% of the Company's voting Ordinary Shares, and WCAS and its affiliates will have the right to vote 23.4% of such shares.</w:t>
      </w:r>
    </w:p>
    <w:p>
      <w:pPr>
        <w:spacing w:after="0" w:line="179"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As a result of the concentration of the ownership of the Company's Ordinary Shares, WCAS, SBCI and AIL may be able to exercise control over matters requiring shareholder approval, including the election of directors and approval of significant corporate transactions. Such control may have the effect of delaying or preventing a change in control of the Company. The Company's Board of Directors is currently comprised of five affiliates of WCAS, one affiliate of SBCI and five affiliates of AIL.</w:t>
      </w:r>
    </w:p>
    <w:p>
      <w:pPr>
        <w:spacing w:after="0" w:line="177" w:lineRule="exact"/>
        <w:rPr>
          <w:sz w:val="20"/>
          <w:szCs w:val="20"/>
          <w:color w:val="auto"/>
        </w:rPr>
      </w:pPr>
    </w:p>
    <w:p>
      <w:pPr>
        <w:ind w:left="10" w:right="3259" w:firstLine="441"/>
        <w:spacing w:after="0" w:line="259"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as of September 30, 1998 of (i) any person known by the Company to be the beneficial owner of more than 10% of the outstanding Ordinary Shares and (ii) all directors and executive officers of the Company as a group.</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00" w:type="dxa"/>
            <w:vAlign w:val="bottom"/>
          </w:tcPr>
          <w:p>
            <w:pPr>
              <w:ind w:left="660"/>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Beneficially</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3740" w:type="dxa"/>
            <w:vAlign w:val="bottom"/>
          </w:tcPr>
          <w:p>
            <w:pPr>
              <w:ind w:left="1040"/>
              <w:spacing w:after="0"/>
              <w:rPr>
                <w:sz w:val="20"/>
                <w:szCs w:val="20"/>
                <w:color w:val="auto"/>
              </w:rPr>
            </w:pPr>
            <w:r>
              <w:rPr>
                <w:rFonts w:ascii="Courier New" w:cs="Courier New" w:eastAsia="Courier New" w:hAnsi="Courier New"/>
                <w:sz w:val="15"/>
                <w:szCs w:val="15"/>
                <w:color w:val="auto"/>
              </w:rPr>
              <w:t>Name and Address</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Owned(1)</w:t>
            </w: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w w:val="96"/>
              </w:rPr>
              <w:t>Ownership(2)</w:t>
            </w:r>
          </w:p>
        </w:tc>
      </w:tr>
      <w:tr>
        <w:trPr>
          <w:trHeight w:val="170"/>
        </w:trPr>
        <w:tc>
          <w:tcPr>
            <w:tcW w:w="3740" w:type="dxa"/>
            <w:vAlign w:val="bottom"/>
          </w:tcPr>
          <w:p>
            <w:pPr>
              <w:ind w:left="10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Welsh, Carson, Anderson &amp; Stowe(3)(6)</w:t>
            </w: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320 Park Avenue, Suite 2500</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New York, New York 10022</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57,372,796</w:t>
            </w:r>
          </w:p>
        </w:tc>
        <w:tc>
          <w:tcPr>
            <w:tcW w:w="1400" w:type="dxa"/>
            <w:vAlign w:val="bottom"/>
          </w:tcPr>
          <w:p>
            <w:pPr>
              <w:ind w:left="880"/>
              <w:spacing w:after="0"/>
              <w:rPr>
                <w:sz w:val="20"/>
                <w:szCs w:val="20"/>
                <w:color w:val="auto"/>
              </w:rPr>
            </w:pPr>
            <w:r>
              <w:rPr>
                <w:rFonts w:ascii="Courier New" w:cs="Courier New" w:eastAsia="Courier New" w:hAnsi="Courier New"/>
                <w:sz w:val="15"/>
                <w:szCs w:val="15"/>
                <w:color w:val="auto"/>
              </w:rPr>
              <w:t>29.2%</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SBC International Inc.(4)</w:t>
            </w: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175 E. Houston Street</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San Antonio, Texas 78205-2233</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44,734,700</w:t>
            </w:r>
          </w:p>
        </w:tc>
        <w:tc>
          <w:tcPr>
            <w:tcW w:w="1400" w:type="dxa"/>
            <w:vAlign w:val="bottom"/>
          </w:tcPr>
          <w:p>
            <w:pPr>
              <w:ind w:left="880"/>
              <w:spacing w:after="0"/>
              <w:rPr>
                <w:sz w:val="20"/>
                <w:szCs w:val="20"/>
                <w:color w:val="auto"/>
              </w:rPr>
            </w:pPr>
            <w:r>
              <w:rPr>
                <w:rFonts w:ascii="Courier New" w:cs="Courier New" w:eastAsia="Courier New" w:hAnsi="Courier New"/>
                <w:sz w:val="15"/>
                <w:szCs w:val="15"/>
                <w:color w:val="auto"/>
              </w:rPr>
              <w:t>22.7</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Amdocs International Limited(5)(6)</w:t>
            </w: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Suite 5, Tower Hill House</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Le Bordage, St. Peter Port</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Guernsey GY1 3QT</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The Channel Islands</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46,078,500</w:t>
            </w:r>
          </w:p>
        </w:tc>
        <w:tc>
          <w:tcPr>
            <w:tcW w:w="1400" w:type="dxa"/>
            <w:vAlign w:val="bottom"/>
          </w:tcPr>
          <w:p>
            <w:pPr>
              <w:ind w:left="880"/>
              <w:spacing w:after="0"/>
              <w:rPr>
                <w:sz w:val="20"/>
                <w:szCs w:val="20"/>
                <w:color w:val="auto"/>
              </w:rPr>
            </w:pPr>
            <w:r>
              <w:rPr>
                <w:rFonts w:ascii="Courier New" w:cs="Courier New" w:eastAsia="Courier New" w:hAnsi="Courier New"/>
                <w:sz w:val="15"/>
                <w:szCs w:val="15"/>
                <w:color w:val="auto"/>
              </w:rPr>
              <w:t>23.4</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as a group (19 persons)(5)(6)</w:t>
            </w:r>
          </w:p>
        </w:tc>
        <w:tc>
          <w:tcPr>
            <w:tcW w:w="1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172,518,824</w:t>
            </w:r>
          </w:p>
        </w:tc>
        <w:tc>
          <w:tcPr>
            <w:tcW w:w="1400" w:type="dxa"/>
            <w:vAlign w:val="bottom"/>
          </w:tcPr>
          <w:p>
            <w:pPr>
              <w:ind w:left="880"/>
              <w:spacing w:after="0"/>
              <w:rPr>
                <w:sz w:val="20"/>
                <w:szCs w:val="20"/>
                <w:color w:val="auto"/>
              </w:rPr>
            </w:pPr>
            <w:r>
              <w:rPr>
                <w:rFonts w:ascii="Courier New" w:cs="Courier New" w:eastAsia="Courier New" w:hAnsi="Courier New"/>
                <w:sz w:val="15"/>
                <w:szCs w:val="15"/>
                <w:color w:val="auto"/>
              </w:rPr>
              <w:t>87.2</w:t>
            </w:r>
          </w:p>
        </w:tc>
      </w:tr>
    </w:tbl>
    <w:p>
      <w:pPr>
        <w:spacing w:after="0" w:line="344" w:lineRule="exact"/>
        <w:rPr>
          <w:sz w:val="20"/>
          <w:szCs w:val="20"/>
          <w:color w:val="auto"/>
        </w:rPr>
      </w:pPr>
    </w:p>
    <w:p>
      <w:pPr>
        <w:ind w:left="450" w:right="3179" w:hanging="450"/>
        <w:spacing w:after="0" w:line="237"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non-voting Ordinary Shares shown as beneficially owned by them, subject to community property laws, where applicable.</w:t>
      </w:r>
    </w:p>
    <w:p>
      <w:pPr>
        <w:spacing w:after="0" w:line="178" w:lineRule="exact"/>
        <w:rPr>
          <w:rFonts w:ascii="Courier New" w:cs="Courier New" w:eastAsia="Courier New" w:hAnsi="Courier New"/>
          <w:sz w:val="15"/>
          <w:szCs w:val="15"/>
          <w:color w:val="auto"/>
        </w:rPr>
      </w:pPr>
    </w:p>
    <w:p>
      <w:pPr>
        <w:ind w:left="450" w:right="3259" w:hanging="450"/>
        <w:spacing w:after="0" w:line="238"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166,565,324 Ordinary Shares and 30,234,700 non-voting Ordinary Shares outstanding on September 30, 1998, plus, as to each entity or group listed unless otherwise noted, the number of Ordinary Shares and non-voting Ordinary Shares deemed to be owned by such holder pursuant to Rule 13d-3 under the Securities Exchange Act of 1934, as amended, as of</w:t>
      </w:r>
    </w:p>
    <w:p>
      <w:pPr>
        <w:sectPr>
          <w:pgSz w:w="11900" w:h="16838" w:orient="portrait"/>
          <w:cols w:equalWidth="0" w:num="1">
            <w:col w:w="10229"/>
          </w:cols>
          <w:pgMar w:left="230" w:top="283"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left="450" w:right="3699"/>
        <w:spacing w:after="0" w:line="235" w:lineRule="auto"/>
        <w:rPr>
          <w:sz w:val="20"/>
          <w:szCs w:val="20"/>
          <w:color w:val="auto"/>
        </w:rPr>
      </w:pPr>
      <w:r>
        <w:rPr>
          <w:rFonts w:ascii="Courier New" w:cs="Courier New" w:eastAsia="Courier New" w:hAnsi="Courier New"/>
          <w:sz w:val="15"/>
          <w:szCs w:val="15"/>
          <w:color w:val="auto"/>
        </w:rPr>
        <w:t>such date, assuming exercise of options held by such holder which are exercisable within 60 days of the date of this report.</w:t>
      </w:r>
    </w:p>
    <w:p>
      <w:pPr>
        <w:spacing w:after="0" w:line="176" w:lineRule="exact"/>
        <w:rPr>
          <w:sz w:val="20"/>
          <w:szCs w:val="20"/>
          <w:color w:val="auto"/>
        </w:rPr>
      </w:pPr>
    </w:p>
    <w:p>
      <w:pPr>
        <w:ind w:left="450" w:right="3179" w:hanging="450"/>
        <w:spacing w:after="0" w:line="257" w:lineRule="auto"/>
        <w:tabs>
          <w:tab w:leader="none" w:pos="4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36,761,712 Ordinary Shares held by Welsh, Carson, Anderson &amp; Stowe VII, L.P., 10,542,844 Ordinary Shares held by Welsh, Carson, Anderson &amp; Stowe VI, L.P., 7,354,932 Ordinary Shares held by WCAS Capital Partners III, L.P., 226,512 Ordinary Shares held by WCAS Information Partners, L.P. and 2,486,796 Ordinary Shares held by partners and others affiliated with WCAS. Such partners are also partners of the sole general partner of each of the foregoing limited partnerships. The partners of WCAS who are also directors of the Company are Bruce K. Anderson (Chairman of the Board and Chief Executive Officer of the Company) and Robert A. Minicucci (Chief Financial Officer of the Company), and each may be deemed to be beneficial owners of the Company's Ordinary Shares held by WCAS.</w:t>
      </w:r>
    </w:p>
    <w:p>
      <w:pPr>
        <w:spacing w:after="0" w:line="165" w:lineRule="exact"/>
        <w:rPr>
          <w:rFonts w:ascii="Courier New" w:cs="Courier New" w:eastAsia="Courier New" w:hAnsi="Courier New"/>
          <w:sz w:val="14"/>
          <w:szCs w:val="14"/>
          <w:color w:val="auto"/>
        </w:rPr>
      </w:pPr>
    </w:p>
    <w:p>
      <w:pPr>
        <w:ind w:left="450" w:right="3259"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New York Stock Exchange. The number of shares shown as beneficially owned by SBCI is comprised of 14,500,000 Ordinary Shares and 30,234,700 non-voting Ordinary Shares. SBCI is the only shareholder of the Company that holds non-voting Ordinary Shares.</w:t>
      </w:r>
    </w:p>
    <w:p>
      <w:pPr>
        <w:spacing w:after="0" w:line="178"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recapitalization of the Company effected as of May 20, 1998, in advance of the Company's initial public offering in June 1998, investment partnerships affiliated with WCAS and certain entities in which certain members of management have a beneficial interest granted irrevocable proxies with respect to a total of 23,521,899 and 7,226,440 Ordinary Shares, respectively, to a company which is the principal shareholder of AIL and which is beneficially owned by Morris S. Kahn. The proxies granted by the WCAS partnerships expire in ten years, or sooner if at any time the WCAS entities collectively own less than 10.0% of the Company's outstanding capital shares. The proxies granted by management expire ratably over the next two to three years. After giving effect to such proxies, AIL and its principal shareholder will together have the right to vote 46.1% of the Company's voting Ordinary Shares and WCAS will have the right to vote 23.4% of such shares.</w:t>
      </w:r>
    </w:p>
    <w:p>
      <w:pPr>
        <w:spacing w:after="0" w:line="183"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the Company's Board of Directors and, accordingly, such affiliates may be deemed to be the beneficial owners of the shares held by such entities.</w:t>
      </w:r>
    </w:p>
    <w:p>
      <w:pPr>
        <w:sectPr>
          <w:pgSz w:w="11900" w:h="16838" w:orient="portrait"/>
          <w:cols w:equalWidth="0" w:num="1">
            <w:col w:w="10229"/>
          </w:cols>
          <w:pgMar w:left="23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ind w:left="440"/>
        <w:spacing w:after="0"/>
        <w:rPr>
          <w:sz w:val="20"/>
          <w:szCs w:val="20"/>
          <w:color w:val="auto"/>
        </w:rPr>
      </w:pPr>
      <w:r>
        <w:rPr>
          <w:rFonts w:ascii="Courier New" w:cs="Courier New" w:eastAsia="Courier New" w:hAnsi="Courier New"/>
          <w:sz w:val="15"/>
          <w:szCs w:val="15"/>
          <w:color w:val="auto"/>
        </w:rPr>
        <w:t>Call Option Agreement</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September 1997, in connection with a Share Subscription Agreement and a Conditional Investment Agreement (described below), investment partnerships affiliated with WCAS and certain other investors, including certain entities in which certain directors and executive officers of the Company's subsidiaries have a beneficial interest (collectively, the "WCAS Investors"), granted to the Company's existing shareholders, SBCI, AIL, certain entities in which directors and executive officers of the Company have a beneficial interest and an irrevocable secular trust (the "Trust") for the benefit of certain employees (such entities and the Trust being referred to collectively as the "Other Investors"), a call option on up to 15,198,040 Ordinary Shares. The call option may be exercised, without the payment of any consideration to the WCAS Investors, if certain revenue and cash flow targets are met in fiscal years 1998 and 1999. The targets in fiscal year 1998 have been satisfied in full. If exercised, the call option would increase the relative ownership of SBCI, AIL and the Other Investors and decrease the relative ownership of the WCAS Investors with no change in the aggregate number of Ordinary Shares outstanding.</w:t>
      </w:r>
    </w:p>
    <w:p>
      <w:pPr>
        <w:spacing w:after="0" w:line="164" w:lineRule="exact"/>
        <w:rPr>
          <w:sz w:val="20"/>
          <w:szCs w:val="20"/>
          <w:color w:val="auto"/>
        </w:rPr>
      </w:pPr>
    </w:p>
    <w:p>
      <w:pPr>
        <w:ind w:right="3179" w:firstLine="1234"/>
        <w:spacing w:after="0" w:line="237" w:lineRule="auto"/>
        <w:rPr>
          <w:sz w:val="20"/>
          <w:szCs w:val="20"/>
          <w:color w:val="auto"/>
        </w:rPr>
      </w:pPr>
      <w:r>
        <w:rPr>
          <w:rFonts w:ascii="Courier New" w:cs="Courier New" w:eastAsia="Courier New" w:hAnsi="Courier New"/>
          <w:sz w:val="15"/>
          <w:szCs w:val="15"/>
          <w:color w:val="auto"/>
        </w:rPr>
        <w:t>The following table illustrates the Ordinary Share ownership of the entities party to the call option agreement (i) if the conditions under the call option agreement are not satisfied, and (ii) if all of the revenue and cash flow tests under such agreement were to be achieved in full.</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Beneficial Ownership if:</w:t>
      </w:r>
    </w:p>
    <w:p>
      <w:pPr>
        <w:ind w:left="1320"/>
        <w:spacing w:after="0"/>
        <w:rPr>
          <w:sz w:val="20"/>
          <w:szCs w:val="20"/>
          <w:color w:val="auto"/>
        </w:rPr>
      </w:pPr>
      <w:r>
        <w:rPr>
          <w:rFonts w:ascii="Courier New" w:cs="Courier New" w:eastAsia="Courier New" w:hAnsi="Courier New"/>
          <w:sz w:val="15"/>
          <w:szCs w:val="15"/>
          <w:color w:val="auto"/>
        </w:rPr>
        <w:t>------------------------</w:t>
      </w: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Conditions of</w:t>
      </w:r>
      <w:r>
        <w:rPr>
          <w:sz w:val="20"/>
          <w:szCs w:val="20"/>
          <w:color w:val="auto"/>
        </w:rPr>
        <w:tab/>
      </w:r>
      <w:r>
        <w:rPr>
          <w:rFonts w:ascii="Courier New" w:cs="Courier New" w:eastAsia="Courier New" w:hAnsi="Courier New"/>
          <w:sz w:val="14"/>
          <w:szCs w:val="14"/>
          <w:color w:val="auto"/>
        </w:rPr>
        <w:t>Conditions of</w:t>
      </w:r>
    </w:p>
    <w:p>
      <w:pPr>
        <w:ind w:left="540"/>
        <w:spacing w:after="0"/>
        <w:tabs>
          <w:tab w:leader="none" w:pos="3600" w:val="left"/>
        </w:tabs>
        <w:rPr>
          <w:sz w:val="20"/>
          <w:szCs w:val="20"/>
          <w:color w:val="auto"/>
        </w:rPr>
      </w:pPr>
      <w:r>
        <w:rPr>
          <w:rFonts w:ascii="Courier New" w:cs="Courier New" w:eastAsia="Courier New" w:hAnsi="Courier New"/>
          <w:sz w:val="15"/>
          <w:szCs w:val="15"/>
          <w:color w:val="auto"/>
        </w:rPr>
        <w:t>Call Option</w:t>
      </w:r>
      <w:r>
        <w:rPr>
          <w:sz w:val="20"/>
          <w:szCs w:val="20"/>
          <w:color w:val="auto"/>
        </w:rPr>
        <w:tab/>
      </w:r>
      <w:r>
        <w:rPr>
          <w:rFonts w:ascii="Courier New" w:cs="Courier New" w:eastAsia="Courier New" w:hAnsi="Courier New"/>
          <w:sz w:val="14"/>
          <w:szCs w:val="14"/>
          <w:color w:val="auto"/>
        </w:rPr>
        <w:t>Call Option</w:t>
      </w:r>
    </w:p>
    <w:p>
      <w:pPr>
        <w:ind w:left="620"/>
        <w:spacing w:after="0"/>
        <w:tabs>
          <w:tab w:leader="none" w:pos="368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Agreement</w:t>
      </w:r>
    </w:p>
    <w:p>
      <w:pPr>
        <w:ind w:left="360"/>
        <w:spacing w:after="0"/>
        <w:tabs>
          <w:tab w:leader="none" w:pos="3160" w:val="left"/>
        </w:tabs>
        <w:rPr>
          <w:sz w:val="20"/>
          <w:szCs w:val="20"/>
          <w:color w:val="auto"/>
        </w:rPr>
      </w:pPr>
      <w:r>
        <w:rPr>
          <w:rFonts w:ascii="Courier New" w:cs="Courier New" w:eastAsia="Courier New" w:hAnsi="Courier New"/>
          <w:sz w:val="15"/>
          <w:szCs w:val="15"/>
          <w:color w:val="auto"/>
        </w:rPr>
        <w:t>Are All Not Met</w:t>
      </w:r>
      <w:r>
        <w:rPr>
          <w:sz w:val="20"/>
          <w:szCs w:val="20"/>
          <w:color w:val="auto"/>
        </w:rPr>
        <w:tab/>
      </w:r>
      <w:r>
        <w:rPr>
          <w:rFonts w:ascii="Courier New" w:cs="Courier New" w:eastAsia="Courier New" w:hAnsi="Courier New"/>
          <w:sz w:val="14"/>
          <w:szCs w:val="14"/>
          <w:color w:val="auto"/>
        </w:rPr>
        <w:t>Are All Met in Full</w:t>
      </w:r>
    </w:p>
    <w:p>
      <w:pPr>
        <w:ind w:left="360"/>
        <w:spacing w:after="0" w:line="238" w:lineRule="auto"/>
        <w:tabs>
          <w:tab w:leader="none" w:pos="3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1480" w:val="left"/>
          <w:tab w:leader="none" w:pos="2980" w:val="left"/>
          <w:tab w:leader="none" w:pos="46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Percent</w:t>
      </w:r>
    </w:p>
    <w:p>
      <w:pPr>
        <w:ind w:left="180"/>
        <w:spacing w:after="0"/>
        <w:tabs>
          <w:tab w:leader="none" w:pos="1660" w:val="left"/>
          <w:tab w:leader="none" w:pos="3160" w:val="left"/>
          <w:tab w:leader="none" w:pos="4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ectPr>
          <w:pgSz w:w="11900" w:h="16838" w:orient="portrait"/>
          <w:cols w:equalWidth="0" w:num="2">
            <w:col w:w="3760" w:space="720"/>
            <w:col w:w="573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WCAS Investors</w:t>
      </w:r>
    </w:p>
    <w:p>
      <w:pPr>
        <w:spacing w:after="0"/>
        <w:rPr>
          <w:sz w:val="20"/>
          <w:szCs w:val="20"/>
          <w:color w:val="auto"/>
        </w:rPr>
      </w:pPr>
      <w:r>
        <w:rPr>
          <w:rFonts w:ascii="Courier New" w:cs="Courier New" w:eastAsia="Courier New" w:hAnsi="Courier New"/>
          <w:sz w:val="15"/>
          <w:szCs w:val="15"/>
          <w:color w:val="auto"/>
        </w:rPr>
        <w:t>SBCI</w:t>
      </w:r>
    </w:p>
    <w:p>
      <w:pPr>
        <w:spacing w:after="0"/>
        <w:rPr>
          <w:sz w:val="20"/>
          <w:szCs w:val="20"/>
          <w:color w:val="auto"/>
        </w:rPr>
      </w:pPr>
      <w:r>
        <w:rPr>
          <w:rFonts w:ascii="Courier New" w:cs="Courier New" w:eastAsia="Courier New" w:hAnsi="Courier New"/>
          <w:sz w:val="15"/>
          <w:szCs w:val="15"/>
          <w:color w:val="auto"/>
        </w:rPr>
        <w:t>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62,580,024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44,734,700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46,078,500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24,063,000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22.7</w:t>
      </w:r>
    </w:p>
    <w:p>
      <w:pPr>
        <w:spacing w:after="0"/>
        <w:rPr>
          <w:sz w:val="20"/>
          <w:szCs w:val="20"/>
          <w:color w:val="auto"/>
        </w:rPr>
      </w:pPr>
      <w:r>
        <w:rPr>
          <w:rFonts w:ascii="Courier New" w:cs="Courier New" w:eastAsia="Courier New" w:hAnsi="Courier New"/>
          <w:sz w:val="15"/>
          <w:szCs w:val="15"/>
          <w:color w:val="auto"/>
        </w:rPr>
        <w:t>23.4</w:t>
      </w:r>
    </w:p>
    <w:p>
      <w:pPr>
        <w:spacing w:after="0"/>
        <w:rPr>
          <w:sz w:val="20"/>
          <w:szCs w:val="20"/>
          <w:color w:val="auto"/>
        </w:rPr>
      </w:pPr>
      <w:r>
        <w:rPr>
          <w:rFonts w:ascii="Courier New" w:cs="Courier New" w:eastAsia="Courier New" w:hAnsi="Courier New"/>
          <w:sz w:val="15"/>
          <w:szCs w:val="15"/>
          <w:color w:val="auto"/>
        </w:rPr>
        <w:t>12.2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47,381,984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50,888,838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52,232,638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26,952,764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25.9</w:t>
      </w:r>
    </w:p>
    <w:p>
      <w:pPr>
        <w:spacing w:after="0"/>
        <w:rPr>
          <w:sz w:val="20"/>
          <w:szCs w:val="20"/>
          <w:color w:val="auto"/>
        </w:rPr>
      </w:pPr>
      <w:r>
        <w:rPr>
          <w:rFonts w:ascii="Courier New" w:cs="Courier New" w:eastAsia="Courier New" w:hAnsi="Courier New"/>
          <w:sz w:val="15"/>
          <w:szCs w:val="15"/>
          <w:color w:val="auto"/>
        </w:rPr>
        <w:t>26.5</w:t>
      </w:r>
    </w:p>
    <w:p>
      <w:pPr>
        <w:spacing w:after="0"/>
        <w:rPr>
          <w:sz w:val="20"/>
          <w:szCs w:val="20"/>
          <w:color w:val="auto"/>
        </w:rPr>
      </w:pPr>
      <w:r>
        <w:rPr>
          <w:rFonts w:ascii="Courier New" w:cs="Courier New" w:eastAsia="Courier New" w:hAnsi="Courier New"/>
          <w:sz w:val="15"/>
          <w:szCs w:val="15"/>
          <w:color w:val="auto"/>
        </w:rPr>
        <w:t>13.7</w:t>
      </w:r>
    </w:p>
    <w:p>
      <w:pPr>
        <w:spacing w:after="0" w:line="200" w:lineRule="exact"/>
        <w:rPr>
          <w:sz w:val="20"/>
          <w:szCs w:val="20"/>
          <w:color w:val="auto"/>
        </w:rPr>
      </w:pPr>
    </w:p>
    <w:p>
      <w:pPr>
        <w:sectPr>
          <w:pgSz w:w="11900" w:h="16838" w:orient="portrait"/>
          <w:cols w:equalWidth="0" w:num="5">
            <w:col w:w="3860" w:space="720"/>
            <w:col w:w="880" w:space="620"/>
            <w:col w:w="780" w:space="720"/>
            <w:col w:w="940" w:space="720"/>
            <w:col w:w="979"/>
          </w:cols>
          <w:pgMar w:left="240" w:top="283" w:right="1440" w:bottom="1440" w:gutter="0" w:footer="0" w:header="0"/>
          <w:type w:val="continuous"/>
        </w:sectPr>
      </w:pPr>
    </w:p>
    <w:p>
      <w:pPr>
        <w:spacing w:after="0" w:line="1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NATURE OF TRADING MARKET</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Company's Ordinary Shares have been quoted on the New York Stock Exchange since June 19, 1998, under the symbol "DOX." Through September 30, 1998, the high and low reported sale prices for the Ordinary Shares were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00" w:type="dxa"/>
            <w:vAlign w:val="bottom"/>
          </w:tcPr>
          <w:p>
            <w:pPr>
              <w:ind w:left="720"/>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Low</w:t>
            </w: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Third Quarter 1998</w:t>
            </w:r>
          </w:p>
        </w:tc>
        <w:tc>
          <w:tcPr>
            <w:tcW w:w="1500" w:type="dxa"/>
            <w:vAlign w:val="bottom"/>
          </w:tcPr>
          <w:p>
            <w:pPr>
              <w:ind w:left="720"/>
              <w:spacing w:after="0"/>
              <w:rPr>
                <w:sz w:val="20"/>
                <w:szCs w:val="20"/>
                <w:color w:val="auto"/>
              </w:rPr>
            </w:pPr>
            <w:r>
              <w:rPr>
                <w:rFonts w:ascii="Courier New" w:cs="Courier New" w:eastAsia="Courier New" w:hAnsi="Courier New"/>
                <w:sz w:val="15"/>
                <w:szCs w:val="15"/>
                <w:color w:val="auto"/>
              </w:rPr>
              <w:t>$16.5</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$14.0</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(since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June 19, 1998)</w:t>
            </w: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Fourth</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Quarter 1998</w:t>
            </w:r>
          </w:p>
        </w:tc>
        <w:tc>
          <w:tcPr>
            <w:tcW w:w="1500" w:type="dxa"/>
            <w:vAlign w:val="bottom"/>
          </w:tcPr>
          <w:p>
            <w:pPr>
              <w:ind w:left="720"/>
              <w:spacing w:after="0"/>
              <w:rPr>
                <w:sz w:val="20"/>
                <w:szCs w:val="20"/>
                <w:color w:val="auto"/>
              </w:rPr>
            </w:pPr>
            <w:r>
              <w:rPr>
                <w:rFonts w:ascii="Courier New" w:cs="Courier New" w:eastAsia="Courier New" w:hAnsi="Courier New"/>
                <w:sz w:val="15"/>
                <w:szCs w:val="15"/>
                <w:color w:val="auto"/>
              </w:rPr>
              <w:t>15.5</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8.4</w:t>
            </w:r>
          </w:p>
        </w:tc>
      </w:tr>
    </w:tbl>
    <w:p>
      <w:pPr>
        <w:spacing w:after="0"/>
        <w:rPr>
          <w:sz w:val="20"/>
          <w:szCs w:val="20"/>
          <w:color w:val="auto"/>
        </w:rPr>
      </w:pPr>
      <w:r>
        <w:rPr>
          <w:rFonts w:ascii="Courier New" w:cs="Courier New" w:eastAsia="Courier New" w:hAnsi="Courier New"/>
          <w:sz w:val="15"/>
          <w:szCs w:val="15"/>
          <w:color w:val="auto"/>
        </w:rPr>
        <w:t>(through September 30, 1998)</w:t>
      </w:r>
    </w:p>
    <w:p>
      <w:pPr>
        <w:sectPr>
          <w:pgSz w:w="11900" w:h="16838" w:orient="portrait"/>
          <w:cols w:equalWidth="0" w:num="1">
            <w:col w:w="10219"/>
          </w:cols>
          <w:pgMar w:left="240" w:top="28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As of December 1, 1998, the last reported price of the Ordinary Shares was $15.125 and Ordinary Shares were held by 137 record holders. Based on a review of the addresses of such holders, 69 record holders, holding 65% of the outstanding Ordinary Shares, were residents of the United States of America.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EXCHANGE CONTROLS AND OTHER LIMITATIONS AFFECTING SECURITY HOLDERS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TAXATION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Taxation of the Company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following is a summary of certain material tax considerations relating to the Company and its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General. The Company's overall effective tax rate has historically been approximately 30% due to the various corporate income tax rates of the countries in which the Company operates and the relative magnitude of the activities of the Company in those countries. The Company's consolidated effective tax rate for fiscal year 1998 was approximately 50% due to significant interest expense incurred in a tax jurisdiction in which the Company is tax exempt which resulted in no tax benefit to offset the tax expense incurred in other jurisdictions. There can be no assurance that the Company's effective tax rate will not change over time as a result of a change in corporate income tax rates or other changes in the tax laws of the various countries in which the Company operates. Moreover, the Company's effective tax rate in future years may be adversely affected in the event that a tax authority challenged the manner in which items of income and expense are allocated among the Company and its subsidiaries. In addition, the Company and certain of its subsidiaries have been granted certain special tax benefits, discussed below, in Cyprus, the United Kingdom and Israel. The loss of any such tax benefits could have an adverse effect on the Company's effective tax rate.</w:t>
      </w:r>
    </w:p>
    <w:p>
      <w:pPr>
        <w:spacing w:after="0" w:line="33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Certain Guernsey Tax Considerations. The Company qualifies as an exempt company (i.e., it does not carry on business in Guernsey) so it generally is not subject to taxation in Guernsey.</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Certain Cyprus Tax Considerations. The Company's Cyprus subsidiary, Amdocs Development Limited, provides certain computer development services, primarily to certain of the Company's other subsidiaries. Corporations resident in Cyprus currently are subject to a</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maximum 25% income tax rate. The Government of Cyprus has issued a permit to the Cyprus subsidiary pursuant to which the activities to be conducted by it will be deemed to be offshore activities for the purpose of Cyprus taxation. As a result, the Cyprus subsidiary will be subject to an effective tax rate in Cyprus of 4.25%. In order for the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8"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Certain United Kingdom Tax Considerations. The Company's United Kingdom subsidiary, Amdocs (UK) Limited ("Amdocs UK"), performs contracting and marketing functions for the Company's business, provides customers with development services, and acts as a holding company for certain of the Company's subsidiaries, including the Company's principal U.S. operating subsidiary.</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General Corporate Taxation in the United Kingdom. The statutory United Kingdom corporation tax rate currently is 31%. The corporation tax rate will decrease to 30% commencing on April 1, 1999. Amdocs UK pays UK corporation tax on its worldwide income, with a credit or deduction for non-UK income taxes paid. Amdocs UK pays tax on dividends received from its subsidiaries, with a credit for underlying non-UK taxes paid by such subsidiaries and withholding taxes paid on such dividends.</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International Headquarters Company Regime. The United Kingdom currently has a partial imputation system. Under the imputation system, when it distributes dividends, Amdocs UK must pay to the Inland Revenue an amount of advance corporation tax ("ACT"). That amount is currently equal to 25% of the dividend. The ACT amount may be offset against tax otherwise payable by Amdocs UK but a full offset may not be achieved in certain situations, such as when the UK tax is offset instead by credits for non-UK taxes paid by Amdocs UK on its foreign operations or with respect to dividends received from the Company's principal U.S. operating subsidiary. Surplus ACT may be carried forward.</w:t>
      </w:r>
    </w:p>
    <w:p>
      <w:pPr>
        <w:spacing w:after="0" w:line="167"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ACT is relieved under UK tax rules for foreign income dividends and international headquarters companies. These rules allow companies, such as Amdocs UK, that meet foreign ownership requirements to identify certain dividends as foreign income dividends, and pay them without accounting for ACT.</w:t>
      </w:r>
    </w:p>
    <w:p>
      <w:pPr>
        <w:spacing w:after="0" w:line="163" w:lineRule="exact"/>
        <w:rPr>
          <w:sz w:val="20"/>
          <w:szCs w:val="20"/>
          <w:color w:val="auto"/>
        </w:rPr>
      </w:pPr>
    </w:p>
    <w:p>
      <w:pPr>
        <w:ind w:right="3979" w:firstLine="793"/>
        <w:spacing w:after="0" w:line="235" w:lineRule="auto"/>
        <w:rPr>
          <w:sz w:val="20"/>
          <w:szCs w:val="20"/>
          <w:color w:val="auto"/>
        </w:rPr>
      </w:pPr>
      <w:r>
        <w:rPr>
          <w:rFonts w:ascii="Courier New" w:cs="Courier New" w:eastAsia="Courier New" w:hAnsi="Courier New"/>
          <w:sz w:val="15"/>
          <w:szCs w:val="15"/>
          <w:color w:val="auto"/>
        </w:rPr>
        <w:t>The UK government has announced that ACT will be abolished for dividends paid on or after April 6, 1999.</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Certain Israeli Tax Considerations. The Company's Israeli subsidiary, Amdocs (Israel) Limited, operates the Company's largest development center. Discussed below are certain Israeli tax considerations relating to the Israeli subsidiary:</w:t>
      </w:r>
    </w:p>
    <w:p>
      <w:pPr>
        <w:spacing w:after="0" w:line="176" w:lineRule="exact"/>
        <w:rPr>
          <w:sz w:val="20"/>
          <w:szCs w:val="20"/>
          <w:color w:val="auto"/>
        </w:rPr>
      </w:pPr>
    </w:p>
    <w:p>
      <w:pPr>
        <w:jc w:val="both"/>
        <w:ind w:right="3439" w:firstLine="793"/>
        <w:spacing w:after="0" w:line="237" w:lineRule="auto"/>
        <w:rPr>
          <w:sz w:val="20"/>
          <w:szCs w:val="20"/>
          <w:color w:val="auto"/>
        </w:rPr>
      </w:pPr>
      <w:r>
        <w:rPr>
          <w:rFonts w:ascii="Courier New" w:cs="Courier New" w:eastAsia="Courier New" w:hAnsi="Courier New"/>
          <w:sz w:val="15"/>
          <w:szCs w:val="15"/>
          <w:color w:val="auto"/>
        </w:rPr>
        <w:t>General Corporate Taxation in Israel. Effective January 1, 1996, and thereafter, in general, Israeli companies are subject to "Company Tax" at the rate of 36% of taxable income.</w:t>
      </w:r>
    </w:p>
    <w:p>
      <w:pPr>
        <w:sectPr>
          <w:pgSz w:w="11900" w:h="16838" w:orient="portrait"/>
          <w:cols w:equalWidth="0" w:num="1">
            <w:col w:w="10219"/>
          </w:cols>
          <w:pgMar w:left="240" w:top="283" w:right="1440" w:bottom="1440" w:gutter="0" w:footer="0" w:header="0"/>
        </w:sectPr>
      </w:pPr>
    </w:p>
    <w:bookmarkStart w:id="35" w:name="page36"/>
    <w:bookmarkEnd w:id="35"/>
    <w:p>
      <w:pPr>
        <w:ind w:left="27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However, the effective tax rate payable by an Israeli company that derives income from an Approved Enterprise (as further discussed below) may be considerably less.</w:t>
      </w:r>
    </w:p>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Law for the Encouragement of Capital Investments, 1959. Certain production and development facilities of the Company's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76"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7" w:lineRule="exact"/>
        <w:rPr>
          <w:sz w:val="20"/>
          <w:szCs w:val="20"/>
          <w:color w:val="auto"/>
        </w:rPr>
      </w:pPr>
    </w:p>
    <w:p>
      <w:pPr>
        <w:ind w:left="10" w:right="3359" w:firstLine="793"/>
        <w:spacing w:after="0" w:line="256" w:lineRule="auto"/>
        <w:rPr>
          <w:sz w:val="20"/>
          <w:szCs w:val="20"/>
          <w:color w:val="auto"/>
        </w:rPr>
      </w:pPr>
      <w:r>
        <w:rPr>
          <w:rFonts w:ascii="Courier New" w:cs="Courier New" w:eastAsia="Courier New" w:hAnsi="Courier New"/>
          <w:sz w:val="14"/>
          <w:szCs w:val="14"/>
          <w:color w:val="auto"/>
        </w:rPr>
        <w:t>Tax Benefits. Taxable income derived from an Approved Enterprise is subject to a reduced corporate tax rate of 25% until the earlier of (i) seven consecutive years (or ten in the case of an FIC (as defined below)) commencing in the year in which the Approved Enterprise first generates taxable income,</w:t>
      </w:r>
    </w:p>
    <w:p>
      <w:pPr>
        <w:spacing w:after="0" w:line="1" w:lineRule="exact"/>
        <w:rPr>
          <w:sz w:val="20"/>
          <w:szCs w:val="20"/>
          <w:color w:val="auto"/>
        </w:rPr>
      </w:pPr>
    </w:p>
    <w:p>
      <w:pPr>
        <w:ind w:left="10" w:right="3259" w:hanging="10"/>
        <w:spacing w:after="0" w:line="256" w:lineRule="auto"/>
        <w:tabs>
          <w:tab w:leader="none" w:pos="4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twelve years from the year of commencement of production or (iii) fourteen years from the year of the approval of the Approved Enterprise status. Such income is eligible for further reductions in tax rates if the company qualifies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w:t>
      </w:r>
    </w:p>
    <w:p>
      <w:pPr>
        <w:spacing w:after="0" w:line="3" w:lineRule="exact"/>
        <w:rPr>
          <w:rFonts w:ascii="Courier New" w:cs="Courier New" w:eastAsia="Courier New" w:hAnsi="Courier New"/>
          <w:sz w:val="14"/>
          <w:szCs w:val="14"/>
          <w:color w:val="auto"/>
        </w:rPr>
      </w:pPr>
    </w:p>
    <w:p>
      <w:pPr>
        <w:ind w:left="1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("Alternative Benefits"). In addition, a company (like the Company's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6"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The Company's Israeli subsidiary has elected the Alternative Benefits with respect to its current Approved Enterprise and enlargements thereof, pursuant to which the Israeli subsidiary enjoys, in relation to its Approved Enterprise operations, certain tax holidays for a period of two years (and in some cases for a period of four years) and reduced tax rates for an additional period</w:t>
      </w:r>
    </w:p>
    <w:p>
      <w:pPr>
        <w:sectPr>
          <w:pgSz w:w="11900" w:h="16838" w:orient="portrait"/>
          <w:cols w:equalWidth="0" w:num="1">
            <w:col w:w="10229"/>
          </w:cols>
          <w:pgMar w:left="23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of up to eight years. In case the Company's Israeli subsidiary pays a dividend, at any time, out of income earned during the tax holiday period in respect of its Approved Enterprise, it will be subject, assuming that the current level of foreign investment in the Company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recently and relating to the current investment program of the Company's Israeli subsidiary and to the income derived therefrom, the Company's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the Company's Israeli subsidiary fails to comply with these conditions, the tax and other benefits could be canceled, in whole or in part, and the subsidiary might be required to refund the amount of the canceled benefits, with the addition of CPI linkage differences and interest. The Company believes that the Approved Enterprise of the Company's Israeli subsidiary substantially complies with all such conditions currently, but there can be no assurance that it will continue to do so.</w:t>
      </w:r>
    </w:p>
    <w:p>
      <w:pPr>
        <w:spacing w:after="0" w:line="34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the Company in Israel (although such termination or reduction would not affect the Israeli subsidiary's existing Approved Enterprise or the benefits derived therefrom).</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Certain United States Federal Income Tax Considerations. The following discussion describes the material United States federal income tax consequences to a holder of Ordinary Shares that is (i) a citizen or resident of the United States, (ii) a corporation created or organized in, or under the laws of, the United States or of any state thereof, (iii) an estate, the income of which is includable in gross income for United States federal income tax purposes regardless of its source, or (iv) a trust, if a court within the United States is able to exercise primary supervision over the administration of the trust and one or more U.S. trustees have the authority to control all substantial decisions of the trust (a "U.S. Holder"). This summary generally considers only U.S. Holders that will own Ordinary Shares as capital assets. This summary does not</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discuss the United States federal income tax consequences to a holder of Ordinary Shares that is not a U.S. Holder.</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the current or accumulated earnings and profits of the Company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United States corporate shareholders will not be entitled to any deduction for distributions received as dividends on the Ordinary Shares.</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the Company generally will be foreign source "passive income" for United States foreign tax credit purposes.</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Disposition of Ordinary Shares. 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capital gains realized upon a disposition of the Ordinary Shares generally will be subject to a maximum tax rate of 20% where</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Ordinary Shares have been held for more than one year. Gains realized by a U.S. Holder on a sale, exchange or other disposition of Ordinary Shares generally will be treated as United States source income for United States foreign tax credit purposes.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9"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Certain Guernsey Tax Considerations. Under the laws of Guernsey as currently in effect, a holder of Ordinary Shares who is not a resident of Guernsey and who does not carry on business in Guernsey through a permanent establishment situated there is (i) exempt from Guernsey income tax on dividends paid with respect to the Ordinary Shares and (ii) is not liable for Guernsey income tax on gains realized on sale or disposition of such Ordinary Shares. In addition, Guernsey does not impose a withholding tax on dividends paid by the Company to holders of Ordinary Shares.</w:t>
      </w:r>
    </w:p>
    <w:p>
      <w:pPr>
        <w:spacing w:after="0" w:line="178"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SELECTED FINANCIAL DATA</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financial statements are prepared in accordance with generally accepted accounting principles in the United States. The selected consolidated financial information set forth below has been derived from the combined or consolidated financial statements of the Company and its subsidiaries for the fiscal periods presented. During the year ended September 30, 1994, the Company's operating subsidiaries were operated as a group of companies owned by common shareholders and financial statements for such period were prepared on a combined basis and were not audited. Information as of and for the four years ended September 30, 1998 is derived from the consolidated financial statements of the Company and its subsidiaries which have been audited by Ernst &amp; Young LLP, the Company's independent auditors.</w:t>
      </w:r>
    </w:p>
    <w:p>
      <w:pPr>
        <w:spacing w:after="0" w:line="181"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selected consolidated financial information set forth below should be read in conjunction with "Item 9 - Management's Discussion and Analysis of Results of Operations and Financial Condition"</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rPr>
          <w:sz w:val="20"/>
          <w:szCs w:val="20"/>
          <w:color w:val="auto"/>
        </w:rPr>
      </w:pPr>
      <w:r>
        <w:rPr>
          <w:rFonts w:ascii="Courier New" w:cs="Courier New" w:eastAsia="Courier New" w:hAnsi="Courier New"/>
          <w:sz w:val="15"/>
          <w:szCs w:val="15"/>
          <w:color w:val="auto"/>
        </w:rPr>
        <w:t>and the consolidated financial statements and notes thereto included 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 Data -</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September 30,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42,891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10,898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9,720</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360,876</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264,107</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195,422</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156,414</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111,590</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403,767</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290,102</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211,720</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167,312</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121,310</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10,732</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3,711</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4,011</w:t>
            </w:r>
          </w:p>
        </w:tc>
        <w:tc>
          <w:tcPr>
            <w:tcW w:w="440" w:type="dxa"/>
            <w:vAlign w:val="bottom"/>
          </w:tcPr>
          <w:p>
            <w:pPr>
              <w:spacing w:after="0"/>
              <w:rPr>
                <w:sz w:val="24"/>
                <w:szCs w:val="2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2,904</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1,979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231,360</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173,704</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129,177</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93,516</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65,146</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25,612</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17,386</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14,695</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23,305</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9,993</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51,168</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40,769</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28,347</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32,210</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22,145</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Nonrecurring charge(1)</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27,563</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318,872</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263,133</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176,230</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151,935</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99,263</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84,895</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26,969</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35,490</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15,377</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22,047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(expense), net(2)</w:t>
            </w:r>
          </w:p>
        </w:tc>
        <w:tc>
          <w:tcPr>
            <w:tcW w:w="44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(24,126)</w:t>
            </w:r>
          </w:p>
        </w:tc>
        <w:tc>
          <w:tcPr>
            <w:tcW w:w="44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(3,266)</w:t>
            </w:r>
          </w:p>
        </w:tc>
        <w:tc>
          <w:tcPr>
            <w:tcW w:w="44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(476)</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658</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907</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60,769</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23,703</w:t>
            </w:r>
          </w:p>
        </w:tc>
        <w:tc>
          <w:tcPr>
            <w:tcW w:w="44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35,014</w:t>
            </w:r>
          </w:p>
        </w:tc>
        <w:tc>
          <w:tcPr>
            <w:tcW w:w="440" w:type="dxa"/>
            <w:vAlign w:val="bottom"/>
          </w:tcPr>
          <w:p>
            <w:pPr>
              <w:spacing w:after="0"/>
              <w:rPr>
                <w:sz w:val="24"/>
                <w:szCs w:val="2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16,035</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22,954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30,385</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17,827</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10,506</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4,811</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6,886</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30,384</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5,876</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24,508</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11,224</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Cumulative effect, net</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277</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30,107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5,876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r>
      <w:tr>
        <w:trPr>
          <w:trHeight w:val="170"/>
        </w:trPr>
        <w:tc>
          <w:tcPr>
            <w:tcW w:w="382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earnings per voting and non-</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voting Ordinary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voting and non-</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voting Ordinary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0.22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Weighted average voting and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non-voting Ordinary Shares outstanding</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for basic earnings per share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158,528</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108,330</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107,920</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100,076</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92,176</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Weighted average voting and non-</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voting Ordinary Shares outstanding for</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159,442</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110,915</w:t>
            </w:r>
          </w:p>
        </w:tc>
        <w:tc>
          <w:tcPr>
            <w:tcW w:w="4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110,505</w:t>
            </w:r>
          </w:p>
        </w:tc>
        <w:tc>
          <w:tcPr>
            <w:tcW w:w="44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100,288</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92,176</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bl>
    <w:p>
      <w:pPr>
        <w:sectPr>
          <w:pgSz w:w="11900" w:h="16838" w:orient="portrait"/>
          <w:cols w:equalWidth="0" w:num="1">
            <w:col w:w="10840"/>
          </w:cols>
          <w:pgMar w:left="240" w:top="283" w:right="819"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450" w:right="180" w:hanging="45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the Company recorded nonrecurring charges of $27.6 million. Of such amount, $25.8 million is attributable to the funding of a contribution to an irrevocable secular trust and the balance, $1.8 million, is due to the write-off of in-process technology related to certain software rights acquired from several operating subsidiaries of SBC.</w:t>
      </w:r>
    </w:p>
    <w:p>
      <w:pPr>
        <w:spacing w:after="0" w:line="175" w:lineRule="exact"/>
        <w:rPr>
          <w:rFonts w:ascii="Courier New" w:cs="Courier New" w:eastAsia="Courier New" w:hAnsi="Courier New"/>
          <w:sz w:val="15"/>
          <w:szCs w:val="15"/>
          <w:color w:val="auto"/>
        </w:rPr>
      </w:pPr>
    </w:p>
    <w:p>
      <w:pPr>
        <w:ind w:left="450" w:right="620" w:hanging="450"/>
        <w:spacing w:after="0" w:line="260" w:lineRule="auto"/>
        <w:tabs>
          <w:tab w:leader="none" w:pos="4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for the fiscal year ended September 30, 1998 includes $25 million of interest expense and amortization of debt issuance costs relating to outstanding senior bank term debt and subordinated debt.</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Balance Sheet Data -</w:t>
      </w:r>
    </w:p>
    <w:p>
      <w:pPr>
        <w:ind w:left="10"/>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As of September 30,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25,389</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53,732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16,083</w:t>
            </w:r>
          </w:p>
        </w:tc>
      </w:tr>
      <w:tr>
        <w:trPr>
          <w:trHeight w:val="339"/>
        </w:trPr>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Working</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(84,278)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9,392</w:t>
            </w:r>
          </w:p>
        </w:tc>
      </w:tr>
      <w:tr>
        <w:trPr>
          <w:trHeight w:val="170"/>
        </w:trPr>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239,966</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104,531</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obligations (net of</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current</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portion)</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9,215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Shareholders' equity (deficit)(1)</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(21,889)</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15,988</w:t>
            </w:r>
          </w:p>
        </w:tc>
      </w:tr>
    </w:tbl>
    <w:p>
      <w:pPr>
        <w:spacing w:after="0" w:line="344" w:lineRule="exact"/>
        <w:rPr>
          <w:sz w:val="20"/>
          <w:szCs w:val="20"/>
          <w:color w:val="auto"/>
        </w:rPr>
      </w:pPr>
    </w:p>
    <w:p>
      <w:pPr>
        <w:ind w:left="350" w:right="180" w:hanging="350"/>
        <w:spacing w:after="0" w:line="237"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shareholders' equity from September 30, 1997 to September 30, 1998 reflects the payment of dividends totalling $478.7 million partially offsets by net income for the period and the issuance of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678"/>
        </w:trPr>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  20,214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17,819</w:t>
            </w:r>
          </w:p>
        </w:tc>
      </w:tr>
      <w:tr>
        <w:trPr>
          <w:trHeight w:val="339"/>
        </w:trPr>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19,130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22,436</w:t>
            </w:r>
          </w:p>
        </w:tc>
      </w:tr>
      <w:tr>
        <w:trPr>
          <w:trHeight w:val="170"/>
        </w:trPr>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77,106</w:t>
            </w:r>
          </w:p>
        </w:tc>
      </w:tr>
      <w:tr>
        <w:trPr>
          <w:trHeight w:val="339"/>
        </w:trPr>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ectPr>
          <w:pgSz w:w="11900" w:h="16838" w:orient="portrait"/>
          <w:cols w:equalWidth="0" w:num="2">
            <w:col w:w="7150" w:space="600"/>
            <w:col w:w="2479"/>
          </w:cols>
          <w:pgMar w:left="23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ITEM 9. MANAGEMENT'S DISCUSSION AND ANALYSIS OF RESULTS OF OPERATIONS AND FINANCIAL CONDITION</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report contains certain forward-looking statements that involve risks and uncertainties. The Company's actual results could differ materially from the results reflected in those forward-looking statements, as they are subject to a variety of risk factors. See "Risk Factors". THE COMPANY DISCLAIMS ANY OBLIGATION TO UPDATE ITS FORWARD-LOOKING STATEMENTS.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provides customized software products and services to the telecommunications industry, primarily CC&amp;B Systems for wireless, wireline and multiple-service or convergent network operators and service providers. Amdocs also supplies Directory Systems to publishers of both traditional printed yellow page and white page directories and electronic Internet directories. The Company's products are mission-critical for a customer's operations. Due to the complexity of the process and the expertise required for system support, the Company also provides extensive customization, implementation, ongoing support, system enhancement and maintenance services.</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derives its revenue principally from (i) the initial sale of the Company's products and related services, including license fees and customization and implementation services, and (ii) recurring revenue from ongoing maintenance, support and related services provided to the Company's customers and, to a lesser degree, from incremental license fees resulting from increases in a customer's subscribers.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related to ongoing support is recognized as work is performed. Revenue from third party hardware and software sales is recognized upon delivery. Maintenance revenue is recognized ratably over the term of the maintenance agreement.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Since 1992, the Company has invested substantial resources to develop its information technology and to expand its range of products. As a result of significant information technology expenditures, the Company was able to offer a full range of integrated applications for its CC&amp;B Systems at the same time factors such as increased demand for services, deregulation, privatization and technological advancements began to transform the telecommunications industry. License and service fees from the sale of CC&amp;B Systems amounted to $251.8 million, $166.3 million and $102.5 million in fiscal years 1998, 1997 and 1996, respectively, representing 62.4%, 57.3% and 48.4%, respectively, of the Company's revenue for such periods.</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believes that the demand for CC&amp;B Systems will continue to increase as the size and complexity of the telecommunications industry increases and that CC&amp;B Systems will account for a larger share of the Company's total revenue in fiscal year 1999.</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the Company worldwide. The Company believes that it is a leading provider of Directory Systems in most of the markets it serves. License and service fee revenue from the sale of Directory Systems totaled $151.9 million, $123.8 million and $109.2 million in fiscal years 1998, 1997 and 1996, respectively, accounting for 37.6%, 42.7% and 51.6%, respectively, of the Company's revenue for such periods. The Company believes that the demand for Directory Systems will be favorably impacted by increased competition among international directory publishers, as well as by a broader introduction of electronic directories. However, the Company anticipates that the relative contribution of license and service fees for Directory Systems to total revenue will decrease over time. The Company has also recently introduced a number of new products for Directory-related Internet and electronic commerce applications. The Company anticipates that over the next several years products developed or to be developed for such applications will make a modest but increasing contribution to revenue.</w:t>
      </w:r>
    </w:p>
    <w:p>
      <w:pPr>
        <w:spacing w:after="0" w:line="18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Company's research and development activities have historically involved the development of new software modules and product offerings in response to an identified market demand, usually in conjunction with a customer project. The Company also expends additional amounts on applied research and software development activities to keep abreast of new technologies in the telecommunications market. Research and development expenditures amounted to $25.6 million, $17.4 million and $14.7 million in fiscal year 1998, 1997 and 1996, respectively, representing 6.3%, 6.0% and 6.9%, respectively, of the Company's revenue in such fiscal years. In the next several years, the Company intends to continue to make significant investments in its research and development activities both for CC&amp;B Systems and Directory Systems.</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 September 1997, the Company purchased certain computer software programs and intellectual property rights from operating subsidiaries of SBC, a significant shareholder of the Company, for an aggregate amount of $40.0 million. The effect of these transactions is that the Company no longer pays royalties related to the purchased computer software. In process research and development related to these transactions resulted in a nonrecurring charge in fiscal year 1997 of $1.8 million. The remainder has been capitalized - $12.0 million as computer software, which is amortized over its estimated useful life of three years, and $26.2 million as intellectual property rights, which are amortized over their estimated useful life of ten years.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CORPORATE REORGANIZATIONS AND INVESTMENTS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Company's business was founded in 1982. In 1985, SBCI, a wholly-owned subsidiary of SBC, acquired a 50% interest in such business. Prior to 1995, the Company and its operating subsidiaries were operated as a group of companies owned by common shareholders. In December 1995, the companies underwent a reorganization, as a result of which Amdocs Limited became the holding company for all the affiliated companies. At the same time, the</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Company issued shares for an aggregate $16.6 million to certain entities in which certain officers and directors of the Company have a beneficial interest.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"Interest of Management in Certain Transactions".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In September 1997, the Company and the WCAS Investors entered into a Share Subscription Agreement pursuant to which the WCAS Investors acquired from the Company on September 22, 1997 $3.27 million in principal amount of the Company's junior promissory notes and shares representing 8.7% of the then outstanding equity of the Company for $61.2 million. On such date, the Company and the WCAS Investors also entered into a Conditional Investment Agreement, pursuant to which the WCAS Investors agreed, subject to the satisfaction of certain revenue and cash flow targets through November 30, 1997, to acquire additional shares of the Company which, when added to the shares acquired pursuant to the Share Subscription Agreement, would constitute 35.0% of the Company's outstanding equity as of September 22, 1997. Concurrently with the signing of the Conditional Investment Agreement, a subsidiary of the Company, European Software Marketing Ltd. ("ESM"), entered into a Note Purchase Agreement with WCAS Capital Partners III, L.P., an investment partnership affiliated with WCAS, and certain other investors, providing for the issuance of up to $125.0 million principal amount of 10% subordinated notes of ESM, subject to the satisfaction of the same financial targets set forth in the Conditional Investment Agreement. In January 1998, with such financial targets having been met, ESM sold $123.5 million principal amount of subordinated notes under the Note Purchase Agreement for a purchase price equal to their principal amount. On March 30, 1998, the Company completed the transactions contemplated by the Conditional Investment Agreement by issuing and selling to the WCAS Investors an aggregate 51,507,716 Ordinary Shares for $95.83 million in cash and the surrender of the $3.27 million principal amount of junior promissory notes issued by the Company in September 1997.</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proceeds of the equity and subordinated debt investments made under the Share Subscription Agreement, the Conditional Investment Agreement and the Note Purchase Agreement were used, together with the proceeds of $315.0 million in term loans made to ESM in December 1997 under a senior bank credit facility (of which $90.0 million was prepaid with a portion of the equity investment) and internally generated funds, (i) to acquire for $40.0 million certain intellectual property rights from operating subsidiaries of SBC and (ii) to fund an internal corporate reorganization. In the reorganization, ESM acquired from the Company the outstanding capital stock of Amdocs (UK) Limited, the Company's operating subsidiary in the United Kingdom. ESM applied the proceeds of the senior and subordinated debt financings to pay a portion of the purchase price of such acquisition to the Company. Following the reorganization, $478.7 million in dividends were paid by the Company to its shareholders, including an aggregate $39.9 million to the WCAS Investors.</w:t>
      </w:r>
    </w:p>
    <w:p>
      <w:pPr>
        <w:spacing w:after="0" w:line="18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 September 1997, the WCAS Investors also granted a call option on certain Ordinary Shares acquired under the Share Subscription Agreement and the Conditional Investment Agreement to the then existing shareholders of the Company, AIL, SBCI, certain entities in which directors and executive officers of the Company have a beneficial interest and the Trust. The call option may be exercised, without the payment of any consideration to the WCAS</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Investors, if certain revenue and cash flow targets are met in fiscal years 1998 and 1999. The cash flow targets in fiscal year 1998 have been satisfied in full. If such targets are met in fiscal year 1999, the number of Ordinary Shares held by the WCAS Investors as a result of their net $120.4 million investment in the Company will be reduced from 62,580,024 to 47,381,984 Ordinary Shares. See "Control of the Registrant -- Call Option Agreement".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June 19, 1998, the Company commenced an initial public offering of 18,000,000 Ordinary Shares at an offering price of $14 per share. Total net proceeds, after deduction of offering expenses and underwriting commissions, amounted to $234.2 million. The Company used these funds to repay $183.8 million in outstanding term loans and its related interest and $49.0 million out of the $123.5 million in subordinated debt issued in January 1998.</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YEAR 2000 ISSUES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BACKGROUND. 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66"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Year 2000 issues, which potentially impact the Company, include the Company's own internal systems, its customized software products sold and the compliance efforts of third parties. See "Risk Factors -- Year 2000 Compliance".</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STATE OF READINESS. The Company has identified the information technology ("IT") and non-IT systems, software and products which could be affected by the year 2000 issue, and has assessed the efforts required to remediate or replace them. The Company has also identified versions of its products that will not be made compliant and is assisting customers in upgrading or migrating to year 2000 compliant versions. By the end of 1999, it is the Company's intention that all of the major or key systems, software and products will be remediated or replaced.</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began evaluating year 2000 compliancy issues in mid 1996. Since then the following functions have been performed: thorough examination and study of year 2000 compliance status, process methodology adaptation, analysis of solution alternatives and determination of Amdocs' technical and business year 2000 policies. New systems, of recent years, have been developed as year 2000 compliant; older generations of applications are being migrated to year 2000 compliance in cooperation with our customers (using Amdocs year 2000 methodology and toolkit). None of these systems need mass data conversion, which is usually the most sensitive portion of the year 2000 migration. Recognizing the importance of year 2000 support in the IT industry and to provide an additional level of assurance to our customers,</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Amdocs has decided to conduct a thorough and systematic verification process. This effort is based on the application of industry-wide standards for year 2000 compliance. This verification process utilizes a specialized tool kit developed by Amdocs including a powerful search utility (as a result of an analysis for cost-effectiveness). For many customers we offer to conduct the verification process, since the ultimate verification for year 2000 compliance should be executed in their own working environment. This subject is crucial in view of the technical and functional interaction with third party systems and those developed by the customers locally.</w:t>
      </w:r>
    </w:p>
    <w:p>
      <w:pPr>
        <w:spacing w:after="0" w:line="179"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The Company anticipates completing the majority of the testing, implementation of changes and necessary refinements by mid 1999. Management expects that systems, software and products for which the Company has responsibility currently are year 2000 compliant or will be compliant on a timely basis. The Company is currently not aware of any year 2000 issues with its customers that cannot be remedied.</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has contacted all of its customers, and several of its vendors and other third parties with whom it deals to identify potential issues the Company might encounter concerning year 2000 compliancy. These communications are also used to elicit the status of year 2000 readiness, and to clarify which year 2000 issues are the responsibility of the Company and which are the responsibility of the third party. The Company does not anticipate that the year 2000 issues it will encounter with third parties will be different than those encountered by other providers of information services, including the Company's competitors. At this time, the Company is not aware of any year 2000 issues or problems relating to third parties with which the Company has a material relationship.</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COSTS TO ADDRESS THE COMPANY'S YEAR 2000 ISSUES. A significant portion of the Company's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the financial position or results of operations of the Company.</w:t>
      </w:r>
    </w:p>
    <w:p>
      <w:pPr>
        <w:spacing w:after="0" w:line="178" w:lineRule="exact"/>
        <w:rPr>
          <w:sz w:val="20"/>
          <w:szCs w:val="20"/>
          <w:color w:val="auto"/>
        </w:rPr>
      </w:pPr>
    </w:p>
    <w:p>
      <w:pPr>
        <w:ind w:right="3539" w:firstLine="793"/>
        <w:spacing w:after="0" w:line="259" w:lineRule="auto"/>
        <w:rPr>
          <w:sz w:val="20"/>
          <w:szCs w:val="20"/>
          <w:color w:val="auto"/>
        </w:rPr>
      </w:pPr>
      <w:r>
        <w:rPr>
          <w:rFonts w:ascii="Courier New" w:cs="Courier New" w:eastAsia="Courier New" w:hAnsi="Courier New"/>
          <w:sz w:val="14"/>
          <w:szCs w:val="14"/>
          <w:color w:val="auto"/>
        </w:rPr>
        <w:t>The Company has accrued approximately $3.6 million representing the estimated amount of costs to modify previously sold customized software products. The Company does not anticipate capitalizing any of these costs as they relate to warranties related to products developed for customers.</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has not yet estimated year 2000 costs for periods after 1999. Some post-1999 costs might be anticipated due to extra customer service efforts created by the failure of third parties to be year 2000 compliant. Neither the costs incurred for year 2000 compliance efforts, nor the delay or deferral of certain development projects that might have otherwise been undertaken in the absence of year 2000 compliance efforts, are expected to have a material effect on the Company's financial position or results of operations. Such costs generally have been funded by the re-deployment of both IT and non-IT personnel resources. In addition, the Company's philosophy is to address many year 2000 issues as part of re-engineering or replacement efforts. There were several situations in which customers funded a special effort for the year 2000, but those projects were usually treated by Amdocs as a part of ongoing support of the customer.</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CONTINGENCY PLANS. Detailed contingency plans are being prepared and will be refined as appropriate. Those plans will focus on matters which appear to be the Company's most likely year 2000 risks, such as possible additional customer support efforts by the Company that would be necessary if customers or vendors are not year 2000 compliant, or if a year 2000 issue should not be timely detected in the Company's own compliance efforts.</w:t>
      </w:r>
    </w:p>
    <w:p>
      <w:pPr>
        <w:spacing w:after="0" w:line="17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RISKS OF THE COMPANY'S YEAR 2000 ISSUES. The Company does not anticipate that the year 2000 issues and risks, including the most reasonably likely worst case year 2000 scenario, it will encounter will be significantly different than those encountered by other providers of information services. Although the Company believes its remediation, replacement and testing efforts will address all of the year 2000 issues for which the Company is responsible, to the extent these efforts are not successful, additional compliance efforts would be necessary together with additional customer service efforts and expenditures. If third parties fail in their compliance efforts, the Company could also be impacted and required to provide additional customer service efforts. In such an event, the Company could incur additional costs and experience a negative impact on revenue and operating income.</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cost and timetable estimates for its year 2000 efforts are subject to potentially significant estimation uncertainties that could cause actual results to differ materially. These estimates are based on management's current best estimates and reflect certain assumptions. Factors which could impact these estimates include: the availability of appropriate technology personnel; the rate and magnitude of related labor costs; the successful identification of all aspects of the Company's systems, the success of third parties in their year 2000 compliance efforts; software and products that require remediation or replacement; the extent of testing required; the costs of the Company's efforts to assist certain customers in the remediation of their customized code; and the amount of cost recoveries from those efforts. Due to the complexity and pervasiveness of the year 2000 issue, and in particular the uncertainty regarding the compliance efforts of third parties, no assurance can be given that these estimates will be achieved, and actual results could differ materially.</w:t>
      </w:r>
    </w:p>
    <w:p>
      <w:pPr>
        <w:spacing w:after="0" w:line="17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European Monetary Union currency, or the euro, will be phased in over a three-year period commencing January 1, 1999, when participating European countries will begin using the euro currency for non-cash transactions. The Company intends to offer software products that are capable of handling the euro currency and converting from local currencies to the euro. There can be no assurance that the Company's software or software provided to the Company's customers by other vendors will ensure an errorless transition to the euro currency. The Company has accrued approximately $2.5 million representing the estimated amount of costs to modify its software products to accept the euro currency under existing agreements with customers relating to previously sold products. The Company does not currently anticipate recovering these expenditures from the customers, as they relate to warranty agreements. There can be no assurance that such costs will not significantly exceed such estimate, in which case such costs could have a material adverse effect on the Company's results of operations and financial condition. See "Risk Factors -- European Monetary Union Currency".</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ind w:left="780"/>
        <w:spacing w:after="0"/>
        <w:rPr>
          <w:sz w:val="20"/>
          <w:szCs w:val="20"/>
          <w:color w:val="auto"/>
        </w:rPr>
      </w:pPr>
      <w:r>
        <w:rPr>
          <w:rFonts w:ascii="Courier New" w:cs="Courier New" w:eastAsia="Courier New" w:hAnsi="Courier New"/>
          <w:sz w:val="15"/>
          <w:szCs w:val="15"/>
          <w:color w:val="auto"/>
        </w:rPr>
        <w:t>EFFECTIVE TAX RATE</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Company's overall effective tax rate has historically been approximately 30% due to the various corporate income tax rates of the countries in which the Company operates and the relative magnitude of the activities of the Company in those countries. The Company's subsidiaries' effective tax rates for fiscal year 1998 were approximately 41% in the United States, 32% in the United Kingdom, 26% in Israel, 4.25% in Cyprus and 35% on average for the other countries in which the Company operates. See "Risk Factors -- Loss of Government Programs and Tax Benefits". The Company's consolidated effective tax rate for fiscal year 1998 was 50%, due to significant interest expense in a tax jurisdiction in which the Company is tax exempt, which resulted in no tax benefit to offset the tax expense incurred in other jurisdictions. The Company anticipates that its effective tax rate in future years will be positively impacted by substantial decreases in interest expenses in the tax jurisdiction in which the Company is tax exempt. See "Taxation of the Company".</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Approximately 80% of the Company's revenue and 60% of its operating expenses are paid in U.S. dollars or are paid in other currencies with the exchange rate linked to U.S. dollars. Other significant currencies in which the Company receives revenue or pays expenses are Australian dollars, Austrian shillings, British pounds, Canadian dollars, Israeli shekels and Japanese yen. Historically, the effect of fluctuations in currency exchange rates has had a minimal impact on the operations of the Company. As the Company expands its operations outside of the United States, its exposure to fluctuations in currency exchange rates could increase. The Company enters into various foreign exchange contracts in managing its foreign exchange risks. At September 30, 1998, the Company had no significant unhedged monetary assets, liabilities or commitments denominated in currencies other than the U.S. dollar.</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EMPLOYEE ARRANGEMENTS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September 1997, the Company contributed $25.8 million to the Trust for the benefit of certain employees, in recognition of past services rendered to the Company. The beneficiaries are primarily software and information technology specialists who have played an important role in the Company's success. The trust agreement provides that the beneficiaries will be entitled to receive amounts contributed by the Company on their behalf, subject to certain conditions, over the next five years. In September 1997, the Trust used the contribution from the Company and other resources to purchase from the Company 5,720,000 Ordinary Shares for an aggregate consideration of approximately $31.6 million. The Trust is required to liquidate any investments held in respect of any beneficiary and distribute only cash payments.</w:t>
      </w:r>
    </w:p>
    <w:p>
      <w:pPr>
        <w:spacing w:after="0" w:line="16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 recorded the $25.8 million contribution as compensation expense in 1997, the year in which such contribution was made. The Trust will distribute on certain dates within the next five years cash amounts to those beneficiaries employed by the Company on such dates. The amounts to be distributed to the beneficiaries employed by the Company on the relevant dates will include an appreciation in the value of the Trust's assets and are dependent upon</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certain conditions, such as the amount of cash available and the Trust's ability to realize the value of the assets it holds. Termination of a beneficiary's employment with the Company will not affect entitlement to a beneficiary's minimum interest in the Trust and any terminated employee will receive such interest in September 2007. See "Interest of Management in Certain Transactions - - Employee Trust Agreement".</w:t>
      </w:r>
    </w:p>
    <w:p>
      <w:pPr>
        <w:spacing w:after="0" w:line="176"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In January 1998, the Company granted options to purchase 1,651,000 Ordinary Shares to employees under the Company's 1998 Stock Option and Incentive Plan (the "Plan") at an exercise price of $1.92 per share, with vesting over four years and a term of 10 years. Compensation expense was not recorded for these stock options as they were granted at an exercise price equal to the fair market value of the Ordinary Shares at the time of the grant.</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June 1998, following the Company's initial public offering, the Company issued additional options under the Plan, granting options to purchase 855,400 shares with the same exercise price, expiration date and vesting dates as the options granted in January 1998. The Company recorded unearned compensation expense totaling $10.3 million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9"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September 1998, under the Plan, options to purchase 1,000,000 shares were granted at an exercise price of $8.75 per share, which was equal to the market price of the Ordinary Shares on the grant date, with vesting over four and eight years and a term of 10 years. See "Options to Purchase Securities from Registrant or Subsidiaries -- Employee Stock Options".</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Company's success depends in large part on its ability to attract, train, motivate and retain highly skilled information technology professionals, software programmers and telecommunication engineers. These types of qualified personnel are in great demand and are likely to remain a limited resource for the foreseeable future. There can be no assurance that the Company will be able to continue to attract and retain the skilled employees it requires and any inability to do so could adversely impact the Company's ability to manage and complete its existing projects and to compete for new customer contracts.</w:t>
      </w:r>
    </w:p>
    <w:p>
      <w:pPr>
        <w:sectPr>
          <w:pgSz w:w="11900" w:h="16838" w:orient="portrait"/>
          <w:cols w:equalWidth="0" w:num="1">
            <w:col w:w="10219"/>
          </w:cols>
          <w:pgMar w:left="240" w:top="283" w:right="1440" w:bottom="1440" w:gutter="0" w:footer="0" w:header="0"/>
        </w:sectPr>
      </w:pPr>
    </w:p>
    <w:bookmarkStart w:id="49" w:name="page50"/>
    <w:bookmarkEnd w:id="49"/>
    <w:p>
      <w:pPr>
        <w:ind w:left="270"/>
        <w:spacing w:after="0"/>
        <w:rPr>
          <w:sz w:val="20"/>
          <w:szCs w:val="20"/>
          <w:color w:val="auto"/>
        </w:rPr>
      </w:pPr>
      <w:r>
        <w:rPr>
          <w:rFonts w:ascii="Courier New" w:cs="Courier New" w:eastAsia="Courier New" w:hAnsi="Courier New"/>
          <w:sz w:val="15"/>
          <w:szCs w:val="15"/>
          <w:color w:val="auto"/>
        </w:rPr>
        <w:t>50</w:t>
      </w:r>
    </w:p>
    <w:p>
      <w:pPr>
        <w:ind w:left="790"/>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10" w:right="3359" w:firstLine="1587"/>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items in the Company's consolidated statements of operations reflected as a percentage of total revenue: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Year Ended September 30,</w:t>
            </w:r>
          </w:p>
        </w:tc>
      </w:tr>
      <w:tr>
        <w:trPr>
          <w:trHeight w:val="170"/>
        </w:trPr>
        <w:tc>
          <w:tcPr>
            <w:tcW w:w="3600" w:type="dxa"/>
            <w:vAlign w:val="bottom"/>
          </w:tcPr>
          <w:p>
            <w:pPr>
              <w:spacing w:after="0"/>
              <w:rPr>
                <w:sz w:val="14"/>
                <w:szCs w:val="14"/>
                <w:color w:val="auto"/>
              </w:rPr>
            </w:pPr>
          </w:p>
        </w:tc>
        <w:tc>
          <w:tcPr>
            <w:tcW w:w="33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83.2</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Other expenses, net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accounting principle, net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6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70" w:hanging="270"/>
        <w:spacing w:after="0"/>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0.1%</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year 1997 to $42.9 million in fiscal year 1998, an increase of 65.0%, and service revenue increased 36.6% or $96.8 million in fiscal year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year 1997. The growth in revenue is attributable to sales to new customers as well as to sales of additional products and services to existing customers.</w:t>
      </w:r>
    </w:p>
    <w:p>
      <w:pPr>
        <w:spacing w:after="0" w:line="181" w:lineRule="exact"/>
        <w:rPr>
          <w:sz w:val="20"/>
          <w:szCs w:val="20"/>
          <w:color w:val="auto"/>
        </w:rPr>
      </w:pPr>
    </w:p>
    <w:p>
      <w:pPr>
        <w:jc w:val="both"/>
        <w:ind w:left="10" w:right="3359" w:firstLine="793"/>
        <w:spacing w:after="0" w:line="237" w:lineRule="auto"/>
        <w:rPr>
          <w:sz w:val="20"/>
          <w:szCs w:val="20"/>
          <w:color w:val="auto"/>
        </w:rPr>
      </w:pPr>
      <w:r>
        <w:rPr>
          <w:rFonts w:ascii="Courier New" w:cs="Courier New" w:eastAsia="Courier New" w:hAnsi="Courier New"/>
          <w:sz w:val="15"/>
          <w:szCs w:val="15"/>
          <w:color w:val="auto"/>
        </w:rPr>
        <w:t>In the year ended September 30, 1998, revenue from customers in North America, Europe and the rest of the world accounted for 52.2%, 27.2% and 20.6% respectively.</w:t>
      </w:r>
    </w:p>
    <w:p>
      <w:pPr>
        <w:spacing w:after="0" w:line="175" w:lineRule="exact"/>
        <w:rPr>
          <w:sz w:val="20"/>
          <w:szCs w:val="20"/>
          <w:color w:val="auto"/>
        </w:rPr>
      </w:pPr>
    </w:p>
    <w:p>
      <w:pPr>
        <w:jc w:val="both"/>
        <w:ind w:left="10" w:right="3259" w:firstLine="793"/>
        <w:spacing w:after="0" w:line="237" w:lineRule="auto"/>
        <w:rPr>
          <w:sz w:val="20"/>
          <w:szCs w:val="20"/>
          <w:color w:val="auto"/>
        </w:rPr>
      </w:pPr>
      <w:r>
        <w:rPr>
          <w:rFonts w:ascii="Courier New" w:cs="Courier New" w:eastAsia="Courier New" w:hAnsi="Courier New"/>
          <w:sz w:val="15"/>
          <w:szCs w:val="15"/>
          <w:color w:val="auto"/>
        </w:rPr>
        <w:t>Cost of License. Cost of license for the year ended September 30, 1998 was $10.7 million, an increase of $7.0 million, or 189.2%, from cost of license for the year ended</w:t>
      </w:r>
    </w:p>
    <w:p>
      <w:pPr>
        <w:sectPr>
          <w:pgSz w:w="11900" w:h="16838" w:orient="portrait"/>
          <w:cols w:equalWidth="0" w:num="1">
            <w:col w:w="10229"/>
          </w:cols>
          <w:pgMar w:left="23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September 30, 1997. Cost of license in fiscal year 1998 includes amortization of purchased computer software and intellectual property rights, and in 1997 included royalty expense paid to certain subsidiaries of SBC in connection with the grant to the Company of licenses to use certain software jointly developed with such subsidiaries.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Cost of Service. Cost of service for fiscal year 1998 was $231.4 million, an increase of $57.7 million, or 33.2%, from cost of service of $173.7 million for fiscal year 1997. As a percentage of revenue, cost of service decreased to 57.3% in the year ended September 30, 1998 from 59.9% in fiscal year 1997. The absolute increase in cost of service is consistent with the increase in revenue for the period, as these costs are predominately for compensation and reflect increased employment levels needed to support the growth in revenue.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the year ended September 30, 1998, research and development expense was $25.6 million, or 6.3% of revenue, compared with $17.4 million, or 6.0% of revenue, in the year ended September 30, 1997. The increase in research and development expense in fiscal year 1998 represents ongoing expenditures for both CC&amp;B Systems and Directory Systems.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or 12.7% of revenue, in the year ended September 30, 1998 from $40.8 million, or 14.1% of revenue, in the prior fiscal year.</w:t>
      </w:r>
    </w:p>
    <w:p>
      <w:pPr>
        <w:spacing w:after="0" w:line="178" w:lineRule="exact"/>
        <w:rPr>
          <w:sz w:val="20"/>
          <w:szCs w:val="20"/>
          <w:color w:val="auto"/>
        </w:rPr>
      </w:pPr>
    </w:p>
    <w:p>
      <w:pPr>
        <w:jc w:val="both"/>
        <w:ind w:right="3179" w:firstLine="793"/>
        <w:spacing w:after="0" w:line="256" w:lineRule="auto"/>
        <w:rPr>
          <w:sz w:val="20"/>
          <w:szCs w:val="20"/>
          <w:color w:val="auto"/>
        </w:rPr>
      </w:pPr>
      <w:r>
        <w:rPr>
          <w:rFonts w:ascii="Courier New" w:cs="Courier New" w:eastAsia="Courier New" w:hAnsi="Courier New"/>
          <w:sz w:val="14"/>
          <w:szCs w:val="14"/>
          <w:color w:val="auto"/>
        </w:rPr>
        <w:t>Operating Income. Operating income in the year ended September 30, 1998 was $84.9 million, as compared with $54.5 million in fiscal year 1997, excluding the effect of the nonrecurring charges in that fiscal year, an increase of</w:t>
      </w:r>
    </w:p>
    <w:p>
      <w:pPr>
        <w:spacing w:after="0" w:line="1"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55.8%. As a percentage of revenue, operating income was 21.0% in fiscal year 1998 as compared to 18.8% in fiscal year 1997 (excluding the effect of the nonrecurring charges in fiscal year 1997).</w:t>
      </w:r>
    </w:p>
    <w:p>
      <w:pPr>
        <w:spacing w:after="0" w:line="17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Other Expense, Net. Other expense, net is primarily interest expense incurred by the Company related to senior bank debt and subordinated debt, which debt was substantially repaid from the proceeds of the Company's initial public offering. In the year ended September 30, 1998, other expense, net was an expense of $24.1 million, an increase of $20.8 million from fiscal year 1997.</w:t>
      </w:r>
    </w:p>
    <w:p>
      <w:pPr>
        <w:spacing w:after="0" w:line="15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Income Taxes. Income taxes in the year ended September 30, 1998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$30.4 million on income before taxes of $60.8 million. In the prior year,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were $17.8 million on income before taxes of $23.7 million. See previous</w:t>
      </w:r>
    </w:p>
    <w:p>
      <w:pPr>
        <w:spacing w:after="0"/>
        <w:rPr>
          <w:sz w:val="20"/>
          <w:szCs w:val="20"/>
          <w:color w:val="auto"/>
        </w:rPr>
      </w:pPr>
      <w:r>
        <w:rPr>
          <w:rFonts w:ascii="Courier New" w:cs="Courier New" w:eastAsia="Courier New" w:hAnsi="Courier New"/>
          <w:sz w:val="15"/>
          <w:szCs w:val="15"/>
          <w:color w:val="auto"/>
        </w:rPr>
        <w:t>discussion of "Effective Tax Rate".</w:t>
      </w:r>
    </w:p>
    <w:p>
      <w:pPr>
        <w:spacing w:after="0" w:line="17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Net Income. The Company's net income was $30.1 million in the year ended September 30, 1998 compared with net income of $5.9 million in fiscal year 1997. The increase was primarily the result of an increase in operating income. In addition, in fiscal year 1998 the</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Company incurred $24.1 million in interest expense related to its outstanding debt; while in fiscal year 1997 the Company had a nonrecurring charge of $27.6 million.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Revenue. Revenue for fiscal year 1997 was $290.1 million, an increase of $78.4 million, or 37.0%, from fiscal year 1996. License revenue increased from $16.3 million in fiscal year 1996 to $26.0 million in fiscal year 1997, an increase of 59.5%, and service revenue increased 35.1% or $68.7 million in fiscal year 1997. The majority of the increase in total revenue was due to the expansion of the CC&amp;B Systems business. Total CC&amp;B Systems revenue for fiscal year 1997 was $166.3 million, an increase of $63.9 million, or 62.3%, from the prior year. Revenue attributable to Directory Systems was $123.8 million for fiscal year 1997, an increase of $14.5 million, or 13.3%, from fiscal year 1996.</w:t>
      </w:r>
    </w:p>
    <w:p>
      <w:pPr>
        <w:spacing w:after="0" w:line="167"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In fiscal year 1997, revenue from customers in North America, Europe and the rest of the world accounted for 63.7%, 11.3% and 25.0% respectively.</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Cost of License. Cost of license for fiscal year 1997 was $3.7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decrease of $0.3 million, or 7.5%, from fiscal year 1996 cost of license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 million. The decrease was due to the acquisition of certain software rights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several operating subsidiaries of SBC, which eliminated the requirement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royalties.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Cost of Service. Cost of service for the year ended September 30, 1997 was $173.7 million, an increase of $44.5 million, or 34.4%, from fiscal year 1996 cost of service of $129.2 million. As a percentage of revenue, cost of service decreased to 59.9% in fiscal year 1997 from 61.0% in fiscal year 1996. The absolute increase in cost of service was consistent with the increase in revenue for the period, and reflected increased compensation attributable to higher employment levels needed to support the growth in revenue.</w:t>
      </w:r>
    </w:p>
    <w:p>
      <w:pPr>
        <w:spacing w:after="0" w:line="167"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Research and Development. In fiscal year 1997, research and development expense was $17.4 million, or 6.0% of revenue, compared with $14.7 million, or 6.9% of revenue, in fiscal year 1996. The absolute increase in research and development expense in fiscal year 1997 represented ongoing expenditures for both CC&amp;B Systems and Directory Systems, while the decrease as a percentage of revenue was attributable to the overall increase in revenue for the period.</w:t>
      </w:r>
    </w:p>
    <w:p>
      <w:pPr>
        <w:spacing w:after="0" w:line="16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to $40.8 million, or 14.1% of revenue, in fiscal year 1997 from $28.3 million, or 13.4% of revenue, in the prior year, an increase of 43.8%. The increase was primarily attributable to increased marketing efforts for the Company's CC&amp;B Systems.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Nonrecurring Charges. In the fourth quarter of fiscal year 1997, the Company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the Trust for the benefit of certain officers and employees.</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year 1997, operating income in fiscal year 1997 was $27.0 million, as compared with $35.5 million in fiscal year 1996. As a percentage of revenue, operating income was 9.3% in fiscal year 1997 as compared to 16.8% in fiscal year 1996. Excluding the effect of the nonrecurring charges, operating income would have been $54.5 million in fiscal year 1997, or 18.8% of revenue, an increase of $19.0 million, or 53.4%, between fiscal years 1997 and 1996. The increase in operating income as a percentage of revenue (excluding the effect of the nonrecurring charges) was primarily attributable to increased license revenue.</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year 1996 and an expense of $3.3 million in fiscal year 1997. The increase in fiscal year 1997 was attributable to the settlement of the claims of various taxing authorities for additional taxes for years prior to such fiscal year. Approximately $3.0 million of expense was included in the 1997 period for interest on the tax assessments.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Income Taxes. Income taxes in fiscal year 1997 were $17.8 million on</w:t>
      </w:r>
    </w:p>
    <w:p>
      <w:pPr>
        <w:spacing w:after="0"/>
        <w:rPr>
          <w:sz w:val="20"/>
          <w:szCs w:val="20"/>
          <w:color w:val="auto"/>
        </w:rPr>
      </w:pPr>
      <w:r>
        <w:rPr>
          <w:rFonts w:ascii="Courier New" w:cs="Courier New" w:eastAsia="Courier New" w:hAnsi="Courier New"/>
          <w:sz w:val="15"/>
          <w:szCs w:val="15"/>
          <w:color w:val="auto"/>
        </w:rPr>
        <w:t>income before taxes of $23.7 million. In fiscal year 1997, income taxes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 million on income before taxes of $35.0 million. In fiscal year 1997,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paid income taxes for the operations of its subsidiaries, principally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States, the United Kingdom and Israel, and recorded a loss in</w:t>
      </w:r>
    </w:p>
    <w:p>
      <w:pPr>
        <w:spacing w:after="0"/>
        <w:rPr>
          <w:sz w:val="20"/>
          <w:szCs w:val="20"/>
          <w:color w:val="auto"/>
        </w:rPr>
      </w:pPr>
      <w:r>
        <w:rPr>
          <w:rFonts w:ascii="Courier New" w:cs="Courier New" w:eastAsia="Courier New" w:hAnsi="Courier New"/>
          <w:sz w:val="15"/>
          <w:szCs w:val="15"/>
          <w:color w:val="auto"/>
        </w:rPr>
        <w:t>Guernsey, a jurisdiction in which the Company is tax-exempt.</w:t>
      </w:r>
    </w:p>
    <w:p>
      <w:pPr>
        <w:spacing w:after="0" w:line="174"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Net Income. The Company had net income of $5.9 million in fiscal year 1997 compared with net income of $24.5 million in fiscal year 1996, primarily as a result of the $27.6 million for the nonrecurring charges incurred in 1997.</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ind w:left="780"/>
        <w:spacing w:after="0"/>
        <w:rPr>
          <w:sz w:val="20"/>
          <w:szCs w:val="20"/>
          <w:color w:val="auto"/>
        </w:rPr>
      </w:pPr>
      <w:r>
        <w:rPr>
          <w:rFonts w:ascii="Courier New" w:cs="Courier New" w:eastAsia="Courier New" w:hAnsi="Courier New"/>
          <w:sz w:val="15"/>
          <w:szCs w:val="15"/>
          <w:color w:val="auto"/>
        </w:rPr>
        <w:t>Selected Quarterly Financial Results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table sets forth certain quarterly financial data for the</w:t>
      </w:r>
    </w:p>
    <w:p>
      <w:pPr>
        <w:spacing w:after="0"/>
        <w:rPr>
          <w:sz w:val="20"/>
          <w:szCs w:val="20"/>
          <w:color w:val="auto"/>
        </w:rPr>
      </w:pPr>
      <w:r>
        <w:rPr>
          <w:rFonts w:ascii="Courier New" w:cs="Courier New" w:eastAsia="Courier New" w:hAnsi="Courier New"/>
          <w:sz w:val="15"/>
          <w:szCs w:val="15"/>
          <w:color w:val="auto"/>
        </w:rPr>
        <w:t>Company in fiscal year 1998: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Quarter Ended</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June 30,</w:t>
            </w: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31,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$ 13,150</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$ 11,322</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8,721</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103,554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95,175</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84,310</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77,837</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116,704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106,497</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94,008</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86,558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2,211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2,654</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2,655</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3,212</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66,092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60,518</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54,617</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50,133</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7,485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7,172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5,634</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5,321</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14,812</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13,332</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11,977</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11,047</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26,104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22,821</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19,125</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16,845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2,354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9,935</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10,839</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11,875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6,443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4,181</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7,886</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11,875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6,443</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4,105</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accounting principle, net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$ 11,598</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6,443</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342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believes that the placement of customer orders may be concentrated in specific quarterly periods due to customers' buying patterns and budgeting cycles in the telecommunications industry. Although the Company recognizes revenue as projects progress, which progress may vary significantly from project to project, the Company believes that variations in quarterly revenue are sometimes attributable to the timing of initial order placements. Due to the relatively fixed nature of certain of the Company's costs, a decline in revenue in any quarter would result in lower profitability for that quarter. See "Risk Factors -Fluctuations in Quarterly Operating Results".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Financing Transactions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has primarily financed its operations through cash generated from operations, sales of equity securities and borrowing from banks and other lenders. Cash and cash equivalents totaled $25.4 million at September 30, 1998. Net cash provided by operating</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activities amounted to $66.5 million, $26.1 million and $33.9 million for fiscal years 1998, 1997 and 1996, respectively.</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has declared dividends to its shareholders totaling $478.7 million, $19.3 million and $37.9 million during fiscal years 1998, 1997 and 1996, respectively. The Company does not anticipate paying cash dividends on its Ordinary Shares in the foreseeable future. The Company currently intends to retain its earnings to repay its outstanding loans and to finance the development of its business. The terms of the July 1998 agreement discussed below incurred by a subsidiary effectively restrict the payment of cash dividends by the Company.</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September 30, 1998, the Company had a shareholders' deficit of $21.9 million as a result of the internal corporate reorganization effected prior to the Company's initial public offering in June 1998, the $478.7 million in dividends distributed to shareholders in January 1998, and the net proceeds of $234.2 million from the initial public offering. The Company believes that cash generated from operations and the Company's current lines of credit will provide sufficient resources to meet the Company's capital needs over the next several years.</w:t>
      </w:r>
    </w:p>
    <w:p>
      <w:pPr>
        <w:spacing w:after="0" w:line="178"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At September 30, 1998, the Company had short term lines of credit totaling $147.0 million from various banks or bank groups, of which $91.6 million was outstanding as of September 30, 1998. As of such date, the Company had also used $4.5 million of its revolving credit facility to support outstanding letters of credit. In addition, as of September 30, 1998, the Company had long-term obligations outstanding of $12.2 million in connection with vehicle leasing arrangements. As of September 30, 1998, the Company had negative working capital of $84.3 million as compared to positive working capital of $37.9 million at September 30, 1997. However, the Company does not believe this will have a negative impact on its liquidity as this temporary situation is a result of the short-term financing arrangements.</w:t>
      </w:r>
    </w:p>
    <w:p>
      <w:pPr>
        <w:spacing w:after="0" w:line="16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Pursuant to a July 1998 agreement (which is an amendment and restatement of the December 1997 agreement discussed below) with a syndicate of banks, the Company may borrow up to $100.0 million under a revolving line of credit. This agreement expires in June 2001. The Company borrowed $66.0 million under the line of credit to refinance a facility from a commercial bank and to repay $46.0 million of the subordinated debt held by the WCAS Investors as described below. The revolving line of credit bears a London Interbank Offered Rate (LIBOR) based interest rate (6.5 % at September 30, 1998). The credit agreement has various covenants that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 million, which is part of the total outstanding balance discussed above and, as of such date, the Company was in compliance with the covenants contained in the agreement.</w:t>
      </w:r>
    </w:p>
    <w:p>
      <w:pPr>
        <w:spacing w:after="0" w:line="164"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Under a credit agreement with the First International Bank of Israel, the Company's subsidiary in the State of Israel may borrow up to $40.0 million under a short term credit line. At September 30, 1998, the outstanding balance under this line was $32.6 million, which is part of the total outstanding balance discussed above. The credit line bears a LIBOR based interest rate</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rPr>
          <w:sz w:val="20"/>
          <w:szCs w:val="20"/>
          <w:color w:val="auto"/>
        </w:rPr>
      </w:pPr>
      <w:r>
        <w:rPr>
          <w:rFonts w:ascii="Courier New" w:cs="Courier New" w:eastAsia="Courier New" w:hAnsi="Courier New"/>
          <w:sz w:val="15"/>
          <w:szCs w:val="15"/>
          <w:color w:val="auto"/>
        </w:rPr>
        <w:t>(6.7 % at September 30, 1998).</w:t>
      </w:r>
    </w:p>
    <w:p>
      <w:pPr>
        <w:spacing w:after="0" w:line="17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The Company anticipates that all of its outstanding debt will be repaid with cash flows from operations.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$3.27 million to the WCAS Investors, as discussed earlier. The notes bore an interest rate of 5.75% per annum, and were due September 22, 1998. The notes were paid in March 1998.</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December 1997, certain direct and indirect subsidiaries of the Company entered into a credit agreement (the "1997 Credit Agreement") with several commercial banks, which provided for three separate term loans and a revolving credit facility. The 1997 Credit Agreement provided for term loans of $125.0 million and $100.0 million with variable interest rates and quarterly principal payments due in December 2002 and June 2004, respectively, and a $90.0 million term loan with a variable interest rate and principal due in May 1998. In December 1997, certain subsidiaries of the Company borrowed $315.0 million under the term loans and placed such proceeds in a cash collateral account maintained by one of the commercial banks party to the 1997 Credit Agreement. The release of the cash held in the cash collateral account was subject to the occurrence of certain events. The events were met in January 1998, and the cash held in the cash collateral account was released to the Company.</w:t>
      </w:r>
    </w:p>
    <w:p>
      <w:pPr>
        <w:spacing w:after="0" w:line="16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by the WCAS Investors totaling approximately $99.0 million and used the proceeds to repay the term loan maturing in May 1998 and the short-term junior subordinated notes.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January 1998, the Company borrowed $20.0 million under the revolving credit portion of the 1997 Credit Agreement and used the proceeds to prepay certain of the remaining term loans. Under the terms of the revolver, this amount was due December 5, 2002. The balance due under the revolving line of credit was repaid in July 1998 with the proceeds of the Company's amended and restated $100.0 million revolving credit facility discussed earlier.</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occurrence of certain qualifying events, as defined in the Conditional Investment Agreement, also resulted in the issuance of subordinated notes to the WCAS Investors totaling $123.5 million, and a requirement to make an equity investment in the Company of approximately $99.0 million, subject to possible adjustment, as provided in the Conditional Investment Agreement. The subordinated notes carried an interest rate of 10%, payable quarterly with principal due September 2004. The proceeds of the subordinated notes were received in January 1998.</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June 1998 the Company used the proceeds from its initial public offering to repay $183.8 million in outstanding term loans under the 1997 Credit Agreement and $49.0 million out of the $123.5 million in subordinated debt issued in January 1998.</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Effective July 1998, the remaining $74.5 million of the subordinated debt was extinguished with cash flows from operations and with proceeds from the Company's revolving</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rPr>
          <w:sz w:val="20"/>
          <w:szCs w:val="20"/>
          <w:color w:val="auto"/>
        </w:rPr>
      </w:pPr>
      <w:r>
        <w:rPr>
          <w:rFonts w:ascii="Courier New" w:cs="Courier New" w:eastAsia="Courier New" w:hAnsi="Courier New"/>
          <w:sz w:val="15"/>
          <w:szCs w:val="15"/>
          <w:color w:val="auto"/>
        </w:rPr>
        <w:t>credit facility.</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Currently, capital expenditures of the Company are funded primarily by operating cash flows and capital leasing arrangements. The Company does not anticipate a change to this policy in the foreseeable future.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Net Deferred Tax Assets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Based on management's assessment, it is more likely than not that all the net deferred tax assets at September 30, 1998 will be realized through future taxable earnings. No significant increase in future taxable earnings would be required to fully realize the net deferred tax assets.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QUANTITATIVE AND QUALITATIVE DISCLOSURE ABOUT MARKET RISK</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Market risks relating to the Company's operations result primarily from changes in interest rates and exchange rates or weak economic conditions in the markets in which the Company sells its products. To address these risks the Company enters into various hedging transactions as described below. The Company does not use financial instruments for trading purposes and is not a party to any leveraged derivatives.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Foreign Currency Risk</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enters into foreign exchange forward contracts to hedge some of its foreign currency exposure. The Company uses such contracts to hedge exposure to changes in foreign currency exchange rates associated with revenue denominated in a foreign currency and anticipated costs to be incurred in a foreign currency. The Company seeks to minimize the risk that the fair value of sales of its products and services and cash flow required for the Company's expenses denominated in a currency other than their functional currency, the US dollar, will be affected by changes in exchange rates. See Note 18 to the consolidated financial statements.</w:t>
      </w:r>
    </w:p>
    <w:p>
      <w:pPr>
        <w:spacing w:after="0" w:line="179"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following table summarizes the Company's foreign currency forward exchange agreements. The table presents the notional amounts (dollars in millions), weighted average exchange rates by expected (contractual) maturity dates, and fair value of the total derivative instruments. Notional values and average contract rates are calculated based on forward rates at September 30, 1998, US dollar translated.</w:t>
      </w:r>
    </w:p>
    <w:p>
      <w:pPr>
        <w:sectPr>
          <w:pgSz w:w="11900" w:h="16838" w:orient="portrait"/>
          <w:cols w:equalWidth="0" w:num="1">
            <w:col w:w="10219"/>
          </w:cols>
          <w:pgMar w:left="240" w:top="283"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 Ending</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September 30,</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7140" w:type="dxa"/>
            <w:vAlign w:val="bottom"/>
            <w:gridSpan w:val="1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10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After</w:t>
            </w:r>
          </w:p>
        </w:tc>
        <w:tc>
          <w:tcPr>
            <w:tcW w:w="1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FV of forwards</w:t>
            </w:r>
          </w:p>
        </w:tc>
      </w:tr>
      <w:tr>
        <w:trPr>
          <w:trHeight w:val="170"/>
        </w:trPr>
        <w:tc>
          <w:tcPr>
            <w:tcW w:w="3160" w:type="dxa"/>
            <w:vAlign w:val="bottom"/>
          </w:tcPr>
          <w:p>
            <w:pPr>
              <w:spacing w:after="0"/>
              <w:rPr>
                <w:sz w:val="14"/>
                <w:szCs w:val="14"/>
                <w:color w:val="auto"/>
              </w:rPr>
            </w:pPr>
          </w:p>
        </w:tc>
        <w:tc>
          <w:tcPr>
            <w:tcW w:w="7140" w:type="dxa"/>
            <w:vAlign w:val="bottom"/>
            <w:gridSpan w:val="1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Forward contracts to sell</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foreign currencies for US dollars: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Great Britain Pounds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1.66</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0.9</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11.64</w:t>
            </w:r>
          </w:p>
        </w:tc>
        <w:tc>
          <w:tcPr>
            <w:tcW w:w="3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11.52</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133.8</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Forward contracts to buy</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foreign currencies for US dollars: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9.1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4.9</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4.3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0.59</w:t>
            </w:r>
          </w:p>
        </w:tc>
        <w:tc>
          <w:tcPr>
            <w:tcW w:w="44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0.59</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0.59</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Notional value</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80.4</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160" w:type="dxa"/>
            <w:vAlign w:val="bottom"/>
          </w:tcPr>
          <w:p>
            <w:pPr>
              <w:ind w:left="780"/>
              <w:spacing w:after="0"/>
              <w:rPr>
                <w:sz w:val="20"/>
                <w:szCs w:val="20"/>
                <w:color w:val="auto"/>
              </w:rPr>
            </w:pPr>
            <w:r>
              <w:rPr>
                <w:rFonts w:ascii="Courier New" w:cs="Courier New" w:eastAsia="Courier New" w:hAnsi="Courier New"/>
                <w:sz w:val="15"/>
                <w:szCs w:val="15"/>
                <w:color w:val="auto"/>
              </w:rPr>
              <w:t>Average contract rate</w:t>
            </w:r>
          </w:p>
        </w:tc>
        <w:tc>
          <w:tcPr>
            <w:tcW w:w="32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3.94</w:t>
            </w:r>
          </w:p>
        </w:tc>
        <w:tc>
          <w:tcPr>
            <w:tcW w:w="3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Rate Risk</w:t>
      </w:r>
    </w:p>
    <w:p>
      <w:pPr>
        <w:spacing w:after="0" w:line="175" w:lineRule="exact"/>
        <w:rPr>
          <w:sz w:val="20"/>
          <w:szCs w:val="20"/>
          <w:color w:val="auto"/>
        </w:rPr>
      </w:pPr>
    </w:p>
    <w:p>
      <w:pPr>
        <w:ind w:right="3260" w:firstLine="793"/>
        <w:spacing w:after="0" w:line="237" w:lineRule="auto"/>
        <w:rPr>
          <w:sz w:val="20"/>
          <w:szCs w:val="20"/>
          <w:color w:val="auto"/>
        </w:rPr>
      </w:pPr>
      <w:r>
        <w:rPr>
          <w:rFonts w:ascii="Courier New" w:cs="Courier New" w:eastAsia="Courier New" w:hAnsi="Courier New"/>
          <w:sz w:val="15"/>
          <w:szCs w:val="15"/>
          <w:color w:val="auto"/>
        </w:rPr>
        <w:t>The Company's interest expenses are most sensitive to changes in the London InterBank Offered Rate (LIBOR) as all of its short term borrowings bear a LIBOR based interest rate. Excess liquidity invested in short term investments bears minimal interest rate risk.</w:t>
      </w:r>
    </w:p>
    <w:p>
      <w:pPr>
        <w:spacing w:after="0" w:line="176" w:lineRule="exact"/>
        <w:rPr>
          <w:sz w:val="20"/>
          <w:szCs w:val="20"/>
          <w:color w:val="auto"/>
        </w:rPr>
      </w:pPr>
    </w:p>
    <w:p>
      <w:pPr>
        <w:ind w:right="3260" w:firstLine="793"/>
        <w:spacing w:after="0" w:line="257" w:lineRule="auto"/>
        <w:rPr>
          <w:sz w:val="20"/>
          <w:szCs w:val="20"/>
          <w:color w:val="auto"/>
        </w:rPr>
      </w:pPr>
      <w:r>
        <w:rPr>
          <w:rFonts w:ascii="Courier New" w:cs="Courier New" w:eastAsia="Courier New" w:hAnsi="Courier New"/>
          <w:sz w:val="14"/>
          <w:szCs w:val="14"/>
          <w:color w:val="auto"/>
        </w:rPr>
        <w:t>At September 30, 1998, the Company had approximately $91.6 million outstanding on its revolving line of credit and short term credit agreements and $12.2 million recorded as long term lease obligations. The potential loss to the Company over one year that would result from a hypothetical, instantaneous, and unfavorable change of 100 basis points in the interest rates of all applicable financial assets and liabilities on September 30, 1998 would be approximately $1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the Company's interest rate risk sensitivity model may overstate the impact of interest rate fluctuations for such financial instruments as consistently unfavorable movements of all interest rates are unlikely. See Notes 2 and 8 to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OFFICERS OF REGISTRANT</w:t>
      </w:r>
    </w:p>
    <w:p>
      <w:pPr>
        <w:sectPr>
          <w:pgSz w:w="11900" w:h="16838" w:orient="portrait"/>
          <w:cols w:equalWidth="0" w:num="1">
            <w:col w:w="10300"/>
          </w:cols>
          <w:pgMar w:left="240" w:top="283" w:right="1359"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the Company's business on a worldwide basis. The Company's principal operating subsidiaries are Amdocs (Israel) Limited (Israel), Amdocs, Inc. (the United States) and Amdocs (UK) Limited (the United Kingdom). The Company relies on the executive officers of its operating subsidiaries to manage its business. In addition, Amdocs Management Limited, a management subsidiary of the Company, performs certain executive coordination functions for all of the Company's operating subsidiaries.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Board of Directors of the Company and the executive officers of the Company and its subsidiaries and their ages as of September 30, 1998,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Age</w:t>
            </w:r>
          </w:p>
        </w:tc>
        <w:tc>
          <w:tcPr>
            <w:tcW w:w="4500" w:type="dxa"/>
            <w:vAlign w:val="bottom"/>
          </w:tcPr>
          <w:p>
            <w:pPr>
              <w:ind w:left="176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50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Officer, Amdocs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w w:val="97"/>
              </w:rPr>
              <w:t>Director and Chief Financial Officer, Amdocs</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Boaz Dotan(2)(3)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Director and Vice Chairman of the Board,</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Amdocs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Chief Executive Officer, Amdocs Management</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and Chief Financial</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Officer, Amdocs Management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Amdocs Management</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Amdocs Management</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Amdocs Management</w:t>
            </w:r>
          </w:p>
        </w:tc>
      </w:tr>
      <w:tr>
        <w:trPr>
          <w:trHeight w:val="170"/>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James W. Andrews</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General Manager, Amdocs (UK) Limited</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w:t>
            </w:r>
          </w:p>
        </w:tc>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Director</w:t>
            </w:r>
          </w:p>
        </w:tc>
      </w:tr>
    </w:tbl>
    <w:p>
      <w:pPr>
        <w:sectPr>
          <w:pgSz w:w="11900" w:h="16838" w:orient="portrait"/>
          <w:cols w:equalWidth="0" w:num="1">
            <w:col w:w="10219"/>
          </w:cols>
          <w:pgMar w:left="240" w:top="283" w:right="1440"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60</w:t>
            </w:r>
          </w:p>
        </w:tc>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8"/>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Shmuel Meitar</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55</w:t>
            </w: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Revital Naveh</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31</w:t>
            </w: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60</w:t>
            </w: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40</w:t>
            </w:r>
          </w:p>
        </w:tc>
        <w:tc>
          <w:tcPr>
            <w:tcW w:w="1580" w:type="dxa"/>
            <w:vAlign w:val="bottom"/>
          </w:tcPr>
          <w:p>
            <w:pPr>
              <w:ind w:left="880"/>
              <w:spacing w:after="0"/>
              <w:rPr>
                <w:sz w:val="20"/>
                <w:szCs w:val="20"/>
                <w:color w:val="auto"/>
              </w:rPr>
            </w:pPr>
            <w:r>
              <w:rPr>
                <w:rFonts w:ascii="Courier New" w:cs="Courier New" w:eastAsia="Courier New" w:hAnsi="Courier New"/>
                <w:sz w:val="15"/>
                <w:szCs w:val="15"/>
                <w:color w:val="auto"/>
                <w:w w:val="94"/>
              </w:rPr>
              <w:t>Director</w:t>
            </w:r>
          </w:p>
        </w:tc>
      </w:tr>
    </w:tbl>
    <w:p>
      <w:pPr>
        <w:spacing w:after="0" w:line="339"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ectPr>
          <w:pgSz w:w="11900" w:h="16838" w:orient="portrait"/>
          <w:cols w:equalWidth="0" w:num="1">
            <w:col w:w="10229"/>
          </w:cols>
          <w:pgMar w:left="23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ind w:left="440"/>
        <w:spacing w:after="0"/>
        <w:rPr>
          <w:sz w:val="20"/>
          <w:szCs w:val="20"/>
          <w:color w:val="auto"/>
        </w:rPr>
      </w:pPr>
      <w:r>
        <w:rPr>
          <w:rFonts w:ascii="Courier New" w:cs="Courier New" w:eastAsia="Courier New" w:hAnsi="Courier New"/>
          <w:sz w:val="15"/>
          <w:szCs w:val="15"/>
          <w:color w:val="auto"/>
        </w:rPr>
        <w:t>Bruce K. Anderson has been Chief Executive Officer and Chairman of the</w:t>
      </w:r>
    </w:p>
    <w:p>
      <w:pPr>
        <w:spacing w:after="0"/>
        <w:rPr>
          <w:sz w:val="20"/>
          <w:szCs w:val="20"/>
          <w:color w:val="auto"/>
        </w:rPr>
      </w:pPr>
      <w:r>
        <w:rPr>
          <w:rFonts w:ascii="Courier New" w:cs="Courier New" w:eastAsia="Courier New" w:hAnsi="Courier New"/>
          <w:sz w:val="15"/>
          <w:szCs w:val="15"/>
          <w:color w:val="auto"/>
        </w:rPr>
        <w:t>Board of the Company since September 1997. Since August 1978, he has been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partner of WCAS, an investment firm which specializes in the acquisition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companies in the information services and health care industries. Investment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partnerships affiliated with WCAS are collectively the Company's largest</w:t>
      </w:r>
    </w:p>
    <w:p>
      <w:pPr>
        <w:spacing w:after="0"/>
        <w:rPr>
          <w:sz w:val="20"/>
          <w:szCs w:val="20"/>
          <w:color w:val="auto"/>
        </w:rPr>
      </w:pPr>
      <w:r>
        <w:rPr>
          <w:rFonts w:ascii="Courier New" w:cs="Courier New" w:eastAsia="Courier New" w:hAnsi="Courier New"/>
          <w:sz w:val="15"/>
          <w:szCs w:val="15"/>
          <w:color w:val="auto"/>
        </w:rPr>
        <w:t>stockholder. Mr. Anderson served for nine years with Automated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Processing, Inc. ("ADP") until his resignation as Executive Vice President and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ADP, and President of ADP International, effective August 1978. Mr.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Anderson serves on the Board of Directors of Medquist, Inc. and several private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companies.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Robert A. Minicucci has been Chief Financial Officer and a director of the Company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Boaz Dotan has served as Vice Chairman of the Board of Directors since September 1997 and as a director of the Company since 1995. Mr. Dotan joined Amdocs in 1982 and held the position of President and Chief Executive Officer until 1995, at which time he was appointed Chairman of the Board of Directors and served in that capacity until September 1997. Mr. Dotan has been involved in software systems for over 30 years. Prior to joining Amdocs he worked for Bezeq, the Israel Telecommunication Corp. Ltd., as Manager of the Information Systems Division. Mr. Dotan holds a BSc in mathematics and statistics from Tel Aviv University, Israel.</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Avinoam Naor is Chief Executive Officer of Amdocs Management Limited, and has overall coordination responsibility for the operations and activities of the Company's operating subsidiaries. Mr. Naor joined the Company in 1982 and initially served as a Senior Vice President. He has been involved with software development for 27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the Company's operating subsidiaries. Mr. Baharav joined the Company in 1991 in St. Louis, Missouri and until 1995 he served as Vice President and President of Amdocs, Inc., the Company's principal U.S. subsidiary. Prior to joining the Company, Mr. Baharav served as Chief Operating Officer of Oprotech Ltd., a publicly-held company that develops, manufactures and markets electro-optical devices.</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has held other financial management positions within the Company. From July 1993 to July 1995, Mr. O'Brien was Controller of Big River Mineral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Nehemia Lemelbaum is a Senior Vice President and the Chief Technology Officer of Amdocs Management Limited. He joined the Company in 1985, with initial responsibility for the Company's U.S. operations. Mr. Lemelbaum led the Company's development of graphic products for the Yellow Pages industry and directed the Company's development of customer care and billing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the Company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the Company in 1985. Mr. Ehrlich served as the Account Manager for one of the Company's major North American installations, and subsequently had responsibility for major product development efforts. Following that, he assumed the responsibility for coordinating the sales support activities of the Company. Prior to joining Amdocs, Mr. Ehrlich managed the industrial application division of a leading Israeli software company, with responsibility for business development, overall project control and coordination of sales support.</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Simon Cassif is a Senior Vice President of Amdocs (UK) Limited. In this capacity, his principal responsibility is to develop the Company's relationships with strategic customers in Europe. Mr. Cassif joined Amdocs in January 1994 and has since been devoting most of his efforts to business development in the area of customer care and billing. Prior to joining Amdocs, Mr. Cassif was Chief Information Officer &amp; Vice President, Systems and Computers at Bezeq, the Israel Telecommunication Corp. Ltd. Mr. Cassif held this position for twelve years, with full responsibility for Bezeq's technology strategy, information systems development and maintenance.</w:t>
      </w:r>
    </w:p>
    <w:p>
      <w:pPr>
        <w:spacing w:after="0" w:line="179"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Mr. Andrews joined the Company in 1991 and has served in a number of financial management positions, including Financial Controller. Prior to joining the Company, Mr. Andrews was the Accounting Supervisor at Arch Mineral Corporation. He also served Arthur Andersen &amp; Co. as a certified public accountant. Mr. Andrews is a member of the American Institute of Certified Public Accountants and the Missouri Society of Certified Public Accountants.</w:t>
      </w:r>
    </w:p>
    <w:p>
      <w:pPr>
        <w:spacing w:after="0" w:line="164" w:lineRule="exact"/>
        <w:rPr>
          <w:sz w:val="20"/>
          <w:szCs w:val="20"/>
          <w:color w:val="auto"/>
        </w:rPr>
      </w:pPr>
    </w:p>
    <w:p>
      <w:pPr>
        <w:jc w:val="both"/>
        <w:ind w:right="3539" w:firstLine="441"/>
        <w:spacing w:after="0" w:line="256" w:lineRule="auto"/>
        <w:rPr>
          <w:sz w:val="20"/>
          <w:szCs w:val="20"/>
          <w:color w:val="auto"/>
        </w:rPr>
      </w:pPr>
      <w:r>
        <w:rPr>
          <w:rFonts w:ascii="Courier New" w:cs="Courier New" w:eastAsia="Courier New" w:hAnsi="Courier New"/>
          <w:sz w:val="14"/>
          <w:szCs w:val="14"/>
          <w:color w:val="auto"/>
        </w:rPr>
        <w:t>Adrian Gardner has been a director of the Company since April 1998. Mr. Gardner is an Executive Director of Lazard Brothers &amp; Co., Limited, based in London and working with technology and telecommunications-related companies.</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Prior to joining Lazard Brothers in 1989, Mr. Gardner qualified as a chartered accountant with Price Waterhouse. Mr. Gardner is a member of the Institute of Chartered Accountants in England and Wales and a member of The Securities Institute.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Stephen Hermer has been a director of the Company since April 1998. In 1998, Mr. Hermer joined the law firm Olswang, based in London, where he practices corporate and securities law. Prior to that, he was a partner with the London law firm of Frere Cholmeley Bischoff.</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James S. Kahan has been a director of the Company since April 1998. Mr. Kahan has worked at SBC since 1983, and currently serves as its Senior Vice President-Corporate Development, a position he has held since 1992. Prior to that Mr. Kahan held positions at several telecommunications companies, including Western Electric, Bell Laboratories, South Central Bell and AT&amp;T.</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Paz Littman has been a director of the Company since September 1997. Since October 1996, he has served as President of Aurum Management and Consulting Ltd., a privately-held company, which makes and manages investments for shareholders of the Aurec Group. From 1991 to 1996, Mr. Littman was an active partner with the law firm of Meitar, Littman &amp; Co.</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Shmuel Meitar has been a director of the Company since 1989. Since 1991, he has been Vice Chairman of Aurec Ltd., a leading provider of communications, media and information services. Prior to 1991, Mr. Meitar served as President of the Aurec Group, which includes Golden Channels, the largest cable television franchise in Israel, and Golden Pages, the Israeli Yellow Pages. Mr. Meitar is also a director of Hollinger International Inc.</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Revital Naveh has been a director of the Company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8"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Lawrence Perlman has been a director of the Company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w:t>
      </w:r>
    </w:p>
    <w:p>
      <w:pPr>
        <w:sectPr>
          <w:pgSz w:w="11900" w:h="16838" w:orient="portrait"/>
          <w:cols w:equalWidth="0" w:num="1">
            <w:col w:w="10219"/>
          </w:cols>
          <w:pgMar w:left="24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The Valspar Corporation and Computer Network Technology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Perlman has been a director of Ceridian since 1985.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Michael J. Price has been a director of the Company since January 1998. He is co-Chief Executive Officer of FirstMark Communications LLC, a broadband wireless telecommunications company. Prior to that, he worked at Lazard Freres &amp; Co. L.L.C., starting in 1987, serving first as a Vice President and then as a Managing Director, where he led their technology and telecommunications group. At Lazard Freres, Mr. Price also served on the firm's Banking, Venture Capital and Principal Oversight Committees.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directors hold office until the next annual meeting of the Company's shareholders or until their respective successors are duly elected and qualified or their positions are earlier vacated by resignation or otherwise.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Executive officers of the Company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Company's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Audit Committee of the Board of Directors reviews, acts on and reports to the Board of Directors with respect to various auditing and accounting matters, including the selection of the Company's auditors, the scope of the annual audits, fees to be paid to the auditors, the performance of the Company's independent auditors and the accounting practices of the Company.</w:t>
      </w:r>
    </w:p>
    <w:p>
      <w:pPr>
        <w:spacing w:after="0" w:line="165" w:lineRule="exact"/>
        <w:rPr>
          <w:sz w:val="20"/>
          <w:szCs w:val="20"/>
          <w:color w:val="auto"/>
        </w:rPr>
      </w:pPr>
    </w:p>
    <w:p>
      <w:pPr>
        <w:ind w:right="3619" w:firstLine="441"/>
        <w:spacing w:after="0" w:line="238" w:lineRule="auto"/>
        <w:rPr>
          <w:sz w:val="20"/>
          <w:szCs w:val="20"/>
          <w:color w:val="auto"/>
        </w:rPr>
      </w:pPr>
      <w:r>
        <w:rPr>
          <w:rFonts w:ascii="Courier New" w:cs="Courier New" w:eastAsia="Courier New" w:hAnsi="Courier New"/>
          <w:sz w:val="15"/>
          <w:szCs w:val="15"/>
          <w:color w:val="auto"/>
        </w:rPr>
        <w:t>The Compensation Committee of the Board of Directors determines the salaries and incentive compensation of the officers of the Company and its subsidiaries and provides recommendations for the salaries and incentive compensation of the other employees and the consultants of the Company. The Compensation Committee also administers the Company's various compensation, stock and benefit plans.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also established an Executive Committee which may act from time to time instead of the full Board of Directors and has such responsibilities as may be delegated to it by the Board.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Company's Compensation Committee consists of Messrs. Anderson, Minicucci, Dotan, Gardner and Littman. Of the members of the Committee, only Mr. Dotan was, at any time during fiscal 1998, an employee of the Company.</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COMPENSATION OF DIRECTORS AND 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pays its non-employee directors who are not associated with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principal shareholders of the Company (i) $10,000 per annum and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per meeting of the Board of Directors and $500 per meeting of a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Board. The Company reimburses all of its directors for their reasonable</w:t>
      </w:r>
    </w:p>
    <w:p>
      <w:pPr>
        <w:spacing w:after="0"/>
        <w:rPr>
          <w:sz w:val="20"/>
          <w:szCs w:val="20"/>
          <w:color w:val="auto"/>
        </w:rPr>
      </w:pPr>
      <w:r>
        <w:rPr>
          <w:rFonts w:ascii="Courier New" w:cs="Courier New" w:eastAsia="Courier New" w:hAnsi="Courier New"/>
          <w:sz w:val="15"/>
          <w:szCs w:val="15"/>
          <w:color w:val="auto"/>
        </w:rPr>
        <w:t>travel expenses incurred in connection with attending meetings of the Board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or committees thereof. Under certain circumstances, directors are also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to receive stock options. During fiscal year 1998, the Company granted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to two directors to purchase an aggregate of 21,000 Ordinary Shares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$14 per share, vesting over four years.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the Company during fiscal year 1998 received remuneration from the Company. The aggregate remuneration paid by the Company to such persons was approximately $4 million, which includes amounts set aside or accrued to provide pension, retirement or similar benefits, but does not include amounts expended by the Company for automobiles made available to its officers, expenses (including business travel, professional and business association dues) or other fringe benefits.</w:t>
      </w:r>
    </w:p>
    <w:p>
      <w:pPr>
        <w:spacing w:after="0" w:line="178"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During fiscal year 1998, the Company granted options to six executive officers and directors to purchase an aggregate of 448,000 Ordinary Shares at an average price of $8.20 per share, with vesting over three to eight year terms.</w:t>
      </w:r>
    </w:p>
    <w:p>
      <w:pPr>
        <w:spacing w:after="0" w:line="15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OPTIONS TO PURCHASE SECURITIES FROM REGISTRANT OR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January 1998, the Company adopted the Option Plan which provides for the grant by the Company of restricted shares or options to officers, directors, employees or consultants of the Company or any of its subsidiaries. In June 1998, the Company increased the number of Ordinary Shares available under the Option Plan from 2,600,000 to 4,100,000 Ordinary Shares. In November 1998, the Board of Directors authorized a further increase to the number of Ordinary Shares available under the Option Plan from 4,100,000 Ordinary Shares to 6,600,000 Ordinary Shares, subject to shareholder approval. The purpose of the Option Plan is to enable the Company to attract and retain qualified personnel and to motivate such persons by providing them with an equity participation in the Company. The Option Plan is administered by a committee appointed by the Board and expires ten years after the date of its adoption.</w:t>
      </w:r>
    </w:p>
    <w:p>
      <w:pPr>
        <w:spacing w:after="0" w:line="182"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Ordinary Shares acquired upon exercise of an option and the restricted shares that</w:t>
      </w:r>
    </w:p>
    <w:p>
      <w:pPr>
        <w:sectPr>
          <w:pgSz w:w="11900" w:h="16838" w:orient="portrait"/>
          <w:cols w:equalWidth="0" w:num="1">
            <w:col w:w="10219"/>
          </w:cols>
          <w:pgMar w:left="24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may be granted under the Option Plan will be subject to certain restrictions on transfer, sale or hypothecation. Options will be exercisable and restrictions on disposition of shares will lapse pursuant to the term of the individual agreements under which such options were granted or shares issued.</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January 1998, the Company granted options to purchase 1,651,000 Ordinary Shares to employees under the Company's 1998 Stock Option and Incentive Plan (the "Plan") at an exercise price of $1.92 per share, with vesting over four years and a term of 10 years. Compensation expense was not recorded for these stock options as they were granted at an exercise price equal to the fair market value of the Ordinary Shares at the time of the grant.</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June 1998, following the Company's initial public offering, the Company issued additional options under the Plan, granting options to purchase 855,400 shares with the same exercise price, expiration date and vesting dates as the options granted in January 1998. The Company recorded unearned compensation expense totaling $10.3 million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September 1998, under the Plan, options to purchase 1,000,000 shares were granted at an exercise price of $8.75 per share, the market price of the Ordinary Shares on the grant date, with vesting over four and eight years and a term of 10 years.</w:t>
      </w:r>
    </w:p>
    <w:p>
      <w:pPr>
        <w:spacing w:after="0" w:line="176"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Of the options referred to above, options to purchase an aggregate 448,000 Ordinary Shares at an average price of $8.20 per share were granted to six executive officers and directors, with vesting over three to eight year terms.</w:t>
      </w:r>
    </w:p>
    <w:p>
      <w:pPr>
        <w:spacing w:after="0" w:line="15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INTEREST OF MANAGEMENT IN CERTAIN TRANSACTIONS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Employee Trust Agreement. In September 1997, the Company contributed $25.8 million to the Trust in recognition of past services rendered to the Company. The beneficiaries are primarily software and information technology specialists who have played an important role in the Company's success. The Trust will distribute on certain dates within the next five years cash amounts to those beneficiaries employed by the Company on such dates. The amounts to be distributed to the beneficiaries employed by the Company on the relevant dates will include any appreciation in the value of the Trust's assets and are dependent upon certain conditions, such as the amount of cash available and the Trust's ability to realize the value of the assets it holds. Termination of a beneficiary's employment with the Company will not affect entitlement to a beneficiary's minimum interest in the Trust which was fixed at the time of the Company's contribution to the Trust, and any terminated employee will receive such interest in September 2007. In September 1997, the Trust used the contribution from the Company and other resources to purchase from the Company 5,720,000 Ordinary Shares for an aggregate consideration of approximately $31.6 million. The Trust is required to liquidate any investments held in respect</w:t>
      </w:r>
    </w:p>
    <w:p>
      <w:pPr>
        <w:sectPr>
          <w:pgSz w:w="11900" w:h="16838" w:orient="portrait"/>
          <w:cols w:equalWidth="0" w:num="1">
            <w:col w:w="10219"/>
          </w:cols>
          <w:pgMar w:left="24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rPr>
          <w:sz w:val="20"/>
          <w:szCs w:val="20"/>
          <w:color w:val="auto"/>
        </w:rPr>
      </w:pPr>
      <w:r>
        <w:rPr>
          <w:rFonts w:ascii="Courier New" w:cs="Courier New" w:eastAsia="Courier New" w:hAnsi="Courier New"/>
          <w:sz w:val="15"/>
          <w:szCs w:val="15"/>
          <w:color w:val="auto"/>
        </w:rPr>
        <w:t>of any beneficiary and distribute only a cash payment.</w:t>
      </w:r>
    </w:p>
    <w:p>
      <w:pPr>
        <w:spacing w:after="0" w:line="17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Investment Agreements. In September 1997, the Company and the WCAS Investors entered into a Share Subscription Agreement pursuant to which the WCAS Investors acquired from the Company on September 22, 1997 $3.27 million in principal amount of the Company's junior promissory notes and shares representing 8.7% of the then outstanding equity of the Company for $61.2 million. On such date, the Company and the WCAS Investors also entered into a Conditional Investment Agreement, pursuant to which the WCAS Investors agreed, subject to the satisfaction of certain revenue and cash flow targets through November 30, 1997, to acquire additional shares of the Company which, when added to the shares acquired pursuant to the Share Subscription Agreement, would constitute 35.0% of the Company's outstanding equity as of September 22, 1997. Concurrently with the signing of the Conditional Investment Agreement, a subsidiary of the Company, ESM, entered into a Note Purchase Agreement with WCAS Capital Partners III, L.P., an investment partnership affiliated with WCAS, and certain other investors, providing for the issuance of up to $125 million principal amount of 10% subordinated notes of ESM, subject to the satisfaction of the same financial targets set forth in the Conditional Investment Agreement. In January 1998, with such financial targets having been met, ESM sold $123.5 million principal amount of subordinated notes under the Note Purchase Agreement for a purchase price equal to their principal amount. On March 30, 1998, the Company completed the transactions contemplated by the Conditional Investment Agreement by issuing and selling to the WCAS Investors an aggregate 51,507,716 Ordinary Shares for $95.83 million in cash and the surrender of the $3.27 million principal amount of junior promissory notes issued by the Company in September 1997.</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Certain entities in which certain directors and executive officers of the Company and its subsidiaries have a beneficial interest participated in the investments made pursuant to the Share Subscription Agreement and the Conditional Investment Agreement and acquired beneficial ownership of an aggregate 2,078,336 Ordinary Shares for a total investment of $4.0 million.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Subscription Agreement, the Conditional Investment Agreement and the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rPr>
          <w:sz w:val="20"/>
          <w:szCs w:val="20"/>
          <w:color w:val="auto"/>
        </w:rPr>
      </w:pPr>
      <w:r>
        <w:rPr>
          <w:rFonts w:ascii="Courier New" w:cs="Courier New" w:eastAsia="Courier New" w:hAnsi="Courier New"/>
          <w:sz w:val="15"/>
          <w:szCs w:val="15"/>
          <w:color w:val="auto"/>
        </w:rPr>
        <w:t>financing and internally generated funds, (i) to acquire for $40.0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intellectual property rights from operating subsidiaries of SBC and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rPr>
          <w:sz w:val="20"/>
          <w:szCs w:val="20"/>
          <w:color w:val="auto"/>
        </w:rPr>
      </w:pPr>
      <w:r>
        <w:rPr>
          <w:rFonts w:ascii="Courier New" w:cs="Courier New" w:eastAsia="Courier New" w:hAnsi="Courier New"/>
          <w:sz w:val="15"/>
          <w:szCs w:val="15"/>
          <w:color w:val="auto"/>
        </w:rPr>
        <w:t>$478.7 million in dividends were paid to the Company's shareholders, including</w:t>
      </w:r>
    </w:p>
    <w:p>
      <w:pPr>
        <w:spacing w:after="0"/>
        <w:rPr>
          <w:sz w:val="20"/>
          <w:szCs w:val="20"/>
          <w:color w:val="auto"/>
        </w:rPr>
      </w:pPr>
      <w:r>
        <w:rPr>
          <w:rFonts w:ascii="Courier New" w:cs="Courier New" w:eastAsia="Courier New" w:hAnsi="Courier New"/>
          <w:sz w:val="15"/>
          <w:szCs w:val="15"/>
          <w:color w:val="auto"/>
        </w:rPr>
        <w:t>an aggregate $39.9 million to the WCAS Investors.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1997, the WCAS Investors also granted a call option on certain Ordinary Shares acquired under the Share Subscription Agreement and the Conditional Investment Agreement to the then existing shareholders of the Company, AIL, SBCI, certain entities in which executive officers of the Company have a beneficial interest and the Trust. The call option may be exercised, without the payment of any consideration to the WCAS Investors, if certain revenue and cash flow targets are met in fiscal 1998 and fiscal 1999. The targets in fiscal year 1998 have been satisfied in full. If such targets are met in full, the number of Ordinary Shares held by the WCAS Investors as a result of their net $120.4 million investment in the Company will be reduced from 62,580,024 to 47,381,984 Ordinary Shares.</w:t>
      </w:r>
    </w:p>
    <w:p>
      <w:pPr>
        <w:sectPr>
          <w:pgSz w:w="11900" w:h="16838" w:orient="portrait"/>
          <w:cols w:equalWidth="0" w:num="1">
            <w:col w:w="10219"/>
          </w:cols>
          <w:pgMar w:left="24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Shareholders Agreement. In connection with the Share Subscription Agreement and Conditional Investment Agreement, SBCI, WCAS (on behalf of the WCAS Investors), AIL (together with SBCI and the WCAS Investors, the "Significant Shareholders") and the Company, entered into a shareholders agreement, pursuant to which the Significant Shareholders have certain rights to have their shares registered for sale to the public under the Securities Act of 1933, as amended.</w:t>
      </w:r>
    </w:p>
    <w:p>
      <w:pPr>
        <w:spacing w:after="0" w:line="16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Relationship with SBC. Until September 1997, SBC and certain of its operating subsidiaries had certain ownership and marketing rights with respect to certain of the Company's software products that were developed and owned jointly by the Company and such SBC subsidiaries.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September 22, 1997, the Company entered into a series of agreements with certain SBC subsidiaries regarding the transfer of such ownership and marketing rights to the Company. Pursuant to such agreements:</w:t>
      </w:r>
    </w:p>
    <w:p>
      <w:pPr>
        <w:spacing w:after="0" w:line="175" w:lineRule="exact"/>
        <w:rPr>
          <w:sz w:val="20"/>
          <w:szCs w:val="20"/>
          <w:color w:val="auto"/>
        </w:rPr>
      </w:pPr>
    </w:p>
    <w:p>
      <w:pPr>
        <w:ind w:left="440" w:right="3179" w:firstLine="784"/>
        <w:spacing w:after="0" w:line="259" w:lineRule="auto"/>
        <w:tabs>
          <w:tab w:leader="none" w:pos="158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Southwestern Bell Yellow Pages, Inc. transferred to the Company all right, title and interest it held in certain modules of the Company's directory publishing system, in consideration for $2.0 million in cash and a royalty-free, perpetual, irrevocable right to use such modules.</w:t>
      </w:r>
    </w:p>
    <w:p>
      <w:pPr>
        <w:spacing w:after="0" w:line="162" w:lineRule="exact"/>
        <w:rPr>
          <w:rFonts w:ascii="Courier New" w:cs="Courier New" w:eastAsia="Courier New" w:hAnsi="Courier New"/>
          <w:sz w:val="14"/>
          <w:szCs w:val="14"/>
          <w:color w:val="auto"/>
        </w:rPr>
      </w:pPr>
    </w:p>
    <w:p>
      <w:pPr>
        <w:ind w:left="440" w:right="3179" w:firstLine="784"/>
        <w:spacing w:after="0" w:line="237" w:lineRule="auto"/>
        <w:tabs>
          <w:tab w:leader="none" w:pos="15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Communication Services, Inc. ("SBCS") granted the Company the ownership interest and the right to license certain long distance systems under development and previously held by SBCS, in consideration for $10.4 million in cash and a royalty-free, perpetual, irrevocable right to use such systems.</w:t>
      </w:r>
    </w:p>
    <w:p>
      <w:pPr>
        <w:spacing w:after="0" w:line="178" w:lineRule="exact"/>
        <w:rPr>
          <w:rFonts w:ascii="Courier New" w:cs="Courier New" w:eastAsia="Courier New" w:hAnsi="Courier New"/>
          <w:sz w:val="15"/>
          <w:szCs w:val="15"/>
          <w:color w:val="auto"/>
        </w:rPr>
      </w:pPr>
    </w:p>
    <w:p>
      <w:pPr>
        <w:ind w:left="440" w:right="3259" w:firstLine="784"/>
        <w:spacing w:after="0" w:line="237" w:lineRule="auto"/>
        <w:tabs>
          <w:tab w:leader="none" w:pos="15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Mobile Systems transferred to the Company, in consideration for $15.6 million in cash and a royalty-free, perpetual, irrevocable right to use the system, any and all right, title and interest it had in a mobile system which the Company developed as part of its customer care and billing systems.</w:t>
      </w:r>
    </w:p>
    <w:p>
      <w:pPr>
        <w:spacing w:after="0" w:line="178" w:lineRule="exact"/>
        <w:rPr>
          <w:rFonts w:ascii="Courier New" w:cs="Courier New" w:eastAsia="Courier New" w:hAnsi="Courier New"/>
          <w:sz w:val="15"/>
          <w:szCs w:val="15"/>
          <w:color w:val="auto"/>
        </w:rPr>
      </w:pPr>
    </w:p>
    <w:p>
      <w:pPr>
        <w:ind w:left="440" w:right="3439" w:firstLine="784"/>
        <w:spacing w:after="0" w:line="258" w:lineRule="auto"/>
        <w:tabs>
          <w:tab w:leader="none" w:pos="158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Southwestern Bell Telephone Company ("SWBT") granted the Company an exclusive, royalty-free, irrevocable, perpetual and worldwide right to copy, distribute and sell licenses, display, present, modify, disseminate, reverse engineer and create derivatives on certain of the Company's "Billing Products" developed by the Company and SWBT, in consideration for the prepayment of royalties of $12.0 million in cash.</w:t>
      </w:r>
    </w:p>
    <w:p>
      <w:pPr>
        <w:spacing w:after="0" w:line="16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SBC and certain of its operating subsidiaries are also significant customers of the Company. During fiscal 1996, fiscal 1997 and fiscal 1998, SBC and such subsidiaries accounted for approximately 38.0%, 34.5% and 20.9%, respectively, of the Company's revenue in such years.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1995 Reorganization. Prior to 1995, the Company and its operating subsidiaries were operated as a group of companies owned by common shareholders. In 1995, the companies underwent a reorganization (the "1995 Reorganization"), as a result of which Amdocs Limited</w:t>
      </w:r>
    </w:p>
    <w:p>
      <w:pPr>
        <w:sectPr>
          <w:pgSz w:w="11900" w:h="16838" w:orient="portrait"/>
          <w:cols w:equalWidth="0" w:num="1">
            <w:col w:w="10219"/>
          </w:cols>
          <w:pgMar w:left="24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became the holding company for all the affiliated companies. Subsequent to such reorganization, the Company issued shares for an aggregate $16.6 million to certain entities in which certain officers, including one who is a director, of the Company have a beneficial interest. In connection with the 1995 Reorganization, such entities entered into shareholders agreements with SBCI and AIL (the "1995 Shareholders Agreements") in March and September of 1995. Pursuant to the 1995 Shareholders Agreements, the parties thereto have, subject to the occurrence of certain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Other Relationships. Since fiscal 1997, the Company has provided a CC&amp;B System and related customization and implementation services to GoldenLines Limited, a provider of international telephone service for calls to and from Israel. SBC and a certain beneficial owner of AIL have a significant beneficial interest in GoldenLines.</w:t>
      </w:r>
    </w:p>
    <w:p>
      <w:pPr>
        <w:spacing w:after="0" w:line="17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SBC and a beneficial owner of AIL also are the owners of a company that leases certain office facilities and provide certain miscellaneous support services to the Company in Israel.</w:t>
      </w:r>
    </w:p>
    <w:p>
      <w:pPr>
        <w:sectPr>
          <w:pgSz w:w="11900" w:h="16838" w:orient="portrait"/>
          <w:cols w:equalWidth="0" w:num="1">
            <w:col w:w="10219"/>
          </w:cols>
          <w:pgMar w:left="240" w:top="283" w:right="1440" w:bottom="1440" w:gutter="0" w:footer="0" w:header="0"/>
        </w:sectPr>
      </w:pPr>
    </w:p>
    <w:bookmarkStart w:id="69" w:name="page70"/>
    <w:bookmarkEnd w:id="69"/>
    <w:p>
      <w:pPr>
        <w:ind w:left="270"/>
        <w:spacing w:after="0"/>
        <w:rPr>
          <w:sz w:val="20"/>
          <w:szCs w:val="20"/>
          <w:color w:val="auto"/>
        </w:rPr>
      </w:pPr>
      <w:r>
        <w:rPr>
          <w:rFonts w:ascii="Courier New" w:cs="Courier New" w:eastAsia="Courier New" w:hAnsi="Courier New"/>
          <w:sz w:val="15"/>
          <w:szCs w:val="15"/>
          <w:color w:val="auto"/>
        </w:rPr>
        <w:t>70</w:t>
      </w:r>
    </w:p>
    <w:p>
      <w:pPr>
        <w:ind w:left="317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DESCRIPTION OF SECURITIES TO BE REGISTERED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DEFAULTS UPON SENIOR SECURITIES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1230" w:right="3699" w:hanging="1233"/>
        <w:spacing w:after="0" w:line="235" w:lineRule="auto"/>
        <w:tabs>
          <w:tab w:leader="none" w:pos="1209"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5"/>
          <w:szCs w:val="15"/>
          <w:color w:val="auto"/>
        </w:rPr>
        <w:t>CHANGES IN SECURITIES AND CHANGES IN SECURITY FOR REGISTERED SECURITIES</w:t>
      </w:r>
    </w:p>
    <w:p>
      <w:pPr>
        <w:spacing w:after="0" w:line="176"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Item 2 of Part II of the Company's Form 6-K for the quarter ending June 30, 1998 is hereby incorporated by reference.</w:t>
      </w:r>
    </w:p>
    <w:p>
      <w:pPr>
        <w:spacing w:after="0" w:line="170"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18.</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See item 19.</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19.</w:t>
      </w:r>
      <w:r>
        <w:rPr>
          <w:sz w:val="20"/>
          <w:szCs w:val="20"/>
          <w:color w:val="auto"/>
        </w:rPr>
        <w:tab/>
      </w:r>
      <w:r>
        <w:rPr>
          <w:rFonts w:ascii="Courier New" w:cs="Courier New" w:eastAsia="Courier New" w:hAnsi="Courier New"/>
          <w:sz w:val="14"/>
          <w:szCs w:val="14"/>
          <w:color w:val="auto"/>
        </w:rPr>
        <w:t>FINANCIAL STATEMENTS AND EXHIBITS</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19A</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Auditors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September 30, 1998 and 1997</w:t>
      </w:r>
    </w:p>
    <w:p>
      <w:pPr>
        <w:spacing w:after="0" w:line="174"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 for the years ended September 30, 1998, 1997 and 1996</w:t>
      </w:r>
    </w:p>
    <w:p>
      <w:pPr>
        <w:spacing w:after="0" w:line="175"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Changes in Shareholders' Equity (Deficit) for the years ended September 30, 1998, 1997 and 1996</w:t>
      </w:r>
    </w:p>
    <w:p>
      <w:pPr>
        <w:spacing w:after="0" w:line="175"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 September 30, 1998, 1997 and 1996</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Item 19B</w:t>
      </w:r>
      <w:r>
        <w:rPr>
          <w:sz w:val="20"/>
          <w:szCs w:val="20"/>
          <w:color w:val="auto"/>
        </w:rPr>
        <w:tab/>
      </w:r>
      <w:r>
        <w:rPr>
          <w:rFonts w:ascii="Courier New" w:cs="Courier New" w:eastAsia="Courier New" w:hAnsi="Courier New"/>
          <w:sz w:val="14"/>
          <w:szCs w:val="14"/>
          <w:color w:val="auto"/>
        </w:rPr>
        <w:t>Exhibits</w:t>
      </w:r>
    </w:p>
    <w:p>
      <w:pPr>
        <w:sectPr>
          <w:pgSz w:w="11900" w:h="16838" w:orient="portrait"/>
          <w:cols w:equalWidth="0" w:num="1">
            <w:col w:w="10229"/>
          </w:cols>
          <w:pgMar w:left="23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rPr>
          <w:sz w:val="20"/>
          <w:szCs w:val="20"/>
          <w:color w:val="auto"/>
        </w:rPr>
      </w:pPr>
      <w:r>
        <w:rPr>
          <w:rFonts w:ascii="Courier New" w:cs="Courier New" w:eastAsia="Courier New" w:hAnsi="Courier New"/>
          <w:sz w:val="15"/>
          <w:szCs w:val="15"/>
          <w:color w:val="auto"/>
        </w:rPr>
        <w:t>21.1 Subsidiaries of 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 Consent of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 Amdocs Limited Press Release dated November 11, 1998</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jc w:val="center"/>
        <w:ind w:right="319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171"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Amdocs Limited</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15, 1999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rPr>
          <w:sz w:val="20"/>
          <w:szCs w:val="20"/>
          <w:color w:val="auto"/>
        </w:rPr>
      </w:pPr>
      <w:r>
        <w:rPr>
          <w:rFonts w:ascii="Courier New" w:cs="Courier New" w:eastAsia="Courier New" w:hAnsi="Courier New"/>
          <w:sz w:val="15"/>
          <w:szCs w:val="15"/>
          <w:color w:val="auto"/>
        </w:rPr>
        <w:t>Treasurer and 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U.S. Representative</w:t>
      </w:r>
    </w:p>
    <w:p>
      <w:pPr>
        <w:sectPr>
          <w:pgSz w:w="11900" w:h="16838" w:orient="portrait"/>
          <w:cols w:equalWidth="0" w:num="2">
            <w:col w:w="3680" w:space="720"/>
            <w:col w:w="5819"/>
          </w:cols>
          <w:pgMar w:left="240" w:top="283" w:right="1440"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1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INDEX TO CONSOLIDATED</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FINANCIAL STATEMENTS</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09"/>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3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78"/>
        </w:trPr>
        <w:tc>
          <w:tcPr>
            <w:tcW w:w="37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Report of Independent Auditors</w:t>
            </w:r>
          </w:p>
        </w:tc>
        <w:tc>
          <w:tcPr>
            <w:tcW w:w="31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F-1</w:t>
            </w:r>
          </w:p>
        </w:tc>
      </w:tr>
      <w:tr>
        <w:trPr>
          <w:trHeight w:val="339"/>
        </w:trPr>
        <w:tc>
          <w:tcPr>
            <w:tcW w:w="1880" w:type="dxa"/>
            <w:vAlign w:val="bottom"/>
          </w:tcPr>
          <w:p>
            <w:pPr>
              <w:ind w:left="780"/>
              <w:spacing w:after="0"/>
              <w:rPr>
                <w:sz w:val="20"/>
                <w:szCs w:val="20"/>
                <w:color w:val="auto"/>
              </w:rPr>
            </w:pPr>
            <w:r>
              <w:rPr>
                <w:rFonts w:ascii="Courier New" w:cs="Courier New" w:eastAsia="Courier New" w:hAnsi="Courier New"/>
                <w:sz w:val="15"/>
                <w:szCs w:val="15"/>
                <w:color w:val="auto"/>
                <w:w w:val="99"/>
              </w:rPr>
              <w:t>Consolidated</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Balance Sheets as of</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1998 and 1997</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F-2</w:t>
            </w:r>
          </w:p>
        </w:tc>
      </w:tr>
      <w:tr>
        <w:trPr>
          <w:trHeight w:val="339"/>
        </w:trPr>
        <w:tc>
          <w:tcPr>
            <w:tcW w:w="1880" w:type="dxa"/>
            <w:vAlign w:val="bottom"/>
          </w:tcPr>
          <w:p>
            <w:pPr>
              <w:ind w:left="780"/>
              <w:spacing w:after="0"/>
              <w:rPr>
                <w:sz w:val="20"/>
                <w:szCs w:val="20"/>
                <w:color w:val="auto"/>
              </w:rPr>
            </w:pPr>
            <w:r>
              <w:rPr>
                <w:rFonts w:ascii="Courier New" w:cs="Courier New" w:eastAsia="Courier New" w:hAnsi="Courier New"/>
                <w:sz w:val="15"/>
                <w:szCs w:val="15"/>
                <w:color w:val="auto"/>
                <w:w w:val="99"/>
              </w:rPr>
              <w:t>Consolidated</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24"/>
                <w:szCs w:val="24"/>
                <w:color w:val="auto"/>
              </w:rPr>
            </w:pPr>
          </w:p>
        </w:tc>
      </w:tr>
      <w:tr>
        <w:trPr>
          <w:trHeight w:val="170"/>
        </w:trPr>
        <w:tc>
          <w:tcPr>
            <w:tcW w:w="37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September 30, 1998, 1997 and 1996</w:t>
            </w:r>
          </w:p>
        </w:tc>
        <w:tc>
          <w:tcPr>
            <w:tcW w:w="31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F-4</w:t>
            </w:r>
          </w:p>
        </w:tc>
      </w:tr>
      <w:tr>
        <w:trPr>
          <w:trHeight w:val="339"/>
        </w:trPr>
        <w:tc>
          <w:tcPr>
            <w:tcW w:w="1880" w:type="dxa"/>
            <w:vAlign w:val="bottom"/>
          </w:tcPr>
          <w:p>
            <w:pPr>
              <w:ind w:left="780"/>
              <w:spacing w:after="0"/>
              <w:rPr>
                <w:sz w:val="20"/>
                <w:szCs w:val="20"/>
                <w:color w:val="auto"/>
              </w:rPr>
            </w:pPr>
            <w:r>
              <w:rPr>
                <w:rFonts w:ascii="Courier New" w:cs="Courier New" w:eastAsia="Courier New" w:hAnsi="Courier New"/>
                <w:sz w:val="15"/>
                <w:szCs w:val="15"/>
                <w:color w:val="auto"/>
                <w:w w:val="99"/>
              </w:rPr>
              <w:t>Consolidated</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Changes in Shareholders' Equity (Deficit)</w:t>
            </w:r>
          </w:p>
        </w:tc>
        <w:tc>
          <w:tcPr>
            <w:tcW w:w="400" w:type="dxa"/>
            <w:vAlign w:val="bottom"/>
          </w:tcPr>
          <w:p>
            <w:pPr>
              <w:spacing w:after="0"/>
              <w:rPr>
                <w:sz w:val="24"/>
                <w:szCs w:val="24"/>
                <w:color w:val="auto"/>
              </w:rPr>
            </w:pPr>
          </w:p>
        </w:tc>
      </w:tr>
      <w:tr>
        <w:trPr>
          <w:trHeight w:val="170"/>
        </w:trPr>
        <w:tc>
          <w:tcPr>
            <w:tcW w:w="37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for the years ended September 30,</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1998, 1997 and 1996</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F-6</w:t>
            </w:r>
          </w:p>
        </w:tc>
      </w:tr>
      <w:tr>
        <w:trPr>
          <w:trHeight w:val="339"/>
        </w:trPr>
        <w:tc>
          <w:tcPr>
            <w:tcW w:w="1880" w:type="dxa"/>
            <w:vAlign w:val="bottom"/>
          </w:tcPr>
          <w:p>
            <w:pPr>
              <w:ind w:left="780"/>
              <w:spacing w:after="0"/>
              <w:rPr>
                <w:sz w:val="20"/>
                <w:szCs w:val="20"/>
                <w:color w:val="auto"/>
              </w:rPr>
            </w:pPr>
            <w:r>
              <w:rPr>
                <w:rFonts w:ascii="Courier New" w:cs="Courier New" w:eastAsia="Courier New" w:hAnsi="Courier New"/>
                <w:sz w:val="15"/>
                <w:szCs w:val="15"/>
                <w:color w:val="auto"/>
                <w:w w:val="99"/>
              </w:rPr>
              <w:t>Consolidated</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24"/>
                <w:szCs w:val="24"/>
                <w:color w:val="auto"/>
              </w:rPr>
            </w:pPr>
          </w:p>
        </w:tc>
      </w:tr>
      <w:tr>
        <w:trPr>
          <w:trHeight w:val="170"/>
        </w:trPr>
        <w:tc>
          <w:tcPr>
            <w:tcW w:w="37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8"/>
              </w:rPr>
              <w:t>September 30, 1998, 1997 and 1996</w:t>
            </w:r>
          </w:p>
        </w:tc>
        <w:tc>
          <w:tcPr>
            <w:tcW w:w="31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F-7</w:t>
            </w:r>
          </w:p>
        </w:tc>
      </w:tr>
    </w:tbl>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rPr>
          <w:sz w:val="20"/>
          <w:szCs w:val="20"/>
          <w:color w:val="auto"/>
        </w:rPr>
      </w:pPr>
      <w:r>
        <w:rPr>
          <w:rFonts w:ascii="Courier New" w:cs="Courier New" w:eastAsia="Courier New" w:hAnsi="Courier New"/>
          <w:sz w:val="15"/>
          <w:szCs w:val="15"/>
          <w:color w:val="auto"/>
        </w:rPr>
        <w:t>November 8, 1998</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As of September 30,</w:t>
            </w:r>
          </w:p>
        </w:tc>
      </w:tr>
      <w:tr>
        <w:trPr>
          <w:trHeight w:val="170"/>
        </w:trPr>
        <w:tc>
          <w:tcPr>
            <w:tcW w:w="5200" w:type="dxa"/>
            <w:vAlign w:val="bottom"/>
          </w:tcPr>
          <w:p>
            <w:pPr>
              <w:spacing w:after="0"/>
              <w:rPr>
                <w:sz w:val="14"/>
                <w:szCs w:val="1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53,732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including unbilled of</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$10,331 in 1998 and $2,031 in 1997</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79,723</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48,565</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including unbilled of $537 in 1998</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and $0 in 1997</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10,235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15,393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14,534</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12,532</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11,991</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6,161</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141,872</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136,383</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improvements, net</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46,404</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7,773</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4,587</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23,362</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25,982</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20,555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$ 239,966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$ 220,582</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47,599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30,543</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Accrued personnel costs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29,948</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23,098</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Short-term financing arrangements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91,565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Unearned revenue</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29,241</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17,440</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Notes payable to related parties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Short-term portion of capital lease</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obligations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2,952</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1,954</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Forward exchange contracts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2,926</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 and deferred</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income taxes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21,919</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20,151</w:t>
            </w:r>
          </w:p>
        </w:tc>
      </w:tr>
      <w:tr>
        <w:trPr>
          <w:trHeight w:val="170"/>
        </w:trPr>
        <w:tc>
          <w:tcPr>
            <w:tcW w:w="5200" w:type="dxa"/>
            <w:vAlign w:val="bottom"/>
          </w:tcPr>
          <w:p>
            <w:pPr>
              <w:spacing w:after="0"/>
              <w:rPr>
                <w:sz w:val="14"/>
                <w:szCs w:val="14"/>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226,150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98,452</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18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2,222</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9,215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1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24,268</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 (deficit):</w:t>
      </w:r>
    </w:p>
    <w:p>
      <w:pPr>
        <w:ind w:left="440"/>
        <w:spacing w:after="0"/>
        <w:rPr>
          <w:sz w:val="20"/>
          <w:szCs w:val="20"/>
          <w:color w:val="auto"/>
        </w:rPr>
      </w:pPr>
      <w:r>
        <w:rPr>
          <w:rFonts w:ascii="Courier New" w:cs="Courier New" w:eastAsia="Courier New" w:hAnsi="Courier New"/>
          <w:sz w:val="15"/>
          <w:szCs w:val="15"/>
          <w:color w:val="auto"/>
        </w:rPr>
        <w:t>Preferred Shares - Authorized 25,000 shares;</w:t>
      </w:r>
    </w:p>
    <w:p>
      <w:pPr>
        <w:sectPr>
          <w:pgSz w:w="11900" w:h="16838" w:orient="portrait"/>
          <w:cols w:equalWidth="0" w:num="1">
            <w:col w:w="10219"/>
          </w:cols>
          <w:pgMar w:left="240" w:top="283" w:right="1440" w:bottom="1440" w:gutter="0" w:footer="0" w:header="0"/>
        </w:sectPr>
      </w:pPr>
    </w:p>
    <w:p>
      <w:pPr>
        <w:ind w:left="440"/>
        <w:spacing w:after="0"/>
        <w:tabs>
          <w:tab w:leader="none" w:pos="3240" w:val="left"/>
        </w:tabs>
        <w:rPr>
          <w:sz w:val="20"/>
          <w:szCs w:val="20"/>
          <w:color w:val="auto"/>
        </w:rPr>
      </w:pPr>
      <w:r>
        <w:rPr>
          <w:rFonts w:ascii="Courier New" w:cs="Courier New" w:eastAsia="Courier New" w:hAnsi="Courier New"/>
          <w:sz w:val="15"/>
          <w:szCs w:val="15"/>
          <w:color w:val="auto"/>
        </w:rPr>
        <w:t>pound sterling 0.01 par value;</w:t>
      </w:r>
      <w:r>
        <w:rPr>
          <w:sz w:val="20"/>
          <w:szCs w:val="20"/>
          <w:color w:val="auto"/>
        </w:rPr>
        <w:tab/>
      </w:r>
      <w:r>
        <w:rPr>
          <w:rFonts w:ascii="Courier New" w:cs="Courier New" w:eastAsia="Courier New" w:hAnsi="Courier New"/>
          <w:sz w:val="14"/>
          <w:szCs w:val="14"/>
          <w:color w:val="auto"/>
        </w:rPr>
        <w:t>0 shares issued and outstanding</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6240" w:space="720"/>
            <w:col w:w="500" w:space="720"/>
            <w:col w:w="2039"/>
          </w:cols>
          <w:pgMar w:left="240" w:top="283"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Ordinary Shares - Authorized 550,000 shares;</w:t>
      </w:r>
    </w:p>
    <w:p>
      <w:pPr>
        <w:ind w:left="440"/>
        <w:spacing w:after="0"/>
        <w:rPr>
          <w:sz w:val="20"/>
          <w:szCs w:val="20"/>
          <w:color w:val="auto"/>
        </w:rPr>
      </w:pPr>
      <w:r>
        <w:rPr>
          <w:rFonts w:ascii="Courier New" w:cs="Courier New" w:eastAsia="Courier New" w:hAnsi="Courier New"/>
          <w:sz w:val="15"/>
          <w:szCs w:val="15"/>
          <w:color w:val="auto"/>
        </w:rPr>
        <w:t>pound sterling 0.01 par value;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196,800 and 124,708 outstanding, respectively</w:t>
      </w:r>
    </w:p>
    <w:p>
      <w:pPr>
        <w:sectPr>
          <w:pgSz w:w="11900" w:h="16838" w:orient="portrait"/>
          <w:cols w:equalWidth="0" w:num="1">
            <w:col w:w="10219"/>
          </w:cols>
          <w:pgMar w:left="240" w:top="283" w:right="1440"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76</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(1998 - 30,235 Non Voting Ordinary Shares and</w:t>
            </w: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166,565 Voting Ordinary Shares)</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447,503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105,779</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9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(1,495)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Unearned compensation</w:t>
            </w:r>
          </w:p>
        </w:tc>
        <w:tc>
          <w:tcPr>
            <w:tcW w:w="19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(8,947)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9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(462,099)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0"/>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rPr>
              <w:t>Total shareholders' equity (deficit)</w:t>
            </w:r>
          </w:p>
        </w:tc>
        <w:tc>
          <w:tcPr>
            <w:tcW w:w="19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(21,889)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94,253</w:t>
            </w:r>
          </w:p>
        </w:tc>
      </w:tr>
      <w:tr>
        <w:trPr>
          <w:trHeight w:val="170"/>
        </w:trPr>
        <w:tc>
          <w:tcPr>
            <w:tcW w:w="5320" w:type="dxa"/>
            <w:vAlign w:val="bottom"/>
          </w:tcPr>
          <w:p>
            <w:pPr>
              <w:spacing w:after="0"/>
              <w:rPr>
                <w:sz w:val="14"/>
                <w:szCs w:val="14"/>
                <w:color w:val="auto"/>
              </w:rPr>
            </w:pP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$ 239,966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$ 220,582</w:t>
            </w:r>
          </w:p>
        </w:tc>
      </w:tr>
      <w:tr>
        <w:trPr>
          <w:trHeight w:val="170"/>
        </w:trPr>
        <w:tc>
          <w:tcPr>
            <w:tcW w:w="5320" w:type="dxa"/>
            <w:vAlign w:val="bottom"/>
          </w:tcPr>
          <w:p>
            <w:pPr>
              <w:spacing w:after="0"/>
              <w:rPr>
                <w:sz w:val="14"/>
                <w:szCs w:val="14"/>
                <w:color w:val="auto"/>
              </w:rPr>
            </w:pP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83" w:right="1440" w:bottom="1440" w:gutter="0" w:footer="0" w:header="0"/>
        </w:sectPr>
      </w:pPr>
    </w:p>
    <w:bookmarkStart w:id="76" w:name="page77"/>
    <w:bookmarkEnd w:id="76"/>
    <w:p>
      <w:pPr>
        <w:ind w:left="270"/>
        <w:spacing w:after="0"/>
        <w:rPr>
          <w:sz w:val="20"/>
          <w:szCs w:val="20"/>
          <w:color w:val="auto"/>
        </w:rPr>
      </w:pPr>
      <w:r>
        <w:rPr>
          <w:rFonts w:ascii="Courier New" w:cs="Courier New" w:eastAsia="Courier New" w:hAnsi="Courier New"/>
          <w:sz w:val="15"/>
          <w:szCs w:val="15"/>
          <w:color w:val="auto"/>
        </w:rPr>
        <w:t>77</w:t>
      </w:r>
    </w:p>
    <w:p>
      <w:pPr>
        <w:ind w:left="10"/>
        <w:spacing w:after="0"/>
        <w:rPr>
          <w:sz w:val="20"/>
          <w:szCs w:val="20"/>
          <w:color w:val="auto"/>
        </w:rPr>
      </w:pPr>
      <w:r>
        <w:rPr>
          <w:rFonts w:ascii="Courier New" w:cs="Courier New" w:eastAsia="Courier New" w:hAnsi="Courier New"/>
          <w:sz w:val="15"/>
          <w:szCs w:val="15"/>
          <w:color w:val="auto"/>
        </w:rPr>
        <w:t>CONSOLIDATED STATEMENTS OF OPERATIONS</w:t>
      </w: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4140" w:type="dxa"/>
            <w:vAlign w:val="bottom"/>
          </w:tcPr>
          <w:p>
            <w:pPr>
              <w:spacing w:after="0"/>
              <w:rPr>
                <w:sz w:val="14"/>
                <w:szCs w:val="14"/>
                <w:color w:val="auto"/>
              </w:rPr>
            </w:pPr>
          </w:p>
        </w:tc>
        <w:tc>
          <w:tcPr>
            <w:tcW w:w="3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License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$ 42,891</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Service (*)</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360,876</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403,767</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Cost of license (*)</w:t>
            </w:r>
          </w:p>
        </w:tc>
        <w:tc>
          <w:tcPr>
            <w:tcW w:w="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Cost of service (*)</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231,360</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 (*)</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Nonrecurring charges (*)</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318,872</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expense, net (*)</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accounting principle, net of $277 tax</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Income before cumulative effect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a change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accounting principle (less than $0.01)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Income before cumulative effect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a change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accounting principle (less than $0.01)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414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450" w:right="3439" w:hanging="450"/>
        <w:spacing w:after="0" w:line="235"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year ended</w:t>
      </w:r>
    </w:p>
    <w:p>
      <w:pPr>
        <w:sectPr>
          <w:pgSz w:w="11900" w:h="16838" w:orient="portrait"/>
          <w:cols w:equalWidth="0" w:num="1">
            <w:col w:w="10229"/>
          </w:cols>
          <w:pgMar w:left="23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5" w:lineRule="exact"/>
        <w:rPr>
          <w:sz w:val="20"/>
          <w:szCs w:val="20"/>
          <w:color w:val="auto"/>
        </w:rPr>
      </w:pPr>
    </w:p>
    <w:p>
      <w:pPr>
        <w:ind w:left="440" w:right="3259"/>
        <w:spacing w:after="0" w:line="238" w:lineRule="auto"/>
        <w:rPr>
          <w:sz w:val="20"/>
          <w:szCs w:val="20"/>
          <w:color w:val="auto"/>
        </w:rPr>
      </w:pPr>
      <w:r>
        <w:rPr>
          <w:rFonts w:ascii="Courier New" w:cs="Courier New" w:eastAsia="Courier New" w:hAnsi="Courier New"/>
          <w:sz w:val="15"/>
          <w:szCs w:val="15"/>
          <w:color w:val="auto"/>
        </w:rPr>
        <w:t>September 30, 1998, 1997 and 1996, respectively: License revenue - $2,300, $0, and $2,000; service revenue - $82,100, $100,500 and $76,500; cost of license - $0, $(3,382) and $(4,011); cost of service - $(2,325), $(2,523) and $(1,966); selling, general and administrative - $(510), $(377) and $(294); other expense, net - $(6,268), $0 and $0 (Note 3); nonrecurring charges - $0, $(1,800) and $0 (Note 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Unrealized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Retained</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480" w:type="dxa"/>
            <w:vAlign w:val="bottom"/>
          </w:tcPr>
          <w:p>
            <w:pPr>
              <w:spacing w:after="0"/>
              <w:rPr>
                <w:sz w:val="14"/>
                <w:szCs w:val="14"/>
                <w:color w:val="auto"/>
              </w:rPr>
            </w:pPr>
          </w:p>
        </w:tc>
        <w:tc>
          <w:tcPr>
            <w:tcW w:w="1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Ordinary Shares</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 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Earnings</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3480" w:type="dxa"/>
            <w:vAlign w:val="bottom"/>
          </w:tcPr>
          <w:p>
            <w:pPr>
              <w:spacing w:after="0"/>
              <w:rPr>
                <w:sz w:val="14"/>
                <w:szCs w:val="14"/>
                <w:color w:val="auto"/>
              </w:rPr>
            </w:pP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Paid-in</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derivative</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Unearned</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(Accumulated</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348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instruments</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Compensation</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Deficit)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107,934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$ 1,727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13,354</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29,429</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24,508</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(37,949)</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(37,949)</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107,916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1,727</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14,348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15,988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5,876</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(19,311)</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(19,311)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16,792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91,431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91,700</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124,708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105,779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(13,522)</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94,253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30,107</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30,107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instruments, net of $640 tax</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(1,495)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(478,684)</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(478,684)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54,092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97,583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98,448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Ordinary Shares, net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233,902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234,190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net of forfeitures</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10,239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(10,239)</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1,292</w:t>
            </w:r>
          </w:p>
        </w:tc>
        <w:tc>
          <w:tcPr>
            <w:tcW w:w="16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1,292</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196,800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$ 3,149</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447,503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(8,947)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(462,099)</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r>
      <w:tr>
        <w:trPr>
          <w:trHeight w:val="170"/>
        </w:trPr>
        <w:tc>
          <w:tcPr>
            <w:tcW w:w="348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283" w:right="139"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 ended September 30,</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spacing w:after="0"/>
              <w:rPr>
                <w:sz w:val="14"/>
                <w:szCs w:val="14"/>
                <w:color w:val="auto"/>
              </w:rPr>
            </w:pPr>
          </w:p>
        </w:tc>
        <w:tc>
          <w:tcPr>
            <w:tcW w:w="53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spacing w:after="0"/>
              <w:rPr>
                <w:sz w:val="14"/>
                <w:szCs w:val="14"/>
                <w:color w:val="auto"/>
              </w:rPr>
            </w:pPr>
          </w:p>
        </w:tc>
        <w:tc>
          <w:tcPr>
            <w:tcW w:w="16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30,107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5,876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 operating</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12,611</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8,066</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5,223</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16,485</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equipment</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137</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(11,868)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4,861</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Write-off of purchased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340"/>
              <w:spacing w:after="0"/>
              <w:rPr>
                <w:sz w:val="20"/>
                <w:szCs w:val="20"/>
                <w:color w:val="auto"/>
              </w:rPr>
            </w:pPr>
            <w:r>
              <w:rPr>
                <w:rFonts w:ascii="Courier New" w:cs="Courier New" w:eastAsia="Courier New" w:hAnsi="Courier New"/>
                <w:sz w:val="15"/>
                <w:szCs w:val="15"/>
                <w:color w:val="auto"/>
              </w:rPr>
              <w:t>computer software</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1,800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and liabilities: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(26,000)</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(19,357)</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(5,244)</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1,258</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assets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(3,324)</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(3,958)</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23,906</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20,971</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Forward exchange contracts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5,148</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Unearned revenue</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11,800</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6,730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5,697</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(1,429)</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11,225</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3,979</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liabilities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5,760</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4,843</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3,598</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 derivative instruments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(1,495)</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9,122</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21,712</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66,483</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26,051</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33,908</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889</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959</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and leasehold improvements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(26,566)</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(10,213)</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property rights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(40,000)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(25,677)</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(49,254)</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(478,684)</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(18,000)</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Ordinary Shares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330,638</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91,700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(269,946)</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3"/>
              </w:rPr>
              <w:t>(155,190)</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(130,358)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358,862</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140,360</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137,872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long term debt</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364,127</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Principal payments on long term debt</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(368,521)</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(2,357)</w:t>
            </w:r>
          </w:p>
        </w:tc>
        <w:tc>
          <w:tcPr>
            <w:tcW w:w="1160" w:type="dxa"/>
            <w:vAlign w:val="bottom"/>
          </w:tcPr>
          <w:p>
            <w:pPr>
              <w:spacing w:after="0"/>
              <w:rPr>
                <w:sz w:val="14"/>
                <w:szCs w:val="14"/>
                <w:color w:val="auto"/>
              </w:rPr>
            </w:pP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(1,286)</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 payable</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(3,268)</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3,268</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(69,149)</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60,852</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(28,343)</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37,649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53,732</w:t>
            </w:r>
          </w:p>
        </w:tc>
        <w:tc>
          <w:tcPr>
            <w:tcW w:w="11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16,083</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20,214</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53,732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16,083</w:t>
            </w:r>
          </w:p>
        </w:tc>
      </w:tr>
      <w:tr>
        <w:trPr>
          <w:trHeight w:val="170"/>
        </w:trPr>
        <w:tc>
          <w:tcPr>
            <w:tcW w:w="484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20"/>
          </w:cols>
          <w:pgMar w:left="240" w:top="283" w:right="1439"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September 30,</w:t>
            </w:r>
          </w:p>
        </w:tc>
        <w:tc>
          <w:tcPr>
            <w:tcW w:w="70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24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180" w:type="dxa"/>
            <w:vAlign w:val="bottom"/>
          </w:tcPr>
          <w:p>
            <w:pPr>
              <w:spacing w:after="0"/>
              <w:rPr>
                <w:sz w:val="14"/>
                <w:szCs w:val="14"/>
                <w:color w:val="auto"/>
              </w:rPr>
            </w:pPr>
          </w:p>
        </w:tc>
        <w:tc>
          <w:tcPr>
            <w:tcW w:w="1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1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1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Income taxes, net of refunds</w:t>
            </w:r>
          </w:p>
        </w:tc>
        <w:tc>
          <w:tcPr>
            <w:tcW w:w="1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$32,472</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$18,352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$1,475</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1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25,150</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1,036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jc w:val="right"/>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SEPTEMBER 30, 1998</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5"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7" w:lineRule="exact"/>
        <w:rPr>
          <w:sz w:val="20"/>
          <w:szCs w:val="20"/>
          <w:color w:val="auto"/>
        </w:rPr>
      </w:pPr>
    </w:p>
    <w:p>
      <w:pPr>
        <w:ind w:left="880" w:right="3539"/>
        <w:spacing w:after="0" w:line="257" w:lineRule="auto"/>
        <w:rPr>
          <w:sz w:val="20"/>
          <w:szCs w:val="20"/>
          <w:color w:val="auto"/>
        </w:rPr>
      </w:pPr>
      <w:r>
        <w:rPr>
          <w:rFonts w:ascii="Courier New" w:cs="Courier New" w:eastAsia="Courier New" w:hAnsi="Courier New"/>
          <w:sz w:val="14"/>
          <w:szCs w:val="14"/>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33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880" w:right="3359"/>
        <w:spacing w:after="0" w:line="237"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CONSOLIDATION</w:t>
      </w:r>
    </w:p>
    <w:p>
      <w:pPr>
        <w:spacing w:after="0" w:line="175" w:lineRule="exact"/>
        <w:rPr>
          <w:sz w:val="20"/>
          <w:szCs w:val="20"/>
          <w:color w:val="auto"/>
        </w:rPr>
      </w:pPr>
    </w:p>
    <w:p>
      <w:pPr>
        <w:ind w:left="880" w:right="3179"/>
        <w:spacing w:after="0" w:line="260" w:lineRule="auto"/>
        <w:rPr>
          <w:sz w:val="20"/>
          <w:szCs w:val="20"/>
          <w:color w:val="auto"/>
        </w:rPr>
      </w:pPr>
      <w:r>
        <w:rPr>
          <w:rFonts w:ascii="Courier New" w:cs="Courier New" w:eastAsia="Courier New" w:hAnsi="Courier New"/>
          <w:sz w:val="14"/>
          <w:szCs w:val="14"/>
          <w:color w:val="auto"/>
        </w:rPr>
        <w:t>The financial statements include the accounts of the Company and all its subsidiaries, which are wholly owned. All significant intercompany transactions and balances have been eliminated in consolidation.</w:t>
      </w:r>
    </w:p>
    <w:p>
      <w:pPr>
        <w:spacing w:after="0" w:line="3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FUNCTIONAL CURRENCY</w:t>
      </w:r>
    </w:p>
    <w:p>
      <w:pPr>
        <w:spacing w:after="0" w:line="175" w:lineRule="exact"/>
        <w:rPr>
          <w:sz w:val="20"/>
          <w:szCs w:val="20"/>
          <w:color w:val="auto"/>
        </w:rPr>
      </w:pPr>
    </w:p>
    <w:p>
      <w:pPr>
        <w:ind w:left="880" w:right="3439"/>
        <w:spacing w:after="0" w:line="237"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ectPr>
          <w:pgSz w:w="11900" w:h="16838" w:orient="portrait"/>
          <w:cols w:equalWidth="0" w:num="1">
            <w:col w:w="10219"/>
          </w:cols>
          <w:pgMar w:left="240" w:top="28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83</w:t>
      </w:r>
    </w:p>
    <w:p>
      <w:pPr>
        <w:ind w:left="8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5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jc w:val="both"/>
        <w:ind w:left="620" w:right="3359"/>
        <w:spacing w:after="0" w:line="237" w:lineRule="auto"/>
        <w:rPr>
          <w:sz w:val="20"/>
          <w:szCs w:val="20"/>
          <w:color w:val="auto"/>
        </w:rPr>
      </w:pPr>
      <w:r>
        <w:rPr>
          <w:rFonts w:ascii="Courier New" w:cs="Courier New" w:eastAsia="Courier New" w:hAnsi="Courier New"/>
          <w:sz w:val="15"/>
          <w:szCs w:val="15"/>
          <w:color w:val="auto"/>
        </w:rPr>
        <w:t>Cash and cash equivalents consist of cash and short-term investments with insignificant interest rate risk and original maturities of 90 days or less.</w:t>
      </w:r>
    </w:p>
    <w:p>
      <w:pPr>
        <w:spacing w:after="0" w:line="33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7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9" w:lineRule="exact"/>
        <w:rPr>
          <w:sz w:val="20"/>
          <w:szCs w:val="20"/>
          <w:color w:val="auto"/>
        </w:rPr>
      </w:pPr>
    </w:p>
    <w:p>
      <w:pPr>
        <w:ind w:left="620" w:right="3259"/>
        <w:spacing w:after="0" w:line="238"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6"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7" w:lineRule="exact"/>
        <w:rPr>
          <w:sz w:val="20"/>
          <w:szCs w:val="20"/>
          <w:color w:val="auto"/>
        </w:rPr>
      </w:pPr>
    </w:p>
    <w:p>
      <w:pPr>
        <w:ind w:left="620" w:right="3439"/>
        <w:spacing w:after="0" w:line="237"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left="620" w:right="3179"/>
        <w:spacing w:after="0" w:line="235"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w:t>
      </w:r>
    </w:p>
    <w:p>
      <w:pPr>
        <w:sectPr>
          <w:pgSz w:w="11900" w:h="16838" w:orient="portrait"/>
          <w:cols w:equalWidth="0" w:num="1">
            <w:col w:w="9959"/>
          </w:cols>
          <w:pgMar w:left="500" w:top="283"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84</w:t>
      </w: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4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620" w:right="3259"/>
        <w:spacing w:after="0" w:line="235" w:lineRule="auto"/>
        <w:rPr>
          <w:sz w:val="20"/>
          <w:szCs w:val="20"/>
          <w:color w:val="auto"/>
        </w:rPr>
      </w:pPr>
      <w:r>
        <w:rPr>
          <w:rFonts w:ascii="Courier New" w:cs="Courier New" w:eastAsia="Courier New" w:hAnsi="Courier New"/>
          <w:sz w:val="15"/>
          <w:szCs w:val="15"/>
          <w:color w:val="auto"/>
        </w:rPr>
        <w:t>amortized over their estimated useful life of 10 years, on a straight line basis.</w:t>
      </w:r>
    </w:p>
    <w:p>
      <w:pPr>
        <w:spacing w:after="0" w:line="176" w:lineRule="exact"/>
        <w:rPr>
          <w:sz w:val="20"/>
          <w:szCs w:val="20"/>
          <w:color w:val="auto"/>
        </w:rPr>
      </w:pPr>
    </w:p>
    <w:p>
      <w:pPr>
        <w:ind w:left="620" w:right="3259"/>
        <w:spacing w:after="0" w:line="265" w:lineRule="auto"/>
        <w:rPr>
          <w:sz w:val="20"/>
          <w:szCs w:val="20"/>
          <w:color w:val="auto"/>
        </w:rPr>
      </w:pPr>
      <w:r>
        <w:rPr>
          <w:rFonts w:ascii="Courier New" w:cs="Courier New" w:eastAsia="Courier New" w:hAnsi="Courier New"/>
          <w:sz w:val="14"/>
          <w:szCs w:val="14"/>
          <w:color w:val="auto"/>
        </w:rPr>
        <w:t>Accumulated amortization of intellectual properties rights and computer software is $11,060 and $328 at September 30, 1998 and 1997.</w:t>
      </w:r>
    </w:p>
    <w:p>
      <w:pPr>
        <w:spacing w:after="0" w:line="32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 SPLIT</w:t>
      </w:r>
    </w:p>
    <w:p>
      <w:pPr>
        <w:spacing w:after="0" w:line="175" w:lineRule="exact"/>
        <w:rPr>
          <w:sz w:val="20"/>
          <w:szCs w:val="20"/>
          <w:color w:val="auto"/>
        </w:rPr>
      </w:pPr>
    </w:p>
    <w:p>
      <w:pPr>
        <w:ind w:left="620" w:right="3259"/>
        <w:spacing w:after="0" w:line="237"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620" w:right="3359"/>
        <w:spacing w:after="0" w:line="238"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7" w:lineRule="exact"/>
        <w:rPr>
          <w:sz w:val="20"/>
          <w:szCs w:val="20"/>
          <w:color w:val="auto"/>
        </w:rPr>
      </w:pPr>
    </w:p>
    <w:p>
      <w:pPr>
        <w:ind w:left="620" w:right="3259"/>
        <w:spacing w:after="0" w:line="238"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w:t>
      </w:r>
    </w:p>
    <w:p>
      <w:pPr>
        <w:sectPr>
          <w:pgSz w:w="11900" w:h="16838" w:orient="portrait"/>
          <w:cols w:equalWidth="0" w:num="1">
            <w:col w:w="9959"/>
          </w:cols>
          <w:pgMar w:left="500" w:top="28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85</w:t>
      </w: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4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620" w:right="3179"/>
        <w:spacing w:after="0" w:line="237" w:lineRule="auto"/>
        <w:rPr>
          <w:sz w:val="20"/>
          <w:szCs w:val="20"/>
          <w:color w:val="auto"/>
        </w:rPr>
      </w:pPr>
      <w:r>
        <w:rPr>
          <w:rFonts w:ascii="Courier New" w:cs="Courier New" w:eastAsia="Courier New" w:hAnsi="Courier New"/>
          <w:sz w:val="15"/>
          <w:szCs w:val="15"/>
          <w:color w:val="auto"/>
        </w:rPr>
        <w:t>the Company's annual and quarterly operating results may be significantly affected by the size and timing of customer projects and the Company's progress in completing such projects.</w:t>
      </w:r>
    </w:p>
    <w:p>
      <w:pPr>
        <w:spacing w:after="0" w:line="175" w:lineRule="exact"/>
        <w:rPr>
          <w:sz w:val="20"/>
          <w:szCs w:val="20"/>
          <w:color w:val="auto"/>
        </w:rPr>
      </w:pPr>
    </w:p>
    <w:p>
      <w:pPr>
        <w:ind w:left="620" w:right="3259"/>
        <w:spacing w:after="0" w:line="237"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6" w:lineRule="exact"/>
        <w:rPr>
          <w:sz w:val="20"/>
          <w:szCs w:val="20"/>
          <w:color w:val="auto"/>
        </w:rPr>
      </w:pPr>
    </w:p>
    <w:p>
      <w:pPr>
        <w:ind w:left="620" w:right="3179"/>
        <w:spacing w:after="0" w:line="258" w:lineRule="auto"/>
        <w:rPr>
          <w:sz w:val="20"/>
          <w:szCs w:val="20"/>
          <w:color w:val="auto"/>
        </w:rPr>
      </w:pPr>
      <w:r>
        <w:rPr>
          <w:rFonts w:ascii="Courier New" w:cs="Courier New" w:eastAsia="Courier New" w:hAnsi="Courier New"/>
          <w:sz w:val="14"/>
          <w:szCs w:val="14"/>
          <w:color w:val="auto"/>
        </w:rPr>
        <w:t>Included in service revenue are sales of third-party products totaling $27,016 in 1996. Revenue from sales of such products in 1998 and 1997 are less than 10 percent of total revenue and are expected to continue to be below 10 percent in the future. Such products include third-party computer hardware and computer software products.</w:t>
      </w: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7" w:lineRule="exact"/>
        <w:rPr>
          <w:sz w:val="20"/>
          <w:szCs w:val="20"/>
          <w:color w:val="auto"/>
        </w:rPr>
      </w:pPr>
    </w:p>
    <w:p>
      <w:pPr>
        <w:ind w:left="620" w:right="3359"/>
        <w:spacing w:after="0" w:line="258" w:lineRule="auto"/>
        <w:rPr>
          <w:sz w:val="20"/>
          <w:szCs w:val="20"/>
          <w:color w:val="auto"/>
        </w:rPr>
      </w:pPr>
      <w:r>
        <w:rPr>
          <w:rFonts w:ascii="Courier New" w:cs="Courier New" w:eastAsia="Courier New" w:hAnsi="Courier New"/>
          <w:sz w:val="14"/>
          <w:szCs w:val="14"/>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NONRECURRING CHARGES</w:t>
      </w:r>
    </w:p>
    <w:p>
      <w:pPr>
        <w:spacing w:after="0" w:line="175" w:lineRule="exact"/>
        <w:rPr>
          <w:sz w:val="20"/>
          <w:szCs w:val="20"/>
          <w:color w:val="auto"/>
        </w:rPr>
      </w:pPr>
    </w:p>
    <w:p>
      <w:pPr>
        <w:ind w:left="620" w:right="3259"/>
        <w:spacing w:after="0" w:line="238"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34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5" w:lineRule="exact"/>
        <w:rPr>
          <w:sz w:val="20"/>
          <w:szCs w:val="20"/>
          <w:color w:val="auto"/>
        </w:rPr>
      </w:pPr>
    </w:p>
    <w:p>
      <w:pPr>
        <w:ind w:left="620" w:right="3179"/>
        <w:spacing w:after="0" w:line="237"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STOCK-BASED COMPENSATION</w:t>
      </w:r>
    </w:p>
    <w:p>
      <w:pPr>
        <w:sectPr>
          <w:pgSz w:w="11900" w:h="16838" w:orient="portrait"/>
          <w:cols w:equalWidth="0" w:num="1">
            <w:col w:w="9959"/>
          </w:cols>
          <w:pgMar w:left="500" w:top="28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86</w:t>
      </w: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4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620" w:right="3259"/>
        <w:spacing w:after="0" w:line="257" w:lineRule="auto"/>
        <w:rPr>
          <w:sz w:val="20"/>
          <w:szCs w:val="20"/>
          <w:color w:val="auto"/>
        </w:rPr>
      </w:pPr>
      <w:r>
        <w:rPr>
          <w:rFonts w:ascii="Courier New" w:cs="Courier New" w:eastAsia="Courier New" w:hAnsi="Courier New"/>
          <w:sz w:val="14"/>
          <w:szCs w:val="14"/>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left="620" w:right="3439"/>
        <w:spacing w:after="0" w:line="238"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33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34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620" w:right="3359"/>
        <w:spacing w:after="0" w:line="235" w:lineRule="auto"/>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34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w:t>
      </w:r>
    </w:p>
    <w:p>
      <w:pPr>
        <w:sectPr>
          <w:pgSz w:w="11900" w:h="16838" w:orient="portrait"/>
          <w:cols w:equalWidth="0" w:num="1">
            <w:col w:w="9959"/>
          </w:cols>
          <w:pgMar w:left="500" w:top="28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87</w:t>
      </w: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4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jc w:val="both"/>
        <w:ind w:left="620" w:right="3179"/>
        <w:spacing w:after="0" w:line="259" w:lineRule="auto"/>
        <w:rPr>
          <w:sz w:val="20"/>
          <w:szCs w:val="20"/>
          <w:color w:val="auto"/>
        </w:rPr>
      </w:pPr>
      <w:r>
        <w:rPr>
          <w:rFonts w:ascii="Courier New" w:cs="Courier New" w:eastAsia="Courier New" w:hAnsi="Courier New"/>
          <w:sz w:val="14"/>
          <w:szCs w:val="14"/>
          <w:color w:val="auto"/>
        </w:rPr>
        <w:t>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63"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8" w:lineRule="exact"/>
        <w:rPr>
          <w:sz w:val="20"/>
          <w:szCs w:val="20"/>
          <w:color w:val="auto"/>
        </w:rPr>
      </w:pPr>
    </w:p>
    <w:p>
      <w:pPr>
        <w:ind w:left="620" w:right="3259"/>
        <w:spacing w:after="0" w:line="258" w:lineRule="auto"/>
        <w:rPr>
          <w:sz w:val="20"/>
          <w:szCs w:val="20"/>
          <w:color w:val="auto"/>
        </w:rPr>
      </w:pPr>
      <w:r>
        <w:rPr>
          <w:rFonts w:ascii="Courier New" w:cs="Courier New" w:eastAsia="Courier New" w:hAnsi="Courier New"/>
          <w:sz w:val="14"/>
          <w:szCs w:val="14"/>
          <w:color w:val="auto"/>
        </w:rPr>
        <w:t>ln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65" w:lineRule="exact"/>
        <w:rPr>
          <w:sz w:val="20"/>
          <w:szCs w:val="20"/>
          <w:color w:val="auto"/>
        </w:rPr>
      </w:pPr>
    </w:p>
    <w:p>
      <w:pPr>
        <w:ind w:left="620" w:right="3179"/>
        <w:spacing w:after="0" w:line="258" w:lineRule="auto"/>
        <w:rPr>
          <w:sz w:val="20"/>
          <w:szCs w:val="20"/>
          <w:color w:val="auto"/>
        </w:rPr>
      </w:pPr>
      <w:r>
        <w:rPr>
          <w:rFonts w:ascii="Courier New" w:cs="Courier New" w:eastAsia="Courier New" w:hAnsi="Courier New"/>
          <w:sz w:val="14"/>
          <w:szCs w:val="14"/>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6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4"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620" w:right="3179"/>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w:t>
      </w:r>
    </w:p>
    <w:p>
      <w:pPr>
        <w:sectPr>
          <w:pgSz w:w="11900" w:h="16838" w:orient="portrait"/>
          <w:cols w:equalWidth="0" w:num="1">
            <w:col w:w="9959"/>
          </w:cols>
          <w:pgMar w:left="50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80" w:right="3439"/>
        <w:spacing w:after="0" w:line="260" w:lineRule="auto"/>
        <w:rPr>
          <w:sz w:val="20"/>
          <w:szCs w:val="20"/>
          <w:color w:val="auto"/>
        </w:rPr>
      </w:pPr>
      <w:r>
        <w:rPr>
          <w:rFonts w:ascii="Courier New" w:cs="Courier New" w:eastAsia="Courier New" w:hAnsi="Courier New"/>
          <w:sz w:val="14"/>
          <w:szCs w:val="14"/>
          <w:color w:val="auto"/>
        </w:rPr>
        <w:t>significant estimates are related to contract accounting estimates used to recognize revenue under percentage of completion contracts. Actual results could differ from those estimates.</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licenses software and provides computer systems</w:t>
      </w:r>
    </w:p>
    <w:p>
      <w:pPr>
        <w:ind w:left="880"/>
        <w:spacing w:after="0"/>
        <w:rPr>
          <w:sz w:val="20"/>
          <w:szCs w:val="20"/>
          <w:color w:val="auto"/>
        </w:rPr>
      </w:pPr>
      <w:r>
        <w:rPr>
          <w:rFonts w:ascii="Courier New" w:cs="Courier New" w:eastAsia="Courier New" w:hAnsi="Courier New"/>
          <w:sz w:val="15"/>
          <w:szCs w:val="15"/>
          <w:color w:val="auto"/>
        </w:rPr>
        <w:t>integration and related services to several affiliates of a</w:t>
      </w:r>
    </w:p>
    <w:p>
      <w:pPr>
        <w:ind w:left="880"/>
        <w:spacing w:after="0"/>
        <w:rPr>
          <w:sz w:val="20"/>
          <w:szCs w:val="20"/>
          <w:color w:val="auto"/>
        </w:rPr>
      </w:pPr>
      <w:r>
        <w:rPr>
          <w:rFonts w:ascii="Courier New" w:cs="Courier New" w:eastAsia="Courier New" w:hAnsi="Courier New"/>
          <w:sz w:val="15"/>
          <w:szCs w:val="15"/>
          <w:color w:val="auto"/>
        </w:rPr>
        <w:t>significant shareholder of the Company (the "affiliates"). Revenue</w:t>
      </w:r>
    </w:p>
    <w:p>
      <w:pPr>
        <w:ind w:left="880"/>
        <w:spacing w:after="0" w:line="238" w:lineRule="auto"/>
        <w:rPr>
          <w:sz w:val="20"/>
          <w:szCs w:val="20"/>
          <w:color w:val="auto"/>
        </w:rPr>
      </w:pPr>
      <w:r>
        <w:rPr>
          <w:rFonts w:ascii="Courier New" w:cs="Courier New" w:eastAsia="Courier New" w:hAnsi="Courier New"/>
          <w:sz w:val="15"/>
          <w:szCs w:val="15"/>
          <w:color w:val="auto"/>
        </w:rPr>
        <w:t>from the affiliates totaled approximately $84,400, $100,500 and</w:t>
      </w:r>
    </w:p>
    <w:p>
      <w:pPr>
        <w:ind w:left="880"/>
        <w:spacing w:after="0"/>
        <w:rPr>
          <w:sz w:val="20"/>
          <w:szCs w:val="20"/>
          <w:color w:val="auto"/>
        </w:rPr>
      </w:pPr>
      <w:r>
        <w:rPr>
          <w:rFonts w:ascii="Courier New" w:cs="Courier New" w:eastAsia="Courier New" w:hAnsi="Courier New"/>
          <w:sz w:val="15"/>
          <w:szCs w:val="15"/>
          <w:color w:val="auto"/>
        </w:rPr>
        <w:t>$78,500 in 1998, 1997 and 1996, respectively. Through September 1997</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Company also paid royalties to the affiliates for the licensing of</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computer software. Royalty expense totaled approximately $3,400 and</w:t>
      </w:r>
    </w:p>
    <w:p>
      <w:pPr>
        <w:ind w:left="880"/>
        <w:spacing w:after="0"/>
        <w:rPr>
          <w:sz w:val="20"/>
          <w:szCs w:val="20"/>
          <w:color w:val="auto"/>
        </w:rPr>
      </w:pPr>
      <w:r>
        <w:rPr>
          <w:rFonts w:ascii="Courier New" w:cs="Courier New" w:eastAsia="Courier New" w:hAnsi="Courier New"/>
          <w:sz w:val="15"/>
          <w:szCs w:val="15"/>
          <w:color w:val="auto"/>
        </w:rPr>
        <w:t>$4,000 in 1997 and 1996, respectively. Amounts due to the affiliates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related to these royalties were $0 and $436 at September 30, 1998 and</w:t>
      </w:r>
    </w:p>
    <w:p>
      <w:pPr>
        <w:spacing w:after="0" w:line="1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1997, respectively, and were included in accounts payable and accrued</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expenses.</w:t>
      </w:r>
    </w:p>
    <w:p>
      <w:pPr>
        <w:spacing w:after="0" w:line="175" w:lineRule="exact"/>
        <w:rPr>
          <w:sz w:val="20"/>
          <w:szCs w:val="20"/>
          <w:color w:val="auto"/>
        </w:rPr>
      </w:pPr>
    </w:p>
    <w:p>
      <w:pPr>
        <w:ind w:left="880" w:right="3179"/>
        <w:spacing w:after="0" w:line="257" w:lineRule="auto"/>
        <w:rPr>
          <w:sz w:val="20"/>
          <w:szCs w:val="20"/>
          <w:color w:val="auto"/>
        </w:rPr>
      </w:pPr>
      <w:r>
        <w:rPr>
          <w:rFonts w:ascii="Courier New" w:cs="Courier New" w:eastAsia="Courier New" w:hAnsi="Courier New"/>
          <w:sz w:val="14"/>
          <w:szCs w:val="14"/>
          <w:color w:val="auto"/>
        </w:rPr>
        <w:t>On September 22, 1997, the Company purchased certain computer software and intellectual property rights from the affiliates for an aggregate amount of $40,000. As a result, the Company 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67" w:lineRule="exact"/>
        <w:rPr>
          <w:sz w:val="20"/>
          <w:szCs w:val="20"/>
          <w:color w:val="auto"/>
        </w:rPr>
      </w:pPr>
    </w:p>
    <w:p>
      <w:pPr>
        <w:ind w:left="880" w:right="3359"/>
        <w:spacing w:after="0" w:line="256" w:lineRule="auto"/>
        <w:rPr>
          <w:sz w:val="20"/>
          <w:szCs w:val="20"/>
          <w:color w:val="auto"/>
        </w:rPr>
      </w:pPr>
      <w:r>
        <w:rPr>
          <w:rFonts w:ascii="Courier New" w:cs="Courier New" w:eastAsia="Courier New" w:hAnsi="Courier New"/>
          <w:sz w:val="14"/>
          <w:szCs w:val="14"/>
          <w:color w:val="auto"/>
        </w:rPr>
        <w:t>On September 22, 1997, the Company issued junior subordinated notes payable in the aggregate amount of $3,268 to certain persons affiliated with the investors party to the Share Subscription Agreement referred to in Note 13. The notes bore an interest rate of</w:t>
      </w:r>
    </w:p>
    <w:p>
      <w:pPr>
        <w:spacing w:after="0" w:line="1" w:lineRule="exact"/>
        <w:rPr>
          <w:sz w:val="20"/>
          <w:szCs w:val="20"/>
          <w:color w:val="auto"/>
        </w:rPr>
      </w:pPr>
    </w:p>
    <w:p>
      <w:pPr>
        <w:jc w:val="both"/>
        <w:ind w:left="880" w:right="3179"/>
        <w:spacing w:after="0" w:line="235" w:lineRule="auto"/>
        <w:rPr>
          <w:sz w:val="20"/>
          <w:szCs w:val="20"/>
          <w:color w:val="auto"/>
        </w:rPr>
      </w:pPr>
      <w:r>
        <w:rPr>
          <w:rFonts w:ascii="Courier New" w:cs="Courier New" w:eastAsia="Courier New" w:hAnsi="Courier New"/>
          <w:sz w:val="15"/>
          <w:szCs w:val="15"/>
          <w:color w:val="auto"/>
        </w:rPr>
        <w:t>5.75 percent per annum and were originally due September 22, 1998. The notes were paid in March 1998.</w:t>
      </w:r>
    </w:p>
    <w:p>
      <w:pPr>
        <w:spacing w:after="0" w:line="176" w:lineRule="exact"/>
        <w:rPr>
          <w:sz w:val="20"/>
          <w:szCs w:val="20"/>
          <w:color w:val="auto"/>
        </w:rPr>
      </w:pPr>
    </w:p>
    <w:p>
      <w:pPr>
        <w:jc w:val="both"/>
        <w:ind w:left="880" w:right="3179"/>
        <w:spacing w:after="0" w:line="237"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6" w:lineRule="exact"/>
        <w:rPr>
          <w:sz w:val="20"/>
          <w:szCs w:val="20"/>
          <w:color w:val="auto"/>
        </w:rPr>
      </w:pPr>
    </w:p>
    <w:p>
      <w:pPr>
        <w:ind w:left="880" w:right="3259"/>
        <w:spacing w:after="0" w:line="258" w:lineRule="auto"/>
        <w:rPr>
          <w:sz w:val="20"/>
          <w:szCs w:val="20"/>
          <w:color w:val="auto"/>
        </w:rPr>
      </w:pPr>
      <w:r>
        <w:rPr>
          <w:rFonts w:ascii="Courier New" w:cs="Courier New" w:eastAsia="Courier New" w:hAnsi="Courier New"/>
          <w:sz w:val="14"/>
          <w:szCs w:val="14"/>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32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5" w:lineRule="exact"/>
        <w:rPr>
          <w:sz w:val="20"/>
          <w:szCs w:val="20"/>
          <w:color w:val="auto"/>
        </w:rPr>
      </w:pPr>
    </w:p>
    <w:p>
      <w:pPr>
        <w:ind w:left="880" w:right="3539"/>
        <w:spacing w:after="0" w:line="237" w:lineRule="auto"/>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N0TE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5" w:lineRule="exact"/>
        <w:rPr>
          <w:sz w:val="20"/>
          <w:szCs w:val="20"/>
          <w:color w:val="auto"/>
        </w:rPr>
      </w:pPr>
    </w:p>
    <w:p>
      <w:pPr>
        <w:ind w:left="880" w:right="3259"/>
        <w:spacing w:after="0" w:line="235" w:lineRule="auto"/>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$ 6,852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77,239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30,835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0"/>
        </w:trPr>
        <w:tc>
          <w:tcPr>
            <w:tcW w:w="32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880" w:right="3359"/>
        <w:spacing w:after="0" w:line="238"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34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18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1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$13,622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$8,222 in 1998, and $110 in 1997</w:t>
            </w:r>
          </w:p>
        </w:tc>
        <w:tc>
          <w:tcPr>
            <w:tcW w:w="1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3,778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0"/>
        </w:trPr>
        <w:tc>
          <w:tcPr>
            <w:tcW w:w="418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6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$20,555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0"/>
        </w:trPr>
        <w:tc>
          <w:tcPr>
            <w:tcW w:w="418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82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114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240" w:type="dxa"/>
            <w:vAlign w:val="bottom"/>
          </w:tcPr>
          <w:p>
            <w:pPr>
              <w:ind w:left="62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14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$32,376</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$29,695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(11,868)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0"/>
        </w:trPr>
        <w:tc>
          <w:tcPr>
            <w:tcW w:w="114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$30,385</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$17,827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0"/>
        </w:trPr>
        <w:tc>
          <w:tcPr>
            <w:tcW w:w="114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90</w:t>
      </w:r>
    </w:p>
    <w:p>
      <w:pPr>
        <w:jc w:val="center"/>
        <w:ind w:right="34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4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960" w:right="3359"/>
        <w:spacing w:after="0" w:line="259" w:lineRule="auto"/>
        <w:rPr>
          <w:sz w:val="20"/>
          <w:szCs w:val="20"/>
          <w:color w:val="auto"/>
        </w:rPr>
      </w:pPr>
      <w:r>
        <w:rPr>
          <w:rFonts w:ascii="Courier New" w:cs="Courier New" w:eastAsia="Courier New" w:hAnsi="Courier New"/>
          <w:sz w:val="14"/>
          <w:szCs w:val="14"/>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ectPr>
          <w:pgSz w:w="11900" w:h="16838" w:orient="portrait"/>
          <w:cols w:equalWidth="0" w:num="1">
            <w:col w:w="9959"/>
          </w:cols>
          <w:pgMar w:left="50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660" w:type="dxa"/>
            <w:vAlign w:val="bottom"/>
          </w:tcPr>
          <w:p>
            <w:pPr>
              <w:spacing w:after="0"/>
              <w:rPr>
                <w:sz w:val="24"/>
                <w:szCs w:val="2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5,849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7,027</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1,735</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2,184</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5,512</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22,307</w:t>
            </w:r>
          </w:p>
        </w:tc>
        <w:tc>
          <w:tcPr>
            <w:tcW w:w="12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17,119</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(7,945)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(7,945)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$ 14,362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12,371</w:t>
            </w:r>
          </w:p>
        </w:tc>
      </w:tr>
      <w:tr>
        <w:trPr>
          <w:trHeight w:val="170"/>
        </w:trPr>
        <w:tc>
          <w:tcPr>
            <w:tcW w:w="4580" w:type="dxa"/>
            <w:vAlign w:val="bottom"/>
          </w:tcPr>
          <w:p>
            <w:pPr>
              <w:spacing w:after="0"/>
              <w:rPr>
                <w:sz w:val="14"/>
                <w:szCs w:val="14"/>
                <w:color w:val="auto"/>
              </w:rPr>
            </w:pP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right="3539"/>
        <w:spacing w:after="0" w:line="235"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5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25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25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880" w:right="3179" w:hanging="449"/>
        <w:spacing w:after="0" w:line="238"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88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62" w:lineRule="exact"/>
        <w:rPr>
          <w:rFonts w:ascii="Courier New" w:cs="Courier New" w:eastAsia="Courier New" w:hAnsi="Courier New"/>
          <w:sz w:val="15"/>
          <w:szCs w:val="15"/>
          <w:color w:val="auto"/>
        </w:rPr>
      </w:pPr>
    </w:p>
    <w:p>
      <w:pPr>
        <w:ind w:left="880" w:right="33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ectPr>
          <w:pgSz w:w="11900" w:h="16838" w:orient="portrait"/>
          <w:cols w:equalWidth="0" w:num="1">
            <w:col w:w="10219"/>
          </w:cols>
          <w:pgMar w:left="24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92</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jc w:val="both"/>
        <w:ind w:left="880" w:right="3359"/>
        <w:spacing w:after="0" w:line="237" w:lineRule="auto"/>
        <w:rPr>
          <w:sz w:val="20"/>
          <w:szCs w:val="20"/>
          <w:color w:val="auto"/>
        </w:rPr>
      </w:pPr>
      <w:r>
        <w:rPr>
          <w:rFonts w:ascii="Courier New" w:cs="Courier New" w:eastAsia="Courier New" w:hAnsi="Courier New"/>
          <w:sz w:val="15"/>
          <w:szCs w:val="15"/>
          <w:color w:val="auto"/>
        </w:rPr>
        <w:t>The Company's assumption is that it is more likely than not that all the net deferred tax assets will be realized through future taxable earnings.</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5" w:lineRule="exact"/>
        <w:rPr>
          <w:sz w:val="20"/>
          <w:szCs w:val="20"/>
          <w:color w:val="auto"/>
        </w:rPr>
      </w:pPr>
    </w:p>
    <w:p>
      <w:pPr>
        <w:ind w:left="880" w:right="3179"/>
        <w:spacing w:after="0" w:line="257"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5" w:lineRule="exact"/>
        <w:rPr>
          <w:sz w:val="20"/>
          <w:szCs w:val="20"/>
          <w:color w:val="auto"/>
        </w:rPr>
      </w:pPr>
    </w:p>
    <w:p>
      <w:pPr>
        <w:ind w:left="880" w:right="3259"/>
        <w:spacing w:after="0" w:line="258" w:lineRule="auto"/>
        <w:rPr>
          <w:sz w:val="20"/>
          <w:szCs w:val="20"/>
          <w:color w:val="auto"/>
        </w:rPr>
      </w:pPr>
      <w:r>
        <w:rPr>
          <w:rFonts w:ascii="Courier New" w:cs="Courier New" w:eastAsia="Courier New" w:hAnsi="Courier New"/>
          <w:sz w:val="14"/>
          <w:szCs w:val="14"/>
          <w:color w:val="auto"/>
        </w:rPr>
        <w:t>Under a credit agreement with the First International Bank of Israel, the Company's subsidiary in the State of Israel may borrow up to $40,000 under a short term credit line. At September 30, 1998, the outstanding balance was $32,565. The short term credit line bears a variable interest rate (6.7 percent at September 30, 1998).</w:t>
      </w:r>
    </w:p>
    <w:p>
      <w:pPr>
        <w:spacing w:after="0" w:line="16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In addition, the Company has short term revolving credit line totaling $7,000 from the FIBI BANK (UK) plc. As of September 30, 1998, the Company used approximately $4,500 of this revolving credit facility to support outstanding letters of credit.</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Company's financing transactions for the year are described below:</w:t>
      </w:r>
    </w:p>
    <w:p>
      <w:pPr>
        <w:spacing w:after="0" w:line="180" w:lineRule="exact"/>
        <w:rPr>
          <w:sz w:val="20"/>
          <w:szCs w:val="20"/>
          <w:color w:val="auto"/>
        </w:rPr>
      </w:pPr>
    </w:p>
    <w:p>
      <w:pPr>
        <w:ind w:left="880" w:right="3359"/>
        <w:spacing w:after="0" w:line="238"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 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left="880" w:right="3359"/>
        <w:spacing w:after="0" w:line="257" w:lineRule="auto"/>
        <w:rPr>
          <w:sz w:val="20"/>
          <w:szCs w:val="20"/>
          <w:color w:val="auto"/>
        </w:rPr>
      </w:pPr>
      <w:r>
        <w:rPr>
          <w:rFonts w:ascii="Courier New" w:cs="Courier New" w:eastAsia="Courier New" w:hAnsi="Courier New"/>
          <w:sz w:val="14"/>
          <w:szCs w:val="14"/>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w:t>
      </w:r>
    </w:p>
    <w:p>
      <w:pPr>
        <w:sectPr>
          <w:pgSz w:w="11900" w:h="16838" w:orient="portrait"/>
          <w:cols w:equalWidth="0" w:num="1">
            <w:col w:w="10219"/>
          </w:cols>
          <w:pgMar w:left="24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93</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76" w:lineRule="exact"/>
        <w:rPr>
          <w:sz w:val="20"/>
          <w:szCs w:val="20"/>
          <w:color w:val="auto"/>
        </w:rPr>
      </w:pPr>
    </w:p>
    <w:p>
      <w:pPr>
        <w:ind w:left="880" w:right="3259"/>
        <w:spacing w:after="0" w:line="237"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81" w:lineRule="exact"/>
        <w:rPr>
          <w:sz w:val="20"/>
          <w:szCs w:val="20"/>
          <w:color w:val="auto"/>
        </w:rPr>
      </w:pPr>
    </w:p>
    <w:p>
      <w:pPr>
        <w:ind w:left="880" w:right="3179"/>
        <w:spacing w:after="0" w:line="259" w:lineRule="auto"/>
        <w:rPr>
          <w:sz w:val="20"/>
          <w:szCs w:val="20"/>
          <w:color w:val="auto"/>
        </w:rPr>
      </w:pPr>
      <w:r>
        <w:rPr>
          <w:rFonts w:ascii="Courier New" w:cs="Courier New" w:eastAsia="Courier New" w:hAnsi="Courier New"/>
          <w:sz w:val="14"/>
          <w:szCs w:val="14"/>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63" w:lineRule="exact"/>
        <w:rPr>
          <w:sz w:val="20"/>
          <w:szCs w:val="20"/>
          <w:color w:val="auto"/>
        </w:rPr>
      </w:pPr>
    </w:p>
    <w:p>
      <w:pPr>
        <w:ind w:left="880" w:right="3359"/>
        <w:spacing w:after="0" w:line="237" w:lineRule="auto"/>
        <w:rPr>
          <w:sz w:val="20"/>
          <w:szCs w:val="20"/>
          <w:color w:val="auto"/>
        </w:rPr>
      </w:pPr>
      <w:r>
        <w:rPr>
          <w:rFonts w:ascii="Courier New" w:cs="Courier New" w:eastAsia="Courier New" w:hAnsi="Courier New"/>
          <w:sz w:val="15"/>
          <w:szCs w:val="15"/>
          <w:color w:val="auto"/>
        </w:rPr>
        <w:t>Subordinated debt to affiliates of the shareholders in the amount of $46,000 was repaid in July 1998 from the proceeds of the Company's revolving credit facility.</w:t>
      </w:r>
    </w:p>
    <w:p>
      <w:pPr>
        <w:spacing w:after="0" w:line="175" w:lineRule="exact"/>
        <w:rPr>
          <w:sz w:val="20"/>
          <w:szCs w:val="20"/>
          <w:color w:val="auto"/>
        </w:rPr>
      </w:pPr>
    </w:p>
    <w:p>
      <w:pPr>
        <w:ind w:left="880" w:right="3539"/>
        <w:spacing w:after="0" w:line="235" w:lineRule="auto"/>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56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Ordinary Shares subscription deposit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56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0"/>
        </w:trPr>
        <w:tc>
          <w:tcPr>
            <w:tcW w:w="356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94</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(CONTINUED)</w:t>
      </w: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26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37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3,445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(24,947)</w:t>
            </w:r>
          </w:p>
        </w:tc>
        <w:tc>
          <w:tcPr>
            <w:tcW w:w="3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(1,291)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expense related to settlement of</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tax claims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w:t>
            </w:r>
          </w:p>
        </w:tc>
        <w:tc>
          <w:tcPr>
            <w:tcW w:w="3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(2,624)</w:t>
            </w:r>
          </w:p>
        </w:tc>
        <w:tc>
          <w:tcPr>
            <w:tcW w:w="32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0"/>
        </w:trPr>
        <w:tc>
          <w:tcPr>
            <w:tcW w:w="37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37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5" w:lineRule="exact"/>
        <w:rPr>
          <w:sz w:val="20"/>
          <w:szCs w:val="20"/>
          <w:color w:val="auto"/>
        </w:rPr>
      </w:pPr>
    </w:p>
    <w:p>
      <w:pPr>
        <w:ind w:left="880" w:right="3259"/>
        <w:spacing w:after="0" w:line="237" w:lineRule="auto"/>
        <w:rPr>
          <w:sz w:val="20"/>
          <w:szCs w:val="20"/>
          <w:color w:val="auto"/>
        </w:rPr>
      </w:pPr>
      <w:r>
        <w:rPr>
          <w:rFonts w:ascii="Courier New" w:cs="Courier New" w:eastAsia="Courier New" w:hAnsi="Courier New"/>
          <w:sz w:val="15"/>
          <w:szCs w:val="15"/>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1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THE YEAR ENDED SEPTEMBER 30,</w:t>
      </w:r>
    </w:p>
    <w:p>
      <w:pPr>
        <w:ind w:left="8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1999</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  9,700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2000</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10,600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2001</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10,300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2002</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8,400</w:t>
            </w:r>
          </w:p>
        </w:tc>
      </w:tr>
      <w:tr>
        <w:trPr>
          <w:trHeight w:val="170"/>
        </w:trPr>
        <w:tc>
          <w:tcPr>
            <w:tcW w:w="2900" w:type="dxa"/>
            <w:vAlign w:val="bottom"/>
          </w:tcPr>
          <w:p>
            <w:pPr>
              <w:jc w:val="right"/>
              <w:ind w:right="2487"/>
              <w:spacing w:after="0"/>
              <w:rPr>
                <w:sz w:val="20"/>
                <w:szCs w:val="20"/>
                <w:color w:val="auto"/>
              </w:rPr>
            </w:pPr>
            <w:r>
              <w:rPr>
                <w:rFonts w:ascii="Courier New" w:cs="Courier New" w:eastAsia="Courier New" w:hAnsi="Courier New"/>
                <w:sz w:val="15"/>
                <w:szCs w:val="15"/>
                <w:color w:val="auto"/>
                <w:w w:val="88"/>
              </w:rPr>
              <w:t>2003</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7,400</w:t>
            </w:r>
          </w:p>
        </w:tc>
      </w:tr>
      <w:tr>
        <w:trPr>
          <w:trHeight w:val="170"/>
        </w:trPr>
        <w:tc>
          <w:tcPr>
            <w:tcW w:w="29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$ 46,400</w:t>
            </w:r>
          </w:p>
        </w:tc>
      </w:tr>
      <w:tr>
        <w:trPr>
          <w:trHeight w:val="170"/>
        </w:trPr>
        <w:tc>
          <w:tcPr>
            <w:tcW w:w="29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880" w:right="3439"/>
        <w:spacing w:after="0" w:line="259" w:lineRule="auto"/>
        <w:rPr>
          <w:sz w:val="20"/>
          <w:szCs w:val="20"/>
          <w:color w:val="auto"/>
        </w:rPr>
      </w:pPr>
      <w:r>
        <w:rPr>
          <w:rFonts w:ascii="Courier New" w:cs="Courier New" w:eastAsia="Courier New" w:hAnsi="Courier New"/>
          <w:sz w:val="14"/>
          <w:szCs w:val="14"/>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w:t>
      </w:r>
    </w:p>
    <w:p>
      <w:pPr>
        <w:sectPr>
          <w:pgSz w:w="11900" w:h="16838" w:orient="portrait"/>
          <w:cols w:equalWidth="0" w:num="1">
            <w:col w:w="10219"/>
          </w:cols>
          <w:pgMar w:left="24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3"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CAPITAL TRANSACTIONS</w:t>
      </w:r>
    </w:p>
    <w:p>
      <w:pPr>
        <w:spacing w:after="0" w:line="175"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 to repay interest and principal relating to $183,750 outstanding term loans made in December 1997 and $49,000 out of the $123,500 10 percent subordinated debt issued in January 1998.</w:t>
      </w:r>
    </w:p>
    <w:p>
      <w:pPr>
        <w:spacing w:after="0" w:line="177"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8"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83" w:lineRule="exact"/>
        <w:rPr>
          <w:sz w:val="20"/>
          <w:szCs w:val="20"/>
          <w:color w:val="auto"/>
        </w:rPr>
      </w:pPr>
    </w:p>
    <w:p>
      <w:pPr>
        <w:ind w:left="780" w:right="3259"/>
        <w:spacing w:after="0" w:line="260" w:lineRule="auto"/>
        <w:rPr>
          <w:sz w:val="20"/>
          <w:szCs w:val="20"/>
          <w:color w:val="auto"/>
        </w:rPr>
      </w:pPr>
      <w:r>
        <w:rPr>
          <w:rFonts w:ascii="Courier New" w:cs="Courier New" w:eastAsia="Courier New" w:hAnsi="Courier New"/>
          <w:sz w:val="14"/>
          <w:szCs w:val="14"/>
          <w:color w:val="auto"/>
        </w:rPr>
        <w:t>In March 1998, the Company issued 51,508 Ordinary Shares according to the September 1997 Conditional Investment Agreement discussed below. Total proceeds (net of $2,600 fees) amounted to approximately $96,448.</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3" w:lineRule="exact"/>
        <w:rPr>
          <w:sz w:val="20"/>
          <w:szCs w:val="20"/>
          <w:color w:val="auto"/>
        </w:rPr>
      </w:pPr>
    </w:p>
    <w:p>
      <w:pPr>
        <w:ind w:left="780" w:right="3179"/>
        <w:spacing w:after="0" w:line="237"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6" w:lineRule="exact"/>
        <w:rPr>
          <w:sz w:val="20"/>
          <w:szCs w:val="20"/>
          <w:color w:val="auto"/>
        </w:rPr>
      </w:pPr>
    </w:p>
    <w:p>
      <w:pPr>
        <w:ind w:left="780" w:right="3179"/>
        <w:spacing w:after="0" w:line="259" w:lineRule="auto"/>
        <w:rPr>
          <w:sz w:val="20"/>
          <w:szCs w:val="20"/>
          <w:color w:val="auto"/>
        </w:rPr>
      </w:pPr>
      <w:r>
        <w:rPr>
          <w:rFonts w:ascii="Courier New" w:cs="Courier New" w:eastAsia="Courier New" w:hAnsi="Courier New"/>
          <w:sz w:val="14"/>
          <w:szCs w:val="14"/>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63"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STOCK OPTION AND INCENTIVE PLAN</w:t>
      </w:r>
    </w:p>
    <w:p>
      <w:pPr>
        <w:spacing w:after="0" w:line="175"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 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81"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97</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780" w:right="3179"/>
        <w:spacing w:after="0" w:line="237" w:lineRule="auto"/>
        <w:rPr>
          <w:sz w:val="20"/>
          <w:szCs w:val="20"/>
          <w:color w:val="auto"/>
        </w:rPr>
      </w:pPr>
      <w:r>
        <w:rPr>
          <w:rFonts w:ascii="Courier New" w:cs="Courier New" w:eastAsia="Courier New" w:hAnsi="Courier New"/>
          <w:sz w:val="15"/>
          <w:szCs w:val="15"/>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76"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6" w:lineRule="exact"/>
        <w:rPr>
          <w:sz w:val="20"/>
          <w:szCs w:val="20"/>
          <w:color w:val="auto"/>
        </w:rPr>
      </w:pPr>
    </w:p>
    <w:p>
      <w:pPr>
        <w:ind w:left="780" w:right="3619"/>
        <w:spacing w:after="0" w:line="235" w:lineRule="auto"/>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Number of</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options</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3,527.4</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3,519.6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0"/>
        </w:trPr>
        <w:tc>
          <w:tcPr>
            <w:tcW w:w="330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w:t>
      </w:r>
    </w:p>
    <w:p>
      <w:pPr>
        <w:spacing w:after="0"/>
        <w:rPr>
          <w:sz w:val="20"/>
          <w:szCs w:val="20"/>
          <w:color w:val="auto"/>
        </w:rPr>
      </w:pPr>
      <w:r>
        <w:rPr>
          <w:rFonts w:ascii="Courier New" w:cs="Courier New" w:eastAsia="Courier New" w:hAnsi="Courier New"/>
          <w:sz w:val="15"/>
          <w:szCs w:val="15"/>
          <w:color w:val="auto"/>
        </w:rPr>
        <w:t>September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Exercisable as of</w:t>
            </w:r>
          </w:p>
        </w:tc>
        <w:tc>
          <w:tcPr>
            <w:tcW w:w="800" w:type="dxa"/>
            <w:vAlign w:val="bottom"/>
          </w:tcPr>
          <w:p>
            <w:pPr>
              <w:spacing w:after="0"/>
              <w:rPr>
                <w:sz w:val="14"/>
                <w:szCs w:val="14"/>
                <w:color w:val="auto"/>
              </w:rPr>
            </w:pPr>
          </w:p>
        </w:tc>
      </w:tr>
      <w:tr>
        <w:trPr>
          <w:trHeight w:val="170"/>
        </w:trPr>
        <w:tc>
          <w:tcPr>
            <w:tcW w:w="37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Outstanding as of September 30, 1998</w:t>
            </w:r>
          </w:p>
        </w:tc>
        <w:tc>
          <w:tcPr>
            <w:tcW w:w="92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1998</w:t>
            </w:r>
          </w:p>
        </w:tc>
        <w:tc>
          <w:tcPr>
            <w:tcW w:w="800" w:type="dxa"/>
            <w:vAlign w:val="bottom"/>
          </w:tcPr>
          <w:p>
            <w:pPr>
              <w:spacing w:after="0"/>
              <w:rPr>
                <w:sz w:val="14"/>
                <w:szCs w:val="14"/>
                <w:color w:val="auto"/>
              </w:rPr>
            </w:pPr>
          </w:p>
        </w:tc>
      </w:tr>
      <w:tr>
        <w:trPr>
          <w:trHeight w:val="339"/>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c>
          <w:tcPr>
            <w:tcW w:w="1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remaining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Exercise</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Number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prices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life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exercisable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  1.92</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2,498.6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1.92</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9"/>
        </w:trPr>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14.00</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14.00</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339"/>
        </w:trPr>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8.75</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8.75</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780" w:right="3179"/>
        <w:spacing w:after="0" w:line="237"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bl>
    <w:p>
      <w:pPr>
        <w:sectPr>
          <w:pgSz w:w="11900" w:h="16838" w:orient="portrait"/>
          <w:cols w:equalWidth="0" w:num="1">
            <w:col w:w="10219"/>
          </w:cols>
          <w:pgMar w:left="240" w:top="28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98</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Expected annual volatility</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Expected dividend yield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4"/>
          <w:szCs w:val="14"/>
          <w:color w:val="auto"/>
        </w:rPr>
        <w:t>0.945</w:t>
      </w:r>
    </w:p>
    <w:p>
      <w:pPr>
        <w:spacing w:after="0" w:line="5" w:lineRule="exact"/>
        <w:rPr>
          <w:sz w:val="20"/>
          <w:szCs w:val="20"/>
          <w:color w:val="auto"/>
        </w:rPr>
      </w:pPr>
    </w:p>
    <w:p>
      <w:pPr>
        <w:jc w:val="right"/>
        <w:ind w:right="1419"/>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ectPr>
          <w:pgSz w:w="11900" w:h="16838" w:orient="portrait"/>
          <w:cols w:equalWidth="0" w:num="2">
            <w:col w:w="7640" w:space="720"/>
            <w:col w:w="1859"/>
          </w:cols>
          <w:pgMar w:left="240" w:top="283" w:right="1440" w:bottom="1440" w:gutter="0" w:footer="0" w:header="0"/>
          <w:type w:val="continuous"/>
        </w:sectPr>
      </w:pPr>
    </w:p>
    <w:p>
      <w:pPr>
        <w:spacing w:after="0" w:line="144" w:lineRule="exact"/>
        <w:rPr>
          <w:sz w:val="20"/>
          <w:szCs w:val="20"/>
          <w:color w:val="auto"/>
        </w:rPr>
      </w:pPr>
    </w:p>
    <w:p>
      <w:pPr>
        <w:ind w:left="780" w:right="3439"/>
        <w:spacing w:after="0" w:line="237" w:lineRule="auto"/>
        <w:rPr>
          <w:sz w:val="20"/>
          <w:szCs w:val="20"/>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in 1998 under such plans in accordance with SFAS No. 123, the Company's pro forma net income and earnings per share for the year ended September 30, 1998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508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$ 29,455</w:t>
            </w:r>
          </w:p>
        </w:tc>
      </w:t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basic earnings per share</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diluted earnings per share</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bl>
    <w:p>
      <w:pPr>
        <w:spacing w:after="0" w:line="344" w:lineRule="exact"/>
        <w:rPr>
          <w:sz w:val="20"/>
          <w:szCs w:val="20"/>
          <w:color w:val="auto"/>
        </w:rPr>
      </w:pPr>
    </w:p>
    <w:p>
      <w:pPr>
        <w:ind w:left="780" w:right="3179"/>
        <w:spacing w:after="0" w:line="237"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EARNINGS PER SHARE</w:t>
      </w:r>
    </w:p>
    <w:p>
      <w:pPr>
        <w:spacing w:after="0" w:line="175" w:lineRule="exact"/>
        <w:rPr>
          <w:sz w:val="20"/>
          <w:szCs w:val="20"/>
          <w:color w:val="auto"/>
        </w:rPr>
      </w:pPr>
    </w:p>
    <w:p>
      <w:pPr>
        <w:ind w:left="780" w:right="3539"/>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76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2860" w:type="dxa"/>
            <w:vAlign w:val="bottom"/>
            <w:gridSpan w:val="3"/>
          </w:tcPr>
          <w:p>
            <w:pPr>
              <w:jc w:val="center"/>
              <w:ind w:left="587"/>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28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8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$ 30,384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5,876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Denominator for basic earnings per share</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shares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158,528</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108,330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339"/>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Effect of dilutive contingently issuable</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78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339"/>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Effect of dilutive stock options granted</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914</w:t>
            </w:r>
          </w:p>
        </w:tc>
        <w:tc>
          <w:tcPr>
            <w:tcW w:w="440" w:type="dxa"/>
            <w:vAlign w:val="bottom"/>
          </w:tcPr>
          <w:p>
            <w:pPr>
              <w:spacing w:after="0"/>
              <w:rPr>
                <w:sz w:val="24"/>
                <w:szCs w:val="2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share -- adjusted weighted average shares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and assumed conversions</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159,442</w:t>
            </w:r>
          </w:p>
        </w:tc>
        <w:tc>
          <w:tcPr>
            <w:tcW w:w="4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110,915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0.19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0.23</w:t>
            </w:r>
          </w:p>
        </w:tc>
      </w:tr>
      <w:tr>
        <w:trPr>
          <w:trHeight w:val="170"/>
        </w:trPr>
        <w:tc>
          <w:tcPr>
            <w:tcW w:w="37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1440" w:gutter="0" w:footer="0" w:header="0"/>
          <w:type w:val="continuous"/>
        </w:sectPr>
      </w:pPr>
    </w:p>
    <w:bookmarkStart w:id="98" w:name="page99"/>
    <w:bookmarkEnd w:id="98"/>
    <w:p>
      <w:pPr>
        <w:ind w:left="270"/>
        <w:spacing w:after="0"/>
        <w:rPr>
          <w:sz w:val="20"/>
          <w:szCs w:val="20"/>
          <w:color w:val="auto"/>
        </w:rPr>
      </w:pPr>
      <w:r>
        <w:rPr>
          <w:rFonts w:ascii="Courier New" w:cs="Courier New" w:eastAsia="Courier New" w:hAnsi="Courier New"/>
          <w:sz w:val="15"/>
          <w:szCs w:val="15"/>
          <w:color w:val="auto"/>
        </w:rPr>
        <w:t>99</w:t>
      </w:r>
    </w:p>
    <w:p>
      <w:pPr>
        <w:spacing w:after="0" w:line="5" w:lineRule="exact"/>
        <w:rPr>
          <w:sz w:val="20"/>
          <w:szCs w:val="20"/>
          <w:color w:val="auto"/>
        </w:rPr>
      </w:pPr>
    </w:p>
    <w:p>
      <w:pPr>
        <w:ind w:left="115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5"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Diluted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0.19</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0.22</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150" w:space="720"/>
            <w:col w:w="720" w:space="700"/>
            <w:col w:w="700" w:space="700"/>
            <w:col w:w="3539"/>
          </w:cols>
          <w:pgMar w:left="230" w:top="283" w:right="1440" w:bottom="1440" w:gutter="0" w:footer="0" w:header="0"/>
          <w:type w:val="continuous"/>
        </w:sectPr>
      </w:pPr>
    </w:p>
    <w:p>
      <w:pPr>
        <w:spacing w:after="0" w:line="308"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GEOGRAPHIC INFORMATION</w:t>
      </w:r>
    </w:p>
    <w:p>
      <w:pPr>
        <w:spacing w:after="0" w:line="175" w:lineRule="exact"/>
        <w:rPr>
          <w:sz w:val="20"/>
          <w:szCs w:val="20"/>
          <w:color w:val="auto"/>
        </w:rPr>
      </w:pPr>
    </w:p>
    <w:p>
      <w:pPr>
        <w:ind w:left="1230" w:right="3259"/>
        <w:spacing w:after="0" w:line="237"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56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$210,867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$185,119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33,215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37,362</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36,553</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109,752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32,642</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30,763</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49,933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34,979</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$403,767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$290,102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Israel*</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$ 38,917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$ 26,779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18,346</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30,441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39,771</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7,378</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2,402</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$ 76,736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$ 68,952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20,140</w:t>
            </w:r>
          </w:p>
        </w:tc>
      </w:tr>
      <w:tr>
        <w:trPr>
          <w:trHeight w:val="170"/>
        </w:trPr>
        <w:tc>
          <w:tcPr>
            <w:tcW w:w="2420" w:type="dxa"/>
            <w:vAlign w:val="bottom"/>
          </w:tcPr>
          <w:p>
            <w:pPr>
              <w:spacing w:after="0"/>
              <w:rPr>
                <w:sz w:val="14"/>
                <w:szCs w:val="14"/>
                <w:color w:val="auto"/>
              </w:rPr>
            </w:pP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69"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ectPr>
          <w:pgSz w:w="11900" w:h="16838" w:orient="portrait"/>
          <w:cols w:equalWidth="0" w:num="1">
            <w:col w:w="10229"/>
          </w:cols>
          <w:pgMar w:left="230" w:top="283"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100</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rPr>
                <w:sz w:val="14"/>
                <w:szCs w:val="14"/>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84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7"/>
              </w:rPr>
              <w:t>Year ended September 30,</w:t>
            </w:r>
          </w:p>
        </w:tc>
      </w:tr>
      <w:tr>
        <w:trPr>
          <w:trHeight w:val="170"/>
        </w:trPr>
        <w:tc>
          <w:tcPr>
            <w:tcW w:w="1100" w:type="dxa"/>
            <w:vAlign w:val="bottom"/>
          </w:tcPr>
          <w:p>
            <w:pPr>
              <w:spacing w:after="0"/>
              <w:rPr>
                <w:sz w:val="14"/>
                <w:szCs w:val="14"/>
                <w:color w:val="auto"/>
              </w:rPr>
            </w:pPr>
          </w:p>
        </w:tc>
        <w:tc>
          <w:tcPr>
            <w:tcW w:w="40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$251,829</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$166,335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$102,481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151,938</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123,767</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109,239</w:t>
            </w:r>
          </w:p>
        </w:tc>
      </w:tr>
      <w:tr>
        <w:trPr>
          <w:trHeight w:val="170"/>
        </w:trPr>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$403,767</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$290,102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$211,720</w:t>
            </w:r>
          </w:p>
        </w:tc>
      </w:tr>
      <w:tr>
        <w:trPr>
          <w:trHeight w:val="170"/>
        </w:trPr>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SIGNIFICANT CUSTOMERS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509"/>
        </w:trPr>
        <w:tc>
          <w:tcPr>
            <w:tcW w:w="4520" w:type="dxa"/>
            <w:vAlign w:val="bottom"/>
            <w:gridSpan w:val="4"/>
          </w:tcPr>
          <w:p>
            <w:pPr>
              <w:spacing w:after="0"/>
              <w:rPr>
                <w:sz w:val="20"/>
                <w:szCs w:val="20"/>
                <w:color w:val="auto"/>
              </w:rPr>
            </w:pPr>
            <w:r>
              <w:rPr>
                <w:rFonts w:ascii="Courier New" w:cs="Courier New" w:eastAsia="Courier New" w:hAnsi="Courier New"/>
                <w:sz w:val="15"/>
                <w:szCs w:val="15"/>
                <w:color w:val="auto"/>
              </w:rPr>
              <w:t>Southwestern Bell Communications Services</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rPr>
              <w:t>Inc. and affiliates</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21%</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35%</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38%</w:t>
            </w:r>
          </w:p>
        </w:tc>
      </w:tr>
      <w:tr>
        <w:trPr>
          <w:trHeight w:val="170"/>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w w:val="98"/>
              </w:rPr>
              <w:t>BellSouth Telecommunications, Inc., and</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affiliates</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16</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Telstra Corporation Ltd.</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ind w:left="400"/>
              <w:spacing w:after="0"/>
              <w:rPr>
                <w:sz w:val="20"/>
                <w:szCs w:val="20"/>
                <w:color w:val="auto"/>
              </w:rPr>
            </w:pPr>
            <w:r>
              <w:rPr>
                <w:rFonts w:ascii="Courier New" w:cs="Courier New" w:eastAsia="Courier New" w:hAnsi="Courier New"/>
                <w:sz w:val="15"/>
                <w:szCs w:val="15"/>
                <w:color w:val="auto"/>
              </w:rPr>
              <w:t>16</w:t>
            </w:r>
          </w:p>
        </w:tc>
      </w:tr>
      <w:tr>
        <w:trPr>
          <w:trHeight w:val="170"/>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w w:val="98"/>
              </w:rPr>
              <w:t>* less than 10 percent of total revenue</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1040" w:type="dxa"/>
            <w:vAlign w:val="bottom"/>
          </w:tcPr>
          <w:p>
            <w:pPr>
              <w:spacing w:after="0"/>
              <w:rPr>
                <w:sz w:val="20"/>
                <w:szCs w:val="20"/>
                <w:color w:val="auto"/>
              </w:rPr>
            </w:pPr>
            <w:r>
              <w:rPr>
                <w:rFonts w:ascii="Courier New" w:cs="Courier New" w:eastAsia="Courier New" w:hAnsi="Courier New"/>
                <w:sz w:val="15"/>
                <w:szCs w:val="15"/>
                <w:color w:val="auto"/>
              </w:rPr>
              <w:t>NOTE 17</w:t>
            </w:r>
          </w:p>
        </w:tc>
        <w:tc>
          <w:tcPr>
            <w:tcW w:w="46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SELECTED QUARTERLY FINANCIAL DATA (UNAUDITED)</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48"/>
        </w:trPr>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Quarter ended</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Sept 30,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June 30,</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March 31,</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$116,704</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$106,497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$ 94,008</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$ 86,558</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26,104</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22,821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19,125</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11,598</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4,105</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spacing w:after="0"/>
              <w:rPr>
                <w:sz w:val="14"/>
                <w:szCs w:val="14"/>
                <w:color w:val="auto"/>
              </w:rPr>
            </w:pPr>
          </w:p>
        </w:tc>
        <w:tc>
          <w:tcPr>
            <w:tcW w:w="13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bl>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101</w:t>
      </w: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Quarter ended</w:t>
            </w:r>
          </w:p>
        </w:tc>
        <w:tc>
          <w:tcPr>
            <w:tcW w:w="106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Sept 30,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June 30,</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180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$ 87,987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$ 77,089</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$ 62,489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$ 62,537</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(10,586)</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13,363</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12,179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(18,307)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7,378</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8,236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Basic earnings</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0.07</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0.07</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5"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not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64"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76" w:lineRule="exact"/>
        <w:rPr>
          <w:sz w:val="20"/>
          <w:szCs w:val="20"/>
          <w:color w:val="auto"/>
        </w:rPr>
      </w:pPr>
    </w:p>
    <w:p>
      <w:pPr>
        <w:ind w:left="780" w:right="3179"/>
        <w:spacing w:after="0" w:line="258" w:lineRule="auto"/>
        <w:rPr>
          <w:sz w:val="20"/>
          <w:szCs w:val="20"/>
          <w:color w:val="auto"/>
        </w:rPr>
      </w:pPr>
      <w:r>
        <w:rPr>
          <w:rFonts w:ascii="Courier New" w:cs="Courier New" w:eastAsia="Courier New" w:hAnsi="Courier New"/>
          <w:sz w:val="14"/>
          <w:szCs w:val="14"/>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w:t>
      </w:r>
    </w:p>
    <w:p>
      <w:pPr>
        <w:sectPr>
          <w:pgSz w:w="11900" w:h="16838" w:orient="portrait"/>
          <w:cols w:equalWidth="0" w:num="1">
            <w:col w:w="10219"/>
          </w:cols>
          <w:pgMar w:left="240" w:top="28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102</w:t>
      </w:r>
    </w:p>
    <w:p>
      <w:pPr>
        <w:ind w:left="8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ind w:left="15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 September 30, 1999. At September 30, 1998 the maximum length of time over which the Company is hedging its exposure to the variability of future cash flows is 4 years.</w:t>
      </w:r>
    </w:p>
    <w:p>
      <w:pPr>
        <w:spacing w:after="0" w:line="178"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ectPr>
          <w:pgSz w:w="11900" w:h="16838" w:orient="portrait"/>
          <w:cols w:equalWidth="0" w:num="1">
            <w:col w:w="9959"/>
          </w:cols>
          <w:pgMar w:left="50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103</w:t>
      </w: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5080" w:type="dxa"/>
            <w:vAlign w:val="bottom"/>
          </w:tcPr>
          <w:p>
            <w:pPr>
              <w:ind w:left="1540"/>
              <w:spacing w:after="0"/>
              <w:rPr>
                <w:sz w:val="20"/>
                <w:szCs w:val="20"/>
                <w:color w:val="auto"/>
              </w:rPr>
            </w:pPr>
            <w:r>
              <w:rPr>
                <w:rFonts w:ascii="Courier New" w:cs="Courier New" w:eastAsia="Courier New" w:hAnsi="Courier New"/>
                <w:sz w:val="15"/>
                <w:szCs w:val="15"/>
                <w:color w:val="auto"/>
              </w:rPr>
              <w:t>EXHIBIT INDEX</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080" w:type="dxa"/>
            <w:vAlign w:val="bottom"/>
          </w:tcPr>
          <w:p>
            <w:pPr>
              <w:ind w:left="480"/>
              <w:spacing w:after="0"/>
              <w:rPr>
                <w:sz w:val="20"/>
                <w:szCs w:val="20"/>
                <w:color w:val="auto"/>
              </w:rPr>
            </w:pPr>
            <w:r>
              <w:rPr>
                <w:rFonts w:ascii="Courier New" w:cs="Courier New" w:eastAsia="Courier New" w:hAnsi="Courier New"/>
                <w:sz w:val="15"/>
                <w:szCs w:val="15"/>
                <w:color w:val="auto"/>
              </w:rPr>
              <w:t>DESCRIPTION</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080" w:type="dxa"/>
            <w:vAlign w:val="bottom"/>
          </w:tcPr>
          <w:p>
            <w:pPr>
              <w:ind w:left="480"/>
              <w:spacing w:after="0"/>
              <w:rPr>
                <w:sz w:val="20"/>
                <w:szCs w:val="20"/>
                <w:color w:val="auto"/>
              </w:rPr>
            </w:pPr>
            <w:r>
              <w:rPr>
                <w:rFonts w:ascii="Courier New" w:cs="Courier New" w:eastAsia="Courier New" w:hAnsi="Courier New"/>
                <w:sz w:val="15"/>
                <w:szCs w:val="15"/>
                <w:color w:val="auto"/>
              </w:rPr>
              <w:t>Subsidiaries of Amdocs Limited</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080" w:type="dxa"/>
            <w:vAlign w:val="bottom"/>
          </w:tcPr>
          <w:p>
            <w:pPr>
              <w:ind w:left="48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080" w:type="dxa"/>
            <w:vAlign w:val="bottom"/>
          </w:tcPr>
          <w:p>
            <w:pPr>
              <w:ind w:left="480"/>
              <w:spacing w:after="0"/>
              <w:rPr>
                <w:sz w:val="20"/>
                <w:szCs w:val="20"/>
                <w:color w:val="auto"/>
              </w:rPr>
            </w:pPr>
            <w:r>
              <w:rPr>
                <w:rFonts w:ascii="Courier New" w:cs="Courier New" w:eastAsia="Courier New" w:hAnsi="Courier New"/>
                <w:sz w:val="15"/>
                <w:szCs w:val="15"/>
                <w:color w:val="auto"/>
                <w:w w:val="97"/>
              </w:rPr>
              <w:t>Amdocs Limited Press Release dated November 11, 1998</w:t>
            </w:r>
          </w:p>
        </w:tc>
      </w:tr>
    </w:tbl>
    <w:p>
      <w:pPr>
        <w:sectPr>
          <w:pgSz w:w="11900" w:h="16838" w:orient="portrait"/>
          <w:cols w:equalWidth="0" w:num="1">
            <w:col w:w="10219"/>
          </w:cols>
          <w:pgMar w:left="24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w w:val="96"/>
              </w:rPr>
              <w:t>Exhibit 21.1</w:t>
            </w:r>
          </w:p>
        </w:tc>
      </w:tr>
      <w:tr>
        <w:trPr>
          <w:trHeight w:val="339"/>
        </w:trPr>
        <w:tc>
          <w:tcPr>
            <w:tcW w:w="22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Subsidiaries of Amdocs Limited</w:t>
            </w:r>
          </w:p>
        </w:tc>
      </w:tr>
      <w:tr>
        <w:trPr>
          <w:trHeight w:val="339"/>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w w:val="97"/>
              </w:rPr>
              <w:t>List of the Subsidiaries</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Jurisdiction of</w:t>
            </w:r>
          </w:p>
        </w:tc>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Business Name</w:t>
            </w:r>
          </w:p>
        </w:tc>
      </w:tr>
      <w:tr>
        <w:trPr>
          <w:trHeight w:val="170"/>
        </w:trPr>
        <w:tc>
          <w:tcPr>
            <w:tcW w:w="2200" w:type="dxa"/>
            <w:vAlign w:val="bottom"/>
          </w:tcPr>
          <w:p>
            <w:pPr>
              <w:spacing w:after="0"/>
              <w:rPr>
                <w:sz w:val="14"/>
                <w:szCs w:val="14"/>
                <w:color w:val="auto"/>
              </w:rPr>
            </w:pP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Incorporation or</w:t>
            </w:r>
          </w:p>
        </w:tc>
        <w:tc>
          <w:tcPr>
            <w:tcW w:w="2640" w:type="dxa"/>
            <w:vAlign w:val="bottom"/>
          </w:tcPr>
          <w:p>
            <w:pPr>
              <w:spacing w:after="0"/>
              <w:rPr>
                <w:sz w:val="14"/>
                <w:szCs w:val="14"/>
                <w:color w:val="auto"/>
              </w:rPr>
            </w:pPr>
          </w:p>
        </w:tc>
      </w:tr>
      <w:tr>
        <w:trPr>
          <w:trHeight w:val="170"/>
        </w:trPr>
        <w:tc>
          <w:tcPr>
            <w:tcW w:w="2200" w:type="dxa"/>
            <w:vAlign w:val="bottom"/>
          </w:tcPr>
          <w:p>
            <w:pPr>
              <w:spacing w:after="0"/>
              <w:rPr>
                <w:sz w:val="14"/>
                <w:szCs w:val="14"/>
                <w:color w:val="auto"/>
              </w:rPr>
            </w:pPr>
          </w:p>
        </w:tc>
        <w:tc>
          <w:tcPr>
            <w:tcW w:w="2200" w:type="dxa"/>
            <w:vAlign w:val="bottom"/>
          </w:tcPr>
          <w:p>
            <w:pPr>
              <w:ind w:left="700"/>
              <w:spacing w:after="0"/>
              <w:rPr>
                <w:sz w:val="20"/>
                <w:szCs w:val="20"/>
                <w:color w:val="auto"/>
              </w:rPr>
            </w:pPr>
            <w:r>
              <w:rPr>
                <w:rFonts w:ascii="Courier New" w:cs="Courier New" w:eastAsia="Courier New" w:hAnsi="Courier New"/>
                <w:sz w:val="15"/>
                <w:szCs w:val="15"/>
                <w:color w:val="auto"/>
              </w:rPr>
              <w:t>Organization</w:t>
            </w:r>
          </w:p>
        </w:tc>
        <w:tc>
          <w:tcPr>
            <w:tcW w:w="2640" w:type="dxa"/>
            <w:vAlign w:val="bottom"/>
          </w:tcPr>
          <w:p>
            <w:pPr>
              <w:spacing w:after="0"/>
              <w:rPr>
                <w:sz w:val="14"/>
                <w:szCs w:val="14"/>
                <w:color w:val="auto"/>
              </w:rPr>
            </w:pP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(Cyprus) Ltd.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Republic of Cyprus</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(Cyprus) Ltd.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(Israel) Limited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Israel</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(Israel) Limited</w:t>
            </w:r>
          </w:p>
        </w:tc>
      </w:tr>
      <w:tr>
        <w:trPr>
          <w:trHeight w:val="170"/>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(formerly P.S.</w:t>
            </w:r>
          </w:p>
        </w:tc>
      </w:tr>
      <w:tr>
        <w:trPr>
          <w:trHeight w:val="170"/>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Publishing Systems Ltd.)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(USA), Inc.</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(USA), Inc.</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European Software</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Island of Guernsey,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European Software</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Marketing Ltd.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Channel Islands</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Marketing Ltd.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(UK) Limited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(UK) Limited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(Brazil) Limitada</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Brazil</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(Brazil) Limitada</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(Japan) Limited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(Japan) Limited.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(ITALY) SRL</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Torino, Italy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(ITALY) SRL</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Software GmbH</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Germany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Software GmbH</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Inc.</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Inc.</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Services, Inc.</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Services, Inc.</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Software</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Software</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Technologies, Inc.</w:t>
            </w: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Sypress, Inc.</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Sypress, Inc.</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Canadian Directory</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State of Delaware</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Canadian Directory</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Technology Ltd.</w:t>
            </w: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Technology Ltd.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Directory Technology Pty,</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Victoria, Australia</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Directory Technology</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Pty, Ltd.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Amdocs Management Limited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Management Limited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European Support Limited</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European Support Limited</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Amdocs Hungary Kft.</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Hungary</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Hungary Kft.</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Amdocs Development Limited Island of Cyprus</w:t>
            </w: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Amdocs Development</w:t>
            </w:r>
          </w:p>
        </w:tc>
      </w:tr>
      <w:tr>
        <w:trPr>
          <w:trHeight w:val="170"/>
        </w:trPr>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Limited</w:t>
            </w:r>
          </w:p>
        </w:tc>
      </w:tr>
    </w:tbl>
    <w:p>
      <w:pPr>
        <w:sectPr>
          <w:pgSz w:w="11900" w:h="16838" w:orient="portrait"/>
          <w:cols w:equalWidth="0" w:num="1">
            <w:col w:w="10219"/>
          </w:cols>
          <w:pgMar w:left="240" w:top="13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CONSENT OF ERNST &amp; YOUNG LLP</w:t>
      </w:r>
    </w:p>
    <w:p>
      <w:pPr>
        <w:spacing w:after="0" w:line="200" w:lineRule="exact"/>
        <w:rPr>
          <w:sz w:val="20"/>
          <w:szCs w:val="20"/>
          <w:color w:val="auto"/>
        </w:rPr>
      </w:pPr>
    </w:p>
    <w:p>
      <w:pPr>
        <w:spacing w:after="0" w:line="31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We consent to the reference to our firm under the caption "Selected Financial Data" and to the use of our report dated November 8, 1998, in the Annual Report (Form 20-F) for 1998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tabs>
          <w:tab w:leader="none" w:pos="860" w:val="left"/>
        </w:tabs>
        <w:rPr>
          <w:sz w:val="20"/>
          <w:szCs w:val="20"/>
          <w:color w:val="auto"/>
        </w:rPr>
      </w:pPr>
      <w:r>
        <w:rPr>
          <w:rFonts w:ascii="Courier New" w:cs="Courier New" w:eastAsia="Courier New" w:hAnsi="Courier New"/>
          <w:sz w:val="15"/>
          <w:szCs w:val="15"/>
          <w:color w:val="auto"/>
        </w:rPr>
        <w:t>January</w:t>
      </w:r>
      <w:r>
        <w:rPr>
          <w:sz w:val="20"/>
          <w:szCs w:val="20"/>
          <w:color w:val="auto"/>
        </w:rPr>
        <w:tab/>
      </w:r>
      <w:r>
        <w:rPr>
          <w:rFonts w:ascii="Courier New" w:cs="Courier New" w:eastAsia="Courier New" w:hAnsi="Courier New"/>
          <w:sz w:val="15"/>
          <w:szCs w:val="15"/>
          <w:color w:val="auto"/>
        </w:rPr>
        <w:t>, 1999</w:t>
      </w:r>
    </w:p>
    <w:p>
      <w:pPr>
        <w:sectPr>
          <w:pgSz w:w="11900" w:h="16838" w:orient="portrait"/>
          <w:cols w:equalWidth="0" w:num="1">
            <w:col w:w="10219"/>
          </w:cols>
          <w:pgMar w:left="240" w:top="13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Exhibit 99.1</w:t>
      </w:r>
    </w:p>
    <w:p>
      <w:pPr>
        <w:spacing w:after="0" w:line="18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 REPORTS 54% INCREASE IN FOURTH QUARTER OPERATING INCOME --Annual</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Revenue Exceeds $400 Million for the First Time--</w:t>
      </w:r>
    </w:p>
    <w:p>
      <w:pPr>
        <w:spacing w:after="0" w:line="175"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St. Louis, MO - November 11, 1998, Amdocs Limited (NYSE: DOX) today reported results for the fourth quarter and year ended September 30, 1998. For the quarter, revenue increased by 32.6% to $116.7 million while operating income grew 53.8%. Net income reached $11.6 million, or $0.06 per diluted share.</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Avi Naor, Chief Executive Officer of Amdocs Management Limited, noted, "While impressive, these quarterly results are indicative of how Amdocs has performed over its 17 year history. We have consistently implemented our strategy of providing the best products and solutions for new and existing telecommunications customers in both new and existing markets. As indicated by our top and bottom line growth this quarter, we have a strategy that works, making us the choice of telecom leaders. These leaders rely on Amdocs because we supply full solutions combining products, implementation and support services, and have the highest commitment to maintaining such working methods over time."</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Naor continued, "1998 was a terrific year for Amdocs. In addition to our initial public offering this summer, we made significant headway in penetrating new markets and adding new customers. These include leading telecommunications providers, expanding companies that have outgrown legacy systems and emerging carriers with high growth potential. These new clients further enrich an already top-notch group of companies with which we have a history of maintaining productive long-term relationships."</w:t>
      </w:r>
    </w:p>
    <w:p>
      <w:pPr>
        <w:spacing w:after="0" w:line="177"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"Annual revenue exceeded a milestone $400 million for the first time, reflecting a high demand for top-of-the-line customer care and billing systems," Naor noted. "Telecommunications remains an explosive growth market globally and demand for Amdocs systems from our market-leading customers remains high."</w:t>
      </w:r>
    </w:p>
    <w:p>
      <w:pPr>
        <w:spacing w:after="0" w:line="16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"Amdocs also continues to benefit from industry consolidation. As telecommunications companies increase in size, they need our systems with unlimited scalability and rich functionality to support expanding customer populations and provide a strategic edge in highly competitive markets," Naor added.</w:t>
      </w:r>
    </w:p>
    <w:p>
      <w:pPr>
        <w:spacing w:after="0" w:line="178"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Naor concluded, "Due to favorable market conditions, leading products, excellent customer relationships and a track record of reliability, our forward visibility and confidence remain high as we enter the first quarter of fiscal 1999."</w:t>
      </w:r>
    </w:p>
    <w:p>
      <w:pPr>
        <w:spacing w:after="0" w:line="163"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company noted that during the fourth quarter of its fiscal year, it experienced strong revenue contribution from its customer care and billing business, which grew 49.5%.</w:t>
      </w:r>
    </w:p>
    <w:p>
      <w:pPr>
        <w:spacing w:after="0" w:line="17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Operating income increased 53.8% to $26.1 million compared to operating income before nonrecurring charges of $17.0 million in the fourth quarter of 1997.</w:t>
      </w:r>
    </w:p>
    <w:p>
      <w:pPr>
        <w:spacing w:after="0" w:line="15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Net income for the three months increased to $11.6 million and was favorably impacted by a reduction in quarterly interest expense due to the repayment of long-term debt from proceeds of the company's initial</w:t>
      </w:r>
    </w:p>
    <w:p>
      <w:pPr>
        <w:sectPr>
          <w:pgSz w:w="11900" w:h="16838" w:orient="portrait"/>
          <w:cols w:equalWidth="0" w:num="1">
            <w:col w:w="10219"/>
          </w:cols>
          <w:pgMar w:left="240" w:top="13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public offering. Diluted earnings per share for the quarter ended September 30, 1998, were $0.06 based on 198,361,000 weighted average shares outstanding.</w:t>
      </w:r>
    </w:p>
    <w:p>
      <w:pPr>
        <w:spacing w:after="0" w:line="15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For the year ended September 30, 1998, revenue grew by 39.2% to a record $403.8 million compared to $290.1 million reported for the prior year. Fiscal 1998 revenue reflected a 65.0% increase in license revenue.</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Operating income for fiscal 1998 increased 55.7% to $84.9 million from $54.5 million before nonrecurring charges in 1997. As a percentage of sales, annual operating margins increased to 21.0% from 18.8% in fiscal 1997.</w:t>
      </w:r>
    </w:p>
    <w:p>
      <w:pPr>
        <w:spacing w:after="0" w:line="16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income for the year reached $30.1 million compared to $5.9 million for the prior year. Diluted earnings per share for fiscal 1998 were $0.19 compared to diluted earnings per share inclusive of nonrecurring charges of $0.05 in fiscal 1997.</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Amdocs is a leading provider of product-driven customer care and billing solutions to premier telecommunications companies worldwide. Amdocs has an unparalleled success record in project delivery of its mission-critical products. With human resources of over 2,900 information systems professionals dedicated to the telecommunications industry, Amdocs has an installed base of successful projects with more than 60 major telecommunications companies throughout the world.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more information visit our Web site at www.amdocs.com.</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THIS PRESS RELEASE MAY CONTAIN FORWARD-LOOKING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QUARTERLY FILINGS ON FORM 6-K AND ANNUAL FILING ON FORM 20-F WITH THE SECURITIES AND EXCHANGE COMMISSION.</w:t>
      </w:r>
    </w:p>
    <w:p>
      <w:pPr>
        <w:spacing w:after="0" w:line="16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(FINANCIAL TABLES FOLLOW)</w:t>
      </w:r>
    </w:p>
    <w:p>
      <w:pPr>
        <w:sectPr>
          <w:pgSz w:w="11900" w:h="16838" w:orient="portrait"/>
          <w:cols w:equalWidth="0" w:num="1">
            <w:col w:w="10219"/>
          </w:cols>
          <w:pgMar w:left="240" w:top="28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3</w:t>
      </w:r>
    </w:p>
    <w:p>
      <w:pPr>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700" w:type="dxa"/>
            <w:vAlign w:val="bottom"/>
          </w:tcPr>
          <w:p>
            <w:pPr>
              <w:spacing w:after="0"/>
              <w:rPr>
                <w:sz w:val="14"/>
                <w:szCs w:val="14"/>
                <w:color w:val="auto"/>
              </w:rPr>
            </w:pPr>
          </w:p>
        </w:tc>
        <w:tc>
          <w:tcPr>
            <w:tcW w:w="18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70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700" w:type="dxa"/>
            <w:vAlign w:val="bottom"/>
          </w:tcPr>
          <w:p>
            <w:pPr>
              <w:ind w:left="2020"/>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$53,732</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including unbilled of</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$10,331 in 1998 and $2,031 in 1997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48,565</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260"/>
              <w:spacing w:after="0"/>
              <w:rPr>
                <w:sz w:val="20"/>
                <w:szCs w:val="20"/>
                <w:color w:val="auto"/>
              </w:rPr>
            </w:pPr>
            <w:r>
              <w:rPr>
                <w:rFonts w:ascii="Courier New" w:cs="Courier New" w:eastAsia="Courier New" w:hAnsi="Courier New"/>
                <w:sz w:val="15"/>
                <w:szCs w:val="15"/>
                <w:color w:val="auto"/>
              </w:rPr>
              <w:t>including unbilled of $537 in 1998 and $0 in 1997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15,393</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12,532</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6,161</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141,872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136,383</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25,982</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0"/>
        </w:trPr>
        <w:tc>
          <w:tcPr>
            <w:tcW w:w="470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$239,966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800" w:type="dxa"/>
            <w:vAlign w:val="bottom"/>
          </w:tcPr>
          <w:p>
            <w:pPr>
              <w:spacing w:after="0"/>
              <w:rPr>
                <w:sz w:val="24"/>
                <w:szCs w:val="24"/>
                <w:color w:val="auto"/>
              </w:rPr>
            </w:pP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$30,543</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Accrued personnel costs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23,098</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Short-term financing arrangements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Unearned revenue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17,440</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Notes payable to related parties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1,954</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Forward exchange contracts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20,151</w:t>
            </w:r>
          </w:p>
        </w:tc>
      </w:tr>
      <w:tr>
        <w:trPr>
          <w:trHeight w:val="170"/>
        </w:trPr>
        <w:tc>
          <w:tcPr>
            <w:tcW w:w="4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226,150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98,452</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Preferred Shares - 0 shares issued and outstanding</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Ordinary Shares - 196,800 and 124,708 issued and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outstanding, respectively</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447,503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105,779</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Unearned compensation</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1440" w:gutter="0" w:footer="0" w:header="0"/>
        </w:sectPr>
      </w:pPr>
    </w:p>
    <w:bookmarkStart w:id="108" w:name="page109"/>
    <w:bookmarkEnd w:id="108"/>
    <w:p>
      <w:pPr>
        <w:ind w:left="10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8"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5"/>
          <w:szCs w:val="15"/>
          <w:color w:val="auto"/>
        </w:rPr>
        <w:t>September 30,</w:t>
      </w:r>
    </w:p>
    <w:p>
      <w:pPr>
        <w:jc w:val="center"/>
        <w:ind w:right="-1140"/>
        <w:spacing w:after="0"/>
        <w:rPr>
          <w:sz w:val="20"/>
          <w:szCs w:val="20"/>
          <w:color w:val="auto"/>
        </w:rPr>
      </w:pPr>
      <w:r>
        <w:rPr>
          <w:rFonts w:ascii="Courier New" w:cs="Courier New" w:eastAsia="Courier New" w:hAnsi="Courier New"/>
          <w:sz w:val="15"/>
          <w:szCs w:val="15"/>
          <w:color w:val="auto"/>
        </w:rPr>
        <w:t>-------------</w:t>
      </w:r>
    </w:p>
    <w:p>
      <w:pPr>
        <w:jc w:val="center"/>
        <w:ind w:right="-1140"/>
        <w:spacing w:after="0"/>
        <w:tabs>
          <w:tab w:leader="none" w:pos="6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jc w:val="center"/>
        <w:ind w:right="-1140"/>
        <w:spacing w:after="0" w:line="238" w:lineRule="auto"/>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059"/>
          </w:cols>
          <w:pgMar w:left="400" w:top="283"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shareholders' equity (deficit)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(462,099)</w:t>
      </w:r>
      <w:r>
        <w:rPr>
          <w:sz w:val="20"/>
          <w:szCs w:val="20"/>
          <w:color w:val="auto"/>
        </w:rPr>
        <w:tab/>
      </w:r>
      <w:r>
        <w:rPr>
          <w:rFonts w:ascii="Courier New" w:cs="Courier New" w:eastAsia="Courier New" w:hAnsi="Courier New"/>
          <w:sz w:val="14"/>
          <w:szCs w:val="14"/>
          <w:color w:val="auto"/>
        </w:rPr>
        <w:t>(13,522)</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w:t>
        <w:tab/>
        <w:t>--------</w:t>
      </w:r>
    </w:p>
    <w:p>
      <w:pPr>
        <w:ind w:left="80"/>
        <w:spacing w:after="0"/>
        <w:tabs>
          <w:tab w:leader="none" w:pos="1120" w:val="left"/>
        </w:tabs>
        <w:rPr>
          <w:sz w:val="20"/>
          <w:szCs w:val="20"/>
          <w:color w:val="auto"/>
        </w:rPr>
      </w:pPr>
      <w:r>
        <w:rPr>
          <w:rFonts w:ascii="Courier New" w:cs="Courier New" w:eastAsia="Courier New" w:hAnsi="Courier New"/>
          <w:sz w:val="15"/>
          <w:szCs w:val="15"/>
          <w:color w:val="auto"/>
        </w:rPr>
        <w:t>(21,889)</w:t>
      </w:r>
      <w:r>
        <w:rPr>
          <w:sz w:val="20"/>
          <w:szCs w:val="20"/>
          <w:color w:val="auto"/>
        </w:rPr>
        <w:tab/>
      </w:r>
      <w:r>
        <w:rPr>
          <w:rFonts w:ascii="Courier New" w:cs="Courier New" w:eastAsia="Courier New" w:hAnsi="Courier New"/>
          <w:sz w:val="15"/>
          <w:szCs w:val="15"/>
          <w:color w:val="auto"/>
        </w:rPr>
        <w:t>94,253</w:t>
      </w:r>
    </w:p>
    <w:p>
      <w:pPr>
        <w:spacing w:after="0"/>
        <w:tabs>
          <w:tab w:leader="none" w:pos="940" w:val="left"/>
        </w:tabs>
        <w:rPr>
          <w:sz w:val="20"/>
          <w:szCs w:val="20"/>
          <w:color w:val="auto"/>
        </w:rPr>
      </w:pPr>
      <w:r>
        <w:rPr>
          <w:rFonts w:ascii="Courier New" w:cs="Courier New" w:eastAsia="Courier New" w:hAnsi="Courier New"/>
          <w:sz w:val="15"/>
          <w:szCs w:val="15"/>
          <w:color w:val="auto"/>
        </w:rPr>
        <w:t>========</w:t>
        <w:tab/>
        <w:t>========</w:t>
      </w:r>
    </w:p>
    <w:p>
      <w:pPr>
        <w:spacing w:after="0" w:line="238" w:lineRule="auto"/>
        <w:tabs>
          <w:tab w:leader="none" w:pos="940" w:val="left"/>
        </w:tabs>
        <w:rPr>
          <w:sz w:val="20"/>
          <w:szCs w:val="20"/>
          <w:color w:val="auto"/>
        </w:rPr>
      </w:pPr>
      <w:r>
        <w:rPr>
          <w:rFonts w:ascii="Courier New" w:cs="Courier New" w:eastAsia="Courier New" w:hAnsi="Courier New"/>
          <w:sz w:val="15"/>
          <w:szCs w:val="15"/>
          <w:color w:val="auto"/>
        </w:rPr>
        <w:t>$239,966</w:t>
        <w:tab/>
        <w:t>$220,582</w:t>
      </w:r>
    </w:p>
    <w:p>
      <w:pPr>
        <w:spacing w:after="0"/>
        <w:tabs>
          <w:tab w:leader="none" w:pos="940" w:val="left"/>
        </w:tabs>
        <w:rPr>
          <w:sz w:val="20"/>
          <w:szCs w:val="20"/>
          <w:color w:val="auto"/>
        </w:rPr>
      </w:pPr>
      <w:r>
        <w:rPr>
          <w:rFonts w:ascii="Courier New" w:cs="Courier New" w:eastAsia="Courier New" w:hAnsi="Courier New"/>
          <w:sz w:val="15"/>
          <w:szCs w:val="15"/>
          <w:color w:val="auto"/>
        </w:rPr>
        <w:t>========</w:t>
        <w:tab/>
        <w:t>========</w:t>
      </w:r>
    </w:p>
    <w:p>
      <w:pPr>
        <w:sectPr>
          <w:pgSz w:w="11900" w:h="16838" w:orient="portrait"/>
          <w:cols w:equalWidth="0" w:num="2">
            <w:col w:w="3960" w:space="720"/>
            <w:col w:w="5379"/>
          </w:cols>
          <w:pgMar w:left="400" w:top="283" w:right="1440" w:bottom="1440" w:gutter="0" w:footer="0" w:header="0"/>
          <w:type w:val="continuous"/>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c>
          <w:tcPr>
            <w:tcW w:w="600" w:type="dxa"/>
            <w:vAlign w:val="bottom"/>
          </w:tcPr>
          <w:p>
            <w:pPr>
              <w:spacing w:after="0"/>
              <w:rPr>
                <w:sz w:val="14"/>
                <w:szCs w:val="14"/>
                <w:color w:val="auto"/>
              </w:rPr>
            </w:pP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gridSpan w:val="3"/>
          </w:tcPr>
          <w:p>
            <w:pPr>
              <w:jc w:val="center"/>
              <w:ind w:right="447"/>
              <w:spacing w:after="0"/>
              <w:rPr>
                <w:sz w:val="20"/>
                <w:szCs w:val="20"/>
                <w:color w:val="auto"/>
              </w:rPr>
            </w:pPr>
            <w:r>
              <w:rPr>
                <w:rFonts w:ascii="Courier New" w:cs="Courier New" w:eastAsia="Courier New" w:hAnsi="Courier New"/>
                <w:sz w:val="15"/>
                <w:szCs w:val="15"/>
                <w:color w:val="auto"/>
                <w:w w:val="99"/>
              </w:rPr>
              <w:t>September 30,</w:t>
            </w:r>
          </w:p>
        </w:tc>
        <w:tc>
          <w:tcPr>
            <w:tcW w:w="440" w:type="dxa"/>
            <w:vAlign w:val="bottom"/>
          </w:tcPr>
          <w:p>
            <w:pPr>
              <w:spacing w:after="0"/>
              <w:rPr>
                <w:sz w:val="14"/>
                <w:szCs w:val="14"/>
                <w:color w:val="auto"/>
              </w:rPr>
            </w:pPr>
          </w:p>
        </w:tc>
        <w:tc>
          <w:tcPr>
            <w:tcW w:w="20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gridSpan w:val="3"/>
          </w:tcPr>
          <w:p>
            <w:pPr>
              <w:jc w:val="center"/>
              <w:ind w:right="44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20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2"/>
          </w:tcPr>
          <w:p>
            <w:pPr>
              <w:jc w:val="center"/>
              <w:ind w:left="427"/>
              <w:spacing w:after="0"/>
              <w:rPr>
                <w:sz w:val="20"/>
                <w:szCs w:val="20"/>
                <w:color w:val="auto"/>
              </w:rPr>
            </w:pPr>
            <w:r>
              <w:rPr>
                <w:rFonts w:ascii="Courier New" w:cs="Courier New" w:eastAsia="Courier New" w:hAnsi="Courier New"/>
                <w:sz w:val="15"/>
                <w:szCs w:val="15"/>
                <w:color w:val="auto"/>
                <w:w w:val="96"/>
              </w:rPr>
              <w:t>(unaudited)</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42,891</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25,995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103,554</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77,560</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360,876</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264,107</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116,704</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87,987</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403,767</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290,102</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2,211</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10,732</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3,711</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66,092</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51,575</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231,360</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173,704</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7,485</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5,208</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25,612</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17,386</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14,812</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14,396</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51,168</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40,769</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Nonrecurring charges</w:t>
            </w:r>
          </w:p>
        </w:tc>
        <w:tc>
          <w:tcPr>
            <w:tcW w:w="960" w:type="dxa"/>
            <w:vAlign w:val="bottom"/>
          </w:tcPr>
          <w:p>
            <w:pPr>
              <w:spacing w:after="0"/>
              <w:rPr>
                <w:sz w:val="14"/>
                <w:szCs w:val="14"/>
                <w:color w:val="auto"/>
              </w:rPr>
            </w:pPr>
          </w:p>
        </w:tc>
        <w:tc>
          <w:tcPr>
            <w:tcW w:w="1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27,563</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27,563</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90,600</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98,573</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318,872</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263,133</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26,104</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(10,586)</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84,895</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96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2,354</w:t>
            </w:r>
          </w:p>
        </w:tc>
        <w:tc>
          <w:tcPr>
            <w:tcW w:w="22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3,116</w:t>
            </w:r>
          </w:p>
        </w:tc>
        <w:tc>
          <w:tcPr>
            <w:tcW w:w="4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24,126</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23,750</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(13,702)</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60,769</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23,703</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11,875</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4,605</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30,385</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17,827</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 (loss) before</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11,875</w:t>
            </w:r>
          </w:p>
        </w:tc>
        <w:tc>
          <w:tcPr>
            <w:tcW w:w="22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(18,307)</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30,384</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cumulative effect</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accounting principle, net of $277 tax</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277</w:t>
            </w:r>
          </w:p>
        </w:tc>
        <w:tc>
          <w:tcPr>
            <w:tcW w:w="22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277</w:t>
            </w:r>
          </w:p>
        </w:tc>
        <w:tc>
          <w:tcPr>
            <w:tcW w:w="5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11,598</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9"/>
              </w:rPr>
              <w:t>$ (18,307)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30,107</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 cumulative effect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in accounting principle (less than $0.01)</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 cumulative effect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620" w:type="dxa"/>
            <w:vAlign w:val="bottom"/>
          </w:tcPr>
          <w:p>
            <w:pPr>
              <w:ind w:left="340"/>
              <w:spacing w:after="0"/>
              <w:rPr>
                <w:sz w:val="20"/>
                <w:szCs w:val="20"/>
                <w:color w:val="auto"/>
              </w:rPr>
            </w:pPr>
            <w:r>
              <w:rPr>
                <w:rFonts w:ascii="Courier New" w:cs="Courier New" w:eastAsia="Courier New" w:hAnsi="Courier New"/>
                <w:sz w:val="15"/>
                <w:szCs w:val="15"/>
                <w:color w:val="auto"/>
              </w:rPr>
              <w:t>accounting principle (less than $0.01)</w:t>
            </w:r>
          </w:p>
        </w:tc>
        <w:tc>
          <w:tcPr>
            <w:tcW w:w="96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620" w:type="dxa"/>
            <w:vAlign w:val="bottom"/>
          </w:tcPr>
          <w:p>
            <w:pPr>
              <w:spacing w:after="0"/>
              <w:rPr>
                <w:sz w:val="14"/>
                <w:szCs w:val="14"/>
                <w:color w:val="auto"/>
              </w:rPr>
            </w:pPr>
          </w:p>
        </w:tc>
        <w:tc>
          <w:tcPr>
            <w:tcW w:w="22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diluted shares outstanding</w:t>
            </w:r>
          </w:p>
        </w:tc>
        <w:tc>
          <w:tcPr>
            <w:tcW w:w="960" w:type="dxa"/>
            <w:vAlign w:val="bottom"/>
          </w:tcPr>
          <w:p>
            <w:pPr>
              <w:spacing w:after="0"/>
              <w:rPr>
                <w:sz w:val="24"/>
                <w:szCs w:val="2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198,361</w:t>
            </w:r>
          </w:p>
        </w:tc>
        <w:tc>
          <w:tcPr>
            <w:tcW w:w="22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112,143</w:t>
            </w:r>
          </w:p>
        </w:tc>
        <w:tc>
          <w:tcPr>
            <w:tcW w:w="4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159,442</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110,915</w:t>
            </w:r>
          </w:p>
        </w:tc>
      </w:tr>
    </w:tbl>
    <w:p>
      <w:pPr>
        <w:spacing w:after="0" w:line="1" w:lineRule="exact"/>
        <w:rPr>
          <w:sz w:val="20"/>
          <w:szCs w:val="20"/>
          <w:color w:val="auto"/>
        </w:rPr>
      </w:pPr>
    </w:p>
    <w:sectPr>
      <w:pgSz w:w="11900" w:h="16838" w:orient="portrait"/>
      <w:cols w:equalWidth="0" w:num="1">
        <w:col w:w="10560"/>
      </w:cols>
      <w:pgMar w:left="240" w:top="283"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2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3"/>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2019-12-12T06:54:05Z</dcterms:created>
  <dcterms:modified xsi:type="dcterms:W3CDTF">2019-12-12T06:54:05Z</dcterms:modified>
</cp:coreProperties>
</file>