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ox-q3_6k.htm"/>
      <w:bookmarkStart w:id="1" w:name="ksdoxq3_6k"/>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28"/>
        </w:rPr>
      </w:pPr>
      <w:r>
        <w:rPr>
          <w:rFonts w:ascii="Times New Roman;serif" w:hAnsi="Times New Roman;serif"/>
          <w:b/>
          <w:sz w:val="28"/>
        </w:rPr>
        <w:t>UNITED STATES SECURITIES AND EXCHANGE COMMISSION</w:t>
      </w:r>
    </w:p>
    <w:p>
      <w:pPr>
        <w:pStyle w:val="TextBody"/>
        <w:bidi w:val="0"/>
        <w:spacing w:before="0" w:after="0"/>
        <w:jc w:val="center"/>
        <w:rPr>
          <w:rFonts w:ascii="Times New Roman" w:hAnsi="Times New Roman"/>
          <w:sz w:val="20"/>
        </w:rPr>
      </w:pPr>
      <w:r>
        <w:rPr>
          <w:rFonts w:ascii="Times New Roman;serif" w:hAnsi="Times New Roman;serif"/>
          <w:b/>
          <w:sz w:val="24"/>
        </w:rPr>
        <w:t>WASHINGTON</w:t>
      </w:r>
      <w:r>
        <w:rPr>
          <w:rFonts w:ascii="Times New Roman;serif" w:hAnsi="Times New Roman;serif"/>
          <w:b w:val="false"/>
          <w:sz w:val="12"/>
        </w:rPr>
        <w:t>,</w:t>
      </w:r>
      <w:r>
        <w:rPr>
          <w:rFonts w:ascii="Times New Roman" w:hAnsi="Times New Roman"/>
          <w:sz w:val="20"/>
        </w:rPr>
        <w:t xml:space="preserve"> </w:t>
      </w:r>
      <w:r>
        <w:rPr>
          <w:rFonts w:ascii="Times New Roman;serif" w:hAnsi="Times New Roman;serif"/>
          <w:b/>
          <w:sz w:val="24"/>
        </w:rPr>
        <w:t>D.C. 20549</w:t>
      </w:r>
    </w:p>
    <w:p>
      <w:pPr>
        <w:pStyle w:val="TextBody"/>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6-K</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REPORT OF FOREIGN PRIVATE ISSUER</w:t>
      </w:r>
    </w:p>
    <w:p>
      <w:pPr>
        <w:pStyle w:val="TextBody"/>
        <w:bidi w:val="0"/>
        <w:spacing w:before="0" w:after="0"/>
        <w:jc w:val="center"/>
        <w:rPr>
          <w:rFonts w:ascii="Times New Roman;serif" w:hAnsi="Times New Roman;serif"/>
          <w:b/>
          <w:sz w:val="24"/>
        </w:rPr>
      </w:pPr>
      <w:r>
        <w:rPr>
          <w:rFonts w:ascii="Times New Roman;serif" w:hAnsi="Times New Roman;serif"/>
          <w:b/>
          <w:sz w:val="24"/>
        </w:rPr>
        <w:t>PURSUANT TO RULE 13a-16 OR 15d-16 OF</w:t>
      </w:r>
    </w:p>
    <w:p>
      <w:pPr>
        <w:pStyle w:val="TextBody"/>
        <w:bidi w:val="0"/>
        <w:spacing w:before="0" w:after="0"/>
        <w:jc w:val="center"/>
        <w:rPr>
          <w:rFonts w:ascii="Times New Roman;serif" w:hAnsi="Times New Roman;serif"/>
          <w:b/>
          <w:sz w:val="24"/>
        </w:rPr>
      </w:pPr>
      <w:r>
        <w:rPr>
          <w:rFonts w:ascii="Times New Roman;serif" w:hAnsi="Times New Roman;serif"/>
          <w:b/>
          <w:sz w:val="24"/>
        </w:rPr>
        <w:t>THE SECURITIES EXCHANGE ACT OF 1934</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 Ended June 30, 2023</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Number 1-14840</w:t>
      </w:r>
    </w:p>
    <w:p>
      <w:pPr>
        <w:pStyle w:val="TextBody"/>
        <w:bidi w:val="0"/>
        <w:spacing w:before="0" w:after="0"/>
        <w:jc w:val="left"/>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AMDOCS LIMITED</w:t>
      </w:r>
    </w:p>
    <w:p>
      <w:pPr>
        <w:pStyle w:val="TextBody"/>
        <w:bidi w:val="0"/>
        <w:spacing w:before="0" w:after="0"/>
        <w:jc w:val="center"/>
        <w:rPr>
          <w:rFonts w:ascii="Times New Roman" w:hAnsi="Times New Roman"/>
          <w:sz w:val="20"/>
        </w:rPr>
      </w:pPr>
      <w:r>
        <w:rPr>
          <w:rFonts w:ascii="Times New Roman;serif" w:hAnsi="Times New Roman;serif"/>
          <w:b w:val="false"/>
          <w:sz w:val="20"/>
        </w:rPr>
        <w:t>Hirzel House, Smith Street,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St. Peter Port, Island of Guernsey, GY1 2NG</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Amdocs,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625 Maryville Centre Drive, Suite 200 Saint Louis, Missouri 63141</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(Address of principal executive offices)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20-F ☑ FORM 40-F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if the registrant is submitting the Form 6-K in paper as permitted by Regulation S-T Rule 101(b)(1):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if the registrant is submitting the Form 6-K in paper as permitted by Regulation S-T Rule 101(b)(7):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YES ☐ NO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“Yes” is marked, indicate below the file number assigned to the registrant in connection with Rule 12g3-2(b): 82- _______</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AMDOCS LIMITED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6-K</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REPORT OF FOREIGN PRIVATE ISSUER</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 THE QUARTER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INDEX</w:t>
      </w:r>
    </w:p>
    <w:p>
      <w:pPr>
        <w:pStyle w:val="TextBody"/>
        <w:bidi w:val="0"/>
        <w:spacing w:before="0" w:after="0"/>
        <w:jc w:val="left"/>
        <w:rPr/>
      </w:pPr>
      <w:r>
        <w:rPr/>
        <w:t> </w:t>
      </w:r>
    </w:p>
    <w:tbl>
      <w:tblPr>
        <w:tblW w:w="8244" w:type="dxa"/>
        <w:jc w:val="left"/>
        <w:tblInd w:w="0" w:type="dxa"/>
        <w:tblLayout w:type="fixed"/>
        <w:tblCellMar>
          <w:top w:w="28" w:type="dxa"/>
          <w:left w:w="28" w:type="dxa"/>
          <w:bottom w:w="28" w:type="dxa"/>
          <w:right w:w="28" w:type="dxa"/>
        </w:tblCellMar>
      </w:tblPr>
      <w:tblGrid>
        <w:gridCol w:w="7287"/>
        <w:gridCol w:w="957"/>
      </w:tblGrid>
      <w:tr>
        <w:trPr/>
        <w:tc>
          <w:tcPr>
            <w:tcW w:w="728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7287" w:type="dxa"/>
            <w:tcBorders/>
            <w:tcMar>
              <w:top w:w="0" w:type="dxa"/>
              <w:left w:w="0" w:type="dxa"/>
              <w:bottom w:w="0" w:type="dxa"/>
              <w:right w:w="0" w:type="dxa"/>
            </w:tcMar>
            <w:vAlign w:val="center"/>
          </w:tcPr>
          <w:p>
            <w:pPr>
              <w:pStyle w:val="TableContents"/>
              <w:pBdr/>
              <w:bidi w:val="0"/>
              <w:spacing w:before="0" w:after="0"/>
              <w:ind w:left="0" w:right="101" w:hanging="101"/>
              <w:jc w:val="left"/>
              <w:rPr/>
            </w:pPr>
            <w:hyperlink w:anchor="parti_financial_information">
              <w:r>
                <w:rPr>
                  <w:rStyle w:val="InternetLink"/>
                  <w:rFonts w:ascii="Times New Roman;serif" w:hAnsi="Times New Roman;serif"/>
                  <w:b w:val="false"/>
                  <w:sz w:val="20"/>
                  <w:u w:val="single"/>
                </w:rPr>
                <w:t>PART I FINANCIAL INFORMATION</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296"/>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pBdr/>
              <w:bidi w:val="0"/>
              <w:spacing w:before="0" w:after="0"/>
              <w:ind w:left="195" w:right="101" w:hanging="101"/>
              <w:jc w:val="left"/>
              <w:rPr/>
            </w:pPr>
            <w:hyperlink w:anchor="item1_financial_statements">
              <w:r>
                <w:rPr>
                  <w:rStyle w:val="InternetLink"/>
                  <w:rFonts w:ascii="Times New Roman;serif" w:hAnsi="Times New Roman;serif"/>
                  <w:b w:val="false"/>
                  <w:sz w:val="20"/>
                  <w:u w:val="single"/>
                </w:rPr>
                <w:t>Item 1. Financial Statements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491"/>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pBdr/>
              <w:bidi w:val="0"/>
              <w:spacing w:before="0" w:after="0"/>
              <w:ind w:left="390" w:right="101" w:hanging="101"/>
              <w:jc w:val="left"/>
              <w:rPr>
                <w:rFonts w:ascii="Times New Roman;serif" w:hAnsi="Times New Roman;serif"/>
                <w:b w:val="false"/>
                <w:sz w:val="20"/>
              </w:rPr>
            </w:pPr>
            <w:r>
              <w:rPr>
                <w:rFonts w:ascii="Times New Roman;serif" w:hAnsi="Times New Roman;serif"/>
                <w:b w:val="false"/>
                <w:sz w:val="20"/>
              </w:rPr>
              <w:t>Unaudited Consolidated Financial Statements</w:t>
            </w:r>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pPr>
            <w:r>
              <w:rPr/>
              <w:t> </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consolidated_balance_sheets">
              <w:r>
                <w:rPr>
                  <w:rStyle w:val="InternetLink"/>
                  <w:rFonts w:ascii="Times New Roman;serif" w:hAnsi="Times New Roman;serif"/>
                  <w:b w:val="false"/>
                  <w:sz w:val="20"/>
                  <w:u w:val="single"/>
                </w:rPr>
                <w:t>Consolidated Balance Sheets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consolidated_statements_of_income">
              <w:r>
                <w:rPr>
                  <w:rStyle w:val="InternetLink"/>
                  <w:rFonts w:ascii="Times New Roman;serif" w:hAnsi="Times New Roman;serif"/>
                  <w:b w:val="false"/>
                  <w:sz w:val="20"/>
                  <w:u w:val="single"/>
                </w:rPr>
                <w:t>Consolidated Statements of Income</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rFonts w:ascii="Times New Roman;serif" w:hAnsi="Times New Roman;serif"/>
                <w:b w:val="false"/>
                <w:sz w:val="20"/>
              </w:rPr>
            </w:pPr>
            <w:r>
              <w:rPr>
                <w:rFonts w:ascii="Times New Roman;serif" w:hAnsi="Times New Roman;serif"/>
                <w:b w:val="false"/>
                <w:sz w:val="20"/>
              </w:rPr>
              <w:t>4</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statements_of_comprehensive_income">
              <w:r>
                <w:rPr>
                  <w:rStyle w:val="InternetLink"/>
                  <w:rFonts w:ascii="Times New Roman;serif" w:hAnsi="Times New Roman;serif"/>
                  <w:b w:val="false"/>
                  <w:sz w:val="20"/>
                  <w:u w:val="single"/>
                </w:rPr>
                <w:t>Consolidated Statements of Comprehensive Income</w:t>
              </w:r>
            </w:hyperlink>
            <w:hyperlink w:anchor="statements_of_comprehensive_income">
              <w:r>
                <w:rPr>
                  <w:rStyle w:val="InternetLink"/>
                  <w:rFonts w:ascii="Times New Roman" w:hAnsi="Times New Roman"/>
                  <w:sz w:val="20"/>
                </w:rPr>
                <w:t xml:space="preserve"> </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rFonts w:ascii="Times New Roman;serif" w:hAnsi="Times New Roman;serif"/>
                <w:b w:val="false"/>
                <w:sz w:val="20"/>
              </w:rPr>
            </w:pPr>
            <w:r>
              <w:rPr>
                <w:rFonts w:ascii="Times New Roman;serif" w:hAnsi="Times New Roman;serif"/>
                <w:b w:val="false"/>
                <w:sz w:val="20"/>
              </w:rPr>
              <w:t>5</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statements_of_changes_in_equity">
              <w:r>
                <w:rPr>
                  <w:rStyle w:val="InternetLink"/>
                  <w:rFonts w:ascii="Times New Roman;serif" w:hAnsi="Times New Roman;serif"/>
                  <w:b w:val="false"/>
                  <w:sz w:val="20"/>
                  <w:u w:val="single"/>
                </w:rPr>
                <w:t>Consolidated Statements of Changes in Equity</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rFonts w:ascii="Times New Roman;serif" w:hAnsi="Times New Roman;serif"/>
                <w:b w:val="false"/>
                <w:sz w:val="20"/>
              </w:rPr>
            </w:pPr>
            <w:r>
              <w:rPr>
                <w:rFonts w:ascii="Times New Roman;serif" w:hAnsi="Times New Roman;serif"/>
                <w:b w:val="false"/>
                <w:sz w:val="20"/>
              </w:rPr>
              <w:t>6</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consolidated_statements_of_cash_flows">
              <w:r>
                <w:rPr>
                  <w:rStyle w:val="InternetLink"/>
                  <w:rFonts w:ascii="Times New Roman;serif" w:hAnsi="Times New Roman;serif"/>
                  <w:b w:val="false"/>
                  <w:sz w:val="20"/>
                  <w:u w:val="single"/>
                </w:rPr>
                <w:t>Consolidated Statements of Cash Flows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701"/>
              <w:jc w:val="left"/>
              <w:rPr>
                <w:rFonts w:ascii="Times New Roman;serif" w:hAnsi="Times New Roman;serif"/>
                <w:b w:val="false"/>
                <w:sz w:val="20"/>
              </w:rPr>
            </w:pPr>
            <w:r>
              <w:rPr>
                <w:rFonts w:ascii="Times New Roman;serif" w:hAnsi="Times New Roman;serif"/>
                <w:b w:val="false"/>
                <w:sz w:val="20"/>
              </w:rPr>
              <w:t>8</w:t>
            </w:r>
          </w:p>
        </w:tc>
      </w:tr>
      <w:tr>
        <w:trPr/>
        <w:tc>
          <w:tcPr>
            <w:tcW w:w="7287" w:type="dxa"/>
            <w:tcBorders/>
            <w:tcMar>
              <w:top w:w="0" w:type="dxa"/>
              <w:left w:w="0" w:type="dxa"/>
              <w:bottom w:w="0" w:type="dxa"/>
              <w:right w:w="0" w:type="dxa"/>
            </w:tcMar>
            <w:vAlign w:val="center"/>
          </w:tcPr>
          <w:p>
            <w:pPr>
              <w:pStyle w:val="TableContents"/>
              <w:pBdr/>
              <w:bidi w:val="0"/>
              <w:spacing w:before="0" w:after="0"/>
              <w:ind w:left="600" w:right="101" w:hanging="101"/>
              <w:jc w:val="left"/>
              <w:rPr/>
            </w:pPr>
            <w:hyperlink w:anchor="notes_to_unaudited_consolidated_financia">
              <w:r>
                <w:rPr>
                  <w:rStyle w:val="InternetLink"/>
                  <w:rFonts w:ascii="Times New Roman;serif" w:hAnsi="Times New Roman;serif"/>
                  <w:b w:val="false"/>
                  <w:sz w:val="20"/>
                  <w:u w:val="single"/>
                </w:rPr>
                <w:t>Notes to Unaudited Consolidated Financial Statements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296"/>
              <w:jc w:val="left"/>
              <w:rPr>
                <w:rFonts w:ascii="Times New Roman;serif" w:hAnsi="Times New Roman;serif"/>
                <w:b w:val="false"/>
                <w:sz w:val="20"/>
              </w:rPr>
            </w:pPr>
            <w:r>
              <w:rPr>
                <w:rFonts w:ascii="Times New Roman;serif" w:hAnsi="Times New Roman;serif"/>
                <w:b w:val="false"/>
                <w:sz w:val="20"/>
              </w:rPr>
              <w:t>9</w:t>
            </w:r>
          </w:p>
        </w:tc>
      </w:tr>
      <w:tr>
        <w:trPr/>
        <w:tc>
          <w:tcPr>
            <w:tcW w:w="7287" w:type="dxa"/>
            <w:tcBorders/>
            <w:tcMar>
              <w:top w:w="0" w:type="dxa"/>
              <w:left w:w="0" w:type="dxa"/>
              <w:bottom w:w="0" w:type="dxa"/>
              <w:right w:w="0" w:type="dxa"/>
            </w:tcMar>
            <w:vAlign w:val="center"/>
          </w:tcPr>
          <w:p>
            <w:pPr>
              <w:pStyle w:val="TableContents"/>
              <w:pBdr/>
              <w:bidi w:val="0"/>
              <w:spacing w:before="0" w:after="0"/>
              <w:ind w:left="195" w:right="101" w:hanging="101"/>
              <w:jc w:val="left"/>
              <w:rPr/>
            </w:pPr>
            <w:hyperlink w:anchor="item_2_operating_and_financial_review">
              <w:r>
                <w:rPr>
                  <w:rStyle w:val="InternetLink"/>
                  <w:rFonts w:ascii="Times New Roman;serif" w:hAnsi="Times New Roman;serif"/>
                  <w:b w:val="false"/>
                  <w:sz w:val="20"/>
                  <w:u w:val="single"/>
                </w:rPr>
                <w:t>Item 2. Operating and Financial Review and Prospects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101"/>
              <w:jc w:val="left"/>
              <w:rPr>
                <w:rFonts w:ascii="Times New Roman;serif" w:hAnsi="Times New Roman;serif"/>
                <w:b w:val="false"/>
                <w:sz w:val="20"/>
              </w:rPr>
            </w:pPr>
            <w:r>
              <w:rPr>
                <w:rFonts w:ascii="Times New Roman;serif" w:hAnsi="Times New Roman;serif"/>
                <w:b w:val="false"/>
                <w:sz w:val="20"/>
              </w:rPr>
              <w:t>22</w:t>
            </w:r>
          </w:p>
        </w:tc>
      </w:tr>
      <w:tr>
        <w:trPr/>
        <w:tc>
          <w:tcPr>
            <w:tcW w:w="7287" w:type="dxa"/>
            <w:tcBorders/>
            <w:tcMar>
              <w:top w:w="0" w:type="dxa"/>
              <w:left w:w="0" w:type="dxa"/>
              <w:bottom w:w="0" w:type="dxa"/>
              <w:right w:w="0" w:type="dxa"/>
            </w:tcMar>
            <w:vAlign w:val="center"/>
          </w:tcPr>
          <w:p>
            <w:pPr>
              <w:pStyle w:val="TableContents"/>
              <w:pBdr/>
              <w:bidi w:val="0"/>
              <w:spacing w:before="0" w:after="0"/>
              <w:ind w:left="0" w:right="101" w:hanging="101"/>
              <w:jc w:val="left"/>
              <w:rPr/>
            </w:pPr>
            <w:hyperlink w:anchor="partii_other_information">
              <w:r>
                <w:rPr>
                  <w:rStyle w:val="InternetLink"/>
                  <w:rFonts w:ascii="Times New Roman;serif" w:hAnsi="Times New Roman;serif"/>
                  <w:b w:val="false"/>
                  <w:sz w:val="20"/>
                  <w:u w:val="single"/>
                </w:rPr>
                <w:t>PART II OTHER INFORMATION</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296"/>
              <w:jc w:val="left"/>
              <w:rPr>
                <w:rFonts w:ascii="Times New Roman;serif" w:hAnsi="Times New Roman;serif"/>
                <w:b w:val="false"/>
                <w:sz w:val="20"/>
              </w:rPr>
            </w:pPr>
            <w:r>
              <w:rPr>
                <w:rFonts w:ascii="Times New Roman;serif" w:hAnsi="Times New Roman;serif"/>
                <w:b w:val="false"/>
                <w:sz w:val="20"/>
              </w:rPr>
              <w:t>31</w:t>
            </w:r>
          </w:p>
        </w:tc>
      </w:tr>
      <w:tr>
        <w:trPr/>
        <w:tc>
          <w:tcPr>
            <w:tcW w:w="7287" w:type="dxa"/>
            <w:tcBorders/>
            <w:tcMar>
              <w:top w:w="0" w:type="dxa"/>
              <w:left w:w="0" w:type="dxa"/>
              <w:bottom w:w="0" w:type="dxa"/>
              <w:right w:w="0" w:type="dxa"/>
            </w:tcMar>
            <w:vAlign w:val="center"/>
          </w:tcPr>
          <w:p>
            <w:pPr>
              <w:pStyle w:val="TableContents"/>
              <w:pBdr/>
              <w:bidi w:val="0"/>
              <w:spacing w:before="0" w:after="0"/>
              <w:ind w:left="195" w:right="101" w:hanging="101"/>
              <w:jc w:val="left"/>
              <w:rPr/>
            </w:pPr>
            <w:hyperlink w:anchor="item1_changes_in_securities_use_of_proce">
              <w:r>
                <w:rPr>
                  <w:rStyle w:val="InternetLink"/>
                  <w:rFonts w:ascii="Times New Roman;serif" w:hAnsi="Times New Roman;serif"/>
                  <w:b w:val="false"/>
                  <w:sz w:val="20"/>
                  <w:u w:val="single"/>
                </w:rPr>
                <w:t>Item 1. Changes in Securities, Use of Proceeds and Issuer Purchases of Equity Securities</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296"/>
              <w:jc w:val="left"/>
              <w:rPr>
                <w:rFonts w:ascii="Times New Roman;serif" w:hAnsi="Times New Roman;serif"/>
                <w:b w:val="false"/>
                <w:sz w:val="20"/>
              </w:rPr>
            </w:pPr>
            <w:r>
              <w:rPr>
                <w:rFonts w:ascii="Times New Roman;serif" w:hAnsi="Times New Roman;serif"/>
                <w:b w:val="false"/>
                <w:sz w:val="20"/>
              </w:rPr>
              <w:t>31</w:t>
            </w:r>
          </w:p>
        </w:tc>
      </w:tr>
      <w:tr>
        <w:trPr/>
        <w:tc>
          <w:tcPr>
            <w:tcW w:w="7287" w:type="dxa"/>
            <w:tcBorders/>
            <w:tcMar>
              <w:top w:w="0" w:type="dxa"/>
              <w:left w:w="0" w:type="dxa"/>
              <w:bottom w:w="0" w:type="dxa"/>
              <w:right w:w="0" w:type="dxa"/>
            </w:tcMar>
            <w:vAlign w:val="center"/>
          </w:tcPr>
          <w:p>
            <w:pPr>
              <w:pStyle w:val="TableContents"/>
              <w:pBdr/>
              <w:bidi w:val="0"/>
              <w:spacing w:before="0" w:after="0"/>
              <w:ind w:left="195" w:right="101" w:hanging="101"/>
              <w:jc w:val="left"/>
              <w:rPr/>
            </w:pPr>
            <w:hyperlink w:anchor="item2_reports_on_form_6k">
              <w:r>
                <w:rPr>
                  <w:rStyle w:val="InternetLink"/>
                  <w:rFonts w:ascii="Times New Roman;serif" w:hAnsi="Times New Roman;serif"/>
                  <w:b w:val="false"/>
                  <w:sz w:val="20"/>
                  <w:u w:val="single"/>
                </w:rPr>
                <w:t>Item 2. Reports on Form 6-K</w:t>
              </w:r>
            </w:hyperlink>
          </w:p>
        </w:tc>
        <w:tc>
          <w:tcPr>
            <w:tcW w:w="957" w:type="dxa"/>
            <w:tcBorders/>
            <w:tcMar>
              <w:top w:w="0" w:type="dxa"/>
              <w:left w:w="0" w:type="dxa"/>
              <w:bottom w:w="0" w:type="dxa"/>
              <w:right w:w="0" w:type="dxa"/>
            </w:tcMar>
            <w:vAlign w:val="center"/>
          </w:tcPr>
          <w:p>
            <w:pPr>
              <w:pStyle w:val="TableContents"/>
              <w:bidi w:val="0"/>
              <w:spacing w:before="0" w:after="0"/>
              <w:ind w:left="0" w:right="0" w:firstLine="101"/>
              <w:jc w:val="left"/>
              <w:rPr>
                <w:rFonts w:ascii="Times New Roman;serif" w:hAnsi="Times New Roman;serif"/>
                <w:b w:val="false"/>
                <w:sz w:val="20"/>
              </w:rPr>
            </w:pPr>
            <w:r>
              <w:rPr>
                <w:rFonts w:ascii="Times New Roman;serif" w:hAnsi="Times New Roman;serif"/>
                <w:b w:val="false"/>
                <w:sz w:val="20"/>
              </w:rPr>
              <w:t>31</w:t>
            </w:r>
          </w:p>
        </w:tc>
      </w:tr>
      <w:tr>
        <w:trPr/>
        <w:tc>
          <w:tcPr>
            <w:tcW w:w="7287" w:type="dxa"/>
            <w:tcBorders/>
            <w:tcMar>
              <w:top w:w="0" w:type="dxa"/>
              <w:left w:w="0" w:type="dxa"/>
              <w:bottom w:w="0" w:type="dxa"/>
              <w:right w:w="0" w:type="dxa"/>
            </w:tcMar>
            <w:vAlign w:val="center"/>
          </w:tcPr>
          <w:p>
            <w:pPr>
              <w:pStyle w:val="TableContents"/>
              <w:pBdr/>
              <w:bidi w:val="0"/>
              <w:spacing w:before="0" w:after="0"/>
              <w:ind w:left="0" w:right="101" w:hanging="101"/>
              <w:jc w:val="left"/>
              <w:rPr/>
            </w:pPr>
            <w:hyperlink w:anchor="signatures">
              <w:r>
                <w:rPr>
                  <w:rStyle w:val="InternetLink"/>
                  <w:rFonts w:ascii="Times New Roman;serif" w:hAnsi="Times New Roman;serif"/>
                  <w:b w:val="false"/>
                  <w:sz w:val="20"/>
                  <w:u w:val="single"/>
                </w:rPr>
                <w:t>SIGNATURES</w:t>
              </w:r>
            </w:hyperlink>
          </w:p>
        </w:tc>
        <w:tc>
          <w:tcPr>
            <w:tcW w:w="95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i_financial_information"/>
      <w:bookmarkEnd w:id="2"/>
      <w:r>
        <w:rPr>
          <w:rFonts w:ascii="Times New Roman;serif" w:hAnsi="Times New Roman;serif"/>
          <w:b/>
          <w:sz w:val="20"/>
        </w:rPr>
        <w:t>PART I FINANCIAL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3" w:name="item1_financial_statements"/>
      <w:bookmarkEnd w:id="3"/>
      <w:r>
        <w:rPr>
          <w:rFonts w:ascii="Times New Roman;serif" w:hAnsi="Times New Roman;serif"/>
          <w:b/>
          <w:sz w:val="20"/>
        </w:rPr>
        <w:t>Item 1.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4" w:name="consolidated_balance_sheets"/>
      <w:bookmarkEnd w:id="4"/>
      <w:r>
        <w:rPr>
          <w:rFonts w:ascii="Times New Roman;serif" w:hAnsi="Times New Roman;serif"/>
          <w:b/>
          <w:sz w:val="20"/>
        </w:rPr>
        <w:t>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352"/>
        <w:gridCol w:w="146"/>
        <w:gridCol w:w="211"/>
        <w:gridCol w:w="991"/>
        <w:gridCol w:w="166"/>
        <w:gridCol w:w="146"/>
        <w:gridCol w:w="211"/>
        <w:gridCol w:w="991"/>
        <w:gridCol w:w="991"/>
      </w:tblGrid>
      <w:tr>
        <w:trPr/>
        <w:tc>
          <w:tcPr>
            <w:tcW w:w="6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7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573,377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244,603</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946,777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270,197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238,390</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2,095,835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2,003,147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794,287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176,884</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2,721,970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2,662,825</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178,312</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574,938</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6,539,342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6,390,393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134,400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590,930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612,656</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personnel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208,602</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43,336</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307,708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253,686</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1,252,680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 and taxes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312,237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138,378</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 of 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645,117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481,703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2,887,066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2,830,115</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Amdocs Limited Shareholders'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Preferred Shares — Authorized 25,000 shares; £0.01 par value; 0 shares issued</w:t>
              <w:br/>
              <w:t>   and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Ordinary Shares — Authorized 700,000 shares; £0.01 par value; 286,306 and 284,400 issued and 119,026 and 120,842 outstanding,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4,548</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4,217,048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4,105,900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Treasury stock, at cost 167,280 and 163,558 ordinary shares,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(7,066,288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(6,731,789</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(72,476</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6,498,559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6,211,586</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Amdocs Limited Shareholders'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3,517,769</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42,509</w:t>
            </w:r>
          </w:p>
        </w:tc>
        <w:tc>
          <w:tcPr>
            <w:tcW w:w="991" w:type="dxa"/>
            <w:tcBorders/>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3,652,276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3,560,278</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6,539,342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6,390,393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5" w:name="consolidated_statements_of_income"/>
      <w:bookmarkEnd w:id="5"/>
      <w:r>
        <w:rPr>
          <w:rFonts w:ascii="Times New Roman;serif" w:hAnsi="Times New Roman;serif"/>
          <w:b/>
          <w:sz w:val="20"/>
        </w:rPr>
        <w:t>CONSOLIDATED STATEMENTS OF INCOME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3,410,193</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748,214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2,356,341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2,206,189</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258,488</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430,327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399,168</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53,237</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3,129,921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2,917,082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493,111</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484,119</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63,554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438,698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dividends declared per ordinary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6" w:name="statements_of_comprehensive_income"/>
      <w:bookmarkEnd w:id="6"/>
      <w:r>
        <w:rPr>
          <w:rFonts w:ascii="Times New Roman;serif" w:hAnsi="Times New Roman;serif"/>
          <w:b/>
          <w:sz w:val="20"/>
        </w:rPr>
        <w:t>CONSOLIDATED STATEMENTS OF COMPREHENSIVE INCOME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amounts 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46"/>
        <w:gridCol w:w="146"/>
        <w:gridCol w:w="211"/>
        <w:gridCol w:w="781"/>
        <w:gridCol w:w="41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411" w:type="dxa"/>
            <w:tcBorders/>
            <w:vAlign w:val="center"/>
          </w:tcPr>
          <w:p>
            <w:pPr>
              <w:pStyle w:val="TableContents"/>
              <w:bidi w:val="0"/>
              <w:spacing w:before="0" w:after="0"/>
              <w:ind w:left="0" w:right="0" w:hanging="0"/>
              <w:jc w:val="left"/>
              <w:rPr/>
            </w:pPr>
            <w:r>
              <w:rPr/>
              <w:t> </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fair value of cash flow hedges(1)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(49,935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fair value of available-for-sale securities(2)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467,260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354,411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354,411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40" w:after="0"/>
        <w:jc w:val="both"/>
        <w:rPr>
          <w:rFonts w:ascii="Times New Roman" w:hAnsi="Times New Roman"/>
          <w:b w:val="false"/>
          <w:sz w:val="20"/>
        </w:rPr>
      </w:pPr>
      <w:r>
        <w:rPr>
          <w:rFonts w:ascii="Times New Roman" w:hAnsi="Times New Roman"/>
          <w:b w:val="false"/>
          <w:sz w:val="20"/>
        </w:rPr>
        <w:t>(1)</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Net of tax of $14 and $2,335 for the three months ended June 30, 2023 and 2022, respectively and of $271 and $2,174 for the nine months ended June 30, 2023 and 2022,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No tax impact for the three and nine months ended June 30, 2023 and 2022.</w:t>
      </w:r>
    </w:p>
    <w:p>
      <w:pPr>
        <w:pStyle w:val="TextBody"/>
        <w:bidi w:val="0"/>
        <w:spacing w:before="20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AMDOCS LIMITED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statements_of_changes_in_equity"/>
      <w:bookmarkEnd w:id="7"/>
      <w:r>
        <w:rPr>
          <w:rFonts w:ascii="Times New Roman;serif" w:hAnsi="Times New Roman;serif"/>
          <w:b/>
          <w:sz w:val="20"/>
        </w:rPr>
        <w:t>CONSOLIDATED STATEMENTS OF CHANGES IN EQUITY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center"/>
        <w:rPr/>
      </w:pPr>
      <w:r>
        <w:rPr/>
        <w:t> </w:t>
      </w:r>
    </w:p>
    <w:tbl>
      <w:tblPr>
        <w:tblW w:w="10554" w:type="dxa"/>
        <w:jc w:val="left"/>
        <w:tblInd w:w="0" w:type="dxa"/>
        <w:tblLayout w:type="fixed"/>
        <w:tblCellMar>
          <w:top w:w="28" w:type="dxa"/>
          <w:left w:w="28" w:type="dxa"/>
          <w:bottom w:w="28" w:type="dxa"/>
          <w:right w:w="28" w:type="dxa"/>
        </w:tblCellMar>
      </w:tblPr>
      <w:tblGrid>
        <w:gridCol w:w="886"/>
        <w:gridCol w:w="146"/>
        <w:gridCol w:w="146"/>
        <w:gridCol w:w="496"/>
        <w:gridCol w:w="151"/>
        <w:gridCol w:w="146"/>
        <w:gridCol w:w="166"/>
        <w:gridCol w:w="376"/>
        <w:gridCol w:w="146"/>
        <w:gridCol w:w="146"/>
        <w:gridCol w:w="166"/>
        <w:gridCol w:w="586"/>
        <w:gridCol w:w="146"/>
        <w:gridCol w:w="146"/>
        <w:gridCol w:w="166"/>
        <w:gridCol w:w="631"/>
        <w:gridCol w:w="151"/>
        <w:gridCol w:w="146"/>
        <w:gridCol w:w="235"/>
        <w:gridCol w:w="681"/>
        <w:gridCol w:w="151"/>
        <w:gridCol w:w="146"/>
        <w:gridCol w:w="166"/>
        <w:gridCol w:w="586"/>
        <w:gridCol w:w="151"/>
        <w:gridCol w:w="146"/>
        <w:gridCol w:w="182"/>
        <w:gridCol w:w="644"/>
        <w:gridCol w:w="151"/>
        <w:gridCol w:w="146"/>
        <w:gridCol w:w="182"/>
        <w:gridCol w:w="479"/>
        <w:gridCol w:w="151"/>
        <w:gridCol w:w="146"/>
        <w:gridCol w:w="166"/>
        <w:gridCol w:w="586"/>
        <w:gridCol w:w="5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4,181,820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(6,937,426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(53,734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6,390,912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3,586,141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3,629,561</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159,428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159,428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160,115</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167,650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168,337</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(128,862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(128,862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(128,862</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($0.435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(51,781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(51,781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(51,781</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24,054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Distribution to noncontrolling interests (2)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June 30,2023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119,026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4,217,048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(7,066,288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(45,512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6,498,559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3,608,378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43,898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3,652,276</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Income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122,840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4,036,591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(6,524,246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6,050,099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3,561,682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3,604,191</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 (2)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128,466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128,466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128,466</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(51,512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(51,512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(51,512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76,954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76,954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22,119</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(99,993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(99,993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(99,993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($0.395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(48,180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(48,180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(48,180</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121,961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4,076,828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(6,624,239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(56,816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6,130,385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3,530,704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3,573,213</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____________</w:t>
      </w:r>
    </w:p>
    <w:p>
      <w:pPr>
        <w:pStyle w:val="TextBody"/>
        <w:bidi w:val="0"/>
        <w:spacing w:before="0" w:after="0"/>
        <w:jc w:val="left"/>
        <w:rPr/>
      </w:pPr>
      <w:r>
        <w:rPr/>
        <w:t> </w:t>
      </w:r>
    </w:p>
    <w:p>
      <w:pPr>
        <w:pStyle w:val="TextBody"/>
        <w:bidi w:val="0"/>
        <w:spacing w:before="0" w:after="0"/>
        <w:jc w:val="both"/>
        <w:rPr>
          <w:rFonts w:ascii="Times New Roman" w:hAnsi="Times New Roman"/>
          <w:b w:val="false"/>
          <w:sz w:val="17"/>
        </w:rPr>
      </w:pPr>
      <w:r>
        <w:rPr>
          <w:rFonts w:ascii="Times New Roman" w:hAnsi="Times New Roman"/>
          <w:b w:val="false"/>
          <w:sz w:val="17"/>
        </w:rPr>
        <w:t>(1)</w:t>
      </w:r>
    </w:p>
    <w:p>
      <w:pPr>
        <w:pStyle w:val="TextBody"/>
        <w:bidi w:val="0"/>
        <w:spacing w:before="0" w:after="0"/>
        <w:jc w:val="both"/>
        <w:rPr>
          <w:rFonts w:ascii="Times New Roman;serif" w:hAnsi="Times New Roman;serif"/>
          <w:b w:val="false"/>
          <w:sz w:val="17"/>
        </w:rPr>
      </w:pPr>
      <w:r>
        <w:rPr>
          <w:rFonts w:ascii="Times New Roman;serif" w:hAnsi="Times New Roman;serif"/>
          <w:b w:val="false"/>
          <w:sz w:val="17"/>
        </w:rPr>
        <w:t>As of June 30, 2023 and 2022, accumulated other comprehensive loss is comprised of unrealized loss on derivatives, net of tax, of $24,609 and $36,162 unrealized loss on short-term interest-bearing investments, net of tax, of $17,804 and $17,493, and unrealized loss on defined benefit plan, net of tax, of $3,099 and $3,161, respectively.</w:t>
      </w:r>
    </w:p>
    <w:p>
      <w:pPr>
        <w:pStyle w:val="TextBody"/>
        <w:bidi w:val="0"/>
        <w:spacing w:before="40" w:after="0"/>
        <w:jc w:val="both"/>
        <w:rPr>
          <w:rFonts w:ascii="Times New Roman" w:hAnsi="Times New Roman"/>
          <w:b w:val="false"/>
          <w:sz w:val="17"/>
        </w:rPr>
      </w:pPr>
      <w:r>
        <w:rPr>
          <w:rFonts w:ascii="Times New Roman" w:hAnsi="Times New Roman"/>
          <w:b w:val="false"/>
          <w:sz w:val="17"/>
        </w:rPr>
        <w:t>(2)</w:t>
      </w:r>
    </w:p>
    <w:p>
      <w:pPr>
        <w:pStyle w:val="TextBody"/>
        <w:bidi w:val="0"/>
        <w:spacing w:before="40" w:after="283"/>
        <w:jc w:val="both"/>
        <w:rPr>
          <w:rFonts w:ascii="Times New Roman;serif" w:hAnsi="Times New Roman;serif"/>
          <w:b w:val="false"/>
          <w:sz w:val="17"/>
        </w:rPr>
      </w:pPr>
      <w:r>
        <w:rPr>
          <w:rFonts w:ascii="Times New Roman;serif" w:hAnsi="Times New Roman;serif"/>
          <w:b w:val="false"/>
          <w:sz w:val="17"/>
        </w:rPr>
        <w:t xml:space="preserve">During the three and nine months ended June 30, 2022 all of the Company’s net income is attributable to Amdocs Limited as the net income attributable to the Non-controlling interests is negligible. Starting fiscal year 2023, the Company distributes earnings to the noncontrolling interests, for further details please refer to Note 2, “A summary of Significant Accounting Policies “, in the Company’s Annual Report on Form 20-F for the fiscal year 2022.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AMDOCS LIMITED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STATEMENTS OF CHANGES IN EQUITY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center"/>
        <w:rPr/>
      </w:pPr>
      <w:r>
        <w:rPr/>
        <w:t> </w:t>
      </w:r>
    </w:p>
    <w:tbl>
      <w:tblPr>
        <w:tblW w:w="10554" w:type="dxa"/>
        <w:jc w:val="left"/>
        <w:tblInd w:w="0" w:type="dxa"/>
        <w:tblLayout w:type="fixed"/>
        <w:tblCellMar>
          <w:top w:w="28" w:type="dxa"/>
          <w:left w:w="28" w:type="dxa"/>
          <w:bottom w:w="28" w:type="dxa"/>
          <w:right w:w="28" w:type="dxa"/>
        </w:tblCellMar>
      </w:tblPr>
      <w:tblGrid>
        <w:gridCol w:w="886"/>
        <w:gridCol w:w="146"/>
        <w:gridCol w:w="146"/>
        <w:gridCol w:w="496"/>
        <w:gridCol w:w="151"/>
        <w:gridCol w:w="146"/>
        <w:gridCol w:w="166"/>
        <w:gridCol w:w="376"/>
        <w:gridCol w:w="146"/>
        <w:gridCol w:w="146"/>
        <w:gridCol w:w="166"/>
        <w:gridCol w:w="586"/>
        <w:gridCol w:w="146"/>
        <w:gridCol w:w="146"/>
        <w:gridCol w:w="166"/>
        <w:gridCol w:w="631"/>
        <w:gridCol w:w="151"/>
        <w:gridCol w:w="146"/>
        <w:gridCol w:w="235"/>
        <w:gridCol w:w="681"/>
        <w:gridCol w:w="151"/>
        <w:gridCol w:w="146"/>
        <w:gridCol w:w="166"/>
        <w:gridCol w:w="586"/>
        <w:gridCol w:w="151"/>
        <w:gridCol w:w="146"/>
        <w:gridCol w:w="182"/>
        <w:gridCol w:w="644"/>
        <w:gridCol w:w="151"/>
        <w:gridCol w:w="146"/>
        <w:gridCol w:w="182"/>
        <w:gridCol w:w="479"/>
        <w:gridCol w:w="151"/>
        <w:gridCol w:w="146"/>
        <w:gridCol w:w="166"/>
        <w:gridCol w:w="586"/>
        <w:gridCol w:w="5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September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120,842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(6,731,789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(72,476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6,211,586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3,517,769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3,560,278</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438,698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438,698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440,296</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26,964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26,964</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465,662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467,260</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46,252</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(334,499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(334,499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(334,499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($1.265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(151,725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(151,725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(151,725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64,905</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Distribution to noncontrolling interests (2)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119,026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4,217,048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(7,066,288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(45,512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6,498,559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3,608,378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43,898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3,652,276</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Income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September 30,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124,866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3,951,201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(6,223,317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5,850,937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3,592,675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3,635,184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 (2)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420,565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420,565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420,565</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(66,154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(66,154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(66,154</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354,411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354,411</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72,942</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(400,922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(400,922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(400,922</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($1.15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(141,117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52,700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52,700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121,961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4,076,828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(6,624,239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(56,816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6,130,385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3,530,704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3,573,213</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8" w:name="consolidated_statements_of_cash_flows"/>
      <w:bookmarkEnd w:id="8"/>
      <w:r>
        <w:rPr>
          <w:rFonts w:ascii="Times New Roman;serif" w:hAnsi="Times New Roman;serif"/>
          <w:b/>
          <w:sz w:val="20"/>
        </w:rPr>
        <w:t>CONSOLIDATED STATEMENTS OF CASH FLOWS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amounts in thousands)</w:t>
      </w:r>
    </w:p>
    <w:p>
      <w:pPr>
        <w:pStyle w:val="TextBody"/>
        <w:bidi w:val="0"/>
        <w:spacing w:before="0" w:after="0"/>
        <w:jc w:val="left"/>
        <w:rPr/>
      </w:pPr>
      <w:r>
        <w:rPr/>
        <w:t> </w:t>
      </w:r>
    </w:p>
    <w:tbl>
      <w:tblPr>
        <w:tblW w:w="9094" w:type="dxa"/>
        <w:jc w:val="left"/>
        <w:tblInd w:w="0" w:type="dxa"/>
        <w:tblLayout w:type="fixed"/>
        <w:tblCellMar>
          <w:top w:w="28" w:type="dxa"/>
          <w:left w:w="28" w:type="dxa"/>
          <w:bottom w:w="28" w:type="dxa"/>
          <w:right w:w="28" w:type="dxa"/>
        </w:tblCellMar>
      </w:tblPr>
      <w:tblGrid>
        <w:gridCol w:w="6121"/>
        <w:gridCol w:w="146"/>
        <w:gridCol w:w="211"/>
        <w:gridCol w:w="841"/>
        <w:gridCol w:w="166"/>
        <w:gridCol w:w="146"/>
        <w:gridCol w:w="211"/>
        <w:gridCol w:w="841"/>
        <w:gridCol w:w="4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of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amortization and impairment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174,712</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debt issuance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52,700</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from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changes in operating assets and liabilities, net of amounts acquired:</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(157,557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3,534</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27,918</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assets and liabilities,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3,603</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accrued expenses and accrued personnel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(63,804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28,465</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19,903</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550,259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539,800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Investing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 net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(145,400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20,043</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paid for business acquisitions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received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(179,092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(334,499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(400,922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employee stock option exercises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72,957</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of dividends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(137,893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Distribution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contingent consideration from a business acquisition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(472,011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(111,303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709,064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517,657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597,761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Supplementary Cash Flow Information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net of refunds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55,979</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16,711</w:t>
            </w:r>
          </w:p>
        </w:tc>
        <w:tc>
          <w:tcPr>
            <w:tcW w:w="41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18"/>
        </w:rPr>
      </w:pPr>
      <w:r>
        <w:rPr>
          <w:rFonts w:ascii="Times New Roman;serif" w:hAnsi="Times New Roman;serif"/>
          <w:b w:val="false"/>
          <w:sz w:val="18"/>
        </w:rPr>
        <w:t>The amounts under "Purchase of property and equipment, net”, include proceeds from sale of property and equipment of $380 and $521 for the nine months ended June 30, 2023 and 2022,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spacing w:before="0" w:after="0"/>
        <w:jc w:val="both"/>
        <w:rPr/>
      </w:pPr>
      <w:r>
        <w:rPr>
          <w:rFonts w:ascii="Times New Roman;serif" w:hAnsi="Times New Roman;serif"/>
          <w:b w:val="false"/>
          <w:sz w:val="18"/>
        </w:rPr>
        <w:t xml:space="preserve">For Further details, </w:t>
      </w:r>
      <w:r>
        <w:rPr>
          <w:rFonts w:ascii="Times New Roman;serif" w:hAnsi="Times New Roman;serif"/>
          <w:b w:val="false"/>
          <w:sz w:val="20"/>
        </w:rPr>
        <w:t>see also Note 10.</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18"/>
        </w:rPr>
      </w:pPr>
      <w:r>
        <w:rPr>
          <w:rFonts w:ascii="Times New Roman;serif" w:hAnsi="Times New Roman;serif"/>
          <w:b w:val="false"/>
          <w:sz w:val="18"/>
        </w:rPr>
        <w:t>The amounts under “Interest” include payments of interest to financial institution, tax authorities and other.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rFonts w:ascii="Times New Roman;serif" w:hAnsi="Times New Roman;serif"/>
          <w:b/>
          <w:sz w:val="20"/>
        </w:rPr>
      </w:pPr>
      <w:r>
        <w:rPr>
          <w:rFonts w:ascii="Times New Roman;serif" w:hAnsi="Times New Roman;serif"/>
          <w:b/>
          <w:sz w:val="20"/>
        </w:rPr>
        <w:t>Nature of Entity and 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unaudited consolidated financial statements of the Company have been prepared in accordance with U.S. generally accepted accounting principles, or GAAP and are denominated in U.S. dollars.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2022, set forth in the Company’s Annual Report on Form 20-F filed on December 13, 2022 with the U.S. Securities and Exchange Commission, or the SEC. There have been no material changes to the Company’s significant accounting policies from its Annual Report on Form 20-F for the fiscal year ended September 30, 2022.</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Reclassification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From time to time, certain immaterial amounts in prior year financial statements may be reclassified to conform to the current year presentation.</w:t>
      </w:r>
      <w:r>
        <w:rPr>
          <w:rFonts w:ascii="Times New Roman" w:hAnsi="Times New Roman"/>
          <w:sz w:val="20"/>
        </w:rPr>
        <w:t xml:space="preserve"> </w:t>
      </w:r>
    </w:p>
    <w:p>
      <w:pPr>
        <w:pStyle w:val="TextBody"/>
        <w:bidi w:val="0"/>
        <w:spacing w:before="200" w:after="0"/>
        <w:jc w:val="both"/>
        <w:rPr>
          <w:rFonts w:ascii="Times New Roman" w:hAnsi="Times New Roman"/>
          <w:b/>
          <w:sz w:val="20"/>
        </w:rPr>
      </w:pPr>
      <w:r>
        <w:rPr>
          <w:rFonts w:ascii="Times New Roman" w:hAnsi="Times New Roman"/>
          <w:b/>
          <w:sz w:val="20"/>
        </w:rPr>
        <w:t>2.</w:t>
      </w:r>
    </w:p>
    <w:p>
      <w:pPr>
        <w:pStyle w:val="TextBody"/>
        <w:bidi w:val="0"/>
        <w:spacing w:before="200" w:after="283"/>
        <w:jc w:val="both"/>
        <w:rPr>
          <w:rFonts w:ascii="Times New Roman;serif" w:hAnsi="Times New Roman;serif"/>
          <w:b/>
          <w:sz w:val="20"/>
        </w:rPr>
      </w:pPr>
      <w:r>
        <w:rPr>
          <w:rFonts w:ascii="Times New Roman;serif" w:hAnsi="Times New Roman;serif"/>
          <w:b/>
          <w:sz w:val="20"/>
        </w:rPr>
        <w:t>Recent Accounting Standards</w:t>
      </w:r>
    </w:p>
    <w:p>
      <w:pPr>
        <w:pStyle w:val="TextBody"/>
        <w:bidi w:val="0"/>
        <w:spacing w:before="200" w:after="0"/>
        <w:jc w:val="both"/>
        <w:rPr>
          <w:rFonts w:ascii="Times New Roman" w:hAnsi="Times New Roman"/>
          <w:sz w:val="20"/>
        </w:rPr>
      </w:pPr>
      <w:r>
        <w:rPr>
          <w:rFonts w:ascii="Times New Roman;serif" w:hAnsi="Times New Roman;serif"/>
          <w:b w:val="false"/>
          <w:sz w:val="20"/>
        </w:rPr>
        <w:t>In September 2022, the Financial Accounting Standards Board, or FASB, issued</w:t>
      </w:r>
      <w:r>
        <w:rPr>
          <w:rFonts w:ascii="Times New Roman" w:hAnsi="Times New Roman"/>
          <w:sz w:val="20"/>
        </w:rPr>
        <w:t xml:space="preserve"> </w:t>
      </w:r>
      <w:r>
        <w:rPr>
          <w:rFonts w:ascii="Times New Roman;serif" w:hAnsi="Times New Roman;serif"/>
          <w:b w:val="false"/>
          <w:sz w:val="20"/>
        </w:rPr>
        <w:t>Accounting Standard Update, or ASU No. 2022-04,</w:t>
      </w:r>
      <w:r>
        <w:rPr>
          <w:rFonts w:ascii="Times New Roman" w:hAnsi="Times New Roman"/>
          <w:sz w:val="20"/>
        </w:rPr>
        <w:t xml:space="preserve"> </w:t>
      </w:r>
      <w:r>
        <w:rPr>
          <w:rFonts w:ascii="Times New Roman;serif" w:hAnsi="Times New Roman;serif"/>
          <w:b w:val="false"/>
          <w:sz w:val="20"/>
        </w:rPr>
        <w:t>"</w:t>
      </w:r>
      <w:r>
        <w:rPr>
          <w:rFonts w:ascii="Times New Roman;serif" w:hAnsi="Times New Roman;serif"/>
          <w:b w:val="false"/>
          <w:i/>
          <w:sz w:val="20"/>
        </w:rPr>
        <w:t>Liabilities—Supplier Finance Programs (Subtopic 405-50): Disclosure of Supplier Finance Program Obligations.</w:t>
      </w:r>
      <w:r>
        <w:rPr>
          <w:rFonts w:ascii="Times New Roman;serif" w:hAnsi="Times New Roman;serif"/>
          <w:b w:val="false"/>
          <w:sz w:val="20"/>
        </w:rPr>
        <w:t>" The ASU requires entities that use supplier finance programs to disclose sufficient information about the program’s nature, activity during the period, changes from period to period, and potential magnitude. This ASU will be effective for the Company on October 1, 2023, except for the roll-forward requirement, which will be effective on October 1, 2024 and early adoption is permitted. The Company estimates the impact of adoption this ASU will be immaterial, if any.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August 2021, the FASB, issued ASU No. 2021-08, “</w:t>
      </w:r>
      <w:r>
        <w:rPr>
          <w:rFonts w:ascii="Times New Roman;serif" w:hAnsi="Times New Roman;serif"/>
          <w:b w:val="false"/>
          <w:i/>
          <w:sz w:val="20"/>
        </w:rPr>
        <w:t>Business Combinations (Topic 805):</w:t>
      </w:r>
      <w:r>
        <w:rPr>
          <w:rFonts w:ascii="Times New Roman" w:hAnsi="Times New Roman"/>
          <w:sz w:val="20"/>
        </w:rPr>
        <w:t xml:space="preserve"> </w:t>
      </w:r>
      <w:r>
        <w:rPr>
          <w:rFonts w:ascii="Times New Roman;serif" w:hAnsi="Times New Roman;serif"/>
          <w:b w:val="false"/>
          <w:i/>
          <w:sz w:val="20"/>
        </w:rPr>
        <w:t xml:space="preserve">Accounting for Contract Assets and Contract Liabilities from Contracts with Customers.” </w:t>
      </w:r>
      <w:r>
        <w:rPr>
          <w:rFonts w:ascii="Times New Roman;serif" w:hAnsi="Times New Roman;serif"/>
          <w:b w:val="false"/>
          <w:sz w:val="20"/>
        </w:rPr>
        <w:t>The ASU requires companies to apply ASC 606 to recognize and measure contract assets and contract liabilities from contracts with customers acquired in a business combination. This ASU will be effective for the Company on October 1, 2023 and early adoption is permitted.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March 2020, the FASB, issued ASU No. 2020-04, “</w:t>
      </w:r>
      <w:r>
        <w:rPr>
          <w:rFonts w:ascii="Times New Roman;serif" w:hAnsi="Times New Roman;serif"/>
          <w:b w:val="false"/>
          <w:i/>
          <w:sz w:val="20"/>
        </w:rPr>
        <w:t>Reference Rate Reform: Facilitation of the Effects of Reference Rate Reform on Financial Reporting.”</w:t>
      </w:r>
      <w:r>
        <w:rPr>
          <w:rFonts w:ascii="Times New Roman" w:hAnsi="Times New Roman"/>
          <w:sz w:val="20"/>
        </w:rPr>
        <w:t xml:space="preserve"> </w:t>
      </w:r>
      <w:r>
        <w:rPr>
          <w:rFonts w:ascii="Times New Roman;serif" w:hAnsi="Times New Roman;serif"/>
          <w:b w:val="false"/>
          <w:sz w:val="20"/>
        </w:rPr>
        <w:t>The ASU provides temporary optional expedients and exceptions on certain contract modifications, hedge relationships and other transactions 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b/>
          <w:sz w:val="20"/>
        </w:rPr>
      </w:pPr>
      <w:r>
        <w:rPr>
          <w:rFonts w:ascii="Times New Roman" w:hAnsi="Times New Roman"/>
          <w:b/>
          <w:sz w:val="20"/>
        </w:rPr>
        <w:t>3.</w:t>
      </w:r>
    </w:p>
    <w:p>
      <w:pPr>
        <w:pStyle w:val="TextBody"/>
        <w:bidi w:val="0"/>
        <w:spacing w:before="200" w:after="283"/>
        <w:jc w:val="both"/>
        <w:rPr>
          <w:rFonts w:ascii="Times New Roman;serif" w:hAnsi="Times New Roman;serif"/>
          <w:b/>
          <w:sz w:val="20"/>
        </w:rPr>
      </w:pPr>
      <w:r>
        <w:rPr>
          <w:rFonts w:ascii="Times New Roman;serif" w:hAnsi="Times New Roman;serif"/>
          <w:b/>
          <w:sz w:val="20"/>
        </w:rPr>
        <w:t>Acquisitions and Divestiture of a Subsidiary</w:t>
      </w:r>
    </w:p>
    <w:p>
      <w:pPr>
        <w:pStyle w:val="TextBody"/>
        <w:bidi w:val="0"/>
        <w:spacing w:before="0" w:after="0"/>
        <w:jc w:val="left"/>
        <w:rPr>
          <w:rFonts w:ascii="Times New Roman" w:hAnsi="Times New Roman"/>
          <w:sz w:val="20"/>
        </w:rPr>
      </w:pPr>
      <w:r>
        <w:rPr>
          <w:rFonts w:ascii="Times New Roman;serif" w:hAnsi="Times New Roman;serif"/>
          <w:b/>
          <w:sz w:val="20"/>
        </w:rPr>
        <w:t>Acquisitions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nine months ended June 30, 2023, the Company completed two immaterial business acquisitions for an aggregate net consideration of approximately $93,000 in cash, and a potential for additional consideration may be paid later based on achievement of certain performance metrics, among them the vast majority of this amount was paid for the service assurance business of TEOCO. In allocating the total consideration based on the preliminary estimated fair values for service assurance business of TEOCO, the Company recorded $58,493 of goodwill, $41,119 of core technology to be amortized over approximately five years and $4,532 of customer relationships to be amortized over approximately seven years.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Divestiture of a Subsidiary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December 31, 2020, the Company completed the divestiture. Based on the total consideration, the Company recorded a pre-tax gain of $226,410, (net of immaterial transaction costs) in the Consolidated Statements of Income during the nine months ended June 30, 2021. In connection with this divestiture, $9,194 of net assets and $61,396 of goodwill, were disposed. During the nine months ended June 30, 2022 the Company recorded an additional pre-tax gain of $10,000, in the Consolidated Statements of Income as a result of achievement of certain performance metrics and received such additional consideration during the three months ended March 31, 2022. The divestiture did not represent a strategic shift that will have a major effect on operations and financial results and, therefore, did not qualify for presentation as a discontinued operation, see also Note 10.</w:t>
      </w:r>
    </w:p>
    <w:p>
      <w:pPr>
        <w:pStyle w:val="TextBody"/>
        <w:bidi w:val="0"/>
        <w:spacing w:before="200" w:after="0"/>
        <w:jc w:val="both"/>
        <w:rPr>
          <w:rFonts w:ascii="Times New Roman" w:hAnsi="Times New Roman"/>
          <w:b/>
          <w:sz w:val="20"/>
        </w:rPr>
      </w:pPr>
      <w:r>
        <w:rPr>
          <w:rFonts w:ascii="Times New Roman" w:hAnsi="Times New Roman"/>
          <w:b/>
          <w:sz w:val="20"/>
        </w:rPr>
        <w:t>4.</w:t>
      </w:r>
    </w:p>
    <w:p>
      <w:pPr>
        <w:pStyle w:val="TextBody"/>
        <w:bidi w:val="0"/>
        <w:spacing w:before="200" w:after="283"/>
        <w:jc w:val="both"/>
        <w:rPr>
          <w:rFonts w:ascii="Times New Roman;serif" w:hAnsi="Times New Roman;serif"/>
          <w:b/>
          <w:sz w:val="20"/>
        </w:rPr>
      </w:pPr>
      <w:r>
        <w:rPr>
          <w:rFonts w:ascii="Times New Roman;serif" w:hAnsi="Times New Roman;serif"/>
          <w:b/>
          <w:sz w:val="20"/>
        </w:rPr>
        <w:t xml:space="preserve">Revenue </w:t>
      </w:r>
    </w:p>
    <w:p>
      <w:pPr>
        <w:pStyle w:val="TextBody"/>
        <w:bidi w:val="0"/>
        <w:spacing w:before="200" w:after="0"/>
        <w:jc w:val="both"/>
        <w:rPr>
          <w:rFonts w:ascii="Times New Roman" w:hAnsi="Times New Roman"/>
          <w:sz w:val="20"/>
        </w:rPr>
      </w:pPr>
      <w:r>
        <w:rPr>
          <w:rFonts w:ascii="Times New Roman;serif" w:hAnsi="Times New Roman;serif"/>
          <w:b/>
          <w:sz w:val="20"/>
        </w:rPr>
        <w:t>Contract Balances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information about accounts receivable, both billed and unbilled and deferred revenue:</w:t>
      </w:r>
    </w:p>
    <w:p>
      <w:pPr>
        <w:pStyle w:val="TextBody"/>
        <w:bidi w:val="0"/>
        <w:spacing w:before="0" w:after="0"/>
        <w:jc w:val="both"/>
        <w:rPr/>
      </w:pPr>
      <w:r>
        <w:rPr/>
        <w:t> </w:t>
      </w:r>
    </w:p>
    <w:tbl>
      <w:tblPr>
        <w:tblW w:w="9012" w:type="dxa"/>
        <w:jc w:val="left"/>
        <w:tblInd w:w="0" w:type="dxa"/>
        <w:tblLayout w:type="fixed"/>
        <w:tblCellMar>
          <w:top w:w="28" w:type="dxa"/>
          <w:left w:w="28" w:type="dxa"/>
          <w:bottom w:w="28" w:type="dxa"/>
          <w:right w:w="28" w:type="dxa"/>
        </w:tblCellMar>
      </w:tblPr>
      <w:tblGrid>
        <w:gridCol w:w="6151"/>
        <w:gridCol w:w="146"/>
        <w:gridCol w:w="211"/>
        <w:gridCol w:w="841"/>
        <w:gridCol w:w="166"/>
        <w:gridCol w:w="146"/>
        <w:gridCol w:w="228"/>
        <w:gridCol w:w="912"/>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billed (net of allowances for credit losses of $15,867</w:t>
              <w:br/>
              <w:t>   and $16,627 as of June 30, 2023 and September 30, 2022, respectively)</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789,611</w:t>
            </w:r>
          </w:p>
        </w:tc>
        <w:tc>
          <w:tcPr>
            <w:tcW w:w="2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unbilled (current)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195,028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157,166</w:t>
            </w:r>
          </w:p>
        </w:tc>
        <w:tc>
          <w:tcPr>
            <w:tcW w:w="2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unbilled (non-current)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27,417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Accounts receivable - unbilled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184,583</w:t>
            </w:r>
          </w:p>
        </w:tc>
        <w:tc>
          <w:tcPr>
            <w:tcW w:w="2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(307,708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(69,907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(330,358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recognized during the three and nine months ended June 30, 2023, which was included in deferred revenue (current) as of September 30, 2022 was $12,146 and $238,221, respectively. Revenue recognized during the three and nine months ended June 30, 2022, which was included in deferred revenue (current) as of September 30, 2021 was $15,271 and $198,767, respectively.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aggregate amount of the transaction price allocated to remaining performance obligations that are unsatisfied or partially unsatisfied was approximately $5.7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sz w:val="20"/>
        </w:rPr>
      </w:pPr>
      <w:r>
        <w:rPr>
          <w:rFonts w:ascii="Times New Roman;serif" w:hAnsi="Times New Roman;serif"/>
          <w:b/>
          <w:sz w:val="20"/>
        </w:rPr>
        <w:t>Disaggregation of Revenue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considers information that is regularly reviewed by its chief operating decision makers in evaluating financial performance to disaggregate revenue.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provide details of revenue by nature of activities and by geography:</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Revenue by nature of activities</w:t>
      </w:r>
    </w:p>
    <w:p>
      <w:pPr>
        <w:pStyle w:val="TextBody"/>
        <w:bidi w:val="0"/>
        <w:spacing w:before="0" w:after="0"/>
        <w:jc w:val="both"/>
        <w:rPr/>
      </w:pPr>
      <w:r>
        <w:rPr/>
        <w:t> </w:t>
      </w:r>
    </w:p>
    <w:tbl>
      <w:tblPr>
        <w:tblW w:w="84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services arrangements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2,138,566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2,040,931</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516,126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442,406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1,506,420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1,369,262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3,644,986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3,410,193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Geographic Information</w:t>
      </w:r>
      <w:r>
        <w:rPr>
          <w:rFonts w:ascii="Times New Roman" w:hAnsi="Times New Roman"/>
          <w:sz w:val="20"/>
        </w:rPr>
        <w:t xml:space="preserve"> </w:t>
      </w:r>
    </w:p>
    <w:p>
      <w:pPr>
        <w:pStyle w:val="TextBody"/>
        <w:bidi w:val="0"/>
        <w:spacing w:before="0" w:after="0"/>
        <w:jc w:val="left"/>
        <w:rPr/>
      </w:pPr>
      <w:r>
        <w:rPr/>
        <w:t> </w:t>
      </w:r>
    </w:p>
    <w:tbl>
      <w:tblPr>
        <w:tblW w:w="894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931"/>
        <w:gridCol w:w="146"/>
        <w:gridCol w:w="146"/>
        <w:gridCol w:w="211"/>
        <w:gridCol w:w="93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787,987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2,472,587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2,305,646</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435,814</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668,733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3,644,986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3,410,193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5.</w:t>
      </w:r>
    </w:p>
    <w:p>
      <w:pPr>
        <w:pStyle w:val="TextBody"/>
        <w:bidi w:val="0"/>
        <w:jc w:val="both"/>
        <w:rPr>
          <w:rFonts w:ascii="Times New Roman;serif" w:hAnsi="Times New Roman;serif"/>
          <w:b/>
          <w:sz w:val="20"/>
        </w:rPr>
      </w:pPr>
      <w:r>
        <w:rPr>
          <w:rFonts w:ascii="Times New Roman;serif" w:hAnsi="Times New Roman;serif"/>
          <w:b/>
          <w:sz w:val="20"/>
        </w:rPr>
        <w:t>Fair Value Measurement</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three levels of inputs that may be used to measure fair value are as follows:</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1: </w:t>
      </w:r>
      <w:r>
        <w:rPr>
          <w:rFonts w:ascii="Times New Roman;serif" w:hAnsi="Times New Roman;serif"/>
          <w:b w:val="false"/>
          <w:sz w:val="20"/>
        </w:rPr>
        <w:t>Quoted prices in active markets for identical assets or liabilities;</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2: </w:t>
      </w:r>
      <w:r>
        <w:rPr>
          <w:rFonts w:ascii="Times New Roman;serif" w:hAnsi="Times New Roman;serif"/>
          <w:b w:val="false"/>
          <w:sz w:val="20"/>
        </w:rPr>
        <w:t>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3: </w:t>
      </w:r>
      <w:r>
        <w:rPr>
          <w:rFonts w:ascii="Times New Roman;serif" w:hAnsi="Times New Roman;serif"/>
          <w:b w:val="false"/>
          <w:sz w:val="20"/>
        </w:rPr>
        <w:t>Unobservable inputs that are supported by little or no market activity that is significant to the fair value of the assets or liabilities.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sz w:val="20"/>
        </w:rPr>
      </w:pPr>
      <w:r>
        <w:rPr>
          <w:rFonts w:ascii="Times New Roman;serif" w:hAnsi="Times New Roman;serif"/>
          <w:b w:val="false"/>
          <w:sz w:val="20"/>
        </w:rPr>
        <w:t>The following tables present the Company's assets and liabilities measured at fair value on a recurring basis as of June 30, 2023 and September 30, 2022:</w:t>
      </w:r>
      <w:r>
        <w:rPr>
          <w:rFonts w:ascii="Times New Roman" w:hAnsi="Times New Roman"/>
          <w:sz w:val="20"/>
        </w:rPr>
        <w:t xml:space="preserve"> </w:t>
      </w:r>
    </w:p>
    <w:p>
      <w:pPr>
        <w:pStyle w:val="TextBody"/>
        <w:bidi w:val="0"/>
        <w:spacing w:before="0" w:after="0"/>
        <w:jc w:val="both"/>
        <w:rPr/>
      </w:pPr>
      <w:r>
        <w:rPr/>
        <w:t> </w:t>
      </w:r>
    </w:p>
    <w:tbl>
      <w:tblPr>
        <w:tblW w:w="8452"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66"/>
        <w:gridCol w:w="146"/>
        <w:gridCol w:w="211"/>
        <w:gridCol w:w="736"/>
        <w:gridCol w:w="166"/>
        <w:gridCol w:w="146"/>
        <w:gridCol w:w="211"/>
        <w:gridCol w:w="78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3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309,547</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158,331</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40,957</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16,764</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350,504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190,901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541,405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47,264</w:t>
            </w:r>
          </w:p>
        </w:tc>
        <w:tc>
          <w:tcPr>
            <w:tcW w:w="3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financial instruments,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(34,985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521,235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8452"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66"/>
        <w:gridCol w:w="146"/>
        <w:gridCol w:w="211"/>
        <w:gridCol w:w="736"/>
        <w:gridCol w:w="166"/>
        <w:gridCol w:w="146"/>
        <w:gridCol w:w="211"/>
        <w:gridCol w:w="78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3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510,965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46,015</w:t>
            </w:r>
          </w:p>
        </w:tc>
        <w:tc>
          <w:tcPr>
            <w:tcW w:w="3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financial instruments,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(23,390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484,689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2023.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June 30, 2023 and September 30, 2022. The increase in Level 3 liabilities was primarily attributable to changes recorded against goodwill in connection with recent acquisitions, changes in the fair value recorded in the consolidated statement of income during the three and nine months ended June 30, 2023, partially offset by payments of certain acquisition-related liabilities. Level 3 assets relate to equity investments, which were valued based on price changes in orderly transactions for similar private investments of the same issuer.</w:t>
      </w:r>
    </w:p>
    <w:p>
      <w:pPr>
        <w:pStyle w:val="TextBody"/>
        <w:bidi w:val="0"/>
        <w:spacing w:before="200" w:after="0"/>
        <w:jc w:val="both"/>
        <w:rPr>
          <w:rFonts w:ascii="Times New Roman;serif" w:hAnsi="Times New Roman;serif"/>
          <w:b/>
          <w:i/>
          <w:sz w:val="20"/>
        </w:rPr>
      </w:pPr>
      <w:r>
        <w:rPr>
          <w:rFonts w:ascii="Times New Roman;serif" w:hAnsi="Times New Roman;serif"/>
          <w:b/>
          <w:i/>
          <w:sz w:val="20"/>
        </w:rPr>
        <w:t>Fair Value of Financial Instruments</w:t>
      </w:r>
    </w:p>
    <w:p>
      <w:pPr>
        <w:pStyle w:val="TextBody"/>
        <w:bidi w:val="0"/>
        <w:spacing w:before="200" w:after="0"/>
        <w:jc w:val="both"/>
        <w:rPr>
          <w:rFonts w:ascii="Times New Roman" w:hAnsi="Times New Roman"/>
          <w:sz w:val="20"/>
        </w:rPr>
      </w:pPr>
      <w:r>
        <w:rPr>
          <w:rFonts w:ascii="Times New Roman;serif" w:hAnsi="Times New Roman;serif"/>
          <w:b w:val="false"/>
          <w:sz w:val="20"/>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b/>
          <w:sz w:val="20"/>
        </w:rPr>
      </w:pPr>
      <w:r>
        <w:rPr>
          <w:rFonts w:ascii="Times New Roman" w:hAnsi="Times New Roman"/>
          <w:b/>
          <w:sz w:val="20"/>
        </w:rPr>
        <w:t>6.</w:t>
      </w:r>
    </w:p>
    <w:p>
      <w:pPr>
        <w:pStyle w:val="TextBody"/>
        <w:bidi w:val="0"/>
        <w:spacing w:before="200" w:after="283"/>
        <w:jc w:val="both"/>
        <w:rPr>
          <w:rFonts w:ascii="Times New Roman;serif" w:hAnsi="Times New Roman;serif"/>
          <w:b/>
          <w:sz w:val="20"/>
        </w:rPr>
      </w:pPr>
      <w:r>
        <w:rPr>
          <w:rFonts w:ascii="Times New Roman;serif" w:hAnsi="Times New Roman;serif"/>
          <w:b/>
          <w:sz w:val="20"/>
        </w:rPr>
        <w:t>Available-For-Sale Securities</w:t>
      </w:r>
    </w:p>
    <w:p>
      <w:pPr>
        <w:pStyle w:val="TextBody"/>
        <w:bidi w:val="0"/>
        <w:spacing w:before="200" w:after="0"/>
        <w:jc w:val="both"/>
        <w:rPr>
          <w:rFonts w:ascii="Times New Roman" w:hAnsi="Times New Roman"/>
          <w:sz w:val="20"/>
        </w:rPr>
      </w:pPr>
      <w:r>
        <w:rPr>
          <w:rFonts w:ascii="Times New Roman;serif" w:hAnsi="Times New Roman;serif"/>
          <w:b w:val="false"/>
          <w:sz w:val="20"/>
        </w:rPr>
        <w:t>Available-for-sale securities consist of the following interest-bearing investments:</w:t>
      </w:r>
      <w:r>
        <w:rPr>
          <w:rFonts w:ascii="Times New Roman" w:hAnsi="Times New Roman"/>
          <w:sz w:val="20"/>
        </w:rPr>
        <w:t xml:space="preserve"> </w:t>
      </w:r>
    </w:p>
    <w:p>
      <w:pPr>
        <w:pStyle w:val="TextBody"/>
        <w:bidi w:val="0"/>
        <w:spacing w:before="0" w:after="0"/>
        <w:jc w:val="both"/>
        <w:rPr/>
      </w:pPr>
      <w:r>
        <w:rPr/>
        <w:t> </w:t>
      </w:r>
    </w:p>
    <w:tbl>
      <w:tblPr>
        <w:tblW w:w="7821"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335"/>
        <w:gridCol w:w="551"/>
        <w:gridCol w:w="146"/>
        <w:gridCol w:w="146"/>
        <w:gridCol w:w="211"/>
        <w:gridCol w:w="676"/>
        <w:gridCol w:w="146"/>
        <w:gridCol w:w="146"/>
        <w:gridCol w:w="211"/>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63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309,547</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158,331</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40,957</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16,764</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559,209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2023, $231,858 of securities were classified as short-term interest-bearing investments and $309,547 of securities were classified as cash and cash equivalents. </w:t>
      </w:r>
    </w:p>
    <w:p>
      <w:pPr>
        <w:pStyle w:val="TextBody"/>
        <w:bidi w:val="0"/>
        <w:spacing w:before="0" w:after="0"/>
        <w:jc w:val="both"/>
        <w:rPr/>
      </w:pPr>
      <w:r>
        <w:rPr/>
        <w:t> </w:t>
      </w:r>
    </w:p>
    <w:tbl>
      <w:tblPr>
        <w:tblW w:w="7821"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335"/>
        <w:gridCol w:w="551"/>
        <w:gridCol w:w="146"/>
        <w:gridCol w:w="146"/>
        <w:gridCol w:w="211"/>
        <w:gridCol w:w="676"/>
        <w:gridCol w:w="146"/>
        <w:gridCol w:w="146"/>
        <w:gridCol w:w="211"/>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63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2022, $244,603 of securities were classified as short-term interest-bearing investments and $266,362 of securities were classified as cash and cash equivalents.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unrealized losses attributable to the Company’s available-for-sale securities were primarily due to credit spreads and interest rate movements. The securities that have unrealized losses as of June 30, 2023 also had unrealized losses as of June 30, 2022. The Company assessed whether such unrealized losses for the investments in its portfolio were caused by expected credit losses. Based on this assessment, the Company did not recognize any credit losses in the three and nine months ended June 30, 2023 and 2022. Realized gains and losses on short-term interest-bearing investments are included in earnings and are determined based on specific identification method.</w:t>
      </w:r>
    </w:p>
    <w:p>
      <w:pPr>
        <w:pStyle w:val="TextBody"/>
        <w:bidi w:val="0"/>
        <w:spacing w:before="200" w:after="0"/>
        <w:jc w:val="both"/>
        <w:rPr>
          <w:rFonts w:ascii="Times New Roman" w:hAnsi="Times New Roman"/>
          <w:sz w:val="20"/>
        </w:rPr>
      </w:pPr>
      <w:r>
        <w:rPr>
          <w:rFonts w:ascii="Times New Roman;serif" w:hAnsi="Times New Roman;serif"/>
          <w:b w:val="false"/>
          <w:sz w:val="20"/>
        </w:rPr>
        <w:t>As of June 30, 2023, the Company’s available-for-sale securities had the following maturity dates:</w:t>
      </w:r>
      <w:r>
        <w:rPr>
          <w:rFonts w:ascii="Times New Roman" w:hAnsi="Times New Roman"/>
          <w:sz w:val="20"/>
        </w:rPr>
        <w:t xml:space="preserve"> </w:t>
      </w:r>
    </w:p>
    <w:p>
      <w:pPr>
        <w:pStyle w:val="TextBody"/>
        <w:bidi w:val="0"/>
        <w:spacing w:before="0" w:after="0"/>
        <w:jc w:val="left"/>
        <w:rPr/>
      </w:pPr>
      <w:r>
        <w:rPr/>
        <w:t> </w:t>
      </w:r>
    </w:p>
    <w:tbl>
      <w:tblPr>
        <w:tblW w:w="3203" w:type="dxa"/>
        <w:jc w:val="left"/>
        <w:tblInd w:w="0" w:type="dxa"/>
        <w:tblLayout w:type="fixed"/>
        <w:tblCellMar>
          <w:top w:w="28" w:type="dxa"/>
          <w:left w:w="28" w:type="dxa"/>
          <w:bottom w:w="28" w:type="dxa"/>
          <w:right w:w="28" w:type="dxa"/>
        </w:tblCellMar>
      </w:tblPr>
      <w:tblGrid>
        <w:gridCol w:w="1756"/>
        <w:gridCol w:w="146"/>
        <w:gridCol w:w="236"/>
        <w:gridCol w:w="87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Market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357,171</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to 2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81,177</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 to 3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75,320</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 to 4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27,737</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541,405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both"/>
        <w:rPr>
          <w:rFonts w:ascii="Times New Roman" w:hAnsi="Times New Roman"/>
          <w:b/>
          <w:sz w:val="20"/>
        </w:rPr>
      </w:pPr>
      <w:r>
        <w:rPr>
          <w:rFonts w:ascii="Times New Roman" w:hAnsi="Times New Roman"/>
          <w:b/>
          <w:sz w:val="20"/>
        </w:rPr>
        <w:t>7.</w:t>
      </w:r>
    </w:p>
    <w:p>
      <w:pPr>
        <w:pStyle w:val="TextBody"/>
        <w:bidi w:val="0"/>
        <w:jc w:val="both"/>
        <w:rPr>
          <w:rFonts w:ascii="Times New Roman;serif" w:hAnsi="Times New Roman;serif"/>
          <w:b/>
          <w:sz w:val="20"/>
        </w:rPr>
      </w:pPr>
      <w:r>
        <w:rPr>
          <w:rFonts w:ascii="Times New Roman;serif" w:hAnsi="Times New Roman;serif"/>
          <w:b/>
          <w:sz w:val="20"/>
        </w:rPr>
        <w:t>Derivative Financial Instruments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as of June 30, 2023, there is no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The Company has limited its credit risk by entering into derivative transactions exclusively with investment-grade rated financial institutions and monitors the creditworthiness of these financial institutions on an ongoing basis.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classifies cash flows from its derivative transactions as cash flows from operating activities in the consolidated statements of cash flows.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table below presents the total volume or notional amounts of the Company’s derivative instruments as of June 30, 2023. Notional values are in U.S. dollars and are translated and calculated based on forward rates as of June 30, 2023 for forward contracts.</w:t>
      </w:r>
    </w:p>
    <w:p>
      <w:pPr>
        <w:pStyle w:val="TextBody"/>
        <w:bidi w:val="0"/>
        <w:spacing w:before="0" w:after="0"/>
        <w:jc w:val="left"/>
        <w:rPr/>
      </w:pPr>
      <w:r>
        <w:rPr/>
        <w:t> </w:t>
      </w:r>
    </w:p>
    <w:tbl>
      <w:tblPr>
        <w:tblW w:w="3983" w:type="dxa"/>
        <w:jc w:val="left"/>
        <w:tblInd w:w="0" w:type="dxa"/>
        <w:tblLayout w:type="fixed"/>
        <w:tblCellMar>
          <w:top w:w="28" w:type="dxa"/>
          <w:left w:w="28" w:type="dxa"/>
          <w:bottom w:w="28" w:type="dxa"/>
          <w:right w:w="28" w:type="dxa"/>
        </w:tblCellMar>
      </w:tblPr>
      <w:tblGrid>
        <w:gridCol w:w="2356"/>
        <w:gridCol w:w="146"/>
        <w:gridCol w:w="238"/>
        <w:gridCol w:w="1052"/>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2,212,153</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Gross notional amounts do not quantify risk or represent assets or liabilities of the Company but are used in the calculation of settlements under the contracts.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June 30, 2023 and September 30, 2022, is as follows:</w:t>
      </w:r>
      <w:r>
        <w:rPr>
          <w:rFonts w:ascii="Times New Roman" w:hAnsi="Times New Roman"/>
          <w:sz w:val="20"/>
        </w:rPr>
        <w:t xml:space="preserve"> </w:t>
      </w:r>
    </w:p>
    <w:p>
      <w:pPr>
        <w:pStyle w:val="TextBody"/>
        <w:bidi w:val="0"/>
        <w:spacing w:before="0" w:after="0"/>
        <w:jc w:val="left"/>
        <w:rPr/>
      </w:pPr>
      <w:r>
        <w:rPr/>
        <w:t> </w:t>
      </w:r>
    </w:p>
    <w:tbl>
      <w:tblPr>
        <w:tblW w:w="7217"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54"/>
        <w:gridCol w:w="886"/>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3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Derivatives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1,226</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(35,659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(50,846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Derivatives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10,808</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Cash Flow Hedges</w:t>
      </w:r>
    </w:p>
    <w:p>
      <w:pPr>
        <w:pStyle w:val="TextBody"/>
        <w:bidi w:val="0"/>
        <w:spacing w:before="200" w:after="0"/>
        <w:jc w:val="both"/>
        <w:rPr>
          <w:rFonts w:ascii="Times New Roman" w:hAnsi="Times New Roman"/>
          <w:sz w:val="20"/>
        </w:rPr>
      </w:pPr>
      <w:r>
        <w:rPr>
          <w:rFonts w:ascii="Times New Roman;serif" w:hAnsi="Times New Roman;serif"/>
          <w:b w:val="false"/>
          <w:sz w:val="20"/>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June 30, 2023 is scheduled to mature within the next 12 months.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sz w:val="20"/>
        </w:rPr>
      </w:pPr>
      <w:r>
        <w:rPr>
          <w:rFonts w:ascii="Times New Roman;serif" w:hAnsi="Times New Roman;serif"/>
          <w:b w:val="false"/>
          <w:sz w:val="20"/>
        </w:rPr>
        <w:t>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effect of the Company's cash flow hedging instruments in the consolidated statements of income for the three and nine months ended June 30, 2023 and 2022, respectively, which partially offsets the foreign currency impact from the underlying exposures, is summarized as follows:</w:t>
      </w:r>
    </w:p>
    <w:p>
      <w:pPr>
        <w:pStyle w:val="TextBody"/>
        <w:bidi w:val="0"/>
        <w:spacing w:before="0" w:after="0"/>
        <w:jc w:val="both"/>
        <w:rPr/>
      </w:pPr>
      <w:r>
        <w:rPr/>
        <w:t> </w:t>
      </w:r>
    </w:p>
    <w:tbl>
      <w:tblPr>
        <w:tblW w:w="9240" w:type="dxa"/>
        <w:jc w:val="left"/>
        <w:tblInd w:w="0" w:type="dxa"/>
        <w:tblLayout w:type="fixed"/>
        <w:tblCellMar>
          <w:top w:w="28" w:type="dxa"/>
          <w:left w:w="28" w:type="dxa"/>
          <w:bottom w:w="28" w:type="dxa"/>
          <w:right w:w="28" w:type="dxa"/>
        </w:tblCellMar>
      </w:tblPr>
      <w:tblGrid>
        <w:gridCol w:w="4021"/>
        <w:gridCol w:w="146"/>
        <w:gridCol w:w="223"/>
        <w:gridCol w:w="778"/>
        <w:gridCol w:w="175"/>
        <w:gridCol w:w="154"/>
        <w:gridCol w:w="223"/>
        <w:gridCol w:w="667"/>
        <w:gridCol w:w="166"/>
        <w:gridCol w:w="146"/>
        <w:gridCol w:w="214"/>
        <w:gridCol w:w="746"/>
        <w:gridCol w:w="168"/>
        <w:gridCol w:w="148"/>
        <w:gridCol w:w="214"/>
        <w:gridCol w:w="640"/>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66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Losses Reclassified from</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66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 Loss (Effective Portion)</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8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8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Line item in consolidated statements of income:</w:t>
            </w:r>
          </w:p>
        </w:tc>
        <w:tc>
          <w:tcPr>
            <w:tcW w:w="146" w:type="dxa"/>
            <w:tcBorders/>
            <w:vAlign w:val="center"/>
          </w:tcPr>
          <w:p>
            <w:pPr>
              <w:pStyle w:val="TableContents"/>
              <w:bidi w:val="0"/>
              <w:spacing w:before="0" w:after="0"/>
              <w:ind w:left="0" w:right="0" w:hanging="0"/>
              <w:jc w:val="lef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854"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w:t>
            </w:r>
          </w:p>
        </w:tc>
        <w:tc>
          <w:tcPr>
            <w:tcW w:w="16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41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(22,658</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(6,553</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(12,033</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(34,695</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activity related to the changes in net unrealized (losses) gains on cash flow hedges recorded in accumulated other comprehensive loss, net of tax, is as follows:</w:t>
      </w:r>
      <w:r>
        <w:rPr>
          <w:rFonts w:ascii="Times New Roman" w:hAnsi="Times New Roman"/>
          <w:sz w:val="20"/>
        </w:rPr>
        <w:t xml:space="preserve"> </w:t>
      </w:r>
    </w:p>
    <w:p>
      <w:pPr>
        <w:pStyle w:val="TextBody"/>
        <w:bidi w:val="0"/>
        <w:spacing w:before="0" w:after="0"/>
        <w:jc w:val="left"/>
        <w:rPr/>
      </w:pPr>
      <w:r>
        <w:rPr/>
        <w:t> </w:t>
      </w:r>
    </w:p>
    <w:tbl>
      <w:tblPr>
        <w:tblW w:w="9239" w:type="dxa"/>
        <w:jc w:val="left"/>
        <w:tblInd w:w="0" w:type="dxa"/>
        <w:tblLayout w:type="fixed"/>
        <w:tblCellMar>
          <w:top w:w="28" w:type="dxa"/>
          <w:left w:w="28" w:type="dxa"/>
          <w:bottom w:w="28" w:type="dxa"/>
          <w:right w:w="28" w:type="dxa"/>
        </w:tblCellMar>
      </w:tblPr>
      <w:tblGrid>
        <w:gridCol w:w="6676"/>
        <w:gridCol w:w="146"/>
        <w:gridCol w:w="211"/>
        <w:gridCol w:w="736"/>
        <w:gridCol w:w="166"/>
        <w:gridCol w:w="146"/>
        <w:gridCol w:w="211"/>
        <w:gridCol w:w="736"/>
        <w:gridCol w:w="21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(losses) gains on cash flow hedges, net of tax,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13,773</w:t>
            </w:r>
          </w:p>
        </w:tc>
        <w:tc>
          <w:tcPr>
            <w:tcW w:w="211"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cash flow hedges,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Reclassification of net losses into earnings,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losses on cash flow hedges, net of tax,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(36,162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Net losses from cash flow hedges recognized in other comprehensive income (loss) were $12,453 and $58,777, or $10,809 and $55,967 net of taxes, during the nine months ended June 30, 2023 and 2022, respectively.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Of the net unrealized losses related to derivatives designated as cash flow hedges and recorded in accumulated other comprehensive loss as of June 30, 2023, a net loss of $25,309 will be reclassified into earnings within the next 12 months and will partially offset the foreign currency impact from the underlying exposures. The amount ultimately realized in earnings will likely differ due to future changes in foreign exchange rates.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ineffective portion of the change in fair value of a cash flow hedge, including the time value portion excluded from effectiveness testing for the three and nine months ended June 30, 2023 and 2022, was not material.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Other Risk Management Derivatives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instruments are generally short-term in nature, with typical maturities of less than 12 months, and are subject to fluctuations in foreign exchange rates.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effect of the Company's derivative instruments not designated as hedging instruments in the consolidated statements of income for the three and nine months ended June 30, 2023 and 2022, respectively, which partially offsets the foreign currency impact from the underlying exposure, is summarized as follows:</w:t>
      </w:r>
    </w:p>
    <w:p>
      <w:pPr>
        <w:pStyle w:val="TextBody"/>
        <w:bidi w:val="0"/>
        <w:spacing w:before="0" w:after="0"/>
        <w:jc w:val="both"/>
        <w:rPr/>
      </w:pPr>
      <w:r>
        <w:rPr/>
        <w:t> </w:t>
      </w:r>
    </w:p>
    <w:tbl>
      <w:tblPr>
        <w:tblW w:w="9316" w:type="dxa"/>
        <w:jc w:val="left"/>
        <w:tblInd w:w="0" w:type="dxa"/>
        <w:tblLayout w:type="fixed"/>
        <w:tblCellMar>
          <w:top w:w="28" w:type="dxa"/>
          <w:left w:w="28" w:type="dxa"/>
          <w:bottom w:w="28" w:type="dxa"/>
          <w:right w:w="28" w:type="dxa"/>
        </w:tblCellMar>
      </w:tblPr>
      <w:tblGrid>
        <w:gridCol w:w="4021"/>
        <w:gridCol w:w="146"/>
        <w:gridCol w:w="223"/>
        <w:gridCol w:w="667"/>
        <w:gridCol w:w="175"/>
        <w:gridCol w:w="154"/>
        <w:gridCol w:w="223"/>
        <w:gridCol w:w="778"/>
        <w:gridCol w:w="166"/>
        <w:gridCol w:w="146"/>
        <w:gridCol w:w="211"/>
        <w:gridCol w:w="736"/>
        <w:gridCol w:w="166"/>
        <w:gridCol w:w="146"/>
        <w:gridCol w:w="211"/>
        <w:gridCol w:w="736"/>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738"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Losses Recognized in Income</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Line item in consolidated statements of income:</w:t>
            </w:r>
          </w:p>
        </w:tc>
        <w:tc>
          <w:tcPr>
            <w:tcW w:w="146" w:type="dxa"/>
            <w:tcBorders/>
            <w:vAlign w:val="center"/>
          </w:tcPr>
          <w:p>
            <w:pPr>
              <w:pStyle w:val="TableContents"/>
              <w:bidi w:val="0"/>
              <w:spacing w:before="0" w:after="0"/>
              <w:ind w:left="0" w:right="0" w:hanging="0"/>
              <w:jc w:val="left"/>
              <w:rPr/>
            </w:pPr>
            <w:r>
              <w:rPr/>
              <w:t> </w:t>
            </w:r>
          </w:p>
        </w:tc>
        <w:tc>
          <w:tcPr>
            <w:tcW w:w="890"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(3,658</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(5,612</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200" w:after="0"/>
        <w:jc w:val="both"/>
        <w:rPr>
          <w:rFonts w:ascii="Times New Roman" w:hAnsi="Times New Roman"/>
          <w:b/>
          <w:sz w:val="20"/>
        </w:rPr>
      </w:pPr>
      <w:r>
        <w:rPr>
          <w:rFonts w:ascii="Times New Roman" w:hAnsi="Times New Roman"/>
          <w:b/>
          <w:sz w:val="20"/>
        </w:rPr>
        <w:t>8.</w:t>
      </w:r>
    </w:p>
    <w:p>
      <w:pPr>
        <w:pStyle w:val="TextBody"/>
        <w:bidi w:val="0"/>
        <w:spacing w:before="200" w:after="283"/>
        <w:jc w:val="both"/>
        <w:rPr>
          <w:rFonts w:ascii="Times New Roman;serif" w:hAnsi="Times New Roman;serif"/>
          <w:b/>
          <w:sz w:val="20"/>
        </w:rPr>
      </w:pPr>
      <w:r>
        <w:rPr>
          <w:rFonts w:ascii="Times New Roman;serif" w:hAnsi="Times New Roman;serif"/>
          <w:b/>
          <w:sz w:val="20"/>
        </w:rPr>
        <w:t>Accrued Expenses and Other Current Liabilities</w:t>
      </w:r>
    </w:p>
    <w:p>
      <w:pPr>
        <w:pStyle w:val="TextBody"/>
        <w:bidi w:val="0"/>
        <w:spacing w:before="200" w:after="0"/>
        <w:jc w:val="both"/>
        <w:rPr>
          <w:rFonts w:ascii="Times New Roman" w:hAnsi="Times New Roman"/>
          <w:sz w:val="20"/>
        </w:rPr>
      </w:pPr>
      <w:r>
        <w:rPr>
          <w:rFonts w:ascii="Times New Roman;serif" w:hAnsi="Times New Roman;serif"/>
          <w:b w:val="false"/>
          <w:sz w:val="20"/>
        </w:rPr>
        <w:t>Accrued expenses and other current liabilities consist of the following:</w:t>
      </w:r>
      <w:r>
        <w:rPr>
          <w:rFonts w:ascii="Times New Roman" w:hAnsi="Times New Roman"/>
          <w:sz w:val="20"/>
        </w:rPr>
        <w:t xml:space="preserve"> </w:t>
      </w:r>
    </w:p>
    <w:p>
      <w:pPr>
        <w:pStyle w:val="TextBody"/>
        <w:bidi w:val="0"/>
        <w:spacing w:before="0" w:after="0"/>
        <w:jc w:val="both"/>
        <w:rPr/>
      </w:pPr>
      <w:r>
        <w:rPr/>
        <w:t> </w:t>
      </w:r>
    </w:p>
    <w:tbl>
      <w:tblPr>
        <w:tblW w:w="6587" w:type="dxa"/>
        <w:jc w:val="left"/>
        <w:tblInd w:w="0" w:type="dxa"/>
        <w:tblLayout w:type="fixed"/>
        <w:tblCellMar>
          <w:top w:w="28" w:type="dxa"/>
          <w:left w:w="28" w:type="dxa"/>
          <w:bottom w:w="28" w:type="dxa"/>
          <w:right w:w="28" w:type="dxa"/>
        </w:tblCellMar>
      </w:tblPr>
      <w:tblGrid>
        <w:gridCol w:w="3826"/>
        <w:gridCol w:w="146"/>
        <w:gridCol w:w="211"/>
        <w:gridCol w:w="781"/>
        <w:gridCol w:w="146"/>
        <w:gridCol w:w="146"/>
        <w:gridCol w:w="242"/>
        <w:gridCol w:w="89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4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Ongoing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208,230</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Project-related provisions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88,174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47,735</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34,204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44,522</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189,791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590,930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612,656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00" w:after="0"/>
        <w:jc w:val="both"/>
        <w:rPr>
          <w:rFonts w:ascii="Times New Roman" w:hAnsi="Times New Roman"/>
          <w:b/>
          <w:sz w:val="20"/>
        </w:rPr>
      </w:pPr>
      <w:r>
        <w:rPr>
          <w:rFonts w:ascii="Times New Roman" w:hAnsi="Times New Roman"/>
          <w:b/>
          <w:sz w:val="20"/>
        </w:rPr>
        <w:t>9.</w:t>
      </w:r>
    </w:p>
    <w:p>
      <w:pPr>
        <w:pStyle w:val="TextBody"/>
        <w:bidi w:val="0"/>
        <w:spacing w:before="200" w:after="283"/>
        <w:jc w:val="both"/>
        <w:rPr>
          <w:rFonts w:ascii="Times New Roman;serif" w:hAnsi="Times New Roman;serif"/>
          <w:b/>
          <w:sz w:val="20"/>
        </w:rPr>
      </w:pPr>
      <w:r>
        <w:rPr>
          <w:rFonts w:ascii="Times New Roman;serif" w:hAnsi="Times New Roman;serif"/>
          <w:b/>
          <w:sz w:val="20"/>
        </w:rPr>
        <w:t>Restructuring charges</w:t>
      </w:r>
    </w:p>
    <w:p>
      <w:pPr>
        <w:pStyle w:val="TextBody"/>
        <w:bidi w:val="0"/>
        <w:spacing w:before="200" w:after="0"/>
        <w:jc w:val="both"/>
        <w:rPr>
          <w:rFonts w:ascii="Times New Roman" w:hAnsi="Times New Roman"/>
          <w:sz w:val="20"/>
        </w:rPr>
      </w:pPr>
      <w:r>
        <w:rPr>
          <w:rFonts w:ascii="Times New Roman;serif" w:hAnsi="Times New Roman;serif"/>
          <w:b w:val="false"/>
          <w:sz w:val="20"/>
        </w:rPr>
        <w:t>As of December 31, 2022, the Company approved a restructuring, primarily associated with alignment of the Company’s workforce around its global site strategy, as well as the optimization of the Company’s hybrid work model. During the nine months ended June 30, 2023 the Company incurred restructuring charges of $24,536 in connection with this restructuring, the majority of these charges are expected to be paid during fiscal year 2023.</w:t>
      </w:r>
      <w:r>
        <w:rPr>
          <w:rFonts w:ascii="Times New Roman" w:hAnsi="Times New Roman"/>
          <w:sz w:val="20"/>
        </w:rPr>
        <w:t xml:space="preserve"> </w:t>
      </w:r>
    </w:p>
    <w:p>
      <w:pPr>
        <w:pStyle w:val="TextBody"/>
        <w:bidi w:val="0"/>
        <w:spacing w:before="200" w:after="0"/>
        <w:jc w:val="both"/>
        <w:rPr>
          <w:rFonts w:ascii="Times New Roman" w:hAnsi="Times New Roman"/>
          <w:b/>
          <w:sz w:val="20"/>
        </w:rPr>
      </w:pPr>
      <w:r>
        <w:rPr>
          <w:rFonts w:ascii="Times New Roman" w:hAnsi="Times New Roman"/>
          <w:b/>
          <w:sz w:val="20"/>
        </w:rPr>
        <w:t>10.</w:t>
      </w:r>
    </w:p>
    <w:p>
      <w:pPr>
        <w:pStyle w:val="TextBody"/>
        <w:bidi w:val="0"/>
        <w:spacing w:before="200" w:after="283"/>
        <w:jc w:val="both"/>
        <w:rPr>
          <w:rFonts w:ascii="Times New Roman;serif" w:hAnsi="Times New Roman;serif"/>
          <w:b/>
          <w:sz w:val="20"/>
        </w:rPr>
      </w:pPr>
      <w:r>
        <w:rPr>
          <w:rFonts w:ascii="Times New Roman;serif" w:hAnsi="Times New Roman;serif"/>
          <w:b/>
          <w:sz w:val="20"/>
        </w:rPr>
        <w:t xml:space="preserve">Income Tax Expense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provision (benefit) for income tax expense for the following periods consisted of:</w:t>
      </w:r>
      <w:r>
        <w:rPr>
          <w:rFonts w:ascii="Times New Roman" w:hAnsi="Times New Roman"/>
          <w:sz w:val="20"/>
        </w:rPr>
        <w:t xml:space="preserve"> </w:t>
      </w:r>
    </w:p>
    <w:p>
      <w:pPr>
        <w:pStyle w:val="TextBody"/>
        <w:bidi w:val="0"/>
        <w:spacing w:before="0" w:after="0"/>
        <w:jc w:val="both"/>
        <w:rPr/>
      </w:pPr>
      <w:r>
        <w:rPr/>
        <w:t> </w:t>
      </w:r>
    </w:p>
    <w:tbl>
      <w:tblPr>
        <w:tblW w:w="6844" w:type="dxa"/>
        <w:jc w:val="left"/>
        <w:tblInd w:w="0" w:type="dxa"/>
        <w:tblLayout w:type="fixed"/>
        <w:tblCellMar>
          <w:top w:w="28" w:type="dxa"/>
          <w:left w:w="28" w:type="dxa"/>
          <w:bottom w:w="28" w:type="dxa"/>
          <w:right w:w="28" w:type="dxa"/>
        </w:tblCellMar>
      </w:tblPr>
      <w:tblGrid>
        <w:gridCol w:w="1726"/>
        <w:gridCol w:w="146"/>
        <w:gridCol w:w="218"/>
        <w:gridCol w:w="761"/>
        <w:gridCol w:w="171"/>
        <w:gridCol w:w="151"/>
        <w:gridCol w:w="218"/>
        <w:gridCol w:w="699"/>
        <w:gridCol w:w="146"/>
        <w:gridCol w:w="146"/>
        <w:gridCol w:w="211"/>
        <w:gridCol w:w="781"/>
        <w:gridCol w:w="166"/>
        <w:gridCol w:w="146"/>
        <w:gridCol w:w="211"/>
        <w:gridCol w:w="736"/>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1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36,727</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83,996</w:t>
            </w:r>
          </w:p>
        </w:tc>
        <w:tc>
          <w:tcPr>
            <w:tcW w:w="211" w:type="dxa"/>
            <w:tcBorders/>
            <w:vAlign w:val="center"/>
          </w:tcPr>
          <w:p>
            <w:pPr>
              <w:pStyle w:val="TableContents"/>
              <w:bidi w:val="0"/>
              <w:spacing w:before="0" w:after="0"/>
              <w:ind w:left="0" w:right="0" w:hanging="0"/>
              <w:jc w:val="left"/>
              <w:rPr/>
            </w:pPr>
            <w:r>
              <w:rPr/>
              <w:t> </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(18,549</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18,178</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63,554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Company's effective income tax rate varied from the statutory Guernsey tax rate as follows for the following periods:</w:t>
      </w:r>
    </w:p>
    <w:p>
      <w:pPr>
        <w:pStyle w:val="TextBody"/>
        <w:bidi w:val="0"/>
        <w:spacing w:before="0" w:after="0"/>
        <w:jc w:val="both"/>
        <w:rPr/>
      </w:pPr>
      <w:r>
        <w:rPr/>
        <w:t> </w:t>
      </w:r>
    </w:p>
    <w:tbl>
      <w:tblPr>
        <w:tblW w:w="6607" w:type="dxa"/>
        <w:jc w:val="left"/>
        <w:tblInd w:w="0" w:type="dxa"/>
        <w:tblLayout w:type="fixed"/>
        <w:tblCellMar>
          <w:top w:w="28" w:type="dxa"/>
          <w:left w:w="28" w:type="dxa"/>
          <w:bottom w:w="28" w:type="dxa"/>
          <w:right w:w="28" w:type="dxa"/>
        </w:tblCellMar>
      </w:tblPr>
      <w:tblGrid>
        <w:gridCol w:w="2326"/>
        <w:gridCol w:w="146"/>
        <w:gridCol w:w="146"/>
        <w:gridCol w:w="466"/>
        <w:gridCol w:w="271"/>
        <w:gridCol w:w="146"/>
        <w:gridCol w:w="146"/>
        <w:gridCol w:w="526"/>
        <w:gridCol w:w="331"/>
        <w:gridCol w:w="146"/>
        <w:gridCol w:w="146"/>
        <w:gridCol w:w="466"/>
        <w:gridCol w:w="271"/>
        <w:gridCol w:w="146"/>
        <w:gridCol w:w="146"/>
        <w:gridCol w:w="46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Statutory Guernsey tax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taxes (1)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Guernsey company subject to a corporate tax rate of zero percent, the Company's overall effective tax rate is attributable to foreign taxes. The change in rate is primarily driven by discrete items in the respective period presented as outlined below.</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(1)</w:t>
      </w:r>
    </w:p>
    <w:p>
      <w:pPr>
        <w:pStyle w:val="TextBody"/>
        <w:bidi w:val="0"/>
        <w:jc w:val="both"/>
        <w:rPr>
          <w:rFonts w:ascii="Times New Roman;serif" w:hAnsi="Times New Roman;serif"/>
          <w:b/>
          <w:i/>
          <w:sz w:val="20"/>
          <w:u w:val="single"/>
        </w:rPr>
      </w:pPr>
      <w:r>
        <w:rPr>
          <w:rFonts w:ascii="Times New Roman;serif" w:hAnsi="Times New Roman;serif"/>
          <w:b/>
          <w:i/>
          <w:sz w:val="20"/>
          <w:u w:val="single"/>
        </w:rPr>
        <w:t>Foreign taxes for the nine months ended June 30, 2023: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During the nine months ended June 30, 2023, the Company recorded a tax benefit of $22,700 related to the release of accrued withholding taxes on unremitted earnings accumulated in Israel. The release of the accrued withholding taxes followed the Company’s funding of TEOCO Service Assurance acquisition and the construction of its new Israeli campus.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nine months ended June 30, 2023 also included a benefit of $40,419 relating to release of gross unrecognized tax benefits due to settlements of tax audits and expiration of the periods set forth in statutes of limitations in certain jurisdictions. The majority of the release was offset by tax payments and, as a result, a net benefit of $16,007 was included within income tax expense for the nine months ended June 30, 2023.</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nine months ended June 30, 2023 also included a recognition of tax benefit of $8,566 resulting from internal structural changes in certain jurisdictions in which the Company operates, a benefit of $9,236 due to a change in measurement of a deferred tax liability following a regulatory clarification, and a benefit of $3,142 relating to changes in tax regulations in certain jurisdictions.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previously disclosed in the Company’s Annual Report on Form 20-F for fiscal year 2022, our primary Israeli subsidiary has elected, during fiscal year 2022, to pay the reduced corporate tax on all of its “previously exempt earnings” based on a temporary order of the Israeli budget law. Following this election, payment of this tax, was made during the nine months ended June 30, 2023. The impact of this election on income taxes was already reflected in fiscal year 2022.</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(1)</w:t>
      </w:r>
    </w:p>
    <w:p>
      <w:pPr>
        <w:pStyle w:val="TextBody"/>
        <w:bidi w:val="0"/>
        <w:jc w:val="both"/>
        <w:rPr>
          <w:rFonts w:ascii="Times New Roman;serif" w:hAnsi="Times New Roman;serif"/>
          <w:b/>
          <w:i/>
          <w:sz w:val="20"/>
          <w:u w:val="single"/>
        </w:rPr>
      </w:pPr>
      <w:r>
        <w:rPr>
          <w:rFonts w:ascii="Times New Roman;serif" w:hAnsi="Times New Roman;serif"/>
          <w:b/>
          <w:i/>
          <w:sz w:val="20"/>
          <w:u w:val="single"/>
        </w:rPr>
        <w:t>Foreign taxes for the nine months ended June 30, 2022:</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nine months ended June 30,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decisions have also taken into consideration the recent changes in Israeli law and the recent application of the Preferred Technological Enterprise regime to the company’s main Israeli operating subsidiary.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nine months ended June 30, 2022 also included a benefit of $4,578 relating to changes in tax regulations in certain jurisdiction, an expense of $3,193 for the estimated additional tax charge as a result of the gain from sale of a business,(see also Note 3) and a benefit of $4,525 relating to release of gross unrecognized tax benefits due to settlements of tax audits and expiration of the periods set forth in statutes of limitations in certain jurisdictions.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June 30, 2023, deferred tax assets of $68,237, derived primarily from tax credits, net capital and operating loss carry forwards related to some of the Company's subsidiaries, were offset by valuation allowances due to the uncertainty of realizing tax benefit for such credits and losses.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total amount of gross unrecognized tax benefits, which includes interest and penalties, was $190,094 as of June 30, 2023, all of which would affect the effective tax rate if realized.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June 30, 2023, the Company had accrued $32,894 in income taxes payable for interest and penalties relating to unrecognized tax benefits.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is currently under tax audit in several jurisdictions for the tax years 2007 and onwards. Timing of the resolution of audits is highly uncertain and therefore, as of June 30, 2023, the Company cannot estimate the change in unrecognized tax benefits resulting from these audits within the next 12 months.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b/>
          <w:sz w:val="20"/>
        </w:rPr>
      </w:pPr>
      <w:r>
        <w:rPr>
          <w:rFonts w:ascii="Times New Roman" w:hAnsi="Times New Roman"/>
          <w:b/>
          <w:sz w:val="20"/>
        </w:rPr>
        <w:t>11.</w:t>
      </w:r>
    </w:p>
    <w:p>
      <w:pPr>
        <w:pStyle w:val="TextBody"/>
        <w:bidi w:val="0"/>
        <w:spacing w:before="200" w:after="283"/>
        <w:jc w:val="both"/>
        <w:rPr>
          <w:rFonts w:ascii="Times New Roman;serif" w:hAnsi="Times New Roman;serif"/>
          <w:b/>
          <w:sz w:val="20"/>
        </w:rPr>
      </w:pPr>
      <w:r>
        <w:rPr>
          <w:rFonts w:ascii="Times New Roman;serif" w:hAnsi="Times New Roman;serif"/>
          <w:b/>
          <w:sz w:val="20"/>
        </w:rPr>
        <w:t xml:space="preserve">Earnings Per Share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sets forth the computation of basic and diluted earnings per share:</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Amdocs Limited and dividends</w:t>
              <w:br/>
              <w:t>   attributable to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Numerator for basic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414,583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Undistributed income allocated to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3,966</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Undistributed income reallocated to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Numerator for diluted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431,379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414,609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123,271</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common shares - 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121,518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dilutive equity-based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common shares -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122,345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earnings per common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 earnings per common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three and nine months ended June 30, 2023, 0 and 62 shares, respectively, on a weighted average basis, were attributable to antidilutive outstanding equity-based compensation awards. For the three and nine months ended June 30, 2022, 6 and 55 shares, respectively, on a weighted average basis, were attributable to antidilutive outstanding equity-based compensation awards. Shares attributable to antidilutive outstanding equity-based compensation awards were not included in the calculation of diluted earnings per share.</w:t>
      </w:r>
    </w:p>
    <w:p>
      <w:pPr>
        <w:pStyle w:val="TextBody"/>
        <w:bidi w:val="0"/>
        <w:spacing w:before="200" w:after="0"/>
        <w:jc w:val="left"/>
        <w:rPr>
          <w:rFonts w:ascii="Times New Roman" w:hAnsi="Times New Roman"/>
          <w:b/>
          <w:sz w:val="20"/>
        </w:rPr>
      </w:pPr>
      <w:r>
        <w:rPr>
          <w:rFonts w:ascii="Times New Roman" w:hAnsi="Times New Roman"/>
          <w:b/>
          <w:sz w:val="20"/>
        </w:rPr>
        <w:t>12.</w:t>
      </w:r>
    </w:p>
    <w:p>
      <w:pPr>
        <w:pStyle w:val="TextBody"/>
        <w:bidi w:val="0"/>
        <w:spacing w:before="200" w:after="283"/>
        <w:jc w:val="left"/>
        <w:rPr>
          <w:rFonts w:ascii="Times New Roman;serif" w:hAnsi="Times New Roman;serif"/>
          <w:b/>
          <w:sz w:val="20"/>
        </w:rPr>
      </w:pPr>
      <w:r>
        <w:rPr>
          <w:rFonts w:ascii="Times New Roman;serif" w:hAnsi="Times New Roman;serif"/>
          <w:b/>
          <w:sz w:val="20"/>
        </w:rPr>
        <w:t>Repurchase of Shares</w:t>
      </w:r>
    </w:p>
    <w:p>
      <w:pPr>
        <w:pStyle w:val="TextBody"/>
        <w:bidi w:val="0"/>
        <w:spacing w:before="200" w:after="0"/>
        <w:jc w:val="both"/>
        <w:rPr>
          <w:rFonts w:ascii="Times New Roman" w:hAnsi="Times New Roman"/>
          <w:sz w:val="20"/>
        </w:rPr>
      </w:pPr>
      <w:r>
        <w:rPr>
          <w:rFonts w:ascii="Times New Roman;serif" w:hAnsi="Times New Roman;serif"/>
          <w:b w:val="false"/>
          <w:sz w:val="20"/>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The May 2021 plan permits the Company to purchase our ordinary shares in the open market or through privately negotiated transactions at times and prices that the Company considers appropriate. As of June 30, 2023, the Company had remaining authority to repurchase up to $155,666 of its outstanding ordinary shares under the May 2021 plan.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nine months ended June 30, 2023, the Company repurchased 3,722 ordinary shares at an average price of $89.86 per share (excluding broker and transaction fees).</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13.</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Financing Arrangements </w:t>
      </w:r>
    </w:p>
    <w:p>
      <w:pPr>
        <w:pStyle w:val="TextBody"/>
        <w:bidi w:val="0"/>
        <w:spacing w:before="200" w:after="0"/>
        <w:jc w:val="both"/>
        <w:rPr>
          <w:rFonts w:ascii="Times New Roman" w:hAnsi="Times New Roman"/>
          <w:sz w:val="20"/>
        </w:rPr>
      </w:pPr>
      <w:r>
        <w:rPr>
          <w:rFonts w:ascii="Times New Roman;serif" w:hAnsi="Times New Roman;serif"/>
          <w:b w:val="false"/>
          <w:sz w:val="20"/>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June 30, 2023, the Company was in compliance with the financial covenants and had no outstanding borrowings under the Revolving Credit Facility.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sz w:val="20"/>
        </w:rPr>
      </w:pPr>
      <w:r>
        <w:rPr>
          <w:rFonts w:ascii="Times New Roman;serif" w:hAnsi="Times New Roman;serif"/>
          <w:b w:val="false"/>
          <w:sz w:val="20"/>
        </w:rPr>
        <w:t>Notes are senior unsecured obligations of the Company and rank equally in right of payment with all existing and future senior indebtedness of the Company, including any indebtedness the Company may incur from time to time under the Revolving Credit Facility.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total interest expense recognized in connection with the Senior Notes for the three and nine months ended June 30, 2023 was $4,264 and $12,772, respectively. The accrued interest on the Senior Notes is included in accrued expenses and other current liabilities and was immaterial as of June 30, 2023. As of June 30, 2023, the noncurrent outstanding principal portion was $650,000.</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total estimated fair value of the Senior Notes as of June 30, 2023 was $543,381. The fair value was determined based on observable data, such as quoted prices for similar liabilities in active markets of Senior Notes as of June 30, 2023 and is deemed a Level 2 liability within the fair value measurement framework.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the Company had additional uncommitted lines of credit available for general corporate and other specific purposes and had outstanding letters of credit and bank guarantees from various banks totaling $69,382. These were supported by a combination of the uncommitted lines of credit that the Company maintains with various banks.</w:t>
      </w:r>
    </w:p>
    <w:p>
      <w:pPr>
        <w:pStyle w:val="TextBody"/>
        <w:bidi w:val="0"/>
        <w:spacing w:before="200" w:after="0"/>
        <w:jc w:val="left"/>
        <w:rPr>
          <w:rFonts w:ascii="Times New Roman" w:hAnsi="Times New Roman"/>
          <w:b/>
          <w:sz w:val="20"/>
        </w:rPr>
      </w:pPr>
      <w:r>
        <w:rPr>
          <w:rFonts w:ascii="Times New Roman" w:hAnsi="Times New Roman"/>
          <w:b/>
          <w:sz w:val="20"/>
        </w:rPr>
        <w:t>14.</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Equity-based Compensation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Equity Incentive Plan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During the nine months ended June 30, 2023, the Company granted 1,075 restricted stock and 291 restricted stock units. The weighted average fair values associated with these grants were $82.99 per restricted stock and $87.39 per restricted stock unit.</w:t>
      </w:r>
    </w:p>
    <w:p>
      <w:pPr>
        <w:pStyle w:val="TextBody"/>
        <w:bidi w:val="0"/>
        <w:spacing w:before="200" w:after="0"/>
        <w:jc w:val="both"/>
        <w:rPr>
          <w:rFonts w:ascii="Times New Roman;serif" w:hAnsi="Times New Roman;serif"/>
          <w:b/>
          <w:i/>
          <w:sz w:val="20"/>
        </w:rPr>
      </w:pPr>
      <w:r>
        <w:rPr>
          <w:rFonts w:ascii="Times New Roman;serif" w:hAnsi="Times New Roman;serif"/>
          <w:b/>
          <w:i/>
          <w:sz w:val="20"/>
        </w:rPr>
        <w:t>Employee Share Purchase Plan</w:t>
      </w:r>
    </w:p>
    <w:p>
      <w:pPr>
        <w:pStyle w:val="TextBody"/>
        <w:bidi w:val="0"/>
        <w:spacing w:before="200" w:after="0"/>
        <w:jc w:val="both"/>
        <w:rPr>
          <w:rFonts w:ascii="Times New Roman" w:hAnsi="Times New Roman"/>
          <w:sz w:val="20"/>
        </w:rPr>
      </w:pPr>
      <w:r>
        <w:rPr>
          <w:rFonts w:ascii="Times New Roman;serif" w:hAnsi="Times New Roman;serif"/>
          <w:b w:val="false"/>
          <w:sz w:val="20"/>
        </w:rPr>
        <w:t>On November 8, 2022, the Company’s Board of Directors adopted, subject to shareholder approval, the Amdocs Limited 2023 Employee Share Purchase Plan (the “ESPP”). The ESPP was subsequently approved by our shareholders at the annual general meeting of shareholders. The approved number of shares that may be issued under the ESPP will not exceed in the aggregate 2,400 ordinary shares. Under its terms, the ESPP becomes effective upon the filing of a Form S-8 Registration Statement with the U.S. Securities and Exchange Commission. On February 13, 2023, the Company filed a registration statement on Form S-8 registering the offer and sale of 2,400 shares issuable under the ESPP.</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 the ESPP, eligible employees will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Unless determined otherwise, each purchase period will be six months in duration, with purchases occurring in December and June. The purchase price per ordinary share will equal the lesser of 85% of the fair market value of our ordinary shares at either the beginning of the purchase period or the end of the purchase period. As of June 30, 2023, no shares were purchased as part of the ESPP.</w:t>
      </w:r>
    </w:p>
    <w:p>
      <w:pPr>
        <w:pStyle w:val="TextBody"/>
        <w:bidi w:val="0"/>
        <w:spacing w:before="200" w:after="0"/>
        <w:jc w:val="both"/>
        <w:rPr>
          <w:rFonts w:ascii="Times New Roman;serif" w:hAnsi="Times New Roman;serif"/>
          <w:b/>
          <w:i/>
          <w:sz w:val="20"/>
        </w:rPr>
      </w:pPr>
      <w:r>
        <w:rPr>
          <w:rFonts w:ascii="Times New Roman;serif" w:hAnsi="Times New Roman;serif"/>
          <w:b/>
          <w:i/>
          <w:sz w:val="20"/>
        </w:rPr>
        <w:t>Equity-based Compensation Expense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Equity-based payments to employees, including grants of employee stock options, restricted stock, restricted stock units and ESPP are recognized in the statements of income based on their fair values.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Employee equity-based compensation pre-tax expense for the three and nine months ended June 30, 2023 and 2022 was as follows:</w:t>
      </w:r>
    </w:p>
    <w:p>
      <w:pPr>
        <w:pStyle w:val="TextBody"/>
        <w:bidi w:val="0"/>
        <w:spacing w:before="0" w:after="0"/>
        <w:jc w:val="both"/>
        <w:rPr/>
      </w:pPr>
      <w:r>
        <w:rPr/>
        <w:t> </w:t>
      </w:r>
    </w:p>
    <w:tbl>
      <w:tblPr>
        <w:tblW w:w="771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23,740</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recognizes compensation costs for its equity incentive grants using the graded vesting attribution method. As of June 30, 2023, there was $99,366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there was $4,257 of unrecognized compensation expense related to the ESPP which is expected to be recognized over the remaining purchase period.</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15.</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Dividends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Company’s Board of Directors declared the following dividends during the nine months ended June 30, 2023 and 2022:</w:t>
      </w:r>
    </w:p>
    <w:p>
      <w:pPr>
        <w:pStyle w:val="TextBody"/>
        <w:bidi w:val="0"/>
        <w:spacing w:before="0" w:after="0"/>
        <w:jc w:val="left"/>
        <w:rPr/>
      </w:pPr>
      <w:r>
        <w:rPr/>
        <w:t> </w:t>
      </w:r>
    </w:p>
    <w:tbl>
      <w:tblPr>
        <w:tblW w:w="9159" w:type="dxa"/>
        <w:jc w:val="left"/>
        <w:tblInd w:w="0" w:type="dxa"/>
        <w:tblLayout w:type="fixed"/>
        <w:tblCellMar>
          <w:top w:w="28" w:type="dxa"/>
          <w:left w:w="28" w:type="dxa"/>
          <w:bottom w:w="28" w:type="dxa"/>
          <w:right w:w="28" w:type="dxa"/>
        </w:tblCellMar>
      </w:tblPr>
      <w:tblGrid>
        <w:gridCol w:w="1621"/>
        <w:gridCol w:w="146"/>
        <w:gridCol w:w="621"/>
        <w:gridCol w:w="1689"/>
        <w:gridCol w:w="146"/>
        <w:gridCol w:w="146"/>
        <w:gridCol w:w="1681"/>
        <w:gridCol w:w="146"/>
        <w:gridCol w:w="267"/>
        <w:gridCol w:w="858"/>
        <w:gridCol w:w="146"/>
        <w:gridCol w:w="146"/>
        <w:gridCol w:w="154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br/>
              <w:br/>
              <w:t>    Declaration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Dividends Per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10 ,2023</w:t>
            </w:r>
          </w:p>
        </w:tc>
        <w:tc>
          <w:tcPr>
            <w:tcW w:w="146" w:type="dxa"/>
            <w:tcBorders/>
            <w:vAlign w:val="center"/>
          </w:tcPr>
          <w:p>
            <w:pPr>
              <w:pStyle w:val="TableContents"/>
              <w:bidi w:val="0"/>
              <w:spacing w:before="0" w:after="0"/>
              <w:ind w:left="0" w:right="0" w:hanging="0"/>
              <w:jc w:val="center"/>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center"/>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31, 2023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8, 2022</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30, 2022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27,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11 ,2022</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2022</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2021</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28, 2022</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amounts payable as a result of the May 10, 2023 and May 11, 2022 declarations were included in accrued expenses and other current liabilities as of June 30, 2023 and 2022, respectively.</w:t>
      </w:r>
    </w:p>
    <w:p>
      <w:pPr>
        <w:pStyle w:val="TextBody"/>
        <w:bidi w:val="0"/>
        <w:spacing w:before="200" w:after="0"/>
        <w:jc w:val="both"/>
        <w:rPr>
          <w:rFonts w:ascii="Times New Roman" w:hAnsi="Times New Roman"/>
          <w:sz w:val="20"/>
        </w:rPr>
      </w:pPr>
      <w:r>
        <w:rPr>
          <w:rFonts w:ascii="Times New Roman;serif" w:hAnsi="Times New Roman;serif"/>
          <w:b w:val="false"/>
          <w:sz w:val="20"/>
        </w:rPr>
        <w:t>On August 2, 2023 the Company’s Board of Directors approved the next quarterly dividend payment and set September 29, 2023 as the record date for determining the shareholders entitled to receive the dividend, which is payable on October 27, 2023.</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16.</w:t>
      </w:r>
    </w:p>
    <w:p>
      <w:pPr>
        <w:pStyle w:val="TextBody"/>
        <w:bidi w:val="0"/>
        <w:spacing w:before="200" w:after="283"/>
        <w:jc w:val="left"/>
        <w:rPr>
          <w:rFonts w:ascii="Times New Roman;serif" w:hAnsi="Times New Roman;serif"/>
          <w:b/>
          <w:sz w:val="20"/>
        </w:rPr>
      </w:pPr>
      <w:r>
        <w:rPr>
          <w:rFonts w:ascii="Times New Roman;serif" w:hAnsi="Times New Roman;serif"/>
          <w:b/>
          <w:sz w:val="20"/>
        </w:rPr>
        <w:t>Contingencies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The Company has achieved positive results in the majority of the procedures and, as of the date of this Report, the Company’s exposure to the remaining procedures is limited.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sz w:val="20"/>
        </w:rPr>
      </w:pPr>
      <w:r>
        <w:rPr>
          <w:rFonts w:ascii="Times New Roman;serif" w:hAnsi="Times New Roman;serif"/>
          <w:b/>
          <w:sz w:val="20"/>
        </w:rPr>
        <w:t>17. Subsequent Event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August 2, 2023, the Company announced it is taking proactive and appropriate measures to optimize expenditures and resource allocation in response to the prevailing level of economic uncertainty and industry pressure. These measures include, among others, a workforce reduction aligned with the Company’s global site strategy and work model, and is expected to result in restructuring charges of roughly $50,000 to $60,000 in the fourth fiscal quarter of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9" w:name="item_2_operating_and_financial_review"/>
      <w:bookmarkEnd w:id="9"/>
      <w:r>
        <w:rPr>
          <w:rFonts w:ascii="Times New Roman;serif" w:hAnsi="Times New Roman;serif"/>
          <w:b/>
          <w:sz w:val="20"/>
        </w:rPr>
        <w:t>Item 2. Operating and Financial Review and Prospects</w:t>
      </w:r>
    </w:p>
    <w:p>
      <w:pPr>
        <w:pStyle w:val="TextBody"/>
        <w:bidi w:val="0"/>
        <w:spacing w:before="200" w:after="0"/>
        <w:jc w:val="both"/>
        <w:rPr>
          <w:rFonts w:ascii="Times New Roman;serif" w:hAnsi="Times New Roman;serif"/>
          <w:b/>
          <w:sz w:val="20"/>
        </w:rPr>
      </w:pPr>
      <w:r>
        <w:rPr>
          <w:rFonts w:ascii="Times New Roman;serif" w:hAnsi="Times New Roman;serif"/>
          <w:b/>
          <w:sz w:val="20"/>
        </w:rPr>
        <w:t>Forward Looking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 For a discussion of these and other important factors and other risks, please read the information set forth under the caption “Risk Factors” in our Annual Report on Form 20-F for fiscal year 2022, filed on December 13, 2022 with the U.S. Securities and Exchange Commission.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sz w:val="20"/>
        </w:rPr>
        <w:t>Overview of Business and Trend Information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Amdocs is a leading provider of software and services for approximately 400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in order to provide high quality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We believe the demand for our solutions is driven by our customers’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Amdocs amAIz, our enterprise-grade generative AI framework, combines our carrier-grade architecture and telco-specific expertise and empowers service providers to deploy generative AI use cases. Our comprehensive line of services is designed to address every stage of a service provider’s lifecycle. They include consulting, delivery, quality engineering (testing), systems integration, IT operations, mobile network services, experience design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We conduct our business globally, and as a result we are subject to the effects of global economic conditions and, in particular, market conditions in the communications and media industry. In the nine months ended June 30, 2023, customers in North America accounted for 67.8% of our revenue, while customers in Europe and the rest of the world accounted for 14.5% and 17.7%, respectively. We maintain and support development facilities in Brazil, Canada, Cyprus, India, Ireland, Israel, Mexico, the Philippines, the UK and the United States.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We derive our revenue principally from:</w:t>
      </w:r>
      <w:r>
        <w:rPr>
          <w:rFonts w:ascii="Times New Roman" w:hAnsi="Times New Roman"/>
          <w:sz w:val="20"/>
        </w:rPr>
        <w:t xml:space="preserve"> </w:t>
      </w:r>
    </w:p>
    <w:p>
      <w:pPr>
        <w:pStyle w:val="TextBody"/>
        <w:bidi w:val="0"/>
        <w:spacing w:before="60" w:after="0"/>
        <w:jc w:val="both"/>
        <w:rPr/>
      </w:pPr>
      <w:r>
        <w:rPr/>
        <w:t>•</w:t>
      </w:r>
    </w:p>
    <w:p>
      <w:pPr>
        <w:pStyle w:val="TextBody"/>
        <w:bidi w:val="0"/>
        <w:spacing w:before="60" w:after="0"/>
        <w:jc w:val="both"/>
        <w:rPr>
          <w:rFonts w:ascii="Times New Roman;serif" w:hAnsi="Times New Roman;serif"/>
          <w:b w:val="false"/>
          <w:sz w:val="20"/>
        </w:rPr>
      </w:pPr>
      <w:r>
        <w:rPr>
          <w:rFonts w:ascii="Times New Roman;serif" w:hAnsi="Times New Roman;serif"/>
          <w:b w:val="false"/>
          <w:sz w:val="20"/>
        </w:rPr>
        <w:t>the initial sales of licenses to use our products and related services, including modification, implementation, integration and customization services,</w:t>
      </w:r>
    </w:p>
    <w:p>
      <w:pPr>
        <w:pStyle w:val="TextBody"/>
        <w:bidi w:val="0"/>
        <w:spacing w:before="60" w:after="0"/>
        <w:jc w:val="both"/>
        <w:rPr/>
      </w:pPr>
      <w:r>
        <w:rPr/>
        <w:t>•</w:t>
      </w:r>
    </w:p>
    <w:p>
      <w:pPr>
        <w:pStyle w:val="TextBody"/>
        <w:bidi w:val="0"/>
        <w:spacing w:before="60" w:after="0"/>
        <w:jc w:val="both"/>
        <w:rPr/>
      </w:pPr>
      <w:r>
        <w:rPr>
          <w:rFonts w:ascii="Times New Roman;serif" w:hAnsi="Times New Roman;serif"/>
          <w:b w:val="false"/>
          <w:sz w:val="20"/>
        </w:rPr>
        <w:t>providing</w:t>
      </w:r>
      <w:r>
        <w:rPr/>
        <w:t xml:space="preserve"> </w:t>
      </w:r>
      <w:r>
        <w:rPr>
          <w:rFonts w:ascii="Times New Roman;serif" w:hAnsi="Times New Roman;serif"/>
          <w:b w:val="false"/>
          <w:sz w:val="20"/>
        </w:rPr>
        <w:t>managed services in our domain expertise and other related services, and</w:t>
      </w:r>
    </w:p>
    <w:p>
      <w:pPr>
        <w:pStyle w:val="TextBody"/>
        <w:bidi w:val="0"/>
        <w:spacing w:before="60" w:after="0"/>
        <w:jc w:val="both"/>
        <w:rPr/>
      </w:pPr>
      <w:r>
        <w:rPr/>
        <w:t>•</w:t>
      </w:r>
    </w:p>
    <w:p>
      <w:pPr>
        <w:pStyle w:val="TextBody"/>
        <w:bidi w:val="0"/>
        <w:spacing w:before="60" w:after="283"/>
        <w:jc w:val="both"/>
        <w:rPr>
          <w:rFonts w:ascii="Times New Roman;serif" w:hAnsi="Times New Roman;serif"/>
          <w:b w:val="false"/>
          <w:sz w:val="20"/>
        </w:rPr>
      </w:pPr>
      <w:r>
        <w:rPr>
          <w:rFonts w:ascii="Times New Roman;serif" w:hAnsi="Times New Roman;serif"/>
          <w:b w:val="false"/>
          <w:sz w:val="20"/>
        </w:rPr>
        <w:t>recurring revenue from ongoing support, maintenance and enhancements provided to our customers, and from incremental license fees resulting from increases in a customer’s business volume.</w:t>
      </w:r>
    </w:p>
    <w:p>
      <w:pPr>
        <w:pStyle w:val="TextBody"/>
        <w:bidi w:val="0"/>
        <w:spacing w:before="200" w:after="0"/>
        <w:jc w:val="both"/>
        <w:rPr>
          <w:rFonts w:ascii="Times New Roman" w:hAnsi="Times New Roman"/>
          <w:sz w:val="20"/>
        </w:rPr>
      </w:pPr>
      <w:r>
        <w:rPr>
          <w:rFonts w:ascii="Times New Roman;serif" w:hAnsi="Times New Roman;serif"/>
          <w:b w:val="false"/>
          <w:sz w:val="20"/>
        </w:rPr>
        <w:t>Our results of operations are affected by</w:t>
      </w:r>
      <w:r>
        <w:rPr>
          <w:rFonts w:ascii="Times New Roman" w:hAnsi="Times New Roman"/>
          <w:sz w:val="20"/>
        </w:rPr>
        <w:t xml:space="preserve"> </w:t>
      </w:r>
      <w:r>
        <w:rPr>
          <w:rFonts w:ascii="Times New Roman;serif" w:hAnsi="Times New Roman;serif"/>
          <w:b w:val="false"/>
          <w:sz w:val="20"/>
        </w:rPr>
        <w:t>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pStyle w:val="TextBody"/>
        <w:bidi w:val="0"/>
        <w:spacing w:before="200" w:after="0"/>
        <w:jc w:val="both"/>
        <w:rPr>
          <w:rFonts w:ascii="Times New Roman" w:hAnsi="Times New Roman"/>
          <w:sz w:val="20"/>
        </w:rPr>
      </w:pPr>
      <w:r>
        <w:rPr>
          <w:rFonts w:ascii="Times New Roman;serif" w:hAnsi="Times New Roman;serif"/>
          <w:b w:val="false"/>
          <w:i/>
          <w:sz w:val="20"/>
        </w:rPr>
        <w:t>Revenue Recognition</w:t>
      </w:r>
      <w:r>
        <w:rPr>
          <w:rFonts w:ascii="Times New Roman;serif" w:hAnsi="Times New Roman;serif"/>
          <w:b w:val="false"/>
          <w:sz w:val="20"/>
        </w:rPr>
        <w:t>, we recognize revenue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our primary revenue categories, related performance obligations, and associated recognition patterns please see Note 4 to our consolidated financial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$719.8 million and $717.9 million in the three months ended June 30, 2023 and 2022, respectively, and $2.14 billion and $2.04 billion in the nine months ended June 30, 2023 and 2022,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pStyle w:val="TextBody"/>
        <w:bidi w:val="0"/>
        <w:spacing w:before="200" w:after="0"/>
        <w:jc w:val="both"/>
        <w:rPr>
          <w:rFonts w:ascii="Times New Roman;serif" w:hAnsi="Times New Roman;serif"/>
          <w:b/>
          <w:sz w:val="20"/>
        </w:rPr>
      </w:pPr>
      <w:r>
        <w:rPr>
          <w:rFonts w:ascii="Times New Roman;serif" w:hAnsi="Times New Roman;serif"/>
          <w:b/>
          <w:sz w:val="20"/>
        </w:rPr>
        <w:t>Recent Accounting Standards</w:t>
      </w:r>
    </w:p>
    <w:p>
      <w:pPr>
        <w:pStyle w:val="TextBody"/>
        <w:bidi w:val="0"/>
        <w:spacing w:before="200" w:after="0"/>
        <w:jc w:val="both"/>
        <w:rPr>
          <w:rFonts w:ascii="Times New Roman" w:hAnsi="Times New Roman"/>
          <w:sz w:val="20"/>
        </w:rPr>
      </w:pPr>
      <w:r>
        <w:rPr>
          <w:rFonts w:ascii="Times New Roman;serif" w:hAnsi="Times New Roman;serif"/>
          <w:b w:val="false"/>
          <w:sz w:val="20"/>
        </w:rPr>
        <w:t>Please see Note 2 to our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sets forth for the three and nine months ended June 30, 2023 and 2022. Certain items in our consolidated statements of income are reflected as a percentage of revenue (figures may not sum because of rounding):</w:t>
      </w:r>
    </w:p>
    <w:p>
      <w:pPr>
        <w:pStyle w:val="TextBody"/>
        <w:bidi w:val="0"/>
        <w:spacing w:before="0" w:after="0"/>
        <w:jc w:val="left"/>
        <w:rPr/>
      </w:pPr>
      <w:r>
        <w:rPr/>
        <w:t> </w:t>
      </w:r>
    </w:p>
    <w:tbl>
      <w:tblPr>
        <w:tblW w:w="9785" w:type="dxa"/>
        <w:jc w:val="left"/>
        <w:tblInd w:w="0" w:type="dxa"/>
        <w:tblLayout w:type="fixed"/>
        <w:tblCellMar>
          <w:top w:w="28" w:type="dxa"/>
          <w:left w:w="28" w:type="dxa"/>
          <w:bottom w:w="28" w:type="dxa"/>
          <w:right w:w="28" w:type="dxa"/>
        </w:tblCellMar>
      </w:tblPr>
      <w:tblGrid>
        <w:gridCol w:w="4486"/>
        <w:gridCol w:w="146"/>
        <w:gridCol w:w="197"/>
        <w:gridCol w:w="630"/>
        <w:gridCol w:w="366"/>
        <w:gridCol w:w="197"/>
        <w:gridCol w:w="197"/>
        <w:gridCol w:w="630"/>
        <w:gridCol w:w="271"/>
        <w:gridCol w:w="146"/>
        <w:gridCol w:w="189"/>
        <w:gridCol w:w="605"/>
        <w:gridCol w:w="351"/>
        <w:gridCol w:w="189"/>
        <w:gridCol w:w="189"/>
        <w:gridCol w:w="605"/>
        <w:gridCol w:w="3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1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2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8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center"/>
              <w:rPr/>
            </w:pPr>
            <w:r>
              <w:rPr/>
              <w:t> </w:t>
            </w:r>
          </w:p>
        </w:tc>
        <w:tc>
          <w:tcPr>
            <w:tcW w:w="7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366" w:type="dxa"/>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c>
          <w:tcPr>
            <w:tcW w:w="82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gridSpan w:val="2"/>
            <w:tcBorders/>
            <w:vAlign w:val="center"/>
          </w:tcPr>
          <w:p>
            <w:pPr>
              <w:pStyle w:val="TableContents"/>
              <w:bidi w:val="0"/>
              <w:spacing w:before="0" w:after="0"/>
              <w:ind w:left="0" w:right="0" w:hanging="0"/>
              <w:jc w:val="center"/>
              <w:rPr/>
            </w:pPr>
            <w:r>
              <w:rPr/>
              <w:t> </w:t>
            </w:r>
          </w:p>
        </w:tc>
        <w:tc>
          <w:tcPr>
            <w:tcW w:w="351"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center"/>
              <w:rPr/>
            </w:pPr>
            <w:r>
              <w:rPr/>
              <w:t> </w:t>
            </w:r>
          </w:p>
        </w:tc>
        <w:tc>
          <w:tcPr>
            <w:tcW w:w="794"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366"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4" w:type="dxa"/>
            <w:gridSpan w:val="2"/>
            <w:tcBorders/>
            <w:vAlign w:val="center"/>
          </w:tcPr>
          <w:p>
            <w:pPr>
              <w:pStyle w:val="TableContents"/>
              <w:bidi w:val="0"/>
              <w:spacing w:before="0" w:after="0"/>
              <w:ind w:left="0" w:right="0" w:hanging="0"/>
              <w:jc w:val="right"/>
              <w:rPr/>
            </w:pPr>
            <w:r>
              <w:rPr/>
              <w:t> </w:t>
            </w:r>
          </w:p>
        </w:tc>
        <w:tc>
          <w:tcPr>
            <w:tcW w:w="351"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794"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6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5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3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Nine Months Ended June 30, 2023 and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is a tabular presentation of our results of operations for the nine months ended June 30, 2023 compared to the nine months ended June 30, 2022. Following the table is a discussion and analysis of our business and results of operations for such periods.</w:t>
      </w:r>
    </w:p>
    <w:p>
      <w:pPr>
        <w:pStyle w:val="TextBody"/>
        <w:bidi w:val="0"/>
        <w:spacing w:before="0" w:after="0"/>
        <w:jc w:val="left"/>
        <w:rPr/>
      </w:pPr>
      <w:r>
        <w:rPr/>
        <w:t> </w:t>
      </w:r>
    </w:p>
    <w:tbl>
      <w:tblPr>
        <w:tblW w:w="10032" w:type="dxa"/>
        <w:jc w:val="left"/>
        <w:tblInd w:w="0" w:type="dxa"/>
        <w:tblLayout w:type="fixed"/>
        <w:tblCellMar>
          <w:top w:w="28" w:type="dxa"/>
          <w:left w:w="28" w:type="dxa"/>
          <w:bottom w:w="28" w:type="dxa"/>
          <w:right w:w="28" w:type="dxa"/>
        </w:tblCellMar>
      </w:tblPr>
      <w:tblGrid>
        <w:gridCol w:w="4486"/>
        <w:gridCol w:w="146"/>
        <w:gridCol w:w="211"/>
        <w:gridCol w:w="931"/>
        <w:gridCol w:w="166"/>
        <w:gridCol w:w="146"/>
        <w:gridCol w:w="211"/>
        <w:gridCol w:w="931"/>
        <w:gridCol w:w="166"/>
        <w:gridCol w:w="146"/>
        <w:gridCol w:w="211"/>
        <w:gridCol w:w="781"/>
        <w:gridCol w:w="166"/>
        <w:gridCol w:w="146"/>
        <w:gridCol w:w="146"/>
        <w:gridCol w:w="631"/>
        <w:gridCol w:w="4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9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234,793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2,356,341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2,206,189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258,488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430,327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3,129,921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2,917,082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212,839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41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41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438,698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8412"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781"/>
        <w:gridCol w:w="166"/>
        <w:gridCol w:w="146"/>
        <w:gridCol w:w="146"/>
        <w:gridCol w:w="466"/>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Geographic Information:</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8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2,472,587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668,733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3,644,986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234,793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Revenue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Revenue increased by $234.8 million, or 6.9%, to $3,645.0 million in the nine months ended June 30, 2023, from $3,410.2 million in the nine months ended June 30, 2022. The increase in revenue was attributable primarily to an increase in managed services arrangements and transformation activities both in North America and in Europe reflecting strong business activity building next-generation platforms for our customers and was partially offset by negative impact from foreign exchange fluctuations. Revenue for the nine months ended June 30, 2023 increased by 8.2% compared to the nine months ended June 30, 2022, excluding approximately 1.3% negative foreign fluctuations impact.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the nine months ended June 30, 2023, revenue from customers in North America, Europe and the rest of the world accounted for 67.8%, 14.5% and 17.7%, respectively, of total revenue, compared to 67.6%, 12.8% and 19.6%, respectively, in the nine months ended June 30,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increase in revenue from customers in North America was primarily attributable to higher revenue from managed services arrangements and transformation activities from key customers in North America.</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Europe increased during the nine months ended June 30, 2023, despite the negative impact of foreign exchange fluctuations, as a result of an increase in transformation project activities and managed services arrangements, as we expand our presence in this region.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the rest of the world decreased in the nine months ended June 30, 2023, mainly due to transition between transformation projects that naturally ramp down to new awarded projects that we expect will gradually ramp up, as well as negative foreign exchange fluctuations.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Cost of Revenue</w:t>
      </w:r>
      <w:r>
        <w:rPr>
          <w:rFonts w:ascii="Times New Roman;serif" w:hAnsi="Times New Roman;serif"/>
          <w:b w:val="false"/>
          <w:sz w:val="20"/>
        </w:rPr>
        <w:t>. Cost of revenue consists primarily of costs associated with providing services to customers, including compensation expense and costs of third-party products, as well as fee and royalty payments to software suppliers. Cost of revenue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increased by $150.2 million, or 6.8%, to $2,356.3 million in the nine months ended June 30, 2023, from $2,206.2 million in the nine months ended June 30, 2022. The Cost of revenue as a percentage of revenue, slightly decreased to 64.6% in the nine months ended June 30, 2023, from 64.7% in the nine months ended June 30, 2022. The increase in cost of revenue in absolute amounts was commensurate with revenue growth. Our Cost of revenue was also positively impacted by foreign exchange fluctuations.</w:t>
      </w:r>
    </w:p>
    <w:p>
      <w:pPr>
        <w:pStyle w:val="TextBody"/>
        <w:bidi w:val="0"/>
        <w:spacing w:before="200" w:after="0"/>
        <w:jc w:val="both"/>
        <w:rPr>
          <w:rFonts w:ascii="Times New Roman" w:hAnsi="Times New Roman"/>
          <w:sz w:val="20"/>
        </w:rPr>
      </w:pPr>
      <w:r>
        <w:rPr>
          <w:rFonts w:ascii="Times New Roman;serif" w:hAnsi="Times New Roman;serif"/>
          <w:b/>
          <w:i/>
          <w:sz w:val="20"/>
        </w:rPr>
        <w:t>Research and Development</w:t>
      </w:r>
      <w:r>
        <w:rPr>
          <w:rFonts w:ascii="Times New Roman;serif" w:hAnsi="Times New Roman;serif"/>
          <w:b w:val="false"/>
          <w:sz w:val="20"/>
        </w:rPr>
        <w:t>. Research and development expense is primarily comprised of compensation expense. Research and development expense increased by $18.7 million, or 7.2%, to $277.2 million in the nine months ended June 30, 2023, from $258.5 million in the nine months ended June 30, 2022. Research and development expense as a percentage of revenue was 7.6% in the nine months ended June 30, 2022, and in the nine months ended June 30, 2023. The Research and development expense increased in absolute amounts as we continue to invest in our cloud offerings, 5G and network related innovation and further developing our digital</w:t>
      </w:r>
      <w:r>
        <w:rPr>
          <w:rFonts w:ascii="Times New Roman" w:hAnsi="Times New Roman"/>
          <w:sz w:val="20"/>
        </w:rPr>
        <w:t xml:space="preserve"> </w:t>
      </w:r>
      <w:r>
        <w:rPr>
          <w:rFonts w:ascii="Times New Roman;serif" w:hAnsi="Times New Roman;serif"/>
          <w:b w:val="false"/>
          <w:sz w:val="20"/>
        </w:rPr>
        <w:t>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w:t>
      </w:r>
      <w:r>
        <w:rPr>
          <w:rFonts w:ascii="Times New Roman;serif" w:hAnsi="Times New Roman;serif"/>
          <w:b w:val="false"/>
          <w:sz w:val="20"/>
        </w:rPr>
        <w:t>. Selling, general and administrative expense, which is primarily comprised of compensation expense, increased by $31.2 million, or 7.8%, to $430.3 million in the nine months ended June 30, 2023, from $399.2 million in the nine months ended June 30, 2022. Selling, general and administrative expense slightly increased as a percentage of revenue from 11.7% in the nine months ended June 30, 2022, to 11.8% in the nine months ended June 30, 2023. The increase</w:t>
      </w:r>
      <w:r>
        <w:rPr>
          <w:rFonts w:ascii="Times New Roman" w:hAnsi="Times New Roman"/>
          <w:sz w:val="20"/>
        </w:rPr>
        <w:t xml:space="preserve"> </w:t>
      </w:r>
      <w:r>
        <w:rPr>
          <w:rFonts w:ascii="Times New Roman;serif" w:hAnsi="Times New Roman;serif"/>
          <w:b w:val="false"/>
          <w:sz w:val="20"/>
        </w:rPr>
        <w:t>in selling, general and administrative expense as a percentage of revenue was primarily attributable to changes in account receivable allowances. Selling, general and administrative expense may fluctuate from time to time, depending upon such factors as changes in our workforce and sales efforts and the results of any operational efficiency programs that we may undertake.</w:t>
      </w:r>
    </w:p>
    <w:p>
      <w:pPr>
        <w:pStyle w:val="TextBody"/>
        <w:bidi w:val="0"/>
        <w:spacing w:before="200" w:after="0"/>
        <w:jc w:val="both"/>
        <w:rPr>
          <w:rFonts w:ascii="Times New Roman" w:hAnsi="Times New Roman"/>
          <w:sz w:val="20"/>
        </w:rPr>
      </w:pPr>
      <w:r>
        <w:rPr>
          <w:rFonts w:ascii="Times New Roman;serif" w:hAnsi="Times New Roman;serif"/>
          <w:b/>
          <w:i/>
          <w:sz w:val="20"/>
        </w:rPr>
        <w:t>Amortization of Purchased Intangible Assets and Other</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Amortization of purchased intangible assets and other in the nine months ended June 30, 2023, decreased by $11.7 million, or 21.9% to $41.6 million from $53.2 million in the nine months ended June 30, 2022. The decrease in amortization of purchased intangible assets and other was primarily attributable to a completion of amortization of previously purchased intangible assets, partially offset by an increase in acquisition-related costs.</w:t>
      </w:r>
    </w:p>
    <w:p>
      <w:pPr>
        <w:pStyle w:val="TextBody"/>
        <w:bidi w:val="0"/>
        <w:spacing w:before="200" w:after="0"/>
        <w:jc w:val="both"/>
        <w:rPr>
          <w:rFonts w:ascii="Times New Roman" w:hAnsi="Times New Roman"/>
          <w:sz w:val="20"/>
        </w:rPr>
      </w:pPr>
      <w:r>
        <w:rPr>
          <w:rFonts w:ascii="Times New Roman;serif" w:hAnsi="Times New Roman;serif"/>
          <w:b/>
          <w:i/>
          <w:sz w:val="20"/>
        </w:rPr>
        <w:t xml:space="preserve">Restructuring Charges. </w:t>
      </w:r>
      <w:r>
        <w:rPr>
          <w:rFonts w:ascii="Times New Roman;serif" w:hAnsi="Times New Roman;serif"/>
          <w:b w:val="false"/>
          <w:sz w:val="20"/>
        </w:rPr>
        <w:t>Restructuring charges for the nine months ended June 30, 2023 were $24.5 million, with no such charges in the nine months ended June 30, 2022. The restructuring charges were primarily associated with alignment of our workforce around the global site strategy, as well as the optimization of our hybrid work model. Please see Note 9 to our consolidated financial statements.</w:t>
      </w:r>
    </w:p>
    <w:p>
      <w:pPr>
        <w:pStyle w:val="TextBody"/>
        <w:bidi w:val="0"/>
        <w:spacing w:before="200" w:after="0"/>
        <w:jc w:val="both"/>
        <w:rPr>
          <w:rFonts w:ascii="Times New Roman" w:hAnsi="Times New Roman"/>
          <w:sz w:val="20"/>
        </w:rPr>
      </w:pPr>
      <w:r>
        <w:rPr>
          <w:rFonts w:ascii="Times New Roman;serif" w:hAnsi="Times New Roman;serif"/>
          <w:b/>
          <w:i/>
          <w:sz w:val="20"/>
        </w:rPr>
        <w:t>Operating Income</w:t>
      </w:r>
      <w:r>
        <w:rPr>
          <w:rFonts w:ascii="Times New Roman;serif" w:hAnsi="Times New Roman;serif"/>
          <w:b w:val="false"/>
          <w:sz w:val="20"/>
        </w:rPr>
        <w:t>. Operating income increased by $22.0 million, or 4.5%, in the nine months ended June 30, 2023, to $515.1 million, from $493.1 million, in the nine months ended June 30, 2022. Operating income decreased as a percentage of revenue from 14.5% in the nine months ended June 30, 2022, to 14.1% in the nine months ended June 30, 2023. The decrease in operating income as a percentage of revenue was attributable primarily to restructuring charges recorded in the nine months ended June 30, 2023, which was partially offset by positive foreign exchange impacts.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Interest and Other Expense, Net</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Interest and other expense, net, changed from a net expense of $19.0 million in the nine months ended June 30, 2022 to a net expense of $12.3 million in the nine months ended June 30, 2023. The decrease in interest and other expense, net, was primarily attributable to an increase in interest income primarily due to higher interest rates, partially offset by changes of minority equity investments measured at fair value recorded in the nine months ended June 30, 2023 compared to the nine months ended June 30,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 xml:space="preserve">Gain from sale of a business. </w:t>
      </w: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gain from sale of a business in the nine months ended June 30, 2023, while there was $10.0 million of such gain in the nine months ended June 30, 2022. Please see Note 3 to our consolidated financial statements.</w:t>
      </w:r>
    </w:p>
    <w:p>
      <w:pPr>
        <w:pStyle w:val="TextBody"/>
        <w:bidi w:val="0"/>
        <w:spacing w:before="200" w:after="0"/>
        <w:jc w:val="both"/>
        <w:rPr>
          <w:rFonts w:ascii="Times New Roman" w:hAnsi="Times New Roman"/>
          <w:sz w:val="20"/>
        </w:rPr>
      </w:pPr>
      <w:r>
        <w:rPr>
          <w:rFonts w:ascii="Times New Roman;serif" w:hAnsi="Times New Roman;serif"/>
          <w:b/>
          <w:i/>
          <w:sz w:val="20"/>
        </w:rPr>
        <w:t>Income Tax expense</w:t>
      </w:r>
      <w:r>
        <w:rPr>
          <w:rFonts w:ascii="Times New Roman;serif" w:hAnsi="Times New Roman;serif"/>
          <w:b w:val="false"/>
          <w:sz w:val="20"/>
        </w:rPr>
        <w:t>. Income tax expense for the nine months ended June 30, 2023 were $62.4 million on pre-tax income of $502.7 million, resulting in an effective tax rate of 12.4%, compared to 13.1% in the nine months ended June 30, 2022. Our effective tax rate is relatively low in the nine months ended June 2023 and 2022 due to tax benefits. Please see also Note 10 to our consolidated financial statements. Our effective tax rate may fluctuate between periods as a result of discrete items that may affect a particular period.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Net income attributable to Amdocs Limited</w:t>
      </w:r>
      <w:r>
        <w:rPr>
          <w:rFonts w:ascii="Times New Roman;serif" w:hAnsi="Times New Roman;serif"/>
          <w:b w:val="false"/>
          <w:sz w:val="20"/>
        </w:rPr>
        <w:t>. Net income increased by $18.1 million, or 4.3%, to $438.7 million in the nine months ended June 30, 2023, from $420.6 million in the nine months ended June 30, 2022. The increase in net income is primarily attributable to increase in operating income despite the restructuring charges recorded in the nine months ended June 30, 2023, while there was no such charges in the nine months ended June 30, 2022, and decrease in interest and expenses, net, partially offset by a gain from sale of a business recorded in the nine months ended June 30, 2022, which did not recur in the nine months ended June 30, 2023.</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Diluted Earnings Per Share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Diluted earnings per share increased by $0.23, or 6.8%, to $3.62 in the nine months ended June 30, 2023, from $3.39 in the nine months ended June 30, 2022. The increase in diluted earnings per share was attributable to an increase in net income, as well as a decrease in the diluted weighted average number of shares outstanding, which resulted from share repurchases. Please see also Note 11 to our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Three Months Ended June 30, 2023 and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is a tabular presentation of our results of operations for the three months ended June 30, 2023 compared to the three months ended June 30, 2022. Following the table is a discussion and analysis of our business and results of operations for such periods.</w:t>
      </w:r>
    </w:p>
    <w:p>
      <w:pPr>
        <w:pStyle w:val="TextBody"/>
        <w:bidi w:val="0"/>
        <w:spacing w:before="0" w:after="0"/>
        <w:jc w:val="both"/>
        <w:rPr/>
      </w:pPr>
      <w:r>
        <w:rPr/>
        <w:t> </w:t>
      </w:r>
    </w:p>
    <w:tbl>
      <w:tblPr>
        <w:tblW w:w="10062" w:type="dxa"/>
        <w:jc w:val="left"/>
        <w:tblInd w:w="0" w:type="dxa"/>
        <w:tblLayout w:type="fixed"/>
        <w:tblCellMar>
          <w:top w:w="28" w:type="dxa"/>
          <w:left w:w="28" w:type="dxa"/>
          <w:bottom w:w="28" w:type="dxa"/>
          <w:right w:w="28" w:type="dxa"/>
        </w:tblCellMar>
      </w:tblPr>
      <w:tblGrid>
        <w:gridCol w:w="4486"/>
        <w:gridCol w:w="146"/>
        <w:gridCol w:w="211"/>
        <w:gridCol w:w="931"/>
        <w:gridCol w:w="166"/>
        <w:gridCol w:w="146"/>
        <w:gridCol w:w="211"/>
        <w:gridCol w:w="931"/>
        <w:gridCol w:w="166"/>
        <w:gridCol w:w="146"/>
        <w:gridCol w:w="211"/>
        <w:gridCol w:w="736"/>
        <w:gridCol w:w="166"/>
        <w:gridCol w:w="146"/>
        <w:gridCol w:w="146"/>
        <w:gridCol w:w="526"/>
        <w:gridCol w:w="5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8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748,214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591" w:type="dxa"/>
            <w:tcBorders/>
            <w:vAlign w:val="center"/>
          </w:tcPr>
          <w:p>
            <w:pPr>
              <w:pStyle w:val="TableContents"/>
              <w:bidi w:val="0"/>
              <w:spacing w:before="0" w:after="0"/>
              <w:ind w:left="0" w:right="0" w:firstLine="400"/>
              <w:jc w:val="lef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91" w:type="dxa"/>
            <w:tcBorders/>
            <w:vAlign w:val="center"/>
          </w:tcPr>
          <w:p>
            <w:pPr>
              <w:pStyle w:val="TableContents"/>
              <w:bidi w:val="0"/>
              <w:spacing w:before="0" w:after="0"/>
              <w:ind w:left="0" w:right="0" w:firstLine="400"/>
              <w:jc w:val="lef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5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5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tbl>
      <w:tblPr>
        <w:tblW w:w="830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676"/>
        <w:gridCol w:w="166"/>
        <w:gridCol w:w="146"/>
        <w:gridCol w:w="146"/>
        <w:gridCol w:w="466"/>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Geographic Information:</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7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787,987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Revenue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Revenue increased by $75.7 million, or 6.5%, to $1,236.0 million in the three months ended June 30, 2023, from $1,160.3 million in the three months ended June 30, 2022. The increase in revenue was primarily attributable to an increase in managed services arrangements and transformation activities in Europe, as well as to an increase in activity in key customers in North America. Revenue for the three months ended June 30, 2023 increased by 6.9% compared to the three months ended June 30, 2022, excluding approximately 0.4% negative foreign fluctuations impact.</w:t>
      </w:r>
    </w:p>
    <w:p>
      <w:pPr>
        <w:pStyle w:val="TextBody"/>
        <w:bidi w:val="0"/>
        <w:spacing w:before="200" w:after="0"/>
        <w:jc w:val="both"/>
        <w:rPr>
          <w:rFonts w:ascii="Times New Roman" w:hAnsi="Times New Roman"/>
          <w:sz w:val="20"/>
        </w:rPr>
      </w:pPr>
      <w:r>
        <w:rPr>
          <w:rFonts w:ascii="Times New Roman;serif" w:hAnsi="Times New Roman;serif"/>
          <w:b w:val="false"/>
          <w:sz w:val="20"/>
        </w:rPr>
        <w:t>In the three months ended June 30, 2023, revenue from customers in North America, Europe and the rest of the world accounted for 67.2%, 15.2% and 17.6%, respectively, of total revenue, compared to 67.9%, 12.6% and 19.5%, respectively, in the three months ended June 30,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North America increased during the three months ended June 30, 2023, while total revenue increased at a slightly higher rate, which resulted in a decrease of revenue from customers in North America as a percentage of total revenue. The increase in revenue from customers in North America in absolute amount was primarily attributable to higher revenue from key customers in North America.</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Europe increased during the three months ended June 30, 2023, as a result of an increase in transformation project activities and managed services arrangements, as we expand our presence in this region.</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from customers in the rest of the world decreased in the three months ended June 30, 2023, mainly due to transition between transformation projects that naturally ramp down to new awarded projects that we expect will gradually ramp up, as well as a result of negative foreign exchange fluctuations.</w:t>
      </w:r>
    </w:p>
    <w:p>
      <w:pPr>
        <w:pStyle w:val="TextBody"/>
        <w:bidi w:val="0"/>
        <w:spacing w:before="200" w:after="0"/>
        <w:jc w:val="both"/>
        <w:rPr>
          <w:rFonts w:ascii="Times New Roman" w:hAnsi="Times New Roman"/>
          <w:sz w:val="20"/>
        </w:rPr>
      </w:pPr>
      <w:r>
        <w:rPr>
          <w:rFonts w:ascii="Times New Roman;serif" w:hAnsi="Times New Roman;serif"/>
          <w:b/>
          <w:i/>
          <w:sz w:val="20"/>
        </w:rPr>
        <w:t>Cost of Revenue</w:t>
      </w:r>
      <w:r>
        <w:rPr>
          <w:rFonts w:ascii="Times New Roman;serif" w:hAnsi="Times New Roman;serif"/>
          <w:b w:val="false"/>
          <w:sz w:val="20"/>
        </w:rPr>
        <w:t>. Cost of revenue consists primarily of costs associated with providing services to customers, including compensation expense and costs of third-party products, as well as fee and royalty payments to software suppliers. Cost of revenue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increased by $55.8 million, or 7.5%, to $804.0 million in the three months ended June 30, 2023, from $748.2 million in the three months ended June 30, 2022. The Cost of revenue as a percentage of revenue increased to 65.1% in the three months ended June 30, 2023, from 64.5% in the three months ended June 30, 2022. The increase in cost of revenue in absolute amount was commensurate with revenue growth. Our Cost of revenue was positively impacted by foreign exchange fluctuations.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Research and Development</w:t>
      </w:r>
      <w:r>
        <w:rPr>
          <w:rFonts w:ascii="Times New Roman;serif" w:hAnsi="Times New Roman;serif"/>
          <w:b w:val="false"/>
          <w:sz w:val="20"/>
        </w:rPr>
        <w:t>. Research and development expense is primarily comprised of compensation expense. Research and development expense slightly increased by $2.7 million, or 3.0%, to $92.2 million in the three months ended June 30, 2023, from $89.5 million in the three months ended June 30, 2022. Research and development expense decreased as a percentage of revenue from 7.7% in the three months ended June 30, 2022, to 7.5% in the three months ended June 30, 2023. We continue to invest in our cloud offerings, 5G and network related innovation and further developing our digital</w:t>
      </w:r>
      <w:r>
        <w:rPr>
          <w:rFonts w:ascii="Times New Roman" w:hAnsi="Times New Roman"/>
          <w:sz w:val="20"/>
        </w:rPr>
        <w:t xml:space="preserve"> </w:t>
      </w:r>
      <w:r>
        <w:rPr>
          <w:rFonts w:ascii="Times New Roman;serif" w:hAnsi="Times New Roman;serif"/>
          <w:b w:val="false"/>
          <w:sz w:val="20"/>
        </w:rPr>
        <w:t>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w:t>
      </w:r>
      <w:r>
        <w:rPr>
          <w:rFonts w:ascii="Times New Roman;serif" w:hAnsi="Times New Roman;serif"/>
          <w:b w:val="false"/>
          <w:sz w:val="20"/>
        </w:rPr>
        <w:t>. Selling, general and administrative expense, which is primarily comprised of compensation expense, increased by $7.7 million, or 5.6%, to $143.8 million in the three months ended June 30, 2023, from $136.1 million in the three months ended June 30, 2022. Selling, general and administrative expense slightly decreased as a percentage of revenue from 11.7% in the three months ended June 30, 2022, to 11.6% in the three months ended June 30, 2023. The increase in selling, general and administrative in absolute amount was commensurate with revenue growth. Selling, general and administrative expense may fluctuate from time to time, depending upon such factors as changes in our workforce and sales efforts and the results of any operational efficiency programs that we may undertake.</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Amortization of Purchased Intangible Assets and Other</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Amortization of purchased intangible assets and other in the three months ended June 30, 2023, decreased by $3.9 million, or 22.5% to $13.3 million from $17.2 million in the three months ended June 30, 2022. The decrease in amortization of purchased intangible assets and other was primarily attributable to a completion of amortization of previously purchased intangible assets, partially offset by an increase in acquisition-related costs.</w:t>
      </w:r>
    </w:p>
    <w:p>
      <w:pPr>
        <w:pStyle w:val="TextBody"/>
        <w:bidi w:val="0"/>
        <w:spacing w:before="200" w:after="0"/>
        <w:jc w:val="both"/>
        <w:rPr>
          <w:rFonts w:ascii="Times New Roman" w:hAnsi="Times New Roman"/>
          <w:sz w:val="20"/>
        </w:rPr>
      </w:pPr>
      <w:r>
        <w:rPr>
          <w:rFonts w:ascii="Times New Roman;serif" w:hAnsi="Times New Roman;serif"/>
          <w:b/>
          <w:i/>
          <w:sz w:val="20"/>
        </w:rPr>
        <w:t>Operating Income</w:t>
      </w:r>
      <w:r>
        <w:rPr>
          <w:rFonts w:ascii="Times New Roman;serif" w:hAnsi="Times New Roman;serif"/>
          <w:b w:val="false"/>
          <w:sz w:val="20"/>
        </w:rPr>
        <w:t>. Operating income increased by $13.4 million, or 7.9%, in the three months ended June 30, 2023, to $182.7 million, or 14.8% of revenue, from $169.3 million, or 14.6% of revenue, in the three months ended June 30, 2022. Our operating income was positively affected by foreign exchange impacts.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Interest and Other Expense, Net</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Interest and other expense, net, changed from a net expense of $7.8 million in the three months ended June 30, 2022 to a net expense of $4.4 million in the three months ended June 30, 2023. The decrease in interest and other expense, net, was primarily attributable to an increase in interest income primarily due to higher interest rates, compared to the three months ended June 30, 2022.</w:t>
      </w:r>
    </w:p>
    <w:p>
      <w:pPr>
        <w:pStyle w:val="TextBody"/>
        <w:bidi w:val="0"/>
        <w:spacing w:before="200" w:after="0"/>
        <w:jc w:val="both"/>
        <w:rPr>
          <w:rFonts w:ascii="Times New Roman" w:hAnsi="Times New Roman"/>
          <w:sz w:val="20"/>
        </w:rPr>
      </w:pPr>
      <w:r>
        <w:rPr>
          <w:rFonts w:ascii="Times New Roman;serif" w:hAnsi="Times New Roman;serif"/>
          <w:b/>
          <w:i/>
          <w:sz w:val="20"/>
        </w:rPr>
        <w:t>Income Tax expense</w:t>
      </w:r>
      <w:r>
        <w:rPr>
          <w:rFonts w:ascii="Times New Roman;serif" w:hAnsi="Times New Roman;serif"/>
          <w:b w:val="false"/>
          <w:sz w:val="20"/>
        </w:rPr>
        <w:t>. Income tax expense for the three months ended June 30, 2023 were $18.2 million on pre-tax income of $178.3 million, resulting in an effective tax rate of 10.2%, compared to effective tax rate of 20.5% in the three months ended June 30, 2022. The decrease in the effective tax rate is primarily attributable to tax benefit recorded during the three months ended June 30, 2023, see also Note 10 to our consolidated financial statements. Our effective tax rate may fluctuate between periods as a result of discrete items that may affect a particular period.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Net income attributable to Amdocs Limited</w:t>
      </w:r>
      <w:r>
        <w:rPr>
          <w:rFonts w:ascii="Times New Roman;serif" w:hAnsi="Times New Roman;serif"/>
          <w:b w:val="false"/>
          <w:sz w:val="20"/>
        </w:rPr>
        <w:t>. Net income increased by $31.0 million, or 24.1%, to $159.4 million in the three months ended June 30, 2023, from $128.5 million in the three months ended June 30, 2022. The increase in net income is primarily attributable to an increase in operating income and a decrease in income tax expense, as described in Note 10 to our consolidated financial statements.</w:t>
      </w:r>
    </w:p>
    <w:p>
      <w:pPr>
        <w:pStyle w:val="TextBody"/>
        <w:bidi w:val="0"/>
        <w:spacing w:before="200" w:after="0"/>
        <w:jc w:val="both"/>
        <w:rPr>
          <w:rFonts w:ascii="Times New Roman" w:hAnsi="Times New Roman"/>
          <w:sz w:val="20"/>
        </w:rPr>
      </w:pPr>
      <w:r>
        <w:rPr>
          <w:rFonts w:ascii="Times New Roman;serif" w:hAnsi="Times New Roman;serif"/>
          <w:b/>
          <w:i/>
          <w:sz w:val="20"/>
        </w:rPr>
        <w:t>Diluted Earnings Per Share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Diluted earnings per share increased by $0.28, or 26.9%, to $1.32 in the three months ended June 30, 2023, from $1.04 in the three months ended June 30, 2022. The increase in diluted earnings per share was primarily attributable to an increase in net income in the three months ended June 30, 2023, as well as a decrease in the diluted weighted average number of shares outstanding which resulted from share repurchases. Please see also Note 11 to our consolidated financial statements.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200" w:after="0"/>
        <w:jc w:val="both"/>
        <w:rPr>
          <w:rFonts w:ascii="Times New Roman" w:hAnsi="Times New Roman"/>
          <w:sz w:val="20"/>
        </w:rPr>
      </w:pPr>
      <w:r>
        <w:rPr>
          <w:rFonts w:ascii="Times New Roman;serif" w:hAnsi="Times New Roman;serif"/>
          <w:b w:val="false"/>
          <w:i/>
          <w:sz w:val="20"/>
        </w:rPr>
        <w:t>Cash, Cash Equivalents and Short-Term Interest-Bearing Investments.</w:t>
      </w:r>
      <w:r>
        <w:rPr>
          <w:rFonts w:ascii="Times New Roman" w:hAnsi="Times New Roman"/>
          <w:sz w:val="20"/>
        </w:rPr>
        <w:t xml:space="preserve"> </w:t>
      </w:r>
      <w:r>
        <w:rPr>
          <w:rFonts w:ascii="Times New Roman;serif" w:hAnsi="Times New Roman;serif"/>
          <w:b w:val="false"/>
          <w:sz w:val="20"/>
        </w:rPr>
        <w:t>Cash, cash equivalents and short-term interest-bearing investments, totaled $749.5 million as of June 30, 2023, compared to $818.0 million as of September 30, 2022. The decrease was mainly attributable to $334.5 million repurchase of our ordinary shares pursuant to our repurchase program, $147.7 million of cash dividend payment, $97.8 million for capital expenditures, net and $84.4 million payments for business acquisitions, partially offset by $550.3 million positive cash flow from operating activities and $46.0 million of proceeds from stock option. Net cash provided by operating activities amounted to $550.3 million and $539.8 million in the nine months ended June 30, 2023 and 2022, respectively.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Our free cash flow for the nine months ended June 30, 2023 was $452.5 million and is calculated as net cash provided by operating activities of $550.3 million for the period less $97.8 million for capital expenditures, net.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twelve months.</w:t>
      </w:r>
    </w:p>
    <w:p>
      <w:pPr>
        <w:pStyle w:val="TextBody"/>
        <w:bidi w:val="0"/>
        <w:spacing w:before="200" w:after="0"/>
        <w:jc w:val="both"/>
        <w:rPr>
          <w:rFonts w:ascii="Times New Roman" w:hAnsi="Times New Roman"/>
          <w:sz w:val="20"/>
        </w:rPr>
      </w:pPr>
      <w:r>
        <w:rPr>
          <w:rFonts w:ascii="Times New Roman;serif" w:hAnsi="Times New Roman;serif"/>
          <w:b w:val="false"/>
          <w:sz w:val="20"/>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securities and municipal bonds, which are stated at market value.</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2023 and 2022, we did not recognize any credit losses. Please see Notes 5 and 6 to the consolidated financial statements.</w:t>
      </w:r>
    </w:p>
    <w:p>
      <w:pPr>
        <w:pStyle w:val="TextBody"/>
        <w:bidi w:val="0"/>
        <w:spacing w:before="200" w:after="0"/>
        <w:jc w:val="both"/>
        <w:rPr>
          <w:rFonts w:ascii="Times New Roman" w:hAnsi="Times New Roman"/>
          <w:sz w:val="20"/>
        </w:rPr>
      </w:pPr>
      <w:r>
        <w:rPr>
          <w:rFonts w:ascii="Times New Roman;serif" w:hAnsi="Times New Roman;serif"/>
          <w:b w:val="false"/>
          <w:i/>
          <w:sz w:val="20"/>
        </w:rPr>
        <w:t xml:space="preserve">Revolving Credit Facility, Loans, Senior Notes, Letters of Credit, Guarantees and Contractual Obligations. </w:t>
      </w:r>
      <w:r>
        <w:rPr>
          <w:rFonts w:ascii="Times New Roman;serif" w:hAnsi="Times New Roman;serif"/>
          <w:b w:val="false"/>
          <w:sz w:val="20"/>
        </w:rPr>
        <w:t>In December 2011, we entered into the unsecured $500.0 million Revolving Credit Facility. In December 2014, December 2017 and March 2021, the Revolving Credit Facility was amended and restated to, among other things, extend the maturity date of the facility to December 2019, December 2022 and March 2026, respectively. As of June 30, 2023, we were in compliance with the financial covenants and had no outstanding borrowing under the Revolving Credit Facility.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June 30, 2023, the noncurrent outstanding principal portion was $650.0 million. Please see Note 13 to our consolidated financial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June 30, 2023, we had additional uncommitted lines of credit available for general corporate and other specific purposes and had outstanding letters of credit and bank guarantees from various banks totaling $69.4 million. These were supported by a combination of the uncommitted lines of credit that we maintain with various banks.</w:t>
      </w:r>
    </w:p>
    <w:p>
      <w:pPr>
        <w:pStyle w:val="TextBody"/>
        <w:bidi w:val="0"/>
        <w:spacing w:before="200" w:after="0"/>
        <w:jc w:val="both"/>
        <w:rPr>
          <w:rFonts w:ascii="Times New Roman" w:hAnsi="Times New Roman"/>
          <w:sz w:val="20"/>
        </w:rPr>
      </w:pPr>
      <w:r>
        <w:rPr>
          <w:rFonts w:ascii="Times New Roman;serif" w:hAnsi="Times New Roman;serif"/>
          <w:b w:val="false"/>
          <w:sz w:val="20"/>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2022, filed on December 13, 2022 with the SEC. Since September 30, 2022, there have been no material changes in our aggregate contractual obligations mentioned above.</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0"/>
        </w:rPr>
        <w:t>Capital Expenditures.</w:t>
      </w:r>
      <w:r>
        <w:rPr>
          <w:rFonts w:ascii="Times New Roman" w:hAnsi="Times New Roman"/>
          <w:sz w:val="20"/>
        </w:rPr>
        <w:t xml:space="preserve"> </w:t>
      </w:r>
      <w:r>
        <w:rPr>
          <w:rFonts w:ascii="Times New Roman;serif" w:hAnsi="Times New Roman;serif"/>
          <w:b w:val="false"/>
          <w:sz w:val="20"/>
        </w:rPr>
        <w:t>Generally, the majority of our capital expenditures consist of purchases of computer equipment, and the remainder is attributable mainly to building and leasehold improvements. Our capital expenditures were approximately $97.8 million in the nine months ended June 30, 2023 and were mainly attributable to investments in our operating facilities and our development centers around the world.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0"/>
        </w:rPr>
        <w:t>Share Repurchases</w:t>
      </w:r>
      <w:r>
        <w:rPr>
          <w:rFonts w:ascii="Times New Roman;serif" w:hAnsi="Times New Roman;serif"/>
          <w:b w:val="false"/>
          <w:sz w:val="20"/>
        </w:rPr>
        <w:t>. From time to time, our Board of Directors can adopt share repurchase plans authorizing the repurchase of our outstanding ordinary shares. On May 12, 2021, our Board of Directors adopted a share repurchase plan authorizing the repurchase of up to $1.0 billion of our outstanding ordinary shares with no expiration date. The May 2021 plan has no expiration date and permits us to purchase our ordinary shares in the open market or through privately negotiated transactions at times and prices that we consider appropriate. As of June 30, 2023, we had remaining authority to repurchase up to $155.7 million of our outstanding ordinary shares under the May 2021 plan.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During the nine months ended June 30, 2023, we repurchased approximately 3.7 million ordinary shares at an average price of $89.86 per share (excluding broker and transaction fees).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i/>
          <w:sz w:val="20"/>
        </w:rPr>
        <w:t>Cash Dividends.</w:t>
      </w:r>
      <w:r>
        <w:rPr>
          <w:rFonts w:ascii="Times New Roman" w:hAnsi="Times New Roman"/>
          <w:sz w:val="20"/>
        </w:rPr>
        <w:t xml:space="preserve"> </w:t>
      </w:r>
      <w:r>
        <w:rPr>
          <w:rFonts w:ascii="Times New Roman;serif" w:hAnsi="Times New Roman;serif"/>
          <w:b w:val="false"/>
          <w:sz w:val="20"/>
        </w:rPr>
        <w:t>Our Board of Directors declared the following dividends during the nine months ended June 30, 2023 and 2022:</w:t>
      </w:r>
    </w:p>
    <w:p>
      <w:pPr>
        <w:pStyle w:val="TextBody"/>
        <w:bidi w:val="0"/>
        <w:spacing w:before="0" w:after="0"/>
        <w:jc w:val="left"/>
        <w:rPr/>
      </w:pPr>
      <w:r>
        <w:rPr/>
        <w:t> </w:t>
      </w:r>
    </w:p>
    <w:tbl>
      <w:tblPr>
        <w:tblW w:w="8109" w:type="dxa"/>
        <w:jc w:val="left"/>
        <w:tblInd w:w="0" w:type="dxa"/>
        <w:tblLayout w:type="fixed"/>
        <w:tblCellMar>
          <w:top w:w="28" w:type="dxa"/>
          <w:left w:w="28" w:type="dxa"/>
          <w:bottom w:w="28" w:type="dxa"/>
          <w:right w:w="28" w:type="dxa"/>
        </w:tblCellMar>
      </w:tblPr>
      <w:tblGrid>
        <w:gridCol w:w="1621"/>
        <w:gridCol w:w="146"/>
        <w:gridCol w:w="338"/>
        <w:gridCol w:w="922"/>
        <w:gridCol w:w="146"/>
        <w:gridCol w:w="146"/>
        <w:gridCol w:w="1681"/>
        <w:gridCol w:w="146"/>
        <w:gridCol w:w="350"/>
        <w:gridCol w:w="775"/>
        <w:gridCol w:w="146"/>
        <w:gridCol w:w="146"/>
        <w:gridCol w:w="154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Declaration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Dividends Per</w:t>
              <w:br/>
              <w:t>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Amount</w:t>
              <w:br/>
              <w:t>in millions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10 ,2023</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31, 2023</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8, 2022</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30, 2022</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27,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11 ,2022</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2022</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July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2022</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2021</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28, 2022</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August 2, 2023 our Board of Directors approved the next quarterly dividend payment and set September 29, 2023 as the record date for determining the shareholders entitled to receive the dividend, which is payable on October 27, 2023.</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r>
        <w:rPr>
          <w:rFonts w:ascii="Times New Roman" w:hAnsi="Times New Roman"/>
          <w:sz w:val="20"/>
        </w:rPr>
        <w:t xml:space="preserve">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Currency Fluctuations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nine months ended June 30, 2023 and 2022,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bookmarkStart w:id="10" w:name="partii_other_information"/>
      <w:bookmarkEnd w:id="10"/>
      <w:r>
        <w:rPr>
          <w:rFonts w:ascii="Times New Roman;serif" w:hAnsi="Times New Roman;serif"/>
          <w:b/>
          <w:sz w:val="20"/>
        </w:rPr>
        <w:t>PART II OTHER INFORMATION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1" w:name="item1_changes_in_securities_use_of_proce"/>
      <w:bookmarkEnd w:id="11"/>
      <w:r>
        <w:rPr>
          <w:rFonts w:ascii="Times New Roman;serif" w:hAnsi="Times New Roman;serif"/>
          <w:b/>
          <w:sz w:val="20"/>
        </w:rPr>
        <w:t>Item 1. Changes in Securities, Use of Proceeds and Issuer Purchases of Equity</w:t>
      </w:r>
      <w:r>
        <w:rPr>
          <w:rFonts w:ascii="Times New Roman" w:hAnsi="Times New Roman"/>
          <w:sz w:val="20"/>
        </w:rPr>
        <w:t xml:space="preserve"> </w:t>
      </w:r>
      <w:r>
        <w:rPr>
          <w:rFonts w:ascii="Times New Roman;serif" w:hAnsi="Times New Roman;serif"/>
          <w:b/>
          <w:sz w:val="20"/>
        </w:rPr>
        <w:t>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Ordinary Shares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provides information about purchases by us and our affiliated purchasers during the three months ended June 30, 2023 of equity securities that are registered by us pursuant to Section 12 of the Exchange Act:</w:t>
      </w:r>
    </w:p>
    <w:p>
      <w:pPr>
        <w:pStyle w:val="TextBody"/>
        <w:bidi w:val="0"/>
        <w:spacing w:before="0" w:after="0"/>
        <w:jc w:val="both"/>
        <w:rPr/>
      </w:pPr>
      <w:r>
        <w:rPr/>
        <w:t> </w:t>
      </w:r>
    </w:p>
    <w:tbl>
      <w:tblPr>
        <w:tblW w:w="8534" w:type="dxa"/>
        <w:jc w:val="left"/>
        <w:tblInd w:w="0" w:type="dxa"/>
        <w:tblLayout w:type="fixed"/>
        <w:tblCellMar>
          <w:top w:w="28" w:type="dxa"/>
          <w:left w:w="28" w:type="dxa"/>
          <w:bottom w:w="28" w:type="dxa"/>
          <w:right w:w="28" w:type="dxa"/>
        </w:tblCellMar>
      </w:tblPr>
      <w:tblGrid>
        <w:gridCol w:w="1681"/>
        <w:gridCol w:w="146"/>
        <w:gridCol w:w="179"/>
        <w:gridCol w:w="1141"/>
        <w:gridCol w:w="146"/>
        <w:gridCol w:w="146"/>
        <w:gridCol w:w="376"/>
        <w:gridCol w:w="1019"/>
        <w:gridCol w:w="146"/>
        <w:gridCol w:w="146"/>
        <w:gridCol w:w="161"/>
        <w:gridCol w:w="1264"/>
        <w:gridCol w:w="146"/>
        <w:gridCol w:w="146"/>
        <w:gridCol w:w="234"/>
        <w:gridCol w:w="126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br/>
              <w:t> </w:t>
              <w:br/>
              <w:t> </w:t>
              <w:br/>
              <w:t> </w:t>
              <w:br/>
              <w:t> </w:t>
              <w:br/>
              <w:t> </w:t>
              <w:b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Shares</w:t>
              <w:br/>
              <w:t>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w:t>
              <w:br/>
              <w:t>Paid per Share(1)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Shares</w:t>
              <w:br/>
              <w:t>Purchased as Part</w:t>
              <w:br/>
              <w:t>of Publicly</w:t>
              <w:br/>
              <w:t>Announced Plans</w:t>
              <w:br/>
              <w:t>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Maximum Number</w:t>
              <w:br/>
              <w:t>(or Approximate</w:t>
              <w:br/>
              <w:t>Dollar Value)</w:t>
              <w:br/>
              <w:t>of Shares that May</w:t>
              <w:br/>
              <w:t>Yet Be Purchased</w:t>
              <w:br/>
              <w:t>Under the Plans</w:t>
              <w:br/>
              <w:t>or Programs(2)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04/01/23-04/30/23</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40,898,724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243,607,991</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05/01/23-05/31/23</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60,342,317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183,265,674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06/01/23-06/30/23</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27,600,063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155,665,611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1,391,428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128,841,105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155,665,611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____________</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Excludes broker and transaction fees.</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On May 12, 2021, our Board of Directors adopted a share repurchase plan for the repurchase of up to $1.0 billion of our outstanding ordinary shares and on August 2, 2023, adopted another share repurchase plan for the repurchase of up to an additional $1.1 billion of our outstanding ordinary shares, which brings the unused aggregate authorization to $1.26 billion. The authorizations have no expiration date and permit us to purchase our ordinary shares in open market or privately negotiated transactions at times and prices we consider appropriate.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2" w:name="item2_reports_on_form_6k"/>
      <w:bookmarkEnd w:id="12"/>
      <w:r>
        <w:rPr>
          <w:rFonts w:ascii="Times New Roman;serif" w:hAnsi="Times New Roman;serif"/>
          <w:b/>
          <w:sz w:val="20"/>
        </w:rPr>
        <w:t>Item 2. Reports on Form 6-K</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furnished or filed the following reports on Form 6-K during the three months ended June 30, 2023:</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Form 6-K dated May 11, 2023</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Form 6-K dated May 22, 2023</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200" w:after="0"/>
        <w:jc w:val="center"/>
        <w:rPr>
          <w:rFonts w:ascii="Times New Roman;serif" w:hAnsi="Times New Roman;serif"/>
          <w:b/>
          <w:sz w:val="20"/>
        </w:rPr>
      </w:pPr>
      <w:bookmarkStart w:id="13" w:name="signatures"/>
      <w:bookmarkEnd w:id="13"/>
      <w:r>
        <w:rPr>
          <w:rFonts w:ascii="Times New Roman;serif" w:hAnsi="Times New Roman;serif"/>
          <w:b/>
          <w:sz w:val="20"/>
        </w:rPr>
        <w:t>SIGNATURES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042" w:type="dxa"/>
        <w:jc w:val="left"/>
        <w:tblInd w:w="0" w:type="dxa"/>
        <w:tblLayout w:type="fixed"/>
        <w:tblCellMar>
          <w:top w:w="28" w:type="dxa"/>
          <w:left w:w="28" w:type="dxa"/>
          <w:bottom w:w="28" w:type="dxa"/>
          <w:right w:w="28" w:type="dxa"/>
        </w:tblCellMar>
      </w:tblPr>
      <w:tblGrid>
        <w:gridCol w:w="1951"/>
        <w:gridCol w:w="3091"/>
      </w:tblGrid>
      <w:tr>
        <w:trPr/>
        <w:tc>
          <w:tcPr>
            <w:tcW w:w="195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AMDOCS LIMITED</w:t>
            </w:r>
            <w:r>
              <w:rPr>
                <w:rFonts w:ascii="Times New Roman" w:hAnsi="Times New Roman"/>
                <w:sz w:val="20"/>
              </w:rPr>
              <w:t xml:space="preserve"> </w:t>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Matthew E. Smith</w:t>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Matthew E. Smith</w:t>
            </w:r>
            <w:r>
              <w:rPr>
                <w:rFonts w:ascii="Times New Roman" w:hAnsi="Times New Roman"/>
                <w:sz w:val="20"/>
              </w:rPr>
              <w:t xml:space="preserve"> </w:t>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Secretary and Authorized Signatory</w:t>
            </w:r>
            <w:r>
              <w:rPr>
                <w:rFonts w:ascii="Times New Roman" w:hAnsi="Times New Roman"/>
                <w:sz w:val="20"/>
              </w:rPr>
              <w:t xml:space="preserve"> </w:t>
            </w:r>
          </w:p>
        </w:tc>
      </w:tr>
      <w:tr>
        <w:trPr/>
        <w:tc>
          <w:tcPr>
            <w:tcW w:w="195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30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15795</Words>
  <Characters>86109</Characters>
  <CharactersWithSpaces>103797</CharactersWithSpaces>
  <Paragraphs>6937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