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35"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331"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6-K</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54"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For the Quarter Ended March 31, 1999</w:t>
      </w:r>
    </w:p>
    <w:p>
      <w:pPr>
        <w:spacing w:after="0" w:line="359"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Tower Hill House Le Bordage</w:t>
      </w:r>
    </w:p>
    <w:p>
      <w:pPr>
        <w:spacing w:after="0" w:line="3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331"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1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8" w:lineRule="exact"/>
        <w:rPr>
          <w:sz w:val="24"/>
          <w:szCs w:val="24"/>
          <w:color w:val="auto"/>
        </w:rPr>
      </w:pPr>
    </w:p>
    <w:p>
      <w:pPr>
        <w:ind w:left="2460"/>
        <w:spacing w:after="0"/>
        <w:tabs>
          <w:tab w:leader="none" w:pos="3460" w:val="left"/>
          <w:tab w:leader="none" w:pos="3920" w:val="left"/>
        </w:tabs>
        <w:rPr>
          <w:sz w:val="20"/>
          <w:szCs w:val="20"/>
          <w:color w:val="auto"/>
        </w:rPr>
      </w:pPr>
      <w:r>
        <w:rPr>
          <w:rFonts w:ascii="Courier New" w:cs="Courier New" w:eastAsia="Courier New" w:hAnsi="Courier New"/>
          <w:sz w:val="15"/>
          <w:szCs w:val="15"/>
          <w:color w:val="auto"/>
        </w:rPr>
        <w:t>FORM 20 F</w:t>
        <w:tab/>
        <w:t>X</w:t>
      </w:r>
      <w:r>
        <w:rPr>
          <w:sz w:val="20"/>
          <w:szCs w:val="20"/>
          <w:color w:val="auto"/>
        </w:rPr>
        <w:tab/>
      </w:r>
      <w:r>
        <w:rPr>
          <w:rFonts w:ascii="Courier New" w:cs="Courier New" w:eastAsia="Courier New" w:hAnsi="Courier New"/>
          <w:sz w:val="15"/>
          <w:szCs w:val="15"/>
          <w:color w:val="auto"/>
        </w:rPr>
        <w:t>FORM 40 F</w:t>
      </w:r>
    </w:p>
    <w:p>
      <w:pPr>
        <w:spacing w:after="0" w:line="359" w:lineRule="exact"/>
        <w:rPr>
          <w:sz w:val="24"/>
          <w:szCs w:val="24"/>
          <w:color w:val="auto"/>
        </w:rPr>
      </w:pPr>
    </w:p>
    <w:p>
      <w:pPr>
        <w:ind w:right="3259"/>
        <w:spacing w:after="0" w:line="289"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9" w:lineRule="exact"/>
        <w:rPr>
          <w:sz w:val="24"/>
          <w:szCs w:val="24"/>
          <w:color w:val="auto"/>
        </w:rPr>
      </w:pPr>
    </w:p>
    <w:p>
      <w:pPr>
        <w:ind w:left="3100"/>
        <w:spacing w:after="0"/>
        <w:tabs>
          <w:tab w:leader="none" w:pos="3820" w:val="left"/>
          <w:tab w:leader="none" w:pos="418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tab/>
        <w:t>X</w:t>
      </w:r>
    </w:p>
    <w:p>
      <w:pPr>
        <w:sectPr>
          <w:pgSz w:w="11900" w:h="16838" w:orient="portrait"/>
          <w:cols w:equalWidth="0" w:num="1">
            <w:col w:w="10219"/>
          </w:cols>
          <w:pgMar w:left="240" w:top="207"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6-K</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QUARTER ENDED MARCH 31, 1999</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INDEX</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2" w:lineRule="exact"/>
        <w:rPr>
          <w:sz w:val="20"/>
          <w:szCs w:val="20"/>
          <w:color w:val="auto"/>
        </w:rPr>
      </w:pPr>
    </w:p>
    <w:p>
      <w:pPr>
        <w:ind w:left="820"/>
        <w:spacing w:after="0"/>
        <w:tabs>
          <w:tab w:leader="none" w:pos="1620" w:val="left"/>
        </w:tabs>
        <w:rPr>
          <w:sz w:val="20"/>
          <w:szCs w:val="20"/>
          <w:color w:val="auto"/>
        </w:rPr>
      </w:pPr>
      <w:r>
        <w:rPr>
          <w:rFonts w:ascii="Courier New" w:cs="Courier New" w:eastAsia="Courier New" w:hAnsi="Courier New"/>
          <w:sz w:val="15"/>
          <w:szCs w:val="15"/>
          <w:color w:val="auto"/>
        </w:rPr>
        <w:t>Item 1.</w:t>
        <w:tab/>
        <w:t>Unaudited Consolidated Financial Statements</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Consolidated Balance Sheets</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82" w:lineRule="exact"/>
        <w:rPr>
          <w:sz w:val="20"/>
          <w:szCs w:val="20"/>
          <w:color w:val="auto"/>
        </w:rPr>
      </w:pPr>
    </w:p>
    <w:p>
      <w:pPr>
        <w:ind w:left="1640" w:right="3359"/>
        <w:spacing w:after="0" w:line="372" w:lineRule="auto"/>
        <w:rPr>
          <w:sz w:val="20"/>
          <w:szCs w:val="20"/>
          <w:color w:val="auto"/>
        </w:rPr>
      </w:pPr>
      <w:r>
        <w:rPr>
          <w:rFonts w:ascii="Courier New" w:cs="Courier New" w:eastAsia="Courier New" w:hAnsi="Courier New"/>
          <w:sz w:val="15"/>
          <w:szCs w:val="15"/>
          <w:color w:val="auto"/>
        </w:rPr>
        <w:t>Consolidated Statement of Changes in Shareholders' Equity (Deficit) (Unaudited)</w:t>
      </w: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820"/>
        <w:spacing w:after="0"/>
        <w:tabs>
          <w:tab w:leader="none" w:pos="1620" w:val="left"/>
        </w:tabs>
        <w:rPr>
          <w:sz w:val="20"/>
          <w:szCs w:val="20"/>
          <w:color w:val="auto"/>
        </w:rPr>
      </w:pPr>
      <w:r>
        <w:rPr>
          <w:rFonts w:ascii="Courier New" w:cs="Courier New" w:eastAsia="Courier New" w:hAnsi="Courier New"/>
          <w:sz w:val="15"/>
          <w:szCs w:val="15"/>
          <w:color w:val="auto"/>
        </w:rPr>
        <w:t>Item 2.</w:t>
        <w:tab/>
        <w:t>Management's Discussion and Analysis of</w:t>
      </w:r>
    </w:p>
    <w:p>
      <w:pPr>
        <w:spacing w:after="0" w:line="3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2" w:lineRule="exact"/>
        <w:rPr>
          <w:sz w:val="20"/>
          <w:szCs w:val="20"/>
          <w:color w:val="auto"/>
        </w:rPr>
      </w:pPr>
    </w:p>
    <w:p>
      <w:pPr>
        <w:ind w:left="820" w:right="3899"/>
        <w:spacing w:after="0" w:line="497" w:lineRule="auto"/>
        <w:rPr>
          <w:sz w:val="20"/>
          <w:szCs w:val="20"/>
          <w:color w:val="auto"/>
        </w:rPr>
      </w:pPr>
      <w:r>
        <w:rPr>
          <w:rFonts w:ascii="Courier New" w:cs="Courier New" w:eastAsia="Courier New" w:hAnsi="Courier New"/>
          <w:sz w:val="15"/>
          <w:szCs w:val="15"/>
          <w:color w:val="auto"/>
        </w:rPr>
        <w:t>Item 4. Submission of Matters to a Vote of Security Holders Item 6. Exhibits and Reports on Form 6-K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6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79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7920" w:type="dxa"/>
            <w:vAlign w:val="bottom"/>
          </w:tcPr>
          <w:p>
            <w:pPr>
              <w:spacing w:after="0"/>
              <w:rPr>
                <w:sz w:val="20"/>
                <w:szCs w:val="20"/>
                <w:color w:val="auto"/>
              </w:rPr>
            </w:pPr>
            <w:r>
              <w:rPr>
                <w:rFonts w:ascii="Courier New" w:cs="Courier New" w:eastAsia="Courier New" w:hAnsi="Courier New"/>
                <w:sz w:val="15"/>
                <w:szCs w:val="15"/>
                <w:color w:val="auto"/>
              </w:rPr>
              <w:t>ITEM 1.  FINANCIAL INFORMATION</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792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AMDOCS LIMITED</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920" w:type="dxa"/>
            <w:vAlign w:val="bottom"/>
          </w:tcPr>
          <w:p>
            <w:pPr>
              <w:ind w:left="2460"/>
              <w:spacing w:after="0"/>
              <w:rPr>
                <w:sz w:val="20"/>
                <w:szCs w:val="20"/>
                <w:color w:val="auto"/>
              </w:rPr>
            </w:pPr>
            <w:r>
              <w:rPr>
                <w:rFonts w:ascii="Courier New" w:cs="Courier New" w:eastAsia="Courier New" w:hAnsi="Courier New"/>
                <w:sz w:val="15"/>
                <w:szCs w:val="15"/>
                <w:color w:val="auto"/>
              </w:rPr>
              <w:t>CONSOLIDATED BALANCE SHEETS</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920" w:type="dxa"/>
            <w:vAlign w:val="bottom"/>
          </w:tcPr>
          <w:p>
            <w:pPr>
              <w:jc w:val="right"/>
              <w:ind w:right="2444"/>
              <w:spacing w:after="0"/>
              <w:rPr>
                <w:sz w:val="20"/>
                <w:szCs w:val="20"/>
                <w:color w:val="auto"/>
              </w:rPr>
            </w:pPr>
            <w:r>
              <w:rPr>
                <w:rFonts w:ascii="Courier New" w:cs="Courier New" w:eastAsia="Courier New" w:hAnsi="Courier New"/>
                <w:sz w:val="15"/>
                <w:szCs w:val="15"/>
                <w:color w:val="auto"/>
              </w:rPr>
              <w:t>(U.S. dollars, unless otherwise stated)</w:t>
            </w: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920" w:type="dxa"/>
            <w:vAlign w:val="bottom"/>
          </w:tcPr>
          <w:p>
            <w:pPr>
              <w:jc w:val="right"/>
              <w:ind w:right="2444"/>
              <w:spacing w:after="0"/>
              <w:rPr>
                <w:sz w:val="20"/>
                <w:szCs w:val="20"/>
                <w:color w:val="auto"/>
              </w:rPr>
            </w:pPr>
            <w:r>
              <w:rPr>
                <w:rFonts w:ascii="Courier New" w:cs="Courier New" w:eastAsia="Courier New" w:hAnsi="Courier New"/>
                <w:sz w:val="15"/>
                <w:szCs w:val="15"/>
                <w:color w:val="auto"/>
              </w:rPr>
              <w:t>(in thousands, except per share data)</w:t>
            </w:r>
          </w:p>
        </w:tc>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7920" w:type="dxa"/>
            <w:vAlign w:val="bottom"/>
          </w:tcPr>
          <w:p>
            <w:pPr>
              <w:spacing w:after="0"/>
              <w:rPr>
                <w:sz w:val="24"/>
                <w:szCs w:val="24"/>
                <w:color w:val="auto"/>
              </w:rPr>
            </w:pPr>
          </w:p>
        </w:tc>
        <w:tc>
          <w:tcPr>
            <w:tcW w:w="1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March 31, 1999</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15"/>
                <w:szCs w:val="15"/>
                <w:color w:val="auto"/>
              </w:rPr>
            </w:pPr>
          </w:p>
        </w:tc>
        <w:tc>
          <w:tcPr>
            <w:tcW w:w="15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2"/>
                <w:szCs w:val="22"/>
                <w:color w:val="auto"/>
              </w:rPr>
            </w:pPr>
          </w:p>
        </w:tc>
        <w:tc>
          <w:tcPr>
            <w:tcW w:w="15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(Unaudited)</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792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ASSETS</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9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$26,894</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$25,389</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121,283</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79,723</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including unbilled of $7,124 and $10,331, respectively</w:t>
            </w:r>
          </w:p>
        </w:tc>
        <w:tc>
          <w:tcPr>
            <w:tcW w:w="15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 unbilled of $0 and $537,</w:t>
            </w:r>
          </w:p>
        </w:tc>
        <w:tc>
          <w:tcPr>
            <w:tcW w:w="15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10,144</w:t>
            </w:r>
          </w:p>
        </w:tc>
        <w:tc>
          <w:tcPr>
            <w:tcW w:w="18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10,235</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Courier New" w:cs="Courier New" w:eastAsia="Courier New" w:hAnsi="Courier New"/>
                <w:sz w:val="15"/>
                <w:szCs w:val="15"/>
                <w:color w:val="auto"/>
              </w:rPr>
              <w:t>respectively</w:t>
            </w:r>
          </w:p>
        </w:tc>
        <w:tc>
          <w:tcPr>
            <w:tcW w:w="15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12,050</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14,534</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16,085</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11,991</w:t>
            </w:r>
          </w:p>
        </w:tc>
        <w:tc>
          <w:tcPr>
            <w:tcW w:w="0" w:type="dxa"/>
            <w:vAlign w:val="bottom"/>
          </w:tcPr>
          <w:p>
            <w:pPr>
              <w:spacing w:after="0"/>
              <w:rPr>
                <w:sz w:val="1"/>
                <w:szCs w:val="1"/>
                <w:color w:val="auto"/>
              </w:rPr>
            </w:pPr>
          </w:p>
        </w:tc>
      </w:tr>
      <w:tr>
        <w:trPr>
          <w:trHeight w:val="176"/>
        </w:trPr>
        <w:tc>
          <w:tcPr>
            <w:tcW w:w="79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920" w:type="dxa"/>
            <w:vAlign w:val="bottom"/>
            <w:vMerge w:val="continue"/>
          </w:tcPr>
          <w:p>
            <w:pPr>
              <w:spacing w:after="0"/>
              <w:rPr>
                <w:sz w:val="22"/>
                <w:szCs w:val="22"/>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186,456</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141,872</w:t>
            </w:r>
          </w:p>
        </w:tc>
        <w:tc>
          <w:tcPr>
            <w:tcW w:w="0" w:type="dxa"/>
            <w:vAlign w:val="bottom"/>
          </w:tcPr>
          <w:p>
            <w:pPr>
              <w:spacing w:after="0"/>
              <w:rPr>
                <w:sz w:val="1"/>
                <w:szCs w:val="1"/>
                <w:color w:val="auto"/>
              </w:rPr>
            </w:pPr>
          </w:p>
        </w:tc>
      </w:tr>
      <w:tr>
        <w:trPr>
          <w:trHeight w:val="271"/>
        </w:trPr>
        <w:tc>
          <w:tcPr>
            <w:tcW w:w="79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63,533</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46,404</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7,348</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7,773</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22,052</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23,362</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22,161</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20,555</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15"/>
                <w:szCs w:val="15"/>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15"/>
                <w:szCs w:val="15"/>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$301,550</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$239,966</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2"/>
                <w:szCs w:val="22"/>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792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9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$47,449</w:t>
            </w:r>
          </w:p>
        </w:tc>
        <w:tc>
          <w:tcPr>
            <w:tcW w:w="18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$47,599</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5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Accrued personnel costs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26,861</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29,948</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Short-term financing arrangements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75,908</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91,565</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61,070</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29,241</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4,184</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Forward exchange contracts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1,275</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2,926</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18,039</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21,919</w:t>
            </w:r>
          </w:p>
        </w:tc>
        <w:tc>
          <w:tcPr>
            <w:tcW w:w="0" w:type="dxa"/>
            <w:vAlign w:val="bottom"/>
          </w:tcPr>
          <w:p>
            <w:pPr>
              <w:spacing w:after="0"/>
              <w:rPr>
                <w:sz w:val="1"/>
                <w:szCs w:val="1"/>
                <w:color w:val="auto"/>
              </w:rPr>
            </w:pPr>
          </w:p>
        </w:tc>
      </w:tr>
      <w:tr>
        <w:trPr>
          <w:trHeight w:val="176"/>
        </w:trPr>
        <w:tc>
          <w:tcPr>
            <w:tcW w:w="79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920" w:type="dxa"/>
            <w:vAlign w:val="bottom"/>
            <w:vMerge w:val="continue"/>
          </w:tcPr>
          <w:p>
            <w:pPr>
              <w:spacing w:after="0"/>
              <w:rPr>
                <w:sz w:val="22"/>
                <w:szCs w:val="22"/>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234,786</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226,150</w:t>
            </w:r>
          </w:p>
        </w:tc>
        <w:tc>
          <w:tcPr>
            <w:tcW w:w="0" w:type="dxa"/>
            <w:vAlign w:val="bottom"/>
          </w:tcPr>
          <w:p>
            <w:pPr>
              <w:spacing w:after="0"/>
              <w:rPr>
                <w:sz w:val="1"/>
                <w:szCs w:val="1"/>
                <w:color w:val="auto"/>
              </w:rPr>
            </w:pPr>
          </w:p>
        </w:tc>
      </w:tr>
      <w:tr>
        <w:trPr>
          <w:trHeight w:val="271"/>
        </w:trPr>
        <w:tc>
          <w:tcPr>
            <w:tcW w:w="792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513</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2,222</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12,675</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9,215</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27,805</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24,268</w:t>
            </w:r>
          </w:p>
        </w:tc>
        <w:tc>
          <w:tcPr>
            <w:tcW w:w="0" w:type="dxa"/>
            <w:vAlign w:val="bottom"/>
          </w:tcPr>
          <w:p>
            <w:pPr>
              <w:spacing w:after="0"/>
              <w:rPr>
                <w:sz w:val="1"/>
                <w:szCs w:val="1"/>
                <w:color w:val="auto"/>
              </w:rPr>
            </w:pPr>
          </w:p>
        </w:tc>
      </w:tr>
      <w:tr>
        <w:trPr>
          <w:trHeight w:val="448"/>
        </w:trPr>
        <w:tc>
          <w:tcPr>
            <w:tcW w:w="792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Preferred Shares - Authorized 25,000 shares; (pounds)0.01 par value; 0 shares issued</w:t>
            </w:r>
          </w:p>
        </w:tc>
        <w:tc>
          <w:tcPr>
            <w:tcW w:w="15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Courier New" w:cs="Courier New" w:eastAsia="Courier New" w:hAnsi="Courier New"/>
                <w:sz w:val="15"/>
                <w:szCs w:val="15"/>
                <w:color w:val="auto"/>
              </w:rPr>
              <w:t>and outstanding</w:t>
            </w:r>
          </w:p>
        </w:tc>
        <w:tc>
          <w:tcPr>
            <w:tcW w:w="15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 Authorized 550,000 shares; (pounds)0.01 par value; 196,800 shares</w:t>
            </w:r>
          </w:p>
        </w:tc>
        <w:tc>
          <w:tcPr>
            <w:tcW w:w="15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3,149</w:t>
            </w:r>
          </w:p>
        </w:tc>
        <w:tc>
          <w:tcPr>
            <w:tcW w:w="18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3,149</w:t>
            </w:r>
          </w:p>
        </w:tc>
        <w:tc>
          <w:tcPr>
            <w:tcW w:w="0" w:type="dxa"/>
            <w:vAlign w:val="bottom"/>
          </w:tcPr>
          <w:p>
            <w:pPr>
              <w:spacing w:after="0"/>
              <w:rPr>
                <w:sz w:val="1"/>
                <w:szCs w:val="1"/>
                <w:color w:val="auto"/>
              </w:rPr>
            </w:pPr>
          </w:p>
        </w:tc>
      </w:tr>
      <w:tr>
        <w:trPr>
          <w:trHeight w:val="176"/>
        </w:trPr>
        <w:tc>
          <w:tcPr>
            <w:tcW w:w="792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5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447,772</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447,503</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Unrealized income (loss) on derivative instruments</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225</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(6,559)</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(8,947)</w:t>
            </w:r>
          </w:p>
        </w:tc>
        <w:tc>
          <w:tcPr>
            <w:tcW w:w="0" w:type="dxa"/>
            <w:vAlign w:val="bottom"/>
          </w:tcPr>
          <w:p>
            <w:pPr>
              <w:spacing w:after="0"/>
              <w:rPr>
                <w:sz w:val="1"/>
                <w:szCs w:val="1"/>
                <w:color w:val="auto"/>
              </w:rPr>
            </w:pPr>
          </w:p>
        </w:tc>
      </w:tr>
      <w:tr>
        <w:trPr>
          <w:trHeight w:val="176"/>
        </w:trPr>
        <w:tc>
          <w:tcPr>
            <w:tcW w:w="792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5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(418,816)</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(462,099)</w:t>
            </w:r>
          </w:p>
        </w:tc>
        <w:tc>
          <w:tcPr>
            <w:tcW w:w="0" w:type="dxa"/>
            <w:vAlign w:val="bottom"/>
          </w:tcPr>
          <w:p>
            <w:pPr>
              <w:spacing w:after="0"/>
              <w:rPr>
                <w:sz w:val="1"/>
                <w:szCs w:val="1"/>
                <w:color w:val="auto"/>
              </w:rPr>
            </w:pPr>
          </w:p>
        </w:tc>
      </w:tr>
      <w:tr>
        <w:trPr>
          <w:trHeight w:val="176"/>
        </w:trPr>
        <w:tc>
          <w:tcPr>
            <w:tcW w:w="79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shareholders' equity (deficit)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920" w:type="dxa"/>
            <w:vAlign w:val="bottom"/>
            <w:vMerge w:val="continue"/>
          </w:tcPr>
          <w:p>
            <w:pPr>
              <w:spacing w:after="0"/>
              <w:rPr>
                <w:sz w:val="15"/>
                <w:szCs w:val="15"/>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25,771</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(21,889)</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2"/>
                <w:szCs w:val="22"/>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7920" w:type="dxa"/>
            <w:vAlign w:val="bottom"/>
          </w:tcPr>
          <w:p>
            <w:pPr>
              <w:spacing w:after="0"/>
              <w:rPr>
                <w:sz w:val="24"/>
                <w:szCs w:val="24"/>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$301,550</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$239,966</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2"/>
                <w:szCs w:val="22"/>
                <w:color w:val="auto"/>
              </w:rPr>
            </w:pP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1260"/>
          </w:cols>
          <w:pgMar w:left="240" w:top="266" w:right="399"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82"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34"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5"/>
                <w:szCs w:val="15"/>
                <w:color w:val="auto"/>
              </w:rPr>
            </w:pPr>
          </w:p>
        </w:tc>
        <w:tc>
          <w:tcPr>
            <w:tcW w:w="188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March 31,</w:t>
            </w:r>
          </w:p>
        </w:tc>
        <w:tc>
          <w:tcPr>
            <w:tcW w:w="280" w:type="dxa"/>
            <w:vAlign w:val="bottom"/>
          </w:tcPr>
          <w:p>
            <w:pPr>
              <w:spacing w:after="0"/>
              <w:rPr>
                <w:sz w:val="15"/>
                <w:szCs w:val="15"/>
                <w:color w:val="auto"/>
              </w:rPr>
            </w:pPr>
          </w:p>
        </w:tc>
        <w:tc>
          <w:tcPr>
            <w:tcW w:w="18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28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17,308</w:t>
            </w:r>
          </w:p>
        </w:tc>
        <w:tc>
          <w:tcPr>
            <w:tcW w:w="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9,698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32,348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18,419</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130,522</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84,310</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246,907</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162,147</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147,830</w:t>
            </w:r>
          </w:p>
        </w:tc>
        <w:tc>
          <w:tcPr>
            <w:tcW w:w="320" w:type="dxa"/>
            <w:vAlign w:val="bottom"/>
          </w:tcPr>
          <w:p>
            <w:pPr>
              <w:spacing w:after="0"/>
              <w:rPr>
                <w:sz w:val="22"/>
                <w:szCs w:val="22"/>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94,008</w:t>
            </w:r>
          </w:p>
        </w:tc>
        <w:tc>
          <w:tcPr>
            <w:tcW w:w="280" w:type="dxa"/>
            <w:vAlign w:val="bottom"/>
          </w:tcPr>
          <w:p>
            <w:pPr>
              <w:spacing w:after="0"/>
              <w:rPr>
                <w:sz w:val="22"/>
                <w:szCs w:val="22"/>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279,255</w:t>
            </w:r>
          </w:p>
        </w:tc>
        <w:tc>
          <w:tcPr>
            <w:tcW w:w="28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180,566</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23"/>
                <w:szCs w:val="23"/>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1,370</w:t>
            </w:r>
          </w:p>
        </w:tc>
        <w:tc>
          <w:tcPr>
            <w:tcW w:w="320" w:type="dxa"/>
            <w:vAlign w:val="bottom"/>
          </w:tcPr>
          <w:p>
            <w:pPr>
              <w:spacing w:after="0"/>
              <w:rPr>
                <w:sz w:val="23"/>
                <w:szCs w:val="23"/>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2,655</w:t>
            </w:r>
          </w:p>
        </w:tc>
        <w:tc>
          <w:tcPr>
            <w:tcW w:w="280" w:type="dxa"/>
            <w:vAlign w:val="bottom"/>
          </w:tcPr>
          <w:p>
            <w:pPr>
              <w:spacing w:after="0"/>
              <w:rPr>
                <w:sz w:val="23"/>
                <w:szCs w:val="23"/>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2,693</w:t>
            </w:r>
          </w:p>
        </w:tc>
        <w:tc>
          <w:tcPr>
            <w:tcW w:w="280" w:type="dxa"/>
            <w:vAlign w:val="bottom"/>
          </w:tcPr>
          <w:p>
            <w:pPr>
              <w:spacing w:after="0"/>
              <w:rPr>
                <w:sz w:val="23"/>
                <w:szCs w:val="23"/>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5,867</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84,280</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54,617</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160,195</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104,750</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9,140</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5,634</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17,519</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10,955</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17,415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11,977</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33,062</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23,024</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112,205</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74,883</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213,469</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144,596</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35,625</w:t>
            </w:r>
          </w:p>
        </w:tc>
        <w:tc>
          <w:tcPr>
            <w:tcW w:w="3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19,125</w:t>
            </w:r>
          </w:p>
        </w:tc>
        <w:tc>
          <w:tcPr>
            <w:tcW w:w="28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65,786</w:t>
            </w:r>
          </w:p>
        </w:tc>
        <w:tc>
          <w:tcPr>
            <w:tcW w:w="28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35,970</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280" w:type="dxa"/>
            <w:vAlign w:val="bottom"/>
          </w:tcPr>
          <w:p>
            <w:pPr>
              <w:spacing w:after="0"/>
              <w:rPr>
                <w:sz w:val="15"/>
                <w:szCs w:val="15"/>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1,587</w:t>
            </w:r>
          </w:p>
        </w:tc>
        <w:tc>
          <w:tcPr>
            <w:tcW w:w="32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11,478</w:t>
            </w:r>
          </w:p>
        </w:tc>
        <w:tc>
          <w:tcPr>
            <w:tcW w:w="280" w:type="dxa"/>
            <w:vAlign w:val="bottom"/>
          </w:tcPr>
          <w:p>
            <w:pPr>
              <w:spacing w:after="0"/>
              <w:rPr>
                <w:sz w:val="15"/>
                <w:szCs w:val="15"/>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2,902</w:t>
            </w:r>
          </w:p>
        </w:tc>
        <w:tc>
          <w:tcPr>
            <w:tcW w:w="28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13,801</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net(*)</w:t>
            </w: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(639)</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1,051</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(1,964)</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2,566</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10,839</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3,953</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11,837</w:t>
            </w:r>
          </w:p>
        </w:tc>
        <w:tc>
          <w:tcPr>
            <w:tcW w:w="0" w:type="dxa"/>
            <w:vAlign w:val="bottom"/>
          </w:tcPr>
          <w:p>
            <w:pPr>
              <w:spacing w:after="0"/>
              <w:rPr>
                <w:sz w:val="1"/>
                <w:szCs w:val="1"/>
                <w:color w:val="auto"/>
              </w:rPr>
            </w:pPr>
          </w:p>
        </w:tc>
      </w:tr>
      <w:tr>
        <w:trPr>
          <w:trHeight w:val="176"/>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33,059</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8,286</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61,833</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24,133</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9,918</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4,181</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18,550</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12,067</w:t>
            </w:r>
          </w:p>
        </w:tc>
        <w:tc>
          <w:tcPr>
            <w:tcW w:w="0" w:type="dxa"/>
            <w:vAlign w:val="bottom"/>
          </w:tcPr>
          <w:p>
            <w:pPr>
              <w:spacing w:after="0"/>
              <w:rPr>
                <w:sz w:val="1"/>
                <w:szCs w:val="1"/>
                <w:color w:val="auto"/>
              </w:rPr>
            </w:pPr>
          </w:p>
        </w:tc>
      </w:tr>
      <w:tr>
        <w:trPr>
          <w:trHeight w:val="176"/>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23,141</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43,283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right="3079" w:hanging="366"/>
        <w:spacing w:after="0" w:line="270"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three and six months ended March 31, 1999 and 1998, respectively: license revenue - $178, $0, $278 and $210, service revenue - $24,551, $19,801, $45,949 and $42,832; cost of service - ($557), ($556), ($1,057) and ($1,265); selling, general and administrative - ($120), ($83), ($232) and ($189); interest expense - $0, ($2,997), $0 and ($3,048).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25"/>
          </w:cols>
          <w:pgMar w:left="234" w:top="26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4"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AMDOCS LIMITED</w:t>
      </w:r>
    </w:p>
    <w:p>
      <w:pPr>
        <w:spacing w:after="0" w:line="15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CONSOLIDATED STATEMENT OF CHANGES IN SHAREHOLDERS' EQUITY (DEFICIT)(UNAUDITED)</w:t>
      </w:r>
    </w:p>
    <w:p>
      <w:pPr>
        <w:spacing w:after="0" w:line="359"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3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Unrealized</w:t>
            </w: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9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Ordinary Shares</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income</w:t>
            </w: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(loss) on</w:t>
            </w:r>
          </w:p>
        </w:tc>
        <w:tc>
          <w:tcPr>
            <w:tcW w:w="14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Unearned</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40" w:type="dxa"/>
            <w:vAlign w:val="bottom"/>
            <w:vMerge w:val="restart"/>
          </w:tcPr>
          <w:p>
            <w:pPr>
              <w:ind w:left="220"/>
              <w:spacing w:after="0"/>
              <w:rPr>
                <w:sz w:val="20"/>
                <w:szCs w:val="20"/>
                <w:color w:val="auto"/>
              </w:rPr>
            </w:pPr>
            <w:r>
              <w:rPr>
                <w:rFonts w:ascii="Courier New" w:cs="Courier New" w:eastAsia="Courier New" w:hAnsi="Courier New"/>
                <w:sz w:val="13"/>
                <w:szCs w:val="13"/>
                <w:color w:val="auto"/>
                <w:w w:val="76"/>
                <w:vertAlign w:val="subscript"/>
              </w:rPr>
              <w:t>Shares</w:t>
            </w:r>
            <w:r>
              <w:rPr>
                <w:rFonts w:ascii="Courier New" w:cs="Courier New" w:eastAsia="Courier New" w:hAnsi="Courier New"/>
                <w:sz w:val="9"/>
                <w:szCs w:val="9"/>
                <w:color w:val="auto"/>
                <w:w w:val="76"/>
              </w:rPr>
              <w:t>----------------</w:t>
            </w:r>
          </w:p>
        </w:tc>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6"/>
              </w:rPr>
              <w:t>Amount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Paid-in</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derivative</w:t>
            </w:r>
          </w:p>
        </w:tc>
        <w:tc>
          <w:tcPr>
            <w:tcW w:w="1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instruments</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22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$ 3,149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$ 447,503</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(1,495)</w:t>
            </w:r>
          </w:p>
        </w:tc>
        <w:tc>
          <w:tcPr>
            <w:tcW w:w="14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(8,947)</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(462,099)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(21,889)</w:t>
            </w:r>
          </w:p>
        </w:tc>
        <w:tc>
          <w:tcPr>
            <w:tcW w:w="0" w:type="dxa"/>
            <w:vAlign w:val="bottom"/>
          </w:tcPr>
          <w:p>
            <w:pPr>
              <w:spacing w:after="0"/>
              <w:rPr>
                <w:sz w:val="1"/>
                <w:szCs w:val="1"/>
                <w:color w:val="auto"/>
              </w:rPr>
            </w:pPr>
          </w:p>
        </w:tc>
      </w:tr>
      <w:tr>
        <w:trPr>
          <w:trHeight w:val="352"/>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7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43,283</w:t>
            </w:r>
          </w:p>
        </w:tc>
        <w:tc>
          <w:tcPr>
            <w:tcW w:w="50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43,283</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1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7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1,720</w:t>
            </w:r>
          </w:p>
        </w:tc>
        <w:tc>
          <w:tcPr>
            <w:tcW w:w="14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1,720</w:t>
            </w:r>
          </w:p>
        </w:tc>
        <w:tc>
          <w:tcPr>
            <w:tcW w:w="0" w:type="dxa"/>
            <w:vAlign w:val="bottom"/>
          </w:tcPr>
          <w:p>
            <w:pPr>
              <w:spacing w:after="0"/>
              <w:rPr>
                <w:sz w:val="1"/>
                <w:szCs w:val="1"/>
                <w:color w:val="auto"/>
              </w:rPr>
            </w:pPr>
          </w:p>
        </w:tc>
      </w:tr>
      <w:tr>
        <w:trPr>
          <w:trHeight w:val="257"/>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instruments, net of $737 tax ..</w:t>
            </w:r>
          </w:p>
        </w:tc>
        <w:tc>
          <w:tcPr>
            <w:tcW w:w="114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1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269</w:t>
            </w:r>
          </w:p>
        </w:tc>
        <w:tc>
          <w:tcPr>
            <w:tcW w:w="500" w:type="dxa"/>
            <w:vAlign w:val="bottom"/>
          </w:tcPr>
          <w:p>
            <w:pPr>
              <w:spacing w:after="0"/>
              <w:rPr>
                <w:sz w:val="23"/>
                <w:szCs w:val="23"/>
                <w:color w:val="auto"/>
              </w:rPr>
            </w:pPr>
          </w:p>
        </w:tc>
        <w:tc>
          <w:tcPr>
            <w:tcW w:w="7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(241)</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257"/>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forfeitures ...................</w:t>
            </w:r>
          </w:p>
        </w:tc>
        <w:tc>
          <w:tcPr>
            <w:tcW w:w="114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1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7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2,629</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2,629</w:t>
            </w:r>
          </w:p>
        </w:tc>
        <w:tc>
          <w:tcPr>
            <w:tcW w:w="0" w:type="dxa"/>
            <w:vAlign w:val="bottom"/>
          </w:tcPr>
          <w:p>
            <w:pPr>
              <w:spacing w:after="0"/>
              <w:rPr>
                <w:sz w:val="1"/>
                <w:szCs w:val="1"/>
                <w:color w:val="auto"/>
              </w:rPr>
            </w:pPr>
          </w:p>
        </w:tc>
      </w:tr>
      <w:tr>
        <w:trPr>
          <w:trHeight w:val="176"/>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1999</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160" w:type="dxa"/>
            <w:vAlign w:val="bottom"/>
            <w:vMerge w:val="continue"/>
          </w:tcPr>
          <w:p>
            <w:pPr>
              <w:spacing w:after="0"/>
              <w:rPr>
                <w:sz w:val="8"/>
                <w:szCs w:val="8"/>
                <w:color w:val="auto"/>
              </w:rPr>
            </w:pPr>
          </w:p>
        </w:tc>
        <w:tc>
          <w:tcPr>
            <w:tcW w:w="11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196,800</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$3,149</w:t>
            </w:r>
          </w:p>
        </w:tc>
        <w:tc>
          <w:tcPr>
            <w:tcW w:w="11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$ 447,772</w:t>
            </w:r>
          </w:p>
        </w:tc>
        <w:tc>
          <w:tcPr>
            <w:tcW w:w="5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225</w:t>
            </w:r>
          </w:p>
        </w:tc>
        <w:tc>
          <w:tcPr>
            <w:tcW w:w="14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 (6,559)</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(418,816)</w:t>
            </w:r>
          </w:p>
        </w:tc>
        <w:tc>
          <w:tcPr>
            <w:tcW w:w="5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25,771</w:t>
            </w:r>
          </w:p>
        </w:tc>
        <w:tc>
          <w:tcPr>
            <w:tcW w:w="0" w:type="dxa"/>
            <w:vAlign w:val="bottom"/>
          </w:tcPr>
          <w:p>
            <w:pPr>
              <w:spacing w:after="0"/>
              <w:rPr>
                <w:sz w:val="1"/>
                <w:szCs w:val="1"/>
                <w:color w:val="auto"/>
              </w:rPr>
            </w:pPr>
          </w:p>
        </w:tc>
      </w:tr>
      <w:tr>
        <w:trPr>
          <w:trHeight w:val="176"/>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1520"/>
          </w:cols>
          <w:pgMar w:left="240" w:top="266"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March 31,</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$43,283</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8,343</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5,646</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8,585</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equipment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4,799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(2,790)</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(41,469)</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(40,478)</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(4,220)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noncurrent assets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(2,841)</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5,877</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Forward exchange contracts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(3,360)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31,830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17,524</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5,996</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Other noncurrent liabilities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3,537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2,636</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2,457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(23,908)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(11,820)</w:t>
            </w:r>
          </w:p>
        </w:tc>
        <w:tc>
          <w:tcPr>
            <w:tcW w:w="0" w:type="dxa"/>
            <w:vAlign w:val="bottom"/>
          </w:tcPr>
          <w:p>
            <w:pPr>
              <w:spacing w:after="0"/>
              <w:rPr>
                <w:sz w:val="1"/>
                <w:szCs w:val="1"/>
                <w:color w:val="auto"/>
              </w:rPr>
            </w:pPr>
          </w:p>
        </w:tc>
      </w:tr>
      <w:tr>
        <w:trPr>
          <w:trHeight w:val="17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38,336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11,767</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1,006</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Improvements</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2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(20,401)</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(9,581)</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Improvements</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(19,395)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(9,037)</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96,448</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Ordinary Shares</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(478,684)</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(179,274)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(163,249)</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163,617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171,081</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long-term debt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364,127</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(1,195)</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Payments under long-term financing arrangements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Payments on notes payable to related parties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(3,268)</w:t>
            </w:r>
          </w:p>
        </w:tc>
        <w:tc>
          <w:tcPr>
            <w:tcW w:w="0" w:type="dxa"/>
            <w:vAlign w:val="bottom"/>
          </w:tcPr>
          <w:p>
            <w:pPr>
              <w:spacing w:after="0"/>
              <w:rPr>
                <w:sz w:val="1"/>
                <w:szCs w:val="1"/>
                <w:color w:val="auto"/>
              </w:rPr>
            </w:pPr>
          </w:p>
        </w:tc>
      </w:tr>
      <w:tr>
        <w:trPr>
          <w:trHeight w:val="17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(17,436)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(44,740)</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1,505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(42,010)</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25,389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53,732</w:t>
            </w:r>
          </w:p>
        </w:tc>
        <w:tc>
          <w:tcPr>
            <w:tcW w:w="0" w:type="dxa"/>
            <w:vAlign w:val="bottom"/>
          </w:tcPr>
          <w:p>
            <w:pPr>
              <w:spacing w:after="0"/>
              <w:rPr>
                <w:sz w:val="1"/>
                <w:szCs w:val="1"/>
                <w:color w:val="auto"/>
              </w:rPr>
            </w:pPr>
          </w:p>
        </w:tc>
      </w:tr>
      <w:tr>
        <w:trPr>
          <w:trHeight w:val="176"/>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$26,894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$11,722</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12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$20,953</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$10,496</w:t>
            </w:r>
          </w:p>
        </w:tc>
        <w:tc>
          <w:tcPr>
            <w:tcW w:w="0" w:type="dxa"/>
            <w:vAlign w:val="bottom"/>
          </w:tcPr>
          <w:p>
            <w:pPr>
              <w:spacing w:after="0"/>
              <w:rPr>
                <w:sz w:val="1"/>
                <w:szCs w:val="1"/>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Income taxes, net of refunds</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3,012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3,972</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82" w:lineRule="exact"/>
        <w:rPr>
          <w:sz w:val="20"/>
          <w:szCs w:val="20"/>
          <w:color w:val="auto"/>
        </w:rPr>
      </w:pPr>
    </w:p>
    <w:p>
      <w:pPr>
        <w:ind w:right="3079" w:firstLine="275"/>
        <w:spacing w:after="0" w:line="310" w:lineRule="auto"/>
        <w:rPr>
          <w:sz w:val="20"/>
          <w:szCs w:val="20"/>
          <w:color w:val="auto"/>
        </w:rPr>
      </w:pPr>
      <w:r>
        <w:rPr>
          <w:rFonts w:ascii="Courier New" w:cs="Courier New" w:eastAsia="Courier New" w:hAnsi="Courier New"/>
          <w:sz w:val="15"/>
          <w:szCs w:val="15"/>
          <w:color w:val="auto"/>
        </w:rPr>
        <w:t>Capital lease obligations of $6,472 and $1,133 were incurred during the six months ended March 31, 1999 and 1998, respectively, when the Company entered into lease agreements for vehicles.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66"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34"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54" w:lineRule="exact"/>
        <w:rPr>
          <w:sz w:val="20"/>
          <w:szCs w:val="20"/>
          <w:color w:val="auto"/>
        </w:rPr>
      </w:pPr>
    </w:p>
    <w:p>
      <w:pPr>
        <w:ind w:left="546" w:hanging="546"/>
        <w:spacing w:after="0"/>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rFonts w:ascii="Courier New" w:cs="Courier New" w:eastAsia="Courier New" w:hAnsi="Courier New"/>
          <w:sz w:val="15"/>
          <w:szCs w:val="15"/>
          <w:color w:val="auto"/>
        </w:rPr>
      </w:pPr>
    </w:p>
    <w:p>
      <w:pPr>
        <w:ind w:left="546" w:right="317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76" w:lineRule="exact"/>
        <w:rPr>
          <w:rFonts w:ascii="Courier New" w:cs="Courier New" w:eastAsia="Courier New" w:hAnsi="Courier New"/>
          <w:sz w:val="15"/>
          <w:szCs w:val="15"/>
          <w:color w:val="auto"/>
        </w:rPr>
      </w:pPr>
    </w:p>
    <w:p>
      <w:pPr>
        <w:ind w:left="546" w:right="28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8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82" w:lineRule="exact"/>
        <w:rPr>
          <w:rFonts w:ascii="Courier New" w:cs="Courier New" w:eastAsia="Courier New" w:hAnsi="Courier New"/>
          <w:sz w:val="15"/>
          <w:szCs w:val="15"/>
          <w:color w:val="auto"/>
        </w:rPr>
      </w:pPr>
    </w:p>
    <w:p>
      <w:pPr>
        <w:ind w:left="546" w:right="28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$1,200 of internally developed software costs in the six-month period ended March 31, 1999.</w:t>
      </w:r>
    </w:p>
    <w:p>
      <w:pPr>
        <w:spacing w:after="0" w:line="79"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rFonts w:ascii="Courier New" w:cs="Courier New" w:eastAsia="Courier New" w:hAnsi="Courier New"/>
          <w:sz w:val="15"/>
          <w:szCs w:val="15"/>
          <w:color w:val="auto"/>
        </w:rPr>
      </w:pPr>
    </w:p>
    <w:p>
      <w:pPr>
        <w:ind w:left="546" w:right="28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ectPr>
          <w:pgSz w:w="11900" w:h="16838" w:orient="portrait"/>
          <w:cols w:equalWidth="0" w:num="1">
            <w:col w:w="10225"/>
          </w:cols>
          <w:pgMar w:left="234" w:top="266"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34" w:lineRule="exact"/>
        <w:rPr>
          <w:sz w:val="20"/>
          <w:szCs w:val="20"/>
          <w:color w:val="auto"/>
        </w:rPr>
      </w:pPr>
    </w:p>
    <w:p>
      <w:pPr>
        <w:ind w:left="546" w:right="3439"/>
        <w:spacing w:after="0" w:line="332"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383" w:lineRule="exact"/>
        <w:rPr>
          <w:sz w:val="20"/>
          <w:szCs w:val="20"/>
          <w:color w:val="auto"/>
        </w:rPr>
      </w:pPr>
    </w:p>
    <w:tbl>
      <w:tblPr>
        <w:tblLayout w:type="fixed"/>
        <w:tblInd w:w="546"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5"/>
                <w:szCs w:val="15"/>
                <w:color w:val="auto"/>
              </w:rPr>
            </w:pPr>
          </w:p>
        </w:tc>
        <w:tc>
          <w:tcPr>
            <w:tcW w:w="17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March 31,</w:t>
            </w:r>
          </w:p>
        </w:tc>
        <w:tc>
          <w:tcPr>
            <w:tcW w:w="280" w:type="dxa"/>
            <w:vAlign w:val="bottom"/>
          </w:tcPr>
          <w:p>
            <w:pPr>
              <w:spacing w:after="0"/>
              <w:rPr>
                <w:sz w:val="15"/>
                <w:szCs w:val="15"/>
                <w:color w:val="auto"/>
              </w:rPr>
            </w:pPr>
          </w:p>
        </w:tc>
        <w:tc>
          <w:tcPr>
            <w:tcW w:w="17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23,141</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4,105</w:t>
            </w: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43,283</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20"/>
                <w:szCs w:val="20"/>
                <w:color w:val="auto"/>
              </w:rPr>
            </w:pPr>
            <w:r>
              <w:rPr>
                <w:rFonts w:ascii="Courier New" w:cs="Courier New" w:eastAsia="Courier New" w:hAnsi="Courier New"/>
                <w:sz w:val="15"/>
                <w:szCs w:val="15"/>
                <w:color w:val="auto"/>
              </w:rPr>
              <w:t>Change in unrealized income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on derivative instruments,</w:t>
            </w:r>
          </w:p>
        </w:tc>
        <w:tc>
          <w:tcPr>
            <w:tcW w:w="180" w:type="dxa"/>
            <w:vAlign w:val="bottom"/>
          </w:tcPr>
          <w:p>
            <w:pPr>
              <w:spacing w:after="0"/>
              <w:rPr>
                <w:sz w:val="15"/>
                <w:szCs w:val="15"/>
                <w:color w:val="auto"/>
              </w:rPr>
            </w:pP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3,851</w:t>
            </w:r>
          </w:p>
        </w:tc>
        <w:tc>
          <w:tcPr>
            <w:tcW w:w="32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1,720</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net of tax</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26,992</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4,105</w:t>
            </w: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45,003</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46" w:hanging="546"/>
        <w:spacing w:after="0"/>
        <w:tabs>
          <w:tab w:leader="none" w:pos="5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546" w:right="307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354" w:lineRule="exact"/>
        <w:rPr>
          <w:sz w:val="20"/>
          <w:szCs w:val="20"/>
          <w:color w:val="auto"/>
        </w:rPr>
      </w:pPr>
    </w:p>
    <w:tbl>
      <w:tblPr>
        <w:tblLayout w:type="fixed"/>
        <w:tblInd w:w="546"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Three months ended</w:t>
            </w:r>
          </w:p>
        </w:tc>
        <w:tc>
          <w:tcPr>
            <w:tcW w:w="2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March 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8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740" w:type="dxa"/>
            <w:vAlign w:val="bottom"/>
          </w:tcPr>
          <w:p>
            <w:pPr>
              <w:ind w:left="640"/>
              <w:spacing w:after="0"/>
              <w:rPr>
                <w:sz w:val="20"/>
                <w:szCs w:val="20"/>
                <w:color w:val="auto"/>
              </w:rPr>
            </w:pPr>
            <w:r>
              <w:rPr>
                <w:rFonts w:ascii="Courier New" w:cs="Courier New" w:eastAsia="Courier New" w:hAnsi="Courier New"/>
                <w:sz w:val="1"/>
                <w:szCs w:val="1"/>
                <w:color w:val="auto"/>
                <w:w w:val="66"/>
              </w:rPr>
              <w:t>--------------------</w:t>
            </w:r>
          </w:p>
        </w:tc>
        <w:tc>
          <w:tcPr>
            <w:tcW w:w="8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1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1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40" w:type="dxa"/>
            <w:vAlign w:val="bottom"/>
          </w:tcPr>
          <w:p>
            <w:pPr>
              <w:ind w:left="6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6,004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$ 13,751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$ 14,857</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3,361</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740" w:type="dxa"/>
            <w:vAlign w:val="bottom"/>
            <w:vMerge w:val="restart"/>
          </w:tcPr>
          <w:p>
            <w:pPr>
              <w:ind w:left="64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9,918</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4,181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$ 18,550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$ 12,067</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46" w:right="2979"/>
        <w:spacing w:after="0" w:line="372"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354" w:lineRule="exact"/>
        <w:rPr>
          <w:sz w:val="20"/>
          <w:szCs w:val="20"/>
          <w:color w:val="auto"/>
        </w:rPr>
      </w:pPr>
    </w:p>
    <w:tbl>
      <w:tblPr>
        <w:tblLayout w:type="fixed"/>
        <w:tblInd w:w="546"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2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1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March 31,</w:t>
            </w:r>
          </w:p>
        </w:tc>
        <w:tc>
          <w:tcPr>
            <w:tcW w:w="18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28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6"/>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800" w:type="dxa"/>
            <w:vAlign w:val="bottom"/>
            <w:vMerge w:val="continue"/>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926" w:right="3079" w:hanging="376"/>
        <w:spacing w:after="0" w:line="273" w:lineRule="auto"/>
        <w:tabs>
          <w:tab w:leader="none" w:pos="92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73"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rFonts w:ascii="Courier New" w:cs="Courier New" w:eastAsia="Courier New" w:hAnsi="Courier New"/>
          <w:sz w:val="15"/>
          <w:szCs w:val="15"/>
          <w:color w:val="auto"/>
        </w:rPr>
      </w:pPr>
    </w:p>
    <w:p>
      <w:pPr>
        <w:ind w:left="546" w:right="353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4" w:lineRule="exact"/>
        <w:rPr>
          <w:sz w:val="20"/>
          <w:szCs w:val="20"/>
          <w:color w:val="auto"/>
        </w:rPr>
      </w:pPr>
    </w:p>
    <w:tbl>
      <w:tblPr>
        <w:tblLayout w:type="fixed"/>
        <w:tblInd w:w="546"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344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Three months ended</w:t>
            </w:r>
          </w:p>
        </w:tc>
        <w:tc>
          <w:tcPr>
            <w:tcW w:w="18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344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March 31,</w:t>
            </w:r>
          </w:p>
        </w:tc>
        <w:tc>
          <w:tcPr>
            <w:tcW w:w="18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560" w:type="dxa"/>
            <w:vAlign w:val="bottom"/>
            <w:vMerge w:val="restart"/>
          </w:tcPr>
          <w:p>
            <w:pPr>
              <w:ind w:left="156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1999</w:t>
            </w:r>
          </w:p>
        </w:tc>
        <w:tc>
          <w:tcPr>
            <w:tcW w:w="880" w:type="dxa"/>
            <w:vAlign w:val="bottom"/>
            <w:vMerge w:val="restart"/>
          </w:tcPr>
          <w:p>
            <w:pPr>
              <w:jc w:val="center"/>
              <w:ind w:right="64"/>
              <w:spacing w:after="0"/>
              <w:rPr>
                <w:sz w:val="20"/>
                <w:szCs w:val="20"/>
                <w:color w:val="auto"/>
              </w:rPr>
            </w:pPr>
            <w:r>
              <w:rPr>
                <w:rFonts w:ascii="Courier New" w:cs="Courier New" w:eastAsia="Courier New" w:hAnsi="Courier New"/>
                <w:sz w:val="15"/>
                <w:szCs w:val="15"/>
                <w:color w:val="auto"/>
              </w:rPr>
              <w:t>1998</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256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660" w:type="dxa"/>
            <w:vAlign w:val="bottom"/>
          </w:tcPr>
          <w:p>
            <w:pPr>
              <w:jc w:val="right"/>
              <w:ind w:right="1664"/>
              <w:spacing w:after="0"/>
              <w:rPr>
                <w:sz w:val="20"/>
                <w:szCs w:val="20"/>
                <w:color w:val="auto"/>
              </w:rPr>
            </w:pPr>
            <w:r>
              <w:rPr>
                <w:rFonts w:ascii="Courier New" w:cs="Courier New" w:eastAsia="Courier New" w:hAnsi="Courier New"/>
                <w:sz w:val="15"/>
                <w:szCs w:val="15"/>
                <w:color w:val="auto"/>
                <w:w w:val="99"/>
              </w:rPr>
              <w:t>Numerator:</w:t>
            </w:r>
          </w:p>
        </w:tc>
        <w:tc>
          <w:tcPr>
            <w:tcW w:w="2560" w:type="dxa"/>
            <w:vAlign w:val="bottom"/>
            <w:vMerge w:val="restart"/>
          </w:tcPr>
          <w:p>
            <w:pPr>
              <w:ind w:left="1560"/>
              <w:spacing w:after="0"/>
              <w:rPr>
                <w:sz w:val="20"/>
                <w:szCs w:val="20"/>
                <w:color w:val="auto"/>
              </w:rPr>
            </w:pPr>
            <w:r>
              <w:rPr>
                <w:rFonts w:ascii="Courier New" w:cs="Courier New" w:eastAsia="Courier New" w:hAnsi="Courier New"/>
                <w:sz w:val="15"/>
                <w:szCs w:val="15"/>
                <w:color w:val="auto"/>
              </w:rPr>
              <w:t>$ 23,141</w:t>
            </w:r>
          </w:p>
        </w:tc>
        <w:tc>
          <w:tcPr>
            <w:tcW w:w="880" w:type="dxa"/>
            <w:vAlign w:val="bottom"/>
            <w:vMerge w:val="restart"/>
          </w:tcPr>
          <w:p>
            <w:pPr>
              <w:jc w:val="center"/>
              <w:ind w:right="64"/>
              <w:spacing w:after="0"/>
              <w:rPr>
                <w:sz w:val="20"/>
                <w:szCs w:val="20"/>
                <w:color w:val="auto"/>
              </w:rPr>
            </w:pPr>
            <w:r>
              <w:rPr>
                <w:rFonts w:ascii="Courier New" w:cs="Courier New" w:eastAsia="Courier New" w:hAnsi="Courier New"/>
                <w:sz w:val="15"/>
                <w:szCs w:val="15"/>
                <w:color w:val="auto"/>
              </w:rPr>
              <w:t>$  4,105</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$ 43,283</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$ 12,066</w:t>
            </w:r>
          </w:p>
        </w:tc>
        <w:tc>
          <w:tcPr>
            <w:tcW w:w="0" w:type="dxa"/>
            <w:vAlign w:val="bottom"/>
          </w:tcPr>
          <w:p>
            <w:pPr>
              <w:spacing w:after="0"/>
              <w:rPr>
                <w:sz w:val="1"/>
                <w:szCs w:val="1"/>
                <w:color w:val="auto"/>
              </w:rPr>
            </w:pPr>
          </w:p>
        </w:tc>
      </w:tr>
      <w:tr>
        <w:trPr>
          <w:trHeight w:val="176"/>
        </w:trPr>
        <w:tc>
          <w:tcPr>
            <w:tcW w:w="2660" w:type="dxa"/>
            <w:vAlign w:val="bottom"/>
          </w:tcPr>
          <w:p>
            <w:pPr>
              <w:jc w:val="right"/>
              <w:ind w:right="1484"/>
              <w:spacing w:after="0"/>
              <w:rPr>
                <w:sz w:val="20"/>
                <w:szCs w:val="20"/>
                <w:color w:val="auto"/>
              </w:rPr>
            </w:pPr>
            <w:r>
              <w:rPr>
                <w:rFonts w:ascii="Courier New" w:cs="Courier New" w:eastAsia="Courier New" w:hAnsi="Courier New"/>
                <w:sz w:val="15"/>
                <w:szCs w:val="15"/>
                <w:color w:val="auto"/>
              </w:rPr>
              <w:t>Net income</w:t>
            </w:r>
          </w:p>
        </w:tc>
        <w:tc>
          <w:tcPr>
            <w:tcW w:w="25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60" w:type="dxa"/>
            <w:vAlign w:val="bottom"/>
            <w:vMerge w:val="restart"/>
          </w:tcPr>
          <w:p>
            <w:pPr>
              <w:jc w:val="right"/>
              <w:ind w:right="1484"/>
              <w:spacing w:after="0"/>
              <w:rPr>
                <w:sz w:val="20"/>
                <w:szCs w:val="20"/>
                <w:color w:val="auto"/>
              </w:rPr>
            </w:pPr>
            <w:r>
              <w:rPr>
                <w:rFonts w:ascii="Courier New" w:cs="Courier New" w:eastAsia="Courier New" w:hAnsi="Courier New"/>
                <w:sz w:val="15"/>
                <w:szCs w:val="15"/>
                <w:color w:val="auto"/>
                <w:w w:val="99"/>
              </w:rPr>
              <w:t>Denominator:</w:t>
            </w:r>
          </w:p>
        </w:tc>
        <w:tc>
          <w:tcPr>
            <w:tcW w:w="256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66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225"/>
          </w:cols>
          <w:pgMar w:left="234" w:top="266" w:right="1440" w:bottom="775"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tbl>
      <w:tblPr>
        <w:tblLayout w:type="fixed"/>
        <w:tblInd w:w="546" w:type="dxa"/>
        <w:tblCellMar>
          <w:top w:w="0" w:type="dxa"/>
          <w:left w:w="0" w:type="dxa"/>
          <w:bottom w:w="0" w:type="dxa"/>
          <w:right w:w="0" w:type="dxa"/>
        </w:tblCellMar>
      </w:tblP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20" w:type="dxa"/>
            <w:vAlign w:val="bottom"/>
          </w:tcPr>
          <w:p>
            <w:pPr>
              <w:spacing w:after="0"/>
              <w:rPr>
                <w:sz w:val="15"/>
                <w:szCs w:val="15"/>
                <w:color w:val="auto"/>
              </w:rPr>
            </w:pPr>
          </w:p>
        </w:tc>
        <w:tc>
          <w:tcPr>
            <w:tcW w:w="7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196,800</w:t>
            </w:r>
          </w:p>
        </w:tc>
        <w:tc>
          <w:tcPr>
            <w:tcW w:w="2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128,424</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196,800</w:t>
            </w: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127,858</w:t>
            </w:r>
          </w:p>
        </w:tc>
        <w:tc>
          <w:tcPr>
            <w:tcW w:w="0" w:type="dxa"/>
            <w:vAlign w:val="bottom"/>
          </w:tcPr>
          <w:p>
            <w:pPr>
              <w:spacing w:after="0"/>
              <w:rPr>
                <w:sz w:val="1"/>
                <w:szCs w:val="1"/>
                <w:color w:val="auto"/>
              </w:rPr>
            </w:pPr>
          </w:p>
        </w:tc>
      </w:tr>
      <w:tr>
        <w:trPr>
          <w:trHeight w:val="176"/>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w:t>
            </w: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12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2,742</w:t>
            </w:r>
          </w:p>
        </w:tc>
        <w:tc>
          <w:tcPr>
            <w:tcW w:w="2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2,463</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0" w:type="dxa"/>
            <w:vAlign w:val="bottom"/>
          </w:tcPr>
          <w:p>
            <w:pPr>
              <w:spacing w:after="0"/>
              <w:rPr>
                <w:sz w:val="1"/>
                <w:szCs w:val="1"/>
                <w:color w:val="auto"/>
              </w:rPr>
            </w:pPr>
          </w:p>
        </w:tc>
      </w:tr>
      <w:tr>
        <w:trPr>
          <w:trHeight w:val="257"/>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adjusted average shares and assumed</w:t>
            </w:r>
          </w:p>
        </w:tc>
        <w:tc>
          <w:tcPr>
            <w:tcW w:w="120" w:type="dxa"/>
            <w:vAlign w:val="bottom"/>
          </w:tcPr>
          <w:p>
            <w:pPr>
              <w:spacing w:after="0"/>
              <w:rPr>
                <w:sz w:val="15"/>
                <w:szCs w:val="15"/>
                <w:color w:val="auto"/>
              </w:rPr>
            </w:pPr>
          </w:p>
        </w:tc>
        <w:tc>
          <w:tcPr>
            <w:tcW w:w="7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199,542</w:t>
            </w:r>
          </w:p>
        </w:tc>
        <w:tc>
          <w:tcPr>
            <w:tcW w:w="24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129,739</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199,263</w:t>
            </w: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128,333</w:t>
            </w:r>
          </w:p>
        </w:tc>
        <w:tc>
          <w:tcPr>
            <w:tcW w:w="0" w:type="dxa"/>
            <w:vAlign w:val="bottom"/>
          </w:tcPr>
          <w:p>
            <w:pPr>
              <w:spacing w:after="0"/>
              <w:rPr>
                <w:sz w:val="1"/>
                <w:szCs w:val="1"/>
                <w:color w:val="auto"/>
              </w:rPr>
            </w:pPr>
          </w:p>
        </w:tc>
      </w:tr>
      <w:tr>
        <w:trPr>
          <w:trHeight w:val="176"/>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conversions</w:t>
            </w: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0.12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0.12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546" w:hanging="546"/>
        <w:spacing w:after="0"/>
        <w:tabs>
          <w:tab w:leader="none" w:pos="5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Transaction</w:t>
      </w:r>
    </w:p>
    <w:p>
      <w:pPr>
        <w:spacing w:after="0" w:line="182" w:lineRule="exact"/>
        <w:rPr>
          <w:rFonts w:ascii="Courier New" w:cs="Courier New" w:eastAsia="Courier New" w:hAnsi="Courier New"/>
          <w:sz w:val="15"/>
          <w:szCs w:val="15"/>
          <w:color w:val="auto"/>
        </w:rPr>
      </w:pPr>
    </w:p>
    <w:p>
      <w:pPr>
        <w:ind w:left="546" w:right="28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 1999, the Company entered into a combination agreement with Architel Systems Corporation, a Canadian corporation, by which the Company would acquire Architel in a stock transaction valued at approximately $400,000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the Company terminated the combination agreement.</w:t>
      </w:r>
    </w:p>
    <w:p>
      <w:pPr>
        <w:sectPr>
          <w:pgSz w:w="11900" w:h="16838" w:orient="portrait"/>
          <w:cols w:equalWidth="0" w:num="1">
            <w:col w:w="10225"/>
          </w:cols>
          <w:pgMar w:left="234" w:top="266" w:right="1440"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35" w:lineRule="exact"/>
        <w:rPr>
          <w:sz w:val="20"/>
          <w:szCs w:val="20"/>
          <w:color w:val="auto"/>
        </w:rPr>
      </w:pPr>
    </w:p>
    <w:p>
      <w:pPr>
        <w:ind w:left="826" w:right="3819" w:hanging="823"/>
        <w:spacing w:after="0" w:line="372" w:lineRule="auto"/>
        <w:tabs>
          <w:tab w:leader="none" w:pos="806" w:val="left"/>
        </w:tabs>
        <w:rPr>
          <w:sz w:val="20"/>
          <w:szCs w:val="20"/>
          <w:color w:val="auto"/>
        </w:rPr>
      </w:pPr>
      <w:r>
        <w:rPr>
          <w:rFonts w:ascii="Courier New" w:cs="Courier New" w:eastAsia="Courier New" w:hAnsi="Courier New"/>
          <w:sz w:val="15"/>
          <w:szCs w:val="15"/>
          <w:color w:val="auto"/>
        </w:rPr>
        <w:t>ITEM 2.</w:t>
        <w:tab/>
        <w:t>MANAGEMENT'S DISCUSSION AND ANALYSIS OF RESULTS OF OPERATIONS AND FINANCIAL CONDITION</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left="6" w:right="3079" w:firstLine="550"/>
        <w:spacing w:after="0" w:line="310"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46" w:lineRule="exact"/>
        <w:rPr>
          <w:sz w:val="20"/>
          <w:szCs w:val="20"/>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82" w:lineRule="exact"/>
        <w:rPr>
          <w:rFonts w:ascii="Courier New" w:cs="Courier New" w:eastAsia="Courier New" w:hAnsi="Courier New"/>
          <w:sz w:val="15"/>
          <w:szCs w:val="15"/>
          <w:color w:val="auto"/>
        </w:rPr>
      </w:pPr>
    </w:p>
    <w:p>
      <w:pPr>
        <w:ind w:left="546" w:right="3079" w:hanging="546"/>
        <w:spacing w:after="0" w:line="372" w:lineRule="auto"/>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six months and three months ended March 31, 1999 and 1998,</w:t>
      </w:r>
    </w:p>
    <w:p>
      <w:pPr>
        <w:spacing w:after="0" w:line="1"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82"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82" w:lineRule="exact"/>
        <w:rPr>
          <w:rFonts w:ascii="Courier New" w:cs="Courier New" w:eastAsia="Courier New" w:hAnsi="Courier New"/>
          <w:sz w:val="15"/>
          <w:szCs w:val="15"/>
          <w:color w:val="auto"/>
        </w:rPr>
      </w:pPr>
    </w:p>
    <w:p>
      <w:pPr>
        <w:ind w:left="546" w:right="2979" w:hanging="546"/>
        <w:spacing w:after="0" w:line="372" w:lineRule="auto"/>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six months and three months ended March 31, 1999 and 1998 and</w:t>
      </w:r>
    </w:p>
    <w:p>
      <w:pPr>
        <w:spacing w:after="0" w:line="1"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82" w:lineRule="exact"/>
        <w:rPr>
          <w:sz w:val="20"/>
          <w:szCs w:val="20"/>
          <w:color w:val="auto"/>
        </w:rPr>
      </w:pPr>
    </w:p>
    <w:p>
      <w:pPr>
        <w:ind w:left="6" w:right="2979" w:firstLine="550"/>
        <w:spacing w:after="0" w:line="26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six months to six months and three months to three months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We disclaim any obligation to update our forward looking statements.</w:t>
      </w:r>
    </w:p>
    <w:p>
      <w:pPr>
        <w:spacing w:after="0" w:line="8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left="6" w:right="2899" w:firstLine="550"/>
        <w:spacing w:after="0" w:line="26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83"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2" w:lineRule="exact"/>
        <w:rPr>
          <w:sz w:val="20"/>
          <w:szCs w:val="20"/>
          <w:color w:val="auto"/>
        </w:rPr>
      </w:pPr>
    </w:p>
    <w:p>
      <w:pPr>
        <w:ind w:left="1106" w:right="3259" w:hanging="556"/>
        <w:spacing w:after="0" w:line="310" w:lineRule="auto"/>
        <w:tabs>
          <w:tab w:leader="none" w:pos="110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46" w:lineRule="exact"/>
        <w:rPr>
          <w:rFonts w:ascii="Courier New" w:cs="Courier New" w:eastAsia="Courier New" w:hAnsi="Courier New"/>
          <w:sz w:val="15"/>
          <w:szCs w:val="15"/>
          <w:color w:val="auto"/>
        </w:rPr>
      </w:pPr>
    </w:p>
    <w:p>
      <w:pPr>
        <w:ind w:left="1106" w:right="2899" w:hanging="556"/>
        <w:spacing w:after="0" w:line="289" w:lineRule="auto"/>
        <w:tabs>
          <w:tab w:leader="none" w:pos="110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62" w:lineRule="exact"/>
        <w:rPr>
          <w:sz w:val="20"/>
          <w:szCs w:val="20"/>
          <w:color w:val="auto"/>
        </w:rPr>
      </w:pPr>
    </w:p>
    <w:p>
      <w:pPr>
        <w:ind w:left="6" w:right="2979" w:firstLine="550"/>
        <w:spacing w:after="0" w:line="261"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 term of the maintenance agreement. As a result of our percentage of completion accounting policies, our annual and quarterly operating results may be significantly affected by the size and timing of customer projects and our progress in completing such projects.</w:t>
      </w:r>
    </w:p>
    <w:p>
      <w:pPr>
        <w:sectPr>
          <w:pgSz w:w="11900" w:h="16838" w:orient="portrait"/>
          <w:cols w:equalWidth="0" w:num="1">
            <w:col w:w="10225"/>
          </w:cols>
          <w:pgMar w:left="234" w:top="26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74" w:lineRule="exact"/>
        <w:rPr>
          <w:sz w:val="20"/>
          <w:szCs w:val="20"/>
          <w:color w:val="auto"/>
        </w:rPr>
      </w:pPr>
    </w:p>
    <w:p>
      <w:pPr>
        <w:ind w:left="640" w:right="2899" w:hanging="182"/>
        <w:spacing w:after="0" w:line="279" w:lineRule="auto"/>
        <w:rPr>
          <w:sz w:val="20"/>
          <w:szCs w:val="20"/>
          <w:color w:val="auto"/>
        </w:rPr>
      </w:pPr>
      <w:r>
        <w:rPr>
          <w:rFonts w:ascii="Courier New" w:cs="Courier New" w:eastAsia="Courier New" w:hAnsi="Courier New"/>
          <w:sz w:val="15"/>
          <w:szCs w:val="15"/>
          <w:color w:val="auto"/>
        </w:rPr>
        <w:t>o License and service fees from the sale of CC&amp;B Systems amounted to $199.6 million for the six months ended March 31, 1999, representing 71.5% of our revenue for such period. License and service fees from the sale of CC&amp;B Systems amounted to $109.2 million for the three months ended March 31, 1999, representing 73.9% of our revenue for such period.</w:t>
      </w:r>
    </w:p>
    <w:p>
      <w:pPr>
        <w:spacing w:after="0" w:line="69" w:lineRule="exact"/>
        <w:rPr>
          <w:sz w:val="20"/>
          <w:szCs w:val="20"/>
          <w:color w:val="auto"/>
        </w:rPr>
      </w:pPr>
    </w:p>
    <w:p>
      <w:pPr>
        <w:jc w:val="both"/>
        <w:ind w:right="3179" w:firstLine="458"/>
        <w:spacing w:after="0" w:line="310" w:lineRule="auto"/>
        <w:rPr>
          <w:sz w:val="20"/>
          <w:szCs w:val="20"/>
          <w:color w:val="auto"/>
        </w:rPr>
      </w:pPr>
      <w:r>
        <w:rPr>
          <w:rFonts w:ascii="Courier New" w:cs="Courier New" w:eastAsia="Courier New" w:hAnsi="Courier New"/>
          <w:sz w:val="15"/>
          <w:szCs w:val="15"/>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46" w:lineRule="exact"/>
        <w:rPr>
          <w:sz w:val="20"/>
          <w:szCs w:val="20"/>
          <w:color w:val="auto"/>
        </w:rPr>
      </w:pPr>
    </w:p>
    <w:p>
      <w:pPr>
        <w:ind w:right="2979" w:firstLine="458"/>
        <w:spacing w:after="0" w:line="289"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62" w:lineRule="exact"/>
        <w:rPr>
          <w:sz w:val="20"/>
          <w:szCs w:val="20"/>
          <w:color w:val="auto"/>
        </w:rPr>
      </w:pPr>
    </w:p>
    <w:p>
      <w:pPr>
        <w:ind w:left="640" w:right="2899" w:hanging="182"/>
        <w:spacing w:after="0" w:line="274" w:lineRule="auto"/>
        <w:rPr>
          <w:sz w:val="20"/>
          <w:szCs w:val="20"/>
          <w:color w:val="auto"/>
        </w:rPr>
      </w:pPr>
      <w:r>
        <w:rPr>
          <w:rFonts w:ascii="Courier New" w:cs="Courier New" w:eastAsia="Courier New" w:hAnsi="Courier New"/>
          <w:sz w:val="15"/>
          <w:szCs w:val="15"/>
          <w:color w:val="auto"/>
        </w:rPr>
        <w:t>o License and service fee revenue from the sale of Directory Systems totaled $79.7 million for the six months ended March 31, 1999 accounting for 28.5% of our revenue for such period. License and service fee revenue from the sale of Directory Systems totaled $38.6 million for the three months ended March 31, 1999 accounting for 26.1% of our revenue for such period.</w:t>
      </w:r>
    </w:p>
    <w:p>
      <w:pPr>
        <w:spacing w:after="0" w:line="263"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76"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079" w:firstLine="458"/>
        <w:spacing w:after="0" w:line="310" w:lineRule="auto"/>
        <w:rPr>
          <w:sz w:val="20"/>
          <w:szCs w:val="20"/>
          <w:color w:val="auto"/>
        </w:rPr>
      </w:pPr>
      <w:r>
        <w:rPr>
          <w:rFonts w:ascii="Courier New" w:cs="Courier New" w:eastAsia="Courier New" w:hAnsi="Courier New"/>
          <w:sz w:val="15"/>
          <w:szCs w:val="15"/>
          <w:color w:val="auto"/>
        </w:rPr>
        <w:t>The following table sets forth, for the three months and six months ended March 31, 1999 and 1998 certain items in our consolidated statements of operations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21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1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March 31,</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448"/>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11.7%</w:t>
            </w:r>
          </w:p>
        </w:tc>
        <w:tc>
          <w:tcPr>
            <w:tcW w:w="7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10.3%</w:t>
            </w:r>
          </w:p>
        </w:tc>
        <w:tc>
          <w:tcPr>
            <w:tcW w:w="11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11.6%</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License</w:t>
            </w:r>
          </w:p>
        </w:tc>
        <w:tc>
          <w:tcPr>
            <w:tcW w:w="13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Service</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88.3</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89.7</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88.4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89.8</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100.0</w:t>
            </w:r>
          </w:p>
        </w:tc>
        <w:tc>
          <w:tcPr>
            <w:tcW w:w="0" w:type="dxa"/>
            <w:vAlign w:val="bottom"/>
          </w:tcPr>
          <w:p>
            <w:pPr>
              <w:spacing w:after="0"/>
              <w:rPr>
                <w:sz w:val="1"/>
                <w:szCs w:val="1"/>
                <w:color w:val="auto"/>
              </w:rPr>
            </w:pPr>
          </w:p>
        </w:tc>
      </w:tr>
      <w:tr>
        <w:trPr>
          <w:trHeight w:val="2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0.9</w:t>
            </w:r>
          </w:p>
        </w:tc>
        <w:tc>
          <w:tcPr>
            <w:tcW w:w="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Cost of license</w:t>
            </w:r>
          </w:p>
        </w:tc>
        <w:tc>
          <w:tcPr>
            <w:tcW w:w="13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Cost of service</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57.0</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58.2</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58.0</w:t>
            </w: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6"/>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11.8</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12.7</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75.9</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79.7</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24.1</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22.4</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422"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 AND 1998</w:t>
      </w:r>
    </w:p>
    <w:p>
      <w:pPr>
        <w:spacing w:after="0" w:line="154" w:lineRule="exact"/>
        <w:rPr>
          <w:sz w:val="20"/>
          <w:szCs w:val="20"/>
          <w:color w:val="auto"/>
        </w:rPr>
      </w:pPr>
    </w:p>
    <w:p>
      <w:pPr>
        <w:ind w:right="2979" w:firstLine="458"/>
        <w:spacing w:after="0" w:line="259" w:lineRule="auto"/>
        <w:rPr>
          <w:sz w:val="20"/>
          <w:szCs w:val="20"/>
          <w:color w:val="auto"/>
        </w:rPr>
      </w:pPr>
      <w:r>
        <w:rPr>
          <w:rFonts w:ascii="Courier New" w:cs="Courier New" w:eastAsia="Courier New" w:hAnsi="Courier New"/>
          <w:sz w:val="15"/>
          <w:szCs w:val="15"/>
          <w:color w:val="auto"/>
        </w:rPr>
        <w:t>REVENUE. Revenue for the six months ended March 31, 1999 was $279.3 million, an increase of $98.7 million, or 54.7%, compared to the six months ended March 31, 1998, primarily due to additional CC&amp;B Systems sales to European customers. License revenue increased from $18.4 million in the first six months of fiscal 1998 to $32.3 million in the first six months of fiscal 1999, an increase of 75.5%, and service revenue increased 52.3% by $84.8 million in the first six months of fiscal 1999, from $162.1 million in the first six months of fiscal 1998 to $246.9 million in the first six months of fiscal 1999. Total CC&amp;B Systems revenue for the six months ended March 31, 1999 was $199.6 million, an increase of $98.6 million, or 97.6%, compared to the prior year's first six months. Revenue attributable to Directory Systems was $79.7 million for the six months ended March 31, 1999, an increase of $0.1 million, or 0.1%, from the first six months of fiscal 1998.</w:t>
      </w:r>
    </w:p>
    <w:p>
      <w:pPr>
        <w:spacing w:after="0" w:line="83" w:lineRule="exact"/>
        <w:rPr>
          <w:sz w:val="20"/>
          <w:szCs w:val="20"/>
          <w:color w:val="auto"/>
        </w:rPr>
      </w:pPr>
    </w:p>
    <w:p>
      <w:pPr>
        <w:ind w:right="3259" w:firstLine="458"/>
        <w:spacing w:after="0" w:line="289" w:lineRule="auto"/>
        <w:rPr>
          <w:sz w:val="20"/>
          <w:szCs w:val="20"/>
          <w:color w:val="auto"/>
        </w:rPr>
      </w:pPr>
      <w:r>
        <w:rPr>
          <w:rFonts w:ascii="Courier New" w:cs="Courier New" w:eastAsia="Courier New" w:hAnsi="Courier New"/>
          <w:sz w:val="15"/>
          <w:szCs w:val="15"/>
          <w:color w:val="auto"/>
        </w:rPr>
        <w:t>In the six months ended March 31, 1999, revenue from customers in North America, Europe and the rest of the world accounted for 44%, 36% and 20%, respectively, compared to 58%, 20% and 22% respectively, in the six months ended March 31, 1998.</w:t>
      </w:r>
    </w:p>
    <w:p>
      <w:pPr>
        <w:spacing w:after="0" w:line="62" w:lineRule="exact"/>
        <w:rPr>
          <w:sz w:val="20"/>
          <w:szCs w:val="20"/>
          <w:color w:val="auto"/>
        </w:rPr>
      </w:pPr>
    </w:p>
    <w:p>
      <w:pPr>
        <w:ind w:right="2979" w:firstLine="458"/>
        <w:spacing w:after="0" w:line="289" w:lineRule="auto"/>
        <w:rPr>
          <w:sz w:val="20"/>
          <w:szCs w:val="20"/>
          <w:color w:val="auto"/>
        </w:rPr>
      </w:pPr>
      <w:r>
        <w:rPr>
          <w:rFonts w:ascii="Courier New" w:cs="Courier New" w:eastAsia="Courier New" w:hAnsi="Courier New"/>
          <w:sz w:val="15"/>
          <w:szCs w:val="15"/>
          <w:color w:val="auto"/>
        </w:rPr>
        <w:t>COST OF LICENSE. Cost license for the six months ended March 31, 1999 was $2.7 million, a decrease of $3.2 million, or 54.1%, from cost of license for the six months ended March 31, 1998. Cost of license includes amortization of purchased computer software and intellectual property rights.</w:t>
      </w:r>
    </w:p>
    <w:p>
      <w:pPr>
        <w:spacing w:after="0" w:line="62" w:lineRule="exact"/>
        <w:rPr>
          <w:sz w:val="20"/>
          <w:szCs w:val="20"/>
          <w:color w:val="auto"/>
        </w:rPr>
      </w:pPr>
    </w:p>
    <w:p>
      <w:pPr>
        <w:ind w:right="2979" w:firstLine="458"/>
        <w:spacing w:after="0" w:line="264" w:lineRule="auto"/>
        <w:rPr>
          <w:sz w:val="20"/>
          <w:szCs w:val="20"/>
          <w:color w:val="auto"/>
        </w:rPr>
      </w:pPr>
      <w:r>
        <w:rPr>
          <w:rFonts w:ascii="Courier New" w:cs="Courier New" w:eastAsia="Courier New" w:hAnsi="Courier New"/>
          <w:sz w:val="15"/>
          <w:szCs w:val="15"/>
          <w:color w:val="auto"/>
        </w:rPr>
        <w:t>COST OF SERVICE. Cost of service for the first six months of fiscal 1999 was $160.2 million, an increase of $55.4 million, or 52.9%, compared to the cost of service of $104.8 million for the first six months of fiscal 1998. As a percentage of revenue, cost of service decreased to 57.4% in the six months ended March 31, 1999 from 58.0% in the first six months of fiscal 1998. The absolute increase in cost of service is consistent with the increase in revenue for the first six months of fiscal 1999, as these costs are predominately compensation related and reflect increased employment levels required to support the growth in revenue.</w:t>
      </w:r>
    </w:p>
    <w:p>
      <w:pPr>
        <w:spacing w:after="0" w:line="80" w:lineRule="exact"/>
        <w:rPr>
          <w:sz w:val="20"/>
          <w:szCs w:val="20"/>
          <w:color w:val="auto"/>
        </w:rPr>
      </w:pPr>
    </w:p>
    <w:p>
      <w:pPr>
        <w:ind w:right="3179" w:firstLine="458"/>
        <w:spacing w:after="0" w:line="269"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attributed to research and development activities, usually in conjunction with customer contracts. In the six months ended March 31, 1999, research and development expense was $17.5 million, or 6.3% of revenue, compared with $11.0 million, or 6.1% of revenue, in the six months ended March 31, 1998. The increase in research and development expense represents ongoing expenditures for both CC&amp;B Systems and Directory Systems.</w:t>
      </w:r>
    </w:p>
    <w:p>
      <w:pPr>
        <w:spacing w:after="0" w:line="76" w:lineRule="exact"/>
        <w:rPr>
          <w:sz w:val="20"/>
          <w:szCs w:val="20"/>
          <w:color w:val="auto"/>
        </w:rPr>
      </w:pPr>
    </w:p>
    <w:p>
      <w:pPr>
        <w:jc w:val="both"/>
        <w:ind w:right="3079" w:firstLine="458"/>
        <w:spacing w:after="0" w:line="27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and increased by 43.6% to $33.1 million, or 11.8% of revenue, in the six months ended March 31, 1999 from $23.0 million, or 12.8% of revenue, in the corresponding period of fiscal 1998.</w:t>
      </w:r>
    </w:p>
    <w:p>
      <w:pPr>
        <w:spacing w:after="0" w:line="69" w:lineRule="exact"/>
        <w:rPr>
          <w:sz w:val="20"/>
          <w:szCs w:val="20"/>
          <w:color w:val="auto"/>
        </w:rPr>
      </w:pPr>
    </w:p>
    <w:p>
      <w:pPr>
        <w:ind w:right="2979" w:firstLine="458"/>
        <w:spacing w:after="0" w:line="269" w:lineRule="auto"/>
        <w:rPr>
          <w:sz w:val="20"/>
          <w:szCs w:val="20"/>
          <w:color w:val="auto"/>
        </w:rPr>
      </w:pPr>
      <w:r>
        <w:rPr>
          <w:rFonts w:ascii="Courier New" w:cs="Courier New" w:eastAsia="Courier New" w:hAnsi="Courier New"/>
          <w:sz w:val="15"/>
          <w:szCs w:val="15"/>
          <w:color w:val="auto"/>
        </w:rPr>
        <w:t>OPERATING INCOME. Operating income in the six months ended March 31, 1999 was $65.8 million, as compared with $36.0 million in the first six months of fiscal 1998, an increase of 82.9%. As a percentage of revenue, operating income was 23.5% in the first six months of fiscal 1999 as compared to 19.9% in the first six months of fiscal 1998, primarily due to an increase in license revenue and a decrease in cost of license. In addition, selling, general and administrative expense increased at a lesser rate than revenue.</w:t>
      </w:r>
    </w:p>
    <w:p>
      <w:pPr>
        <w:spacing w:after="0" w:line="76" w:lineRule="exact"/>
        <w:rPr>
          <w:sz w:val="20"/>
          <w:szCs w:val="20"/>
          <w:color w:val="auto"/>
        </w:rPr>
      </w:pPr>
    </w:p>
    <w:p>
      <w:pPr>
        <w:ind w:right="3179" w:firstLine="458"/>
        <w:spacing w:after="0" w:line="279"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first six months of fiscal 1999, other expense, net was $4.0 million, a decrease of $7.8 million from the first six months of fiscal 1998.</w:t>
      </w:r>
    </w:p>
    <w:p>
      <w:pPr>
        <w:spacing w:after="0" w:line="69" w:lineRule="exact"/>
        <w:rPr>
          <w:sz w:val="20"/>
          <w:szCs w:val="20"/>
          <w:color w:val="auto"/>
        </w:rPr>
      </w:pPr>
    </w:p>
    <w:p>
      <w:pPr>
        <w:ind w:left="460"/>
        <w:spacing w:after="0"/>
        <w:tabs>
          <w:tab w:leader="none" w:pos="1800" w:val="left"/>
        </w:tabs>
        <w:rPr>
          <w:sz w:val="20"/>
          <w:szCs w:val="20"/>
          <w:color w:val="auto"/>
        </w:rPr>
      </w:pPr>
      <w:r>
        <w:rPr>
          <w:rFonts w:ascii="Courier New" w:cs="Courier New" w:eastAsia="Courier New" w:hAnsi="Courier New"/>
          <w:sz w:val="15"/>
          <w:szCs w:val="15"/>
          <w:color w:val="auto"/>
        </w:rPr>
        <w:t>INCOME TAXES.</w:t>
        <w:tab/>
        <w:t>Income taxes in the six months ended March 31, 1999 were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$18.6 million on income before taxes of $61.8 million. In the prior year's first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half, income taxes were $12.1 million on income before taxes of $24.1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"--Effective Tax Rate."</w:t>
      </w:r>
    </w:p>
    <w:p>
      <w:pPr>
        <w:spacing w:after="0" w:line="154" w:lineRule="exact"/>
        <w:rPr>
          <w:sz w:val="20"/>
          <w:szCs w:val="20"/>
          <w:color w:val="auto"/>
        </w:rPr>
      </w:pPr>
    </w:p>
    <w:p>
      <w:pPr>
        <w:ind w:right="3259" w:firstLine="458"/>
        <w:spacing w:after="0" w:line="273" w:lineRule="auto"/>
        <w:rPr>
          <w:sz w:val="20"/>
          <w:szCs w:val="20"/>
          <w:color w:val="auto"/>
        </w:rPr>
      </w:pPr>
      <w:r>
        <w:rPr>
          <w:rFonts w:ascii="Courier New" w:cs="Courier New" w:eastAsia="Courier New" w:hAnsi="Courier New"/>
          <w:sz w:val="15"/>
          <w:szCs w:val="15"/>
          <w:color w:val="auto"/>
        </w:rPr>
        <w:t>NET INCOME. Net income was $43.3 million in the first six months of fiscal 1999 compared to $12.1 for the first six months of fiscal 1998. The increase was primarily the result of an increase in operating income and a decrease in interest expense, which also resulted in an increase in earnings per share from $.09 in the first six months of fiscal 1998 to $0.22 in the first six months of fiscal 1999.</w:t>
      </w:r>
    </w:p>
    <w:p>
      <w:pPr>
        <w:sectPr>
          <w:pgSz w:w="11900" w:h="16838" w:orient="portrait"/>
          <w:cols w:equalWidth="0" w:num="1">
            <w:col w:w="10219"/>
          </w:cols>
          <w:pgMar w:left="240" w:top="26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1999 AND 1998</w:t>
      </w:r>
    </w:p>
    <w:p>
      <w:pPr>
        <w:spacing w:after="0" w:line="154" w:lineRule="exact"/>
        <w:rPr>
          <w:sz w:val="20"/>
          <w:szCs w:val="20"/>
          <w:color w:val="auto"/>
        </w:rPr>
      </w:pPr>
    </w:p>
    <w:p>
      <w:pPr>
        <w:ind w:right="2899" w:firstLine="550"/>
        <w:spacing w:after="0" w:line="261" w:lineRule="auto"/>
        <w:rPr>
          <w:sz w:val="20"/>
          <w:szCs w:val="20"/>
          <w:color w:val="auto"/>
        </w:rPr>
      </w:pPr>
      <w:r>
        <w:rPr>
          <w:rFonts w:ascii="Courier New" w:cs="Courier New" w:eastAsia="Courier New" w:hAnsi="Courier New"/>
          <w:sz w:val="15"/>
          <w:szCs w:val="15"/>
          <w:color w:val="auto"/>
        </w:rPr>
        <w:t>REVENUE. Revenue for the three months ended March 31, 1999 was $147.8 million, an increase of $53.8 million, or 57.3%, compared to the three months ended March 31, 1998, primarily due to additional CC&amp;B Systems sales to European customers. License revenue increased from $9.7 million in the three months ended March 31, 1998 to $17.3 million during the three months ended March 31, 1999, an increase of 78.5%, and service revenue increased 54.8% by $46.2 million in the three months ended March 31, 1999. Total CC&amp;B Systems revenue for the quarter ended March 31, 1999 was $109.2 million, an increase of $55.0 million, or 101%, compared to the three months ended March 31, 1998. Revenue attributable to Directory Systems was $38.6 million for the quarter ended March 31, 1999, a decrease of $1.2 million, or 3.0%, from three months ended March 31, 1998.</w:t>
      </w:r>
    </w:p>
    <w:p>
      <w:pPr>
        <w:spacing w:after="0" w:line="82" w:lineRule="exact"/>
        <w:rPr>
          <w:sz w:val="20"/>
          <w:szCs w:val="20"/>
          <w:color w:val="auto"/>
        </w:rPr>
      </w:pPr>
    </w:p>
    <w:p>
      <w:pPr>
        <w:ind w:right="2979" w:firstLine="550"/>
        <w:spacing w:after="0" w:line="310" w:lineRule="auto"/>
        <w:rPr>
          <w:sz w:val="20"/>
          <w:szCs w:val="20"/>
          <w:color w:val="auto"/>
        </w:rPr>
      </w:pPr>
      <w:r>
        <w:rPr>
          <w:rFonts w:ascii="Courier New" w:cs="Courier New" w:eastAsia="Courier New" w:hAnsi="Courier New"/>
          <w:sz w:val="15"/>
          <w:szCs w:val="15"/>
          <w:color w:val="auto"/>
        </w:rPr>
        <w:t>In the three months ended March 31, 1999 and 1998, revenue from customers in North America, Europe and the rest of the world accounted for 43%, 35% and 22% respectively compared to 57%, 22%, and 21% respectively.</w:t>
      </w:r>
    </w:p>
    <w:p>
      <w:pPr>
        <w:spacing w:after="0" w:line="46" w:lineRule="exact"/>
        <w:rPr>
          <w:sz w:val="20"/>
          <w:szCs w:val="20"/>
          <w:color w:val="auto"/>
        </w:rPr>
      </w:pPr>
    </w:p>
    <w:p>
      <w:pPr>
        <w:jc w:val="both"/>
        <w:ind w:right="2899" w:firstLine="550"/>
        <w:spacing w:after="0" w:line="289" w:lineRule="auto"/>
        <w:rPr>
          <w:sz w:val="20"/>
          <w:szCs w:val="20"/>
          <w:color w:val="auto"/>
        </w:rPr>
      </w:pPr>
      <w:r>
        <w:rPr>
          <w:rFonts w:ascii="Courier New" w:cs="Courier New" w:eastAsia="Courier New" w:hAnsi="Courier New"/>
          <w:sz w:val="15"/>
          <w:szCs w:val="15"/>
          <w:color w:val="auto"/>
        </w:rPr>
        <w:t>COST OF LICENSE. Cost of license for the quarter ended March 31, 1999 was $1.4 million, a decrease of $1.3 million, or 48.4%, from cost of license for the quarter ended March 31, 1998. Cost of license includes amortization of purchased computer software and intellectual property rights.</w:t>
      </w:r>
    </w:p>
    <w:p>
      <w:pPr>
        <w:spacing w:after="0" w:line="6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COST OF SERVICE. Cost of service for three months ended March 31, 1999 was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$84.3 million, an increase of $29.7 million, or 54.3%, from cost of service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$54.6 million for three months ended March 31, 1998. As a percentage of revenue,</w:t>
      </w:r>
    </w:p>
    <w:p>
      <w:pPr>
        <w:spacing w:after="0" w:line="6"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5"/>
          <w:szCs w:val="15"/>
          <w:color w:val="auto"/>
        </w:rPr>
        <w:t>cost of service decreased to 57.0% in the quarter ended March 31, 1999 from 58.2% in three months ended March 31, 1998. The absolute increase in cost of service is consistent with the increase in revenue for the quarter, as these costs are predominately compensation related and reflect increased employment levels required to support the growth in revenue.</w:t>
      </w:r>
    </w:p>
    <w:p>
      <w:pPr>
        <w:spacing w:after="0" w:line="77" w:lineRule="exact"/>
        <w:rPr>
          <w:sz w:val="20"/>
          <w:szCs w:val="20"/>
          <w:color w:val="auto"/>
        </w:rPr>
      </w:pPr>
    </w:p>
    <w:p>
      <w:pPr>
        <w:ind w:right="2899" w:firstLine="550"/>
        <w:spacing w:after="0" w:line="269"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attributed to research and development activities, usually in conjunction with customer contracts. In the quarter ended March 31, 1999, research and development expense was $9.1 million, or 6.2% of revenue, compared with $5.6 million, or 6.0% of revenue, in the quarter ended March 31, 1998. The increase in research and development expense represents ongoing expenditures for both CC&amp;B Systems and Directory Systems.</w:t>
      </w:r>
    </w:p>
    <w:p>
      <w:pPr>
        <w:spacing w:after="0" w:line="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is primarily comprised of compensation expense and increased by 45.4%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 million, or 11.8% of revenue, in the quarter ended March 31, 1999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million, or 12.7% of revenue, in the corresponding period of fiscal 1998.</w:t>
      </w:r>
    </w:p>
    <w:p>
      <w:pPr>
        <w:spacing w:after="0" w:line="154" w:lineRule="exact"/>
        <w:rPr>
          <w:sz w:val="20"/>
          <w:szCs w:val="20"/>
          <w:color w:val="auto"/>
        </w:rPr>
      </w:pPr>
    </w:p>
    <w:p>
      <w:pPr>
        <w:ind w:right="2899" w:firstLine="550"/>
        <w:spacing w:after="0" w:line="279" w:lineRule="auto"/>
        <w:rPr>
          <w:sz w:val="20"/>
          <w:szCs w:val="20"/>
          <w:color w:val="auto"/>
        </w:rPr>
      </w:pPr>
      <w:r>
        <w:rPr>
          <w:rFonts w:ascii="Courier New" w:cs="Courier New" w:eastAsia="Courier New" w:hAnsi="Courier New"/>
          <w:sz w:val="15"/>
          <w:szCs w:val="15"/>
          <w:color w:val="auto"/>
        </w:rPr>
        <w:t>OPERATING INCOME. Operating income in the quarter ended March 31, 1999 was $35.6 million, as compared with $19.1 million in the three months ended March 31, 1998, an increase of 86.3%. As a percentage of revenue, operating income was 24.1% in the three months ended March 31, 1999 as compared to 20.3% in the three months ended March 31, 1998.</w:t>
      </w:r>
    </w:p>
    <w:p>
      <w:pPr>
        <w:spacing w:after="0" w:line="69" w:lineRule="exact"/>
        <w:rPr>
          <w:sz w:val="20"/>
          <w:szCs w:val="20"/>
          <w:color w:val="auto"/>
        </w:rPr>
      </w:pPr>
    </w:p>
    <w:p>
      <w:pPr>
        <w:ind w:right="3079" w:firstLine="550"/>
        <w:spacing w:after="0" w:line="279"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quarter ended March 31, 1999, other expenses, net was $2.6 million, a decrease of $8.3 million from three months ended March 31, 1998.</w:t>
      </w:r>
    </w:p>
    <w:p>
      <w:pPr>
        <w:spacing w:after="0" w:line="69" w:lineRule="exact"/>
        <w:rPr>
          <w:sz w:val="20"/>
          <w:szCs w:val="20"/>
          <w:color w:val="auto"/>
        </w:rPr>
      </w:pPr>
    </w:p>
    <w:p>
      <w:pPr>
        <w:ind w:right="2899" w:firstLine="550"/>
        <w:spacing w:after="0" w:line="289" w:lineRule="auto"/>
        <w:rPr>
          <w:sz w:val="20"/>
          <w:szCs w:val="20"/>
          <w:color w:val="auto"/>
        </w:rPr>
      </w:pPr>
      <w:r>
        <w:rPr>
          <w:rFonts w:ascii="Courier New" w:cs="Courier New" w:eastAsia="Courier New" w:hAnsi="Courier New"/>
          <w:sz w:val="15"/>
          <w:szCs w:val="15"/>
          <w:color w:val="auto"/>
        </w:rPr>
        <w:t>INCOME TAXES. Income taxes in the quarter ended March 31, 1999 were $9.9 million on income before taxes of $33.1 million. In the three months ended March 31, 1998, income taxes were $4.2 million on income before taxes of $8.3 million. See discussion below "Effective Tax Rate."</w:t>
      </w:r>
    </w:p>
    <w:p>
      <w:pPr>
        <w:spacing w:after="0" w:line="62" w:lineRule="exact"/>
        <w:rPr>
          <w:sz w:val="20"/>
          <w:szCs w:val="20"/>
          <w:color w:val="auto"/>
        </w:rPr>
      </w:pPr>
    </w:p>
    <w:p>
      <w:pPr>
        <w:ind w:right="2899" w:firstLine="550"/>
        <w:spacing w:after="0" w:line="289" w:lineRule="auto"/>
        <w:rPr>
          <w:sz w:val="20"/>
          <w:szCs w:val="20"/>
          <w:color w:val="auto"/>
        </w:rPr>
      </w:pPr>
      <w:r>
        <w:rPr>
          <w:rFonts w:ascii="Courier New" w:cs="Courier New" w:eastAsia="Courier New" w:hAnsi="Courier New"/>
          <w:sz w:val="15"/>
          <w:szCs w:val="15"/>
          <w:color w:val="auto"/>
        </w:rPr>
        <w:t>NET INCOME. Net income was $23.1 million in the three months ended March 31, 1999 compared to $4.1 for the three months ended March 31, 1998. Earnings per share increased from $0.03 in the three months ended March 31, 1998 to $0.12 in the three months ended March 31, 1999.</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TRANSACTIONS</w:t>
      </w:r>
    </w:p>
    <w:p>
      <w:pPr>
        <w:spacing w:after="0" w:line="182" w:lineRule="exact"/>
        <w:rPr>
          <w:sz w:val="20"/>
          <w:szCs w:val="20"/>
          <w:color w:val="auto"/>
        </w:rPr>
      </w:pPr>
    </w:p>
    <w:p>
      <w:pPr>
        <w:ind w:right="2899" w:firstLine="550"/>
        <w:spacing w:after="0" w:line="289"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and borrowings from banks and other lenders. Cash and cash equivalents totaled $26.9 million at March 31, 1999 compared to $25.4 million at September 30, 1998. Net cash</w:t>
      </w:r>
    </w:p>
    <w:p>
      <w:pPr>
        <w:sectPr>
          <w:pgSz w:w="11900" w:h="16838" w:orient="portrait"/>
          <w:cols w:equalWidth="0" w:num="1">
            <w:col w:w="10219"/>
          </w:cols>
          <w:pgMar w:left="240" w:top="26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provided by operating activities amounted to $38.3 million and $11.8 million for the first half of fiscal 1999 and 1998, respectively.</w:t>
      </w:r>
    </w:p>
    <w:p>
      <w:pPr>
        <w:spacing w:after="0" w:line="2" w:lineRule="exact"/>
        <w:rPr>
          <w:sz w:val="20"/>
          <w:szCs w:val="20"/>
          <w:color w:val="auto"/>
        </w:rPr>
      </w:pPr>
    </w:p>
    <w:p>
      <w:pPr>
        <w:jc w:val="both"/>
        <w:ind w:right="2979" w:firstLine="550"/>
        <w:spacing w:after="0" w:line="310"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 of our business. The terms of our bank agreement effectively restrict our ability to pay cash dividends.</w:t>
      </w:r>
    </w:p>
    <w:p>
      <w:pPr>
        <w:spacing w:after="0" w:line="46" w:lineRule="exact"/>
        <w:rPr>
          <w:sz w:val="20"/>
          <w:szCs w:val="20"/>
          <w:color w:val="auto"/>
        </w:rPr>
      </w:pPr>
    </w:p>
    <w:p>
      <w:pPr>
        <w:ind w:right="2899" w:firstLine="550"/>
        <w:spacing w:after="0" w:line="261" w:lineRule="auto"/>
        <w:rPr>
          <w:sz w:val="20"/>
          <w:szCs w:val="20"/>
          <w:color w:val="auto"/>
        </w:rPr>
      </w:pPr>
      <w:r>
        <w:rPr>
          <w:rFonts w:ascii="Courier New" w:cs="Courier New" w:eastAsia="Courier New" w:hAnsi="Courier New"/>
          <w:sz w:val="15"/>
          <w:szCs w:val="15"/>
          <w:color w:val="auto"/>
        </w:rPr>
        <w:t>At March 31, 1999, we had short term lines of credit totaling $152.0 million from various banks or bank groups, of which $75.9 million was outstanding. As of that date, we had also utilized approximately $8.2 million of our revolving credit facility to support outstanding letters of credit. At March 31, 1999, we had negative working capital of $48.3 million as compared to negative working capital of $84.3 million at September 30, 1998. We do not believe this will have a negative impact on our liquidity as this temporary situation is primarily a result of a three-year revolving credit facility which the Company anticipates paying with cash flows from operations. We believe that cash generated from operations and our current lines of credit will provide sufficient resources to meet our financing needs in the near future.</w:t>
      </w:r>
    </w:p>
    <w:p>
      <w:pPr>
        <w:spacing w:after="0" w:line="82" w:lineRule="exact"/>
        <w:rPr>
          <w:sz w:val="20"/>
          <w:szCs w:val="20"/>
          <w:color w:val="auto"/>
        </w:rPr>
      </w:pPr>
    </w:p>
    <w:p>
      <w:pPr>
        <w:ind w:right="3439" w:firstLine="550"/>
        <w:spacing w:after="0" w:line="372" w:lineRule="auto"/>
        <w:rPr>
          <w:sz w:val="20"/>
          <w:szCs w:val="20"/>
          <w:color w:val="auto"/>
        </w:rPr>
      </w:pPr>
      <w:r>
        <w:rPr>
          <w:rFonts w:ascii="Courier New" w:cs="Courier New" w:eastAsia="Courier New" w:hAnsi="Courier New"/>
          <w:sz w:val="15"/>
          <w:szCs w:val="15"/>
          <w:color w:val="auto"/>
        </w:rPr>
        <w:t>At March 31, 1999, we had long-term obligations outstanding of $16.9 million in connection with vehicle leasing arrangements.</w:t>
      </w:r>
    </w:p>
    <w:p>
      <w:pPr>
        <w:spacing w:after="0" w:line="2" w:lineRule="exact"/>
        <w:rPr>
          <w:sz w:val="20"/>
          <w:szCs w:val="20"/>
          <w:color w:val="auto"/>
        </w:rPr>
      </w:pPr>
    </w:p>
    <w:p>
      <w:pPr>
        <w:jc w:val="both"/>
        <w:ind w:right="2899" w:firstLine="550"/>
        <w:spacing w:after="0" w:line="310"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82" w:lineRule="exact"/>
        <w:rPr>
          <w:sz w:val="20"/>
          <w:szCs w:val="20"/>
          <w:color w:val="auto"/>
        </w:rPr>
      </w:pPr>
    </w:p>
    <w:p>
      <w:pPr>
        <w:ind w:right="3079" w:firstLine="550"/>
        <w:spacing w:after="0" w:line="289"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March 31, 1999 will be realized through future taxable earnings. No significant increase in future taxable earnings would be required to fully realize the net deferred tax assets.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82" w:lineRule="exact"/>
        <w:rPr>
          <w:sz w:val="20"/>
          <w:szCs w:val="20"/>
          <w:color w:val="auto"/>
        </w:rPr>
      </w:pPr>
    </w:p>
    <w:p>
      <w:pPr>
        <w:ind w:right="2979" w:firstLine="550"/>
        <w:spacing w:after="0" w:line="269"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76" w:lineRule="exact"/>
        <w:rPr>
          <w:sz w:val="20"/>
          <w:szCs w:val="20"/>
          <w:color w:val="auto"/>
        </w:rPr>
      </w:pPr>
    </w:p>
    <w:p>
      <w:pPr>
        <w:ind w:right="3179" w:firstLine="550"/>
        <w:spacing w:after="0" w:line="372" w:lineRule="auto"/>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2" w:lineRule="exact"/>
        <w:rPr>
          <w:sz w:val="20"/>
          <w:szCs w:val="20"/>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recent years, new systems have been developed as year 2000 compliant;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older generations of applications are being made year 2000 compliant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cooperation with our customers (using Amdocs year 2000 methodology and tool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 None of these systems need mass data conversion, which is usually the most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sensitive portion of the year 2000 migration. Recognizing the importance of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support it IT industry and to provide an additional level of assurance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 we have decided to conduct a thorough and systematic verification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 This effort is based on the application of industry-wide standards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 This verification process utilizes a specialized tool kit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developed by us including a powerful search utility. For many customers we offer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conduct the verification process, since the ultimate verification for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compliance should be executed in their own working environment.</w:t>
      </w:r>
    </w:p>
    <w:p>
      <w:pPr>
        <w:spacing w:after="0" w:line="154" w:lineRule="exact"/>
        <w:rPr>
          <w:sz w:val="20"/>
          <w:szCs w:val="20"/>
          <w:color w:val="auto"/>
        </w:rPr>
      </w:pPr>
    </w:p>
    <w:p>
      <w:pPr>
        <w:ind w:right="2979" w:firstLine="550"/>
        <w:spacing w:after="0" w:line="273"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mid-1999 but will continue testing through calendar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74" w:lineRule="exact"/>
        <w:rPr>
          <w:sz w:val="20"/>
          <w:szCs w:val="20"/>
          <w:color w:val="auto"/>
        </w:rPr>
      </w:pPr>
    </w:p>
    <w:p>
      <w:pPr>
        <w:jc w:val="both"/>
        <w:ind w:right="3179" w:firstLine="550"/>
        <w:spacing w:after="0" w:line="289"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whom we deal to identify potential year 2000 issues. These communications are also used to clarify which year 2000 issues are our responsibility and which are the</w:t>
      </w:r>
    </w:p>
    <w:p>
      <w:pPr>
        <w:sectPr>
          <w:pgSz w:w="11900" w:h="16838" w:orient="portrait"/>
          <w:cols w:equalWidth="0" w:num="1">
            <w:col w:w="10219"/>
          </w:cols>
          <w:pgMar w:left="240" w:top="26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69" w:lineRule="exact"/>
        <w:rPr>
          <w:sz w:val="20"/>
          <w:szCs w:val="20"/>
          <w:color w:val="auto"/>
        </w:rPr>
      </w:pPr>
    </w:p>
    <w:p>
      <w:pPr>
        <w:ind w:right="2979" w:firstLine="550"/>
        <w:spacing w:after="0" w:line="264"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80" w:lineRule="exact"/>
        <w:rPr>
          <w:sz w:val="20"/>
          <w:szCs w:val="20"/>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182" w:lineRule="exact"/>
        <w:rPr>
          <w:sz w:val="20"/>
          <w:szCs w:val="20"/>
          <w:color w:val="auto"/>
        </w:rPr>
      </w:pPr>
    </w:p>
    <w:p>
      <w:pPr>
        <w:ind w:right="2899" w:firstLine="550"/>
        <w:spacing w:after="0" w:line="260"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 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81" w:lineRule="exact"/>
        <w:rPr>
          <w:sz w:val="20"/>
          <w:szCs w:val="20"/>
          <w:color w:val="auto"/>
        </w:rPr>
      </w:pPr>
    </w:p>
    <w:p>
      <w:pPr>
        <w:ind w:right="2899" w:firstLine="550"/>
        <w:spacing w:after="0" w:line="269"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76" w:lineRule="exact"/>
        <w:rPr>
          <w:sz w:val="20"/>
          <w:szCs w:val="20"/>
          <w:color w:val="auto"/>
        </w:rPr>
      </w:pPr>
    </w:p>
    <w:p>
      <w:pPr>
        <w:ind w:right="2899" w:firstLine="550"/>
        <w:spacing w:after="0" w:line="289" w:lineRule="auto"/>
        <w:rPr>
          <w:sz w:val="20"/>
          <w:szCs w:val="20"/>
          <w:color w:val="auto"/>
        </w:rPr>
      </w:pPr>
      <w:r>
        <w:rPr>
          <w:rFonts w:ascii="Courier New" w:cs="Courier New" w:eastAsia="Courier New" w:hAnsi="Courier New"/>
          <w:sz w:val="15"/>
          <w:szCs w:val="15"/>
          <w:color w:val="auto"/>
        </w:rPr>
        <w:t>At March 31, 1999, we have accrued approximately $2.0 million representing the estimated remaining costs to modify previously sold customized software products. We do not anticipate capitalizing any of these costs as they relate to warranties related to products developed for customers.</w:t>
      </w:r>
    </w:p>
    <w:p>
      <w:pPr>
        <w:spacing w:after="0" w:line="62" w:lineRule="exact"/>
        <w:rPr>
          <w:sz w:val="20"/>
          <w:szCs w:val="20"/>
          <w:color w:val="auto"/>
        </w:rPr>
      </w:pPr>
    </w:p>
    <w:p>
      <w:pPr>
        <w:ind w:right="3079" w:firstLine="550"/>
        <w:spacing w:after="0" w:line="273" w:lineRule="auto"/>
        <w:rPr>
          <w:sz w:val="20"/>
          <w:szCs w:val="20"/>
          <w:color w:val="auto"/>
        </w:rPr>
      </w:pPr>
      <w:r>
        <w:rPr>
          <w:rFonts w:ascii="Courier New" w:cs="Courier New" w:eastAsia="Courier New" w:hAnsi="Courier New"/>
          <w:sz w:val="15"/>
          <w:szCs w:val="15"/>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82" w:lineRule="exact"/>
        <w:rPr>
          <w:sz w:val="20"/>
          <w:szCs w:val="20"/>
          <w:color w:val="auto"/>
        </w:rPr>
      </w:pPr>
    </w:p>
    <w:p>
      <w:pPr>
        <w:ind w:right="2899" w:firstLine="550"/>
        <w:spacing w:after="0" w:line="258"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commencing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March 31, 1999, we have accrued approximately $1.9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ectPr>
          <w:pgSz w:w="11900" w:h="16838" w:orient="portrait"/>
          <w:cols w:equalWidth="0" w:num="1">
            <w:col w:w="10219"/>
          </w:cols>
          <w:pgMar w:left="240" w:top="26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82" w:lineRule="exact"/>
        <w:rPr>
          <w:sz w:val="20"/>
          <w:szCs w:val="20"/>
          <w:color w:val="auto"/>
        </w:rPr>
      </w:pPr>
    </w:p>
    <w:p>
      <w:pPr>
        <w:ind w:right="2899" w:firstLine="550"/>
        <w:spacing w:after="0" w:line="264"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first half of fiscal 1999 was 30% compared to 50% in the prior period. The consolidated effective tax rate of 50% for 1998 was due to significant interest expense in a tax jurisdiction in which we are tax exempt, which resulted in no tax benefit to offset the tax expense incurred in other jurisdictions. The debt which gave rise to the non deductible interest expense was substantially repaid with the proceeds of our initial public offering.</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82" w:lineRule="exact"/>
        <w:rPr>
          <w:sz w:val="20"/>
          <w:szCs w:val="20"/>
          <w:color w:val="auto"/>
        </w:rPr>
      </w:pPr>
    </w:p>
    <w:p>
      <w:pPr>
        <w:ind w:right="2899" w:firstLine="550"/>
        <w:spacing w:after="0" w:line="261" w:lineRule="auto"/>
        <w:rPr>
          <w:sz w:val="20"/>
          <w:szCs w:val="20"/>
          <w:color w:val="auto"/>
        </w:rPr>
      </w:pPr>
      <w:r>
        <w:rPr>
          <w:rFonts w:ascii="Courier New" w:cs="Courier New" w:eastAsia="Courier New" w:hAnsi="Courier New"/>
          <w:sz w:val="15"/>
          <w:szCs w:val="15"/>
          <w:color w:val="auto"/>
        </w:rPr>
        <w:t>Approximately 80% of our revenue are in U.S. dollars or linked to the U.S. dollar and therefore the U.S. dollar is our functional currency. Approximately 60% of our operating expenses are paid in U.S. dollars or are linked to U.S.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March 31, 1999, we had hedged most of our significant exposures in currencies other than the dollar.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 TRANSACTION</w:t>
      </w:r>
    </w:p>
    <w:p>
      <w:pPr>
        <w:spacing w:after="0" w:line="182" w:lineRule="exact"/>
        <w:rPr>
          <w:sz w:val="20"/>
          <w:szCs w:val="20"/>
          <w:color w:val="auto"/>
        </w:rPr>
      </w:pPr>
    </w:p>
    <w:p>
      <w:pPr>
        <w:ind w:right="2899" w:firstLine="550"/>
        <w:spacing w:after="0" w:line="266" w:lineRule="auto"/>
        <w:rPr>
          <w:sz w:val="20"/>
          <w:szCs w:val="20"/>
          <w:color w:val="auto"/>
        </w:rPr>
      </w:pPr>
      <w:r>
        <w:rPr>
          <w:rFonts w:ascii="Courier New" w:cs="Courier New" w:eastAsia="Courier New" w:hAnsi="Courier New"/>
          <w:sz w:val="15"/>
          <w:szCs w:val="15"/>
          <w:color w:val="auto"/>
        </w:rPr>
        <w:t>On March 2, 1999, we entered into a combination agreement with Architel Systems Corporation, a Canadian corporation, by which we would acquire Architel in a stock transaction valued at approximately $400 million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we terminated the combination agreement.</w:t>
      </w:r>
    </w:p>
    <w:p>
      <w:pPr>
        <w:sectPr>
          <w:pgSz w:w="11900" w:h="16838" w:orient="portrait"/>
          <w:cols w:equalWidth="0" w:num="1">
            <w:col w:w="10219"/>
          </w:cols>
          <w:pgMar w:left="240" w:top="266"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2" w:lineRule="exact"/>
        <w:rPr>
          <w:sz w:val="20"/>
          <w:szCs w:val="20"/>
          <w:color w:val="auto"/>
        </w:rPr>
      </w:pPr>
    </w:p>
    <w:p>
      <w:pPr>
        <w:ind w:left="6" w:right="2979"/>
        <w:spacing w:after="0" w:line="279" w:lineRule="auto"/>
        <w:rPr>
          <w:sz w:val="20"/>
          <w:szCs w:val="20"/>
          <w:color w:val="auto"/>
        </w:rPr>
      </w:pPr>
      <w:r>
        <w:rPr>
          <w:rFonts w:ascii="Courier New" w:cs="Courier New" w:eastAsia="Courier New" w:hAnsi="Courier New"/>
          <w:sz w:val="15"/>
          <w:szCs w:val="15"/>
          <w:color w:val="auto"/>
        </w:rPr>
        <w:t>We held our 1998 Annual General Meeting of Shareholders on January 27, 1999. At that meeting, shareholders elected eleven directors for terms to expire at the next Annual General Meeting or until their positions are vacated by resignation or otherwise. In addition, shareholders approved three Company proposals. The persons elected and the results of the voting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Votes</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Votes</w:t>
            </w:r>
          </w:p>
        </w:tc>
      </w:tr>
      <w:tr>
        <w:trPr>
          <w:trHeight w:val="257"/>
        </w:trPr>
        <w:tc>
          <w:tcPr>
            <w:tcW w:w="1920" w:type="dxa"/>
            <w:vAlign w:val="bottom"/>
          </w:tcPr>
          <w:p>
            <w:pPr>
              <w:spacing w:after="0"/>
              <w:rPr>
                <w:sz w:val="22"/>
                <w:szCs w:val="22"/>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For</w:t>
            </w:r>
          </w:p>
        </w:tc>
        <w:tc>
          <w:tcPr>
            <w:tcW w:w="7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Against</w:t>
            </w:r>
          </w:p>
        </w:tc>
      </w:tr>
      <w:tr>
        <w:trPr>
          <w:trHeight w:val="271"/>
        </w:trPr>
        <w:tc>
          <w:tcPr>
            <w:tcW w:w="1920" w:type="dxa"/>
            <w:vAlign w:val="bottom"/>
          </w:tcPr>
          <w:p>
            <w:pPr>
              <w:spacing w:after="0"/>
              <w:rPr>
                <w:sz w:val="20"/>
                <w:szCs w:val="20"/>
                <w:color w:val="auto"/>
              </w:rPr>
            </w:pPr>
            <w:r>
              <w:rPr>
                <w:rFonts w:ascii="Courier New" w:cs="Courier New" w:eastAsia="Courier New" w:hAnsi="Courier New"/>
                <w:sz w:val="15"/>
                <w:szCs w:val="15"/>
                <w:color w:val="auto"/>
              </w:rPr>
              <w:t>Bruce K. Anderson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143,383,272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6,631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Robert A. Minicucci</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143,383,272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6,631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143,383,272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6,631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Adrian Gardner</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143,383,072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6,831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James S. Kahan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143,383,272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6,631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143,382,147</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7,756</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Paz Littman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143,383,472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6,431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Shmuel Meitar</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143,383,472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6,431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Revital Naveh</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143,383,472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6,431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Lawrence Perlman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143,383,472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6,431</w:t>
            </w:r>
          </w:p>
        </w:tc>
      </w:tr>
      <w:tr>
        <w:trPr>
          <w:trHeight w:val="257"/>
        </w:trPr>
        <w:tc>
          <w:tcPr>
            <w:tcW w:w="192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143,383,472</w:t>
            </w:r>
          </w:p>
        </w:tc>
        <w:tc>
          <w:tcPr>
            <w:tcW w:w="780" w:type="dxa"/>
            <w:vAlign w:val="bottom"/>
          </w:tcPr>
          <w:p>
            <w:pPr>
              <w:jc w:val="center"/>
              <w:ind w:left="84"/>
              <w:spacing w:after="0"/>
              <w:rPr>
                <w:sz w:val="20"/>
                <w:szCs w:val="20"/>
                <w:color w:val="auto"/>
              </w:rPr>
            </w:pPr>
            <w:r>
              <w:rPr>
                <w:rFonts w:ascii="Courier New" w:cs="Courier New" w:eastAsia="Courier New" w:hAnsi="Courier New"/>
                <w:sz w:val="15"/>
                <w:szCs w:val="15"/>
                <w:color w:val="auto"/>
              </w:rPr>
              <w:t>6,431</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1740" w:type="dxa"/>
            <w:vAlign w:val="bottom"/>
          </w:tcPr>
          <w:p>
            <w:pPr>
              <w:spacing w:after="0"/>
              <w:rPr>
                <w:sz w:val="15"/>
                <w:szCs w:val="15"/>
                <w:color w:val="auto"/>
              </w:rPr>
            </w:pPr>
          </w:p>
        </w:tc>
        <w:tc>
          <w:tcPr>
            <w:tcW w:w="2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Votes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Votes</w:t>
            </w: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Abstain</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Broker</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2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For</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Against</w:t>
            </w:r>
          </w:p>
        </w:tc>
        <w:tc>
          <w:tcPr>
            <w:tcW w:w="1140" w:type="dxa"/>
            <w:vAlign w:val="bottom"/>
            <w:vMerge w:val="continue"/>
          </w:tcPr>
          <w:p>
            <w:pPr>
              <w:spacing w:after="0"/>
              <w:rPr>
                <w:sz w:val="22"/>
                <w:szCs w:val="22"/>
                <w:color w:val="auto"/>
              </w:rPr>
            </w:pPr>
          </w:p>
        </w:tc>
        <w:tc>
          <w:tcPr>
            <w:tcW w:w="106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Non-votes</w:t>
            </w: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Company proposal</w:t>
            </w:r>
          </w:p>
        </w:tc>
        <w:tc>
          <w:tcPr>
            <w:tcW w:w="2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number 1 - Approval</w:t>
            </w:r>
          </w:p>
        </w:tc>
        <w:tc>
          <w:tcPr>
            <w:tcW w:w="2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of Consolidated Financial</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Statements for fiscal year</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2,075</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13,125</w:t>
            </w:r>
          </w:p>
        </w:tc>
        <w:tc>
          <w:tcPr>
            <w:tcW w:w="106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143,374,703</w:t>
            </w:r>
          </w:p>
        </w:tc>
        <w:tc>
          <w:tcPr>
            <w:tcW w:w="11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Company proposal</w:t>
            </w:r>
          </w:p>
        </w:tc>
        <w:tc>
          <w:tcPr>
            <w:tcW w:w="2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number 2 - Approval</w:t>
            </w:r>
          </w:p>
        </w:tc>
        <w:tc>
          <w:tcPr>
            <w:tcW w:w="2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of Ernst &amp; Young LLP</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and authorization</w:t>
            </w:r>
          </w:p>
        </w:tc>
        <w:tc>
          <w:tcPr>
            <w:tcW w:w="2200" w:type="dxa"/>
            <w:vAlign w:val="bottom"/>
          </w:tcPr>
          <w:p>
            <w:pPr>
              <w:jc w:val="right"/>
              <w:ind w:right="1944"/>
              <w:spacing w:after="0"/>
              <w:rPr>
                <w:sz w:val="20"/>
                <w:szCs w:val="20"/>
                <w:color w:val="auto"/>
              </w:rPr>
            </w:pPr>
            <w:r>
              <w:rPr>
                <w:rFonts w:ascii="Courier New" w:cs="Courier New" w:eastAsia="Courier New" w:hAnsi="Courier New"/>
                <w:sz w:val="15"/>
                <w:szCs w:val="15"/>
                <w:color w:val="auto"/>
                <w:w w:val="88"/>
              </w:rPr>
              <w:t>of</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Board to fix</w:t>
            </w:r>
          </w:p>
        </w:tc>
        <w:tc>
          <w:tcPr>
            <w:tcW w:w="22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143,376,767</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7,889</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5,247</w:t>
            </w:r>
          </w:p>
        </w:tc>
        <w:tc>
          <w:tcPr>
            <w:tcW w:w="106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Courier New" w:cs="Courier New" w:eastAsia="Courier New" w:hAnsi="Courier New"/>
                <w:sz w:val="15"/>
                <w:szCs w:val="15"/>
                <w:color w:val="auto"/>
              </w:rPr>
              <w:t>remuneration</w:t>
            </w:r>
          </w:p>
        </w:tc>
        <w:tc>
          <w:tcPr>
            <w:tcW w:w="220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Company proposal</w:t>
            </w:r>
          </w:p>
        </w:tc>
        <w:tc>
          <w:tcPr>
            <w:tcW w:w="2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Courier New" w:cs="Courier New" w:eastAsia="Courier New" w:hAnsi="Courier New"/>
                <w:sz w:val="15"/>
                <w:szCs w:val="15"/>
                <w:color w:val="auto"/>
              </w:rPr>
              <w:t>number 3 - Approval</w:t>
            </w:r>
          </w:p>
        </w:tc>
        <w:tc>
          <w:tcPr>
            <w:tcW w:w="2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of amendment to Stock</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Option and Incentive</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654,174</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27,011</w:t>
            </w:r>
          </w:p>
        </w:tc>
        <w:tc>
          <w:tcPr>
            <w:tcW w:w="106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2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142,708,718</w:t>
            </w:r>
          </w:p>
        </w:tc>
        <w:tc>
          <w:tcPr>
            <w:tcW w:w="11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6-K.</w:t>
      </w:r>
    </w:p>
    <w:p>
      <w:pPr>
        <w:spacing w:after="0" w:line="359" w:lineRule="exact"/>
        <w:rPr>
          <w:sz w:val="20"/>
          <w:szCs w:val="20"/>
          <w:color w:val="auto"/>
        </w:rPr>
      </w:pPr>
    </w:p>
    <w:p>
      <w:pPr>
        <w:ind w:left="826" w:hanging="826"/>
        <w:spacing w:after="0"/>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5"/>
          </w:cols>
          <w:pgMar w:left="234" w:top="266"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EXHIBIT NO.</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82" w:lineRule="exact"/>
        <w:rPr>
          <w:sz w:val="20"/>
          <w:szCs w:val="20"/>
          <w:color w:val="auto"/>
        </w:rPr>
      </w:pPr>
    </w:p>
    <w:p>
      <w:pPr>
        <w:sectPr>
          <w:pgSz w:w="11900" w:h="16838" w:orient="portrait"/>
          <w:cols w:equalWidth="0" w:num="2">
            <w:col w:w="1746" w:space="720"/>
            <w:col w:w="7759"/>
          </w:cols>
          <w:pgMar w:left="234" w:top="26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Amdocs Limited Press Release dated April 27, 1999.</w:t>
      </w:r>
    </w:p>
    <w:p>
      <w:pPr>
        <w:spacing w:after="0" w:line="200" w:lineRule="exact"/>
        <w:rPr>
          <w:sz w:val="20"/>
          <w:szCs w:val="20"/>
          <w:color w:val="auto"/>
        </w:rPr>
      </w:pPr>
    </w:p>
    <w:p>
      <w:pPr>
        <w:sectPr>
          <w:pgSz w:w="11900" w:h="16838" w:orient="portrait"/>
          <w:cols w:equalWidth="0" w:num="2">
            <w:col w:w="1746" w:space="720"/>
            <w:col w:w="7759"/>
          </w:cols>
          <w:pgMar w:left="234" w:top="266" w:right="1440" w:bottom="1440" w:gutter="0" w:footer="0" w:header="0"/>
          <w:type w:val="continuous"/>
        </w:sectPr>
      </w:pPr>
    </w:p>
    <w:p>
      <w:pPr>
        <w:spacing w:after="0" w:line="159" w:lineRule="exact"/>
        <w:rPr>
          <w:sz w:val="20"/>
          <w:szCs w:val="20"/>
          <w:color w:val="auto"/>
        </w:rPr>
      </w:pPr>
    </w:p>
    <w:p>
      <w:pPr>
        <w:ind w:left="826" w:hanging="826"/>
        <w:spacing w:after="0"/>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82" w:lineRule="exact"/>
        <w:rPr>
          <w:sz w:val="20"/>
          <w:szCs w:val="20"/>
          <w:color w:val="auto"/>
        </w:rPr>
      </w:pPr>
    </w:p>
    <w:p>
      <w:pPr>
        <w:ind w:left="6" w:right="3079"/>
        <w:spacing w:after="0" w:line="372" w:lineRule="auto"/>
        <w:rPr>
          <w:sz w:val="20"/>
          <w:szCs w:val="20"/>
          <w:color w:val="auto"/>
        </w:rPr>
      </w:pPr>
      <w:r>
        <w:rPr>
          <w:rFonts w:ascii="Courier New" w:cs="Courier New" w:eastAsia="Courier New" w:hAnsi="Courier New"/>
          <w:sz w:val="15"/>
          <w:szCs w:val="15"/>
          <w:color w:val="auto"/>
        </w:rPr>
        <w:t>A single report on Form 6-K describing our combination agreement with Architel Systems Corporation was filed during the three months ended March 31, 1999.</w:t>
      </w:r>
    </w:p>
    <w:p>
      <w:pPr>
        <w:sectPr>
          <w:pgSz w:w="11900" w:h="16838" w:orient="portrait"/>
          <w:cols w:equalWidth="0" w:num="1">
            <w:col w:w="10225"/>
          </w:cols>
          <w:pgMar w:left="234" w:top="266"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619"/>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0"/>
          <w:szCs w:val="20"/>
          <w:color w:val="auto"/>
        </w:rPr>
      </w:pPr>
    </w:p>
    <w:p>
      <w:pPr>
        <w:ind w:left="3560"/>
        <w:spacing w:after="0"/>
        <w:tabs>
          <w:tab w:leader="none" w:pos="4000" w:val="left"/>
        </w:tabs>
        <w:rPr>
          <w:sz w:val="20"/>
          <w:szCs w:val="20"/>
          <w:color w:val="auto"/>
        </w:rPr>
      </w:pPr>
      <w:r>
        <w:rPr>
          <w:rFonts w:ascii="Courier New" w:cs="Courier New" w:eastAsia="Courier New" w:hAnsi="Courier New"/>
          <w:sz w:val="15"/>
          <w:szCs w:val="15"/>
          <w:color w:val="auto"/>
        </w:rPr>
        <w:t>/s/</w:t>
        <w:tab/>
        <w:t>Thomas G. O'Brien</w:t>
      </w:r>
    </w:p>
    <w:p>
      <w:pPr>
        <w:spacing w:after="0" w:line="34"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Date: May 19, 1999</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Authorized U.S.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Representative</w:t>
      </w:r>
    </w:p>
    <w:p>
      <w:pPr>
        <w:sectPr>
          <w:pgSz w:w="11900" w:h="16838" w:orient="portrait"/>
          <w:cols w:equalWidth="0" w:num="1">
            <w:col w:w="10219"/>
          </w:cols>
          <w:pgMar w:left="240" w:top="26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66"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0" w:lineRule="exact"/>
        <w:rPr>
          <w:sz w:val="20"/>
          <w:szCs w:val="20"/>
          <w:color w:val="auto"/>
        </w:rPr>
      </w:pPr>
    </w:p>
    <w:p>
      <w:pPr>
        <w:sectPr>
          <w:pgSz w:w="11900" w:h="16838" w:orient="portrait"/>
          <w:cols w:equalWidth="0" w:num="2">
            <w:col w:w="1480" w:space="720"/>
            <w:col w:w="8019"/>
          </w:cols>
          <w:pgMar w:left="240" w:top="266"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 Press Release dated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27, 1999.</w:t>
      </w:r>
    </w:p>
    <w:p>
      <w:pPr>
        <w:sectPr>
          <w:pgSz w:w="11900" w:h="16838" w:orient="portrait"/>
          <w:cols w:equalWidth="0" w:num="2">
            <w:col w:w="1480" w:space="720"/>
            <w:col w:w="8019"/>
          </w:cols>
          <w:pgMar w:left="240" w:top="266"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99.1. PRESS RELEASE</w:t>
      </w:r>
    </w:p>
    <w:p>
      <w:pPr>
        <w:sectPr>
          <w:pgSz w:w="11900" w:h="16838" w:orient="portrait"/>
          <w:cols w:equalWidth="0" w:num="1">
            <w:col w:w="10219"/>
          </w:cols>
          <w:pgMar w:left="240" w:top="113"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59" w:lineRule="exact"/>
        <w:rPr>
          <w:sz w:val="20"/>
          <w:szCs w:val="20"/>
          <w:color w:val="auto"/>
        </w:rPr>
      </w:pPr>
    </w:p>
    <w:p>
      <w:pPr>
        <w:sectPr>
          <w:pgSz w:w="11900" w:h="16838" w:orient="portrait"/>
          <w:cols w:equalWidth="0" w:num="2">
            <w:col w:w="920" w:space="720"/>
            <w:col w:w="8579"/>
          </w:cols>
          <w:pgMar w:left="240" w:top="113" w:right="1440" w:bottom="1440" w:gutter="0" w:footer="0" w:header="0"/>
          <w:type w:val="continuous"/>
        </w:sectPr>
      </w:pPr>
    </w:p>
    <w:p>
      <w:pPr>
        <w:ind w:left="2200" w:hanging="557"/>
        <w:spacing w:after="0"/>
        <w:tabs>
          <w:tab w:leader="none" w:pos="22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957-8328</w:t>
      </w:r>
    </w:p>
    <w:p>
      <w:pPr>
        <w:spacing w:after="0" w:line="10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IMMEDIATE RELEASE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 RELEASE</w:t>
      </w:r>
    </w:p>
    <w:p>
      <w:pPr>
        <w:spacing w:after="0" w:line="200" w:lineRule="exact"/>
        <w:rPr>
          <w:sz w:val="20"/>
          <w:szCs w:val="20"/>
          <w:color w:val="auto"/>
        </w:rPr>
      </w:pPr>
    </w:p>
    <w:p>
      <w:pPr>
        <w:spacing w:after="0" w:line="33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AMDOCS LIMITED CONTINUES TO SHOW STRONG</w:t>
      </w:r>
    </w:p>
    <w:p>
      <w:pPr>
        <w:spacing w:after="0" w:line="3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GROWTH IN SECOND QUARTER</w:t>
      </w:r>
    </w:p>
    <w:p>
      <w:pPr>
        <w:spacing w:after="0" w:line="15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 REVENUE INCREASES BY 57.3% AND OPERATING INCOME BY 86.3% -</w:t>
      </w:r>
    </w:p>
    <w:p>
      <w:pPr>
        <w:spacing w:after="0" w:line="182" w:lineRule="exact"/>
        <w:rPr>
          <w:sz w:val="20"/>
          <w:szCs w:val="20"/>
          <w:color w:val="auto"/>
        </w:rPr>
      </w:pPr>
    </w:p>
    <w:p>
      <w:pPr>
        <w:jc w:val="both"/>
        <w:ind w:right="2899"/>
        <w:spacing w:after="0" w:line="310" w:lineRule="auto"/>
        <w:rPr>
          <w:sz w:val="20"/>
          <w:szCs w:val="20"/>
          <w:color w:val="auto"/>
        </w:rPr>
      </w:pPr>
      <w:r>
        <w:rPr>
          <w:rFonts w:ascii="Courier New" w:cs="Courier New" w:eastAsia="Courier New" w:hAnsi="Courier New"/>
          <w:sz w:val="15"/>
          <w:szCs w:val="15"/>
          <w:color w:val="auto"/>
        </w:rPr>
        <w:t>St. Louis, Missouri - April 27, 1999 - Amdocs Limited (NYSE: DOX) today reported that for the second quarter ended March 31, 1999, revenue increased by 57.3% to $147.8 million from $94.0 million in the second quarter last year.</w:t>
      </w:r>
    </w:p>
    <w:p>
      <w:pPr>
        <w:spacing w:after="0" w:line="46"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Second quarter operating income grew 86.3%, to $35.6 million. Net income increased 463.7% to $23.1 million, compared to $4.1 million in the second quarter last year. Diluted earnings per share for the quarter increased to $0.12 compared to $0.03 in the second quarter of fiscal 1998.</w:t>
      </w:r>
    </w:p>
    <w:p>
      <w:pPr>
        <w:spacing w:after="0" w:line="6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Avi Naor, President and Chief Executive Officer of Amdocs Management Limited, noted, "Amdocs continues to demonstrate strong, consistent growth. We have exceeded performance targets for the quarter and the first half of fiscal 1999."</w:t>
      </w:r>
    </w:p>
    <w:p>
      <w:pPr>
        <w:spacing w:after="0" w:line="46"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Naor added, "Looking at the market, we are experiencing excellent demand for both our customer care and billing and order management products. This reflects the unique standing of Amdocs' solutions in our target market -- high-end and mid-tier telecom carriers, as well as high-growth new entrants."</w:t>
      </w:r>
    </w:p>
    <w:p>
      <w:pPr>
        <w:spacing w:after="0" w:line="6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Naor continued, "We continue to expand our range of products, enabling us to continually broaden the solutions we offer to our customers. We are serving an ever-widening set of telecom operations, including wireless, local, long distance, international, ISP, VOIP and data services. In addition, our new Order Management system is being received enthusiastically."</w:t>
      </w:r>
    </w:p>
    <w:p>
      <w:pPr>
        <w:spacing w:after="0" w:line="69"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Naor concluded, "Looking forward, our pipeline remains strong, with many promising sales prospects. Visibility remains at the same high level as in previous quarters, due to the ongoing business relationships that we have with our customers, together with new sales. Overall, we are very confident regarding our future business prospects."</w:t>
      </w:r>
    </w:p>
    <w:p>
      <w:pPr>
        <w:spacing w:after="0" w:line="69"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For the first half of fiscal 1999, Amdocs reported that revenues increased 54.7% to $279.3 million compared to $180.6 million in the same period last year. Operating income reached $65.8 million, up 82.9% from $36.0 million in the first half of 1998. Net income grew to $43.3 million, or $0.22 per diluted share, as compared to $12.1 million, or $0.09 per diluted share for the first half last year.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w:t>
      </w:r>
    </w:p>
    <w:p>
      <w:pPr>
        <w:sectPr>
          <w:pgSz w:w="11900" w:h="16838" w:orient="portrait"/>
          <w:cols w:equalWidth="0" w:num="1">
            <w:col w:w="10219"/>
          </w:cols>
          <w:pgMar w:left="240" w:top="113"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w:t>
      </w:r>
    </w:p>
    <w:p>
      <w:pPr>
        <w:spacing w:after="0" w:line="34" w:lineRule="exact"/>
        <w:rPr>
          <w:sz w:val="20"/>
          <w:szCs w:val="20"/>
          <w:color w:val="auto"/>
        </w:rPr>
      </w:pPr>
    </w:p>
    <w:p>
      <w:pPr>
        <w:ind w:right="2979"/>
        <w:spacing w:after="0" w:line="262" w:lineRule="auto"/>
        <w:rPr>
          <w:sz w:val="20"/>
          <w:szCs w:val="20"/>
          <w:color w:val="auto"/>
        </w:rPr>
      </w:pPr>
      <w:r>
        <w:rPr>
          <w:rFonts w:ascii="Courier New" w:cs="Courier New" w:eastAsia="Courier New" w:hAnsi="Courier New"/>
          <w:sz w:val="15"/>
          <w:szCs w:val="15"/>
          <w:color w:val="auto"/>
        </w:rPr>
        <w:t>Amdocs is a leading provider of product-driven customer care and billing solutions to premier telecommunications companies worldwide. Amdocs has an unparalleled success record in project delivery of its mission-critical products. With human resources of over 3,600 information systems professionals dedicated to the telecommunications industry, Amdocs has an installed base of successful projects with more than 70 major telecommunications companies throughout the world. For more information visit our Web site at www.amdocs.com</w:t>
      </w:r>
    </w:p>
    <w:p>
      <w:pPr>
        <w:spacing w:after="0" w:line="83"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(financial tables follow)</w:t>
      </w:r>
    </w:p>
    <w:p>
      <w:pPr>
        <w:sectPr>
          <w:pgSz w:w="11900" w:h="16838" w:orient="portrait"/>
          <w:cols w:equalWidth="0" w:num="1">
            <w:col w:w="10219"/>
          </w:cols>
          <w:pgMar w:left="240" w:top="26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 CONTINUES TO SHOW STRONG GROWTH IN SECOND QUARTER</w:t>
      </w:r>
    </w:p>
    <w:p>
      <w:pPr>
        <w:spacing w:after="0" w:line="15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3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5"/>
                <w:szCs w:val="15"/>
                <w:color w:val="auto"/>
              </w:rPr>
            </w:pPr>
          </w:p>
        </w:tc>
        <w:tc>
          <w:tcPr>
            <w:tcW w:w="1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MARCH 31,</w:t>
            </w:r>
          </w:p>
        </w:tc>
        <w:tc>
          <w:tcPr>
            <w:tcW w:w="280" w:type="dxa"/>
            <w:vAlign w:val="bottom"/>
          </w:tcPr>
          <w:p>
            <w:pPr>
              <w:spacing w:after="0"/>
              <w:rPr>
                <w:sz w:val="15"/>
                <w:szCs w:val="15"/>
                <w:color w:val="auto"/>
              </w:rPr>
            </w:pPr>
          </w:p>
        </w:tc>
        <w:tc>
          <w:tcPr>
            <w:tcW w:w="19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3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gridSpan w:val="2"/>
            <w:vMerge w:val="restart"/>
          </w:tcPr>
          <w:p>
            <w:pPr>
              <w:jc w:val="right"/>
              <w:ind w:right="124"/>
              <w:spacing w:after="0"/>
              <w:rPr>
                <w:sz w:val="20"/>
                <w:szCs w:val="20"/>
                <w:color w:val="auto"/>
              </w:rPr>
            </w:pPr>
            <w:r>
              <w:rPr>
                <w:rFonts w:ascii="Courier New" w:cs="Courier New" w:eastAsia="Courier New" w:hAnsi="Courier New"/>
                <w:sz w:val="15"/>
                <w:szCs w:val="15"/>
                <w:color w:val="auto"/>
              </w:rPr>
              <w:t>$ 17,308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9,698</w:t>
            </w:r>
          </w:p>
        </w:tc>
        <w:tc>
          <w:tcPr>
            <w:tcW w:w="11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$ 32,348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18,419</w:t>
            </w: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11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130,522</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84,310</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246,907</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162,147</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2"/>
                <w:szCs w:val="22"/>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147,830</w:t>
            </w:r>
          </w:p>
        </w:tc>
        <w:tc>
          <w:tcPr>
            <w:tcW w:w="320" w:type="dxa"/>
            <w:vAlign w:val="bottom"/>
          </w:tcPr>
          <w:p>
            <w:pPr>
              <w:spacing w:after="0"/>
              <w:rPr>
                <w:sz w:val="22"/>
                <w:szCs w:val="22"/>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94,008</w:t>
            </w:r>
          </w:p>
        </w:tc>
        <w:tc>
          <w:tcPr>
            <w:tcW w:w="280" w:type="dxa"/>
            <w:vAlign w:val="bottom"/>
          </w:tcPr>
          <w:p>
            <w:pPr>
              <w:spacing w:after="0"/>
              <w:rPr>
                <w:sz w:val="22"/>
                <w:szCs w:val="22"/>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279,255</w:t>
            </w:r>
          </w:p>
        </w:tc>
        <w:tc>
          <w:tcPr>
            <w:tcW w:w="32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180,566</w:t>
            </w:r>
          </w:p>
        </w:tc>
        <w:tc>
          <w:tcPr>
            <w:tcW w:w="0" w:type="dxa"/>
            <w:vAlign w:val="bottom"/>
          </w:tcPr>
          <w:p>
            <w:pPr>
              <w:spacing w:after="0"/>
              <w:rPr>
                <w:sz w:val="1"/>
                <w:szCs w:val="1"/>
                <w:color w:val="auto"/>
              </w:rPr>
            </w:pPr>
          </w:p>
        </w:tc>
      </w:tr>
      <w:tr>
        <w:trPr>
          <w:trHeight w:val="95"/>
        </w:trPr>
        <w:tc>
          <w:tcPr>
            <w:tcW w:w="39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1,370</w:t>
            </w:r>
          </w:p>
        </w:tc>
        <w:tc>
          <w:tcPr>
            <w:tcW w:w="320" w:type="dxa"/>
            <w:vAlign w:val="bottom"/>
          </w:tcPr>
          <w:p>
            <w:pPr>
              <w:spacing w:after="0"/>
              <w:rPr>
                <w:sz w:val="8"/>
                <w:szCs w:val="8"/>
                <w:color w:val="auto"/>
              </w:rPr>
            </w:pP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2,655</w:t>
            </w:r>
          </w:p>
        </w:tc>
        <w:tc>
          <w:tcPr>
            <w:tcW w:w="280" w:type="dxa"/>
            <w:vAlign w:val="bottom"/>
          </w:tcPr>
          <w:p>
            <w:pPr>
              <w:spacing w:after="0"/>
              <w:rPr>
                <w:sz w:val="8"/>
                <w:szCs w:val="8"/>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2,693</w:t>
            </w:r>
          </w:p>
        </w:tc>
        <w:tc>
          <w:tcPr>
            <w:tcW w:w="320" w:type="dxa"/>
            <w:vAlign w:val="bottom"/>
          </w:tcPr>
          <w:p>
            <w:pPr>
              <w:spacing w:after="0"/>
              <w:rPr>
                <w:sz w:val="8"/>
                <w:szCs w:val="8"/>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5,867</w:t>
            </w: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84,280</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54,617</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160,195</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104,750</w:t>
            </w: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9,140</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5,634</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17,519</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10,955</w:t>
            </w: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17,415</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11,977</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33,062</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23,024</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112,205</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74,883</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213,469</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144,596</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23"/>
                <w:szCs w:val="23"/>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35,625</w:t>
            </w:r>
          </w:p>
        </w:tc>
        <w:tc>
          <w:tcPr>
            <w:tcW w:w="320" w:type="dxa"/>
            <w:vAlign w:val="bottom"/>
          </w:tcPr>
          <w:p>
            <w:pPr>
              <w:spacing w:after="0"/>
              <w:rPr>
                <w:sz w:val="23"/>
                <w:szCs w:val="23"/>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19,125</w:t>
            </w:r>
          </w:p>
        </w:tc>
        <w:tc>
          <w:tcPr>
            <w:tcW w:w="280" w:type="dxa"/>
            <w:vAlign w:val="bottom"/>
          </w:tcPr>
          <w:p>
            <w:pPr>
              <w:spacing w:after="0"/>
              <w:rPr>
                <w:sz w:val="23"/>
                <w:szCs w:val="23"/>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65,786</w:t>
            </w:r>
          </w:p>
        </w:tc>
        <w:tc>
          <w:tcPr>
            <w:tcW w:w="32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35,970</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260" w:type="dxa"/>
            <w:vAlign w:val="bottom"/>
          </w:tcPr>
          <w:p>
            <w:pPr>
              <w:spacing w:after="0"/>
              <w:rPr>
                <w:sz w:val="15"/>
                <w:szCs w:val="15"/>
                <w:color w:val="auto"/>
              </w:rPr>
            </w:pPr>
          </w:p>
        </w:tc>
        <w:tc>
          <w:tcPr>
            <w:tcW w:w="84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1,587</w:t>
            </w:r>
          </w:p>
        </w:tc>
        <w:tc>
          <w:tcPr>
            <w:tcW w:w="320" w:type="dxa"/>
            <w:vAlign w:val="bottom"/>
          </w:tcPr>
          <w:p>
            <w:pPr>
              <w:spacing w:after="0"/>
              <w:rPr>
                <w:sz w:val="15"/>
                <w:szCs w:val="15"/>
                <w:color w:val="auto"/>
              </w:rPr>
            </w:pP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11,478</w:t>
            </w:r>
          </w:p>
        </w:tc>
        <w:tc>
          <w:tcPr>
            <w:tcW w:w="28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2,902</w:t>
            </w:r>
          </w:p>
        </w:tc>
        <w:tc>
          <w:tcPr>
            <w:tcW w:w="32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13,801</w:t>
            </w: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979</w:t>
            </w:r>
          </w:p>
        </w:tc>
        <w:tc>
          <w:tcPr>
            <w:tcW w:w="3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(1,964)</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2,566</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10,839</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3,953</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11,837</w:t>
            </w:r>
          </w:p>
        </w:tc>
        <w:tc>
          <w:tcPr>
            <w:tcW w:w="0" w:type="dxa"/>
            <w:vAlign w:val="bottom"/>
          </w:tcPr>
          <w:p>
            <w:pPr>
              <w:spacing w:after="0"/>
              <w:rPr>
                <w:sz w:val="1"/>
                <w:szCs w:val="1"/>
                <w:color w:val="auto"/>
              </w:rPr>
            </w:pPr>
          </w:p>
        </w:tc>
      </w:tr>
      <w:tr>
        <w:trPr>
          <w:trHeight w:val="176"/>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33,059</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8,286</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61,833</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24,133</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9,918</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4,181</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18,550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12,067</w:t>
            </w:r>
          </w:p>
        </w:tc>
        <w:tc>
          <w:tcPr>
            <w:tcW w:w="0" w:type="dxa"/>
            <w:vAlign w:val="bottom"/>
          </w:tcPr>
          <w:p>
            <w:pPr>
              <w:spacing w:after="0"/>
              <w:rPr>
                <w:sz w:val="1"/>
                <w:szCs w:val="1"/>
                <w:color w:val="auto"/>
              </w:rPr>
            </w:pPr>
          </w:p>
        </w:tc>
      </w:tr>
      <w:tr>
        <w:trPr>
          <w:trHeight w:val="176"/>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940" w:type="dxa"/>
            <w:vAlign w:val="bottom"/>
            <w:vMerge w:val="continue"/>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$ 23,141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4,105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$ 43,283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39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shares-Basic</w:t>
            </w:r>
          </w:p>
        </w:tc>
        <w:tc>
          <w:tcPr>
            <w:tcW w:w="260" w:type="dxa"/>
            <w:vAlign w:val="bottom"/>
          </w:tcPr>
          <w:p>
            <w:pPr>
              <w:spacing w:after="0"/>
              <w:rPr>
                <w:sz w:val="24"/>
                <w:szCs w:val="24"/>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196,800</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128,424</w:t>
            </w:r>
          </w:p>
        </w:tc>
        <w:tc>
          <w:tcPr>
            <w:tcW w:w="2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196,800</w:t>
            </w:r>
          </w:p>
        </w:tc>
        <w:tc>
          <w:tcPr>
            <w:tcW w:w="3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127,858</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39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shares-Diluted</w:t>
            </w:r>
          </w:p>
        </w:tc>
        <w:tc>
          <w:tcPr>
            <w:tcW w:w="260" w:type="dxa"/>
            <w:vAlign w:val="bottom"/>
          </w:tcPr>
          <w:p>
            <w:pPr>
              <w:spacing w:after="0"/>
              <w:rPr>
                <w:sz w:val="24"/>
                <w:szCs w:val="24"/>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199,542</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129,739</w:t>
            </w:r>
          </w:p>
        </w:tc>
        <w:tc>
          <w:tcPr>
            <w:tcW w:w="2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199,263</w:t>
            </w:r>
          </w:p>
        </w:tc>
        <w:tc>
          <w:tcPr>
            <w:tcW w:w="3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128,333</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 CONTINUES TO SHOW STRONG GROWTH IN SECOND QUARTER</w:t>
      </w:r>
    </w:p>
    <w:p>
      <w:pPr>
        <w:spacing w:after="0" w:line="15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3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8060" w:type="dxa"/>
            <w:vAlign w:val="bottom"/>
          </w:tcPr>
          <w:p>
            <w:pPr>
              <w:ind w:left="320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26,894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25,389</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$7,124 and $10,331,</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121,283</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79,723</w:t>
            </w: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from related parties, including unbilled of $0 and</w:t>
            </w:r>
          </w:p>
        </w:tc>
        <w:tc>
          <w:tcPr>
            <w:tcW w:w="28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10,144</w:t>
            </w:r>
          </w:p>
        </w:tc>
        <w:tc>
          <w:tcPr>
            <w:tcW w:w="32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10,235</w:t>
            </w: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rPr>
                <w:sz w:val="20"/>
                <w:szCs w:val="20"/>
                <w:color w:val="auto"/>
              </w:rPr>
            </w:pPr>
            <w:r>
              <w:rPr>
                <w:rFonts w:ascii="Courier New" w:cs="Courier New" w:eastAsia="Courier New" w:hAnsi="Courier New"/>
                <w:sz w:val="15"/>
                <w:szCs w:val="15"/>
                <w:color w:val="auto"/>
              </w:rPr>
              <w:t>$537, respectively</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12,050</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14,534</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16,085</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11,991</w:t>
            </w:r>
          </w:p>
        </w:tc>
        <w:tc>
          <w:tcPr>
            <w:tcW w:w="0" w:type="dxa"/>
            <w:vAlign w:val="bottom"/>
          </w:tcPr>
          <w:p>
            <w:pPr>
              <w:spacing w:after="0"/>
              <w:rPr>
                <w:sz w:val="1"/>
                <w:szCs w:val="1"/>
                <w:color w:val="auto"/>
              </w:rPr>
            </w:pPr>
          </w:p>
        </w:tc>
      </w:tr>
      <w:tr>
        <w:trPr>
          <w:trHeight w:val="176"/>
        </w:trPr>
        <w:tc>
          <w:tcPr>
            <w:tcW w:w="80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80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186,456</w:t>
            </w:r>
          </w:p>
        </w:tc>
        <w:tc>
          <w:tcPr>
            <w:tcW w:w="320" w:type="dxa"/>
            <w:vAlign w:val="bottom"/>
          </w:tcPr>
          <w:p>
            <w:pPr>
              <w:spacing w:after="0"/>
              <w:rPr>
                <w:sz w:val="22"/>
                <w:szCs w:val="22"/>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141,872</w:t>
            </w: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280" w:type="dxa"/>
            <w:vAlign w:val="bottom"/>
          </w:tcPr>
          <w:p>
            <w:pPr>
              <w:spacing w:after="0"/>
              <w:rPr>
                <w:sz w:val="23"/>
                <w:szCs w:val="23"/>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63,533</w:t>
            </w:r>
          </w:p>
        </w:tc>
        <w:tc>
          <w:tcPr>
            <w:tcW w:w="320" w:type="dxa"/>
            <w:vAlign w:val="bottom"/>
          </w:tcPr>
          <w:p>
            <w:pPr>
              <w:spacing w:after="0"/>
              <w:rPr>
                <w:sz w:val="23"/>
                <w:szCs w:val="23"/>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46,404</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7,348</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7,773</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22,052</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23,362</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22,161</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20,555</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$ 301,550</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$ 239,966</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8060" w:type="dxa"/>
            <w:vAlign w:val="bottom"/>
          </w:tcPr>
          <w:p>
            <w:pPr>
              <w:ind w:left="1560"/>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47,449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47,599</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26,861</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29,948</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75,908</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91,565</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61,070</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29,241</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4,184</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Forward exchange contracts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1,275</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2,926</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18,039</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21,919</w:t>
            </w:r>
          </w:p>
        </w:tc>
        <w:tc>
          <w:tcPr>
            <w:tcW w:w="0" w:type="dxa"/>
            <w:vAlign w:val="bottom"/>
          </w:tcPr>
          <w:p>
            <w:pPr>
              <w:spacing w:after="0"/>
              <w:rPr>
                <w:sz w:val="1"/>
                <w:szCs w:val="1"/>
                <w:color w:val="auto"/>
              </w:rPr>
            </w:pPr>
          </w:p>
        </w:tc>
      </w:tr>
      <w:tr>
        <w:trPr>
          <w:trHeight w:val="176"/>
        </w:trPr>
        <w:tc>
          <w:tcPr>
            <w:tcW w:w="80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80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234,786</w:t>
            </w:r>
          </w:p>
        </w:tc>
        <w:tc>
          <w:tcPr>
            <w:tcW w:w="320" w:type="dxa"/>
            <w:vAlign w:val="bottom"/>
          </w:tcPr>
          <w:p>
            <w:pPr>
              <w:spacing w:after="0"/>
              <w:rPr>
                <w:sz w:val="22"/>
                <w:szCs w:val="22"/>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226,150</w:t>
            </w: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280" w:type="dxa"/>
            <w:vAlign w:val="bottom"/>
          </w:tcPr>
          <w:p>
            <w:pPr>
              <w:spacing w:after="0"/>
              <w:rPr>
                <w:sz w:val="23"/>
                <w:szCs w:val="23"/>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513</w:t>
            </w:r>
          </w:p>
        </w:tc>
        <w:tc>
          <w:tcPr>
            <w:tcW w:w="320" w:type="dxa"/>
            <w:vAlign w:val="bottom"/>
          </w:tcPr>
          <w:p>
            <w:pPr>
              <w:spacing w:after="0"/>
              <w:rPr>
                <w:sz w:val="23"/>
                <w:szCs w:val="23"/>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2,222</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12,675</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9,215</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27,805</w:t>
            </w:r>
          </w:p>
        </w:tc>
        <w:tc>
          <w:tcPr>
            <w:tcW w:w="320" w:type="dxa"/>
            <w:vAlign w:val="bottom"/>
          </w:tcPr>
          <w:p>
            <w:pPr>
              <w:spacing w:after="0"/>
              <w:rPr>
                <w:sz w:val="22"/>
                <w:szCs w:val="22"/>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24,268</w:t>
            </w: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pound sterling 0.01 par value; 0 shares</w:t>
            </w:r>
          </w:p>
        </w:tc>
        <w:tc>
          <w:tcPr>
            <w:tcW w:w="28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 sterling 0.01 par value; 196,800</w:t>
            </w:r>
          </w:p>
        </w:tc>
        <w:tc>
          <w:tcPr>
            <w:tcW w:w="28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3,149</w:t>
            </w:r>
          </w:p>
        </w:tc>
        <w:tc>
          <w:tcPr>
            <w:tcW w:w="32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3,149</w:t>
            </w:r>
          </w:p>
        </w:tc>
        <w:tc>
          <w:tcPr>
            <w:tcW w:w="0" w:type="dxa"/>
            <w:vAlign w:val="bottom"/>
          </w:tcPr>
          <w:p>
            <w:pPr>
              <w:spacing w:after="0"/>
              <w:rPr>
                <w:sz w:val="1"/>
                <w:szCs w:val="1"/>
                <w:color w:val="auto"/>
              </w:rPr>
            </w:pPr>
          </w:p>
        </w:tc>
      </w:tr>
      <w:tr>
        <w:trPr>
          <w:trHeight w:val="176"/>
        </w:trPr>
        <w:tc>
          <w:tcPr>
            <w:tcW w:w="8060" w:type="dxa"/>
            <w:vAlign w:val="bottom"/>
          </w:tcPr>
          <w:p>
            <w:pPr>
              <w:ind w:left="460"/>
              <w:spacing w:after="0"/>
              <w:rPr>
                <w:sz w:val="20"/>
                <w:szCs w:val="20"/>
                <w:color w:val="auto"/>
              </w:rPr>
            </w:pPr>
            <w:r>
              <w:rPr>
                <w:rFonts w:ascii="Courier New" w:cs="Courier New" w:eastAsia="Courier New" w:hAnsi="Courier New"/>
                <w:sz w:val="15"/>
                <w:szCs w:val="15"/>
                <w:color w:val="auto"/>
              </w:rPr>
              <w:t>shares outstanding</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447,772</w:t>
            </w:r>
          </w:p>
        </w:tc>
        <w:tc>
          <w:tcPr>
            <w:tcW w:w="3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447,503</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(loss) on derivative instruments</w:t>
            </w: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(6,559)</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(8,947)</w:t>
            </w:r>
          </w:p>
        </w:tc>
        <w:tc>
          <w:tcPr>
            <w:tcW w:w="0" w:type="dxa"/>
            <w:vAlign w:val="bottom"/>
          </w:tcPr>
          <w:p>
            <w:pPr>
              <w:spacing w:after="0"/>
              <w:rPr>
                <w:sz w:val="1"/>
                <w:szCs w:val="1"/>
                <w:color w:val="auto"/>
              </w:rPr>
            </w:pPr>
          </w:p>
        </w:tc>
      </w:tr>
      <w:tr>
        <w:trPr>
          <w:trHeight w:val="176"/>
        </w:trPr>
        <w:tc>
          <w:tcPr>
            <w:tcW w:w="806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(418,816)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(462,099)</w:t>
            </w:r>
          </w:p>
        </w:tc>
        <w:tc>
          <w:tcPr>
            <w:tcW w:w="0" w:type="dxa"/>
            <w:vAlign w:val="bottom"/>
          </w:tcPr>
          <w:p>
            <w:pPr>
              <w:spacing w:after="0"/>
              <w:rPr>
                <w:sz w:val="1"/>
                <w:szCs w:val="1"/>
                <w:color w:val="auto"/>
              </w:rPr>
            </w:pPr>
          </w:p>
        </w:tc>
      </w:tr>
      <w:tr>
        <w:trPr>
          <w:trHeight w:val="176"/>
        </w:trPr>
        <w:tc>
          <w:tcPr>
            <w:tcW w:w="806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shareholders' equity (deficit)</w:t>
            </w: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25,771</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(21,889)</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$ 301,550</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$ 239,966</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1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620"/>
      </w:cols>
      <w:pgMar w:left="240" w:top="266"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4"/>
    </w:lvl>
    <w:lvl w:ilvl="1">
      <w:lvlJc w:val="left"/>
      <w:lvlText w:val="(*)"/>
      <w:numFmt w:val="bullet"/>
      <w:start w:val="1"/>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o"/>
      <w:numFmt w:val="bullet"/>
      <w:start w:val="1"/>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decimal"/>
      <w:start w:val="3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2020-02-22T13:06:22Z</dcterms:created>
  <dcterms:modified xsi:type="dcterms:W3CDTF">2020-02-22T13:06:22Z</dcterms:modified>
</cp:coreProperties>
</file>