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20-F</w:t>
      </w:r>
    </w:p>
    <w:p>
      <w:pPr>
        <w:spacing w:after="0" w:line="207" w:lineRule="exact"/>
        <w:rPr>
          <w:sz w:val="24"/>
          <w:szCs w:val="24"/>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SEPTEMBER 30, 2001</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 TO ________.</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 and translation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Registrant's name into English)</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ISLAND OF GUERNSEY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(Jurisdiction of incorporation or organization)</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89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7"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9159"/>
        <w:spacing w:after="0"/>
        <w:rPr>
          <w:sz w:val="20"/>
          <w:szCs w:val="20"/>
          <w:color w:val="auto"/>
        </w:rPr>
      </w:pPr>
      <w:r>
        <w:rPr>
          <w:rFonts w:ascii="Courier New" w:cs="Courier New" w:eastAsia="Courier New" w:hAnsi="Courier New"/>
          <w:sz w:val="18"/>
          <w:szCs w:val="18"/>
          <w:color w:val="auto"/>
        </w:rPr>
        <w:t>Shares,</w:t>
      </w:r>
    </w:p>
    <w:p>
      <w:pPr>
        <w:jc w:val="center"/>
        <w:ind w:right="9159"/>
        <w:spacing w:after="0" w:line="237" w:lineRule="auto"/>
        <w:rPr>
          <w:sz w:val="20"/>
          <w:szCs w:val="20"/>
          <w:color w:val="auto"/>
        </w:rPr>
      </w:pPr>
      <w:r>
        <w:rPr>
          <w:rFonts w:ascii="Courier New" w:cs="Courier New" w:eastAsia="Courier New" w:hAnsi="Courier New"/>
          <w:sz w:val="18"/>
          <w:szCs w:val="18"/>
          <w:color w:val="auto"/>
        </w:rPr>
        <w:t>par value</w:t>
      </w:r>
    </w:p>
    <w:p>
      <w:pPr>
        <w:jc w:val="center"/>
        <w:ind w:right="9159"/>
        <w:spacing w:after="0"/>
        <w:rPr>
          <w:sz w:val="20"/>
          <w:szCs w:val="20"/>
          <w:color w:val="auto"/>
        </w:rPr>
      </w:pPr>
      <w:r>
        <w:rPr>
          <w:rFonts w:ascii="Courier New" w:cs="Courier New" w:eastAsia="Courier New" w:hAnsi="Courier New"/>
          <w:sz w:val="18"/>
          <w:szCs w:val="18"/>
          <w:color w:val="auto"/>
        </w:rPr>
        <w:t>L0.01 New</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4"/>
          <w:szCs w:val="24"/>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649" w:right="1440" w:bottom="2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Voting</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Ordinary Shares, par</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value L0.01</w:t>
            </w:r>
          </w:p>
        </w:tc>
        <w:tc>
          <w:tcPr>
            <w:tcW w:w="29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211,848,851(1)</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Non-Voting Ordinary Shares,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 L0.01</w:t>
            </w:r>
          </w:p>
        </w:tc>
        <w:tc>
          <w:tcPr>
            <w:tcW w:w="2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9"/>
              </w:rPr>
              <w:t>10,778,798</w:t>
            </w:r>
          </w:p>
        </w:tc>
        <w:tc>
          <w:tcPr>
            <w:tcW w:w="8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class)</w:t>
            </w:r>
          </w:p>
        </w:tc>
        <w:tc>
          <w:tcPr>
            <w:tcW w:w="2640" w:type="dxa"/>
            <w:vAlign w:val="bottom"/>
          </w:tcPr>
          <w:p>
            <w:pPr>
              <w:spacing w:after="0"/>
              <w:rPr>
                <w:sz w:val="17"/>
                <w:szCs w:val="17"/>
                <w:color w:val="auto"/>
              </w:rPr>
            </w:pPr>
          </w:p>
        </w:tc>
        <w:tc>
          <w:tcPr>
            <w:tcW w:w="2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9"/>
              </w:rPr>
              <w:t>(Number of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2,366,647 shares held by shareholders of a company we acquired, which can be exchanged for our voting ordinary shares. Does not include (a) 30,198,285 ordinary shares remaining under our stock option plan, (b) 1,061,134 ordinary shares reserved for issuance upon exercise of vested options granted by companies we have acquired, and (c) an aggregate</w:t>
      </w:r>
    </w:p>
    <w:p>
      <w:pPr>
        <w:spacing w:after="0" w:line="6"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5,429,350 ordinary shares reserved for issuance upon conversion of 2% Convertible Notes due June 1, 2008. As of September 30, 2001, options to purchase an aggregate of 13,090,108 ordinary shares were outstanding and 17,108,177 ordinary shares remained available for future option grants under our stock option plan.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selected to follow.</w:t>
      </w: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6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FORM 20-F</w:t>
            </w:r>
          </w:p>
        </w:tc>
        <w:tc>
          <w:tcPr>
            <w:tcW w:w="4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ANNUAL REPORT FOR THE FISCAL YEAR ENDED SEPTEMBER 30, 2001</w:t>
            </w:r>
          </w:p>
        </w:tc>
        <w:tc>
          <w:tcPr>
            <w:tcW w:w="4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48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6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9"/>
              </w:rPr>
              <w:t>INDEX</w:t>
            </w:r>
          </w:p>
        </w:tc>
        <w:tc>
          <w:tcPr>
            <w:tcW w:w="480" w:type="dxa"/>
            <w:vAlign w:val="bottom"/>
          </w:tcPr>
          <w:p>
            <w:pPr>
              <w:spacing w:after="0"/>
              <w:rPr>
                <w:sz w:val="24"/>
                <w:szCs w:val="24"/>
                <w:color w:val="auto"/>
              </w:rPr>
            </w:pPr>
          </w:p>
        </w:tc>
      </w:tr>
      <w:tr>
        <w:trPr>
          <w:trHeight w:val="810"/>
        </w:trPr>
        <w:tc>
          <w:tcPr>
            <w:tcW w:w="960" w:type="dxa"/>
            <w:vAlign w:val="bottom"/>
          </w:tcPr>
          <w:p>
            <w:pPr>
              <w:spacing w:after="0"/>
              <w:rPr>
                <w:sz w:val="24"/>
                <w:szCs w:val="24"/>
                <w:color w:val="auto"/>
              </w:rPr>
            </w:pPr>
          </w:p>
        </w:tc>
        <w:tc>
          <w:tcPr>
            <w:tcW w:w="6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PART I</w:t>
            </w:r>
          </w:p>
        </w:tc>
        <w:tc>
          <w:tcPr>
            <w:tcW w:w="4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Identity of Directors, Senior Management and Advisors -- Not</w:t>
            </w:r>
          </w:p>
        </w:tc>
        <w:tc>
          <w:tcPr>
            <w:tcW w:w="4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Offer Statistics and Expected Timetable -- Not 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Key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Information on the Company..................................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Operating and Financial Review and Prospects................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Directors, Senior Management and Employees..................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Major Shareholders and Related Party Transactions...........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Financial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The Offer and Listing.......................................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10.</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Additional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Quantitative and Qualitative Disclosure about Market Risk...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Description of Securities Other than Equity</w:t>
            </w:r>
          </w:p>
        </w:tc>
        <w:tc>
          <w:tcPr>
            <w:tcW w:w="4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Securities -- Not 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405"/>
        </w:trPr>
        <w:tc>
          <w:tcPr>
            <w:tcW w:w="960" w:type="dxa"/>
            <w:vAlign w:val="bottom"/>
          </w:tcPr>
          <w:p>
            <w:pPr>
              <w:spacing w:after="0"/>
              <w:rPr>
                <w:sz w:val="24"/>
                <w:szCs w:val="24"/>
                <w:color w:val="auto"/>
              </w:rPr>
            </w:pPr>
          </w:p>
        </w:tc>
        <w:tc>
          <w:tcPr>
            <w:tcW w:w="66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PART II</w:t>
            </w:r>
          </w:p>
        </w:tc>
        <w:tc>
          <w:tcPr>
            <w:tcW w:w="4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13.</w:t>
            </w:r>
          </w:p>
        </w:tc>
        <w:tc>
          <w:tcPr>
            <w:tcW w:w="6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Defaults, Dividend Arrearages and Delinquencies -- Not</w:t>
            </w:r>
          </w:p>
        </w:tc>
        <w:tc>
          <w:tcPr>
            <w:tcW w:w="4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14.</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Material Modifications to the Rights of Security Holders and</w:t>
            </w:r>
          </w:p>
        </w:tc>
        <w:tc>
          <w:tcPr>
            <w:tcW w:w="4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Use of Proceeds -- Not 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405"/>
        </w:trPr>
        <w:tc>
          <w:tcPr>
            <w:tcW w:w="960" w:type="dxa"/>
            <w:vAlign w:val="bottom"/>
          </w:tcPr>
          <w:p>
            <w:pPr>
              <w:spacing w:after="0"/>
              <w:rPr>
                <w:sz w:val="24"/>
                <w:szCs w:val="24"/>
                <w:color w:val="auto"/>
              </w:rPr>
            </w:pPr>
          </w:p>
        </w:tc>
        <w:tc>
          <w:tcPr>
            <w:tcW w:w="6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PART III</w:t>
            </w:r>
          </w:p>
        </w:tc>
        <w:tc>
          <w:tcPr>
            <w:tcW w:w="4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17.</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Financial Statements -- Not applicable......................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18.</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Financial Statements........................................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19.</w:t>
            </w:r>
          </w:p>
        </w:tc>
        <w:tc>
          <w:tcPr>
            <w:tcW w:w="6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Exhibits....................................................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608"/>
        </w:trPr>
        <w:tc>
          <w:tcPr>
            <w:tcW w:w="960" w:type="dxa"/>
            <w:vAlign w:val="bottom"/>
          </w:tcPr>
          <w:p>
            <w:pPr>
              <w:spacing w:after="0"/>
              <w:rPr>
                <w:sz w:val="24"/>
                <w:szCs w:val="24"/>
                <w:color w:val="auto"/>
              </w:rPr>
            </w:pPr>
          </w:p>
        </w:tc>
        <w:tc>
          <w:tcPr>
            <w:tcW w:w="668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Unless the context otherwise requires, all references in this annual report to "Amdocs", "we", "our", "us" and the "Company" refer to Amdocs Limited and its consolidated subsidiaries and their respective predecessors. References to "dollars" or $ are to U.S. dollars. Unless otherwise stated, all references to ordinary shares are to both voting and non-voting ordinary shares.</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IDENTITY OF DIRECTORS, SENIOR MANAGEMENT AND ADVISORS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OFFER STATISTICS AND EXPECTED TIMETABLE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accounting principals generally accepted in the United States ("GAAP") and presented in U.S. dollars. The selected historical consolidated financial information set forth below has been derived from the historical Consolidated Financial Statements of Amdocs for the years presented. Historical information as of and for the five years ended September 30, 2001 is derived from our Consolidated Financial Statements, which have been audited by Ernst &amp; Young LLP, our independent auditors.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(and should be read in conjunction with those Statements) and the discussion under "Operating and Financial Review and Prospects" included elsewhere in this report.</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23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1999 1998 1997 ----------</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40" w:hanging="529"/>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6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THOUSANDS, EXCEPT PER SHARE DATA) STATEMENT OF INCOME DATA:</w:t>
      </w:r>
    </w:p>
    <w:tbl>
      <w:tblPr>
        <w:tblLayout w:type="fixed"/>
        <w:tblInd w:w="0" w:type="dxa"/>
        <w:tblCellMar>
          <w:top w:w="0" w:type="dxa"/>
          <w:left w:w="0" w:type="dxa"/>
          <w:bottom w:w="0" w:type="dxa"/>
          <w:right w:w="0" w:type="dxa"/>
        </w:tblCellMar>
      </w:tblPr>
      <w:tr>
        <w:trPr>
          <w:trHeight w:val="199"/>
        </w:trPr>
        <w:tc>
          <w:tcPr>
            <w:tcW w:w="74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7"/>
              </w:rPr>
              <w:t>Revenue</w:t>
            </w:r>
          </w:p>
        </w:tc>
        <w:tc>
          <w:tcPr>
            <w:tcW w:w="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1"/>
              </w:rPr>
              <w:t>..........................</w:t>
            </w:r>
          </w:p>
        </w:tc>
        <w:tc>
          <w:tcPr>
            <w:tcW w:w="2100" w:type="dxa"/>
            <w:vAlign w:val="bottom"/>
          </w:tcPr>
          <w:p>
            <w:pPr>
              <w:spacing w:after="0"/>
              <w:rPr>
                <w:sz w:val="17"/>
                <w:szCs w:val="17"/>
                <w:color w:val="auto"/>
              </w:rPr>
            </w:pP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$1,533,910</w:t>
            </w:r>
          </w:p>
        </w:tc>
        <w:tc>
          <w:tcPr>
            <w:tcW w:w="60" w:type="dxa"/>
            <w:vAlign w:val="bottom"/>
          </w:tcPr>
          <w:p>
            <w:pPr>
              <w:spacing w:after="0"/>
              <w:rPr>
                <w:sz w:val="17"/>
                <w:szCs w:val="17"/>
                <w:color w:val="auto"/>
              </w:rPr>
            </w:pP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$1,118,320 $626,855</w:t>
            </w:r>
          </w:p>
        </w:tc>
      </w:tr>
      <w:tr>
        <w:trPr>
          <w:trHeight w:val="203"/>
        </w:trPr>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$403,767</w:t>
            </w:r>
          </w:p>
        </w:tc>
        <w:tc>
          <w:tcPr>
            <w:tcW w:w="2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$290,102 Operating</w:t>
            </w:r>
          </w:p>
        </w:tc>
      </w:tr>
      <w:tr>
        <w:trPr>
          <w:trHeight w:val="203"/>
        </w:trPr>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income.................</w:t>
            </w:r>
          </w:p>
        </w:tc>
        <w:tc>
          <w:tcPr>
            <w:tcW w:w="6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159,281</w:t>
            </w:r>
          </w:p>
        </w:tc>
      </w:tr>
      <w:tr>
        <w:trPr>
          <w:trHeight w:val="203"/>
        </w:trPr>
        <w:tc>
          <w:tcPr>
            <w:tcW w:w="3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74,124 146,998 84,895 26,969 Net</w:t>
            </w:r>
          </w:p>
        </w:tc>
      </w:tr>
      <w:tr>
        <w:trPr>
          <w:trHeight w:val="203"/>
        </w:trPr>
        <w:tc>
          <w:tcPr>
            <w:tcW w:w="132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4"/>
              </w:rPr>
              <w:t>income(1)....................</w:t>
            </w:r>
          </w:p>
        </w:tc>
        <w:tc>
          <w:tcPr>
            <w:tcW w:w="210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66,386</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5,978</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98,543 30,107 5,876</w:t>
            </w:r>
          </w:p>
        </w:tc>
      </w:tr>
      <w:tr>
        <w:trPr>
          <w:trHeight w:val="203"/>
        </w:trPr>
        <w:tc>
          <w:tcPr>
            <w:tcW w:w="740" w:type="dxa"/>
            <w:vAlign w:val="bottom"/>
          </w:tcPr>
          <w:p>
            <w:pPr>
              <w:spacing w:after="0"/>
              <w:rPr>
                <w:sz w:val="17"/>
                <w:szCs w:val="17"/>
                <w:color w:val="auto"/>
              </w:rPr>
            </w:pPr>
          </w:p>
        </w:tc>
        <w:tc>
          <w:tcPr>
            <w:tcW w:w="268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w w:val="99"/>
              </w:rPr>
              <w:t>Basic earnings per</w:t>
            </w: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share.........</w:t>
            </w:r>
          </w:p>
        </w:tc>
        <w:tc>
          <w:tcPr>
            <w:tcW w:w="60" w:type="dxa"/>
            <w:vAlign w:val="bottom"/>
          </w:tcPr>
          <w:p>
            <w:pPr>
              <w:spacing w:after="0"/>
              <w:rPr>
                <w:sz w:val="17"/>
                <w:szCs w:val="17"/>
                <w:color w:val="auto"/>
              </w:rPr>
            </w:pPr>
          </w:p>
        </w:tc>
        <w:tc>
          <w:tcPr>
            <w:tcW w:w="2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0.30 0.03 0.50</w:t>
            </w:r>
          </w:p>
        </w:tc>
      </w:tr>
      <w:tr>
        <w:trPr>
          <w:trHeight w:val="203"/>
        </w:trPr>
        <w:tc>
          <w:tcPr>
            <w:tcW w:w="34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0.19 0.05 Diluted earnings per</w:t>
            </w: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share.......</w:t>
            </w:r>
          </w:p>
        </w:tc>
        <w:tc>
          <w:tcPr>
            <w:tcW w:w="6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0.29 0.03 0.49 0.19</w:t>
            </w: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0.05</w:t>
            </w:r>
          </w:p>
        </w:tc>
        <w:tc>
          <w:tcPr>
            <w:tcW w:w="26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Dividends declared per</w:t>
            </w: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60" w:type="dxa"/>
            <w:vAlign w:val="bottom"/>
          </w:tcPr>
          <w:p>
            <w:pPr>
              <w:spacing w:after="0"/>
              <w:rPr>
                <w:sz w:val="17"/>
                <w:szCs w:val="17"/>
                <w:color w:val="auto"/>
              </w:rPr>
            </w:pPr>
          </w:p>
        </w:tc>
        <w:tc>
          <w:tcPr>
            <w:tcW w:w="2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9"/>
              </w:rPr>
              <w:t>-- -- -- 3.76 0.18</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hanging="313"/>
        <w:spacing w:after="0" w:line="237" w:lineRule="auto"/>
        <w:tabs>
          <w:tab w:leader="none" w:pos="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2001 2000 1999 1998</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1997 ----------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BALANCE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SHEET DATA: Total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$2,624,436 $1,935,085</w:t>
      </w:r>
    </w:p>
    <w:p>
      <w:pPr>
        <w:spacing w:after="0" w:line="4" w:lineRule="exact"/>
        <w:rPr>
          <w:rFonts w:ascii="Courier New" w:cs="Courier New" w:eastAsia="Courier New" w:hAnsi="Courier New"/>
          <w:sz w:val="18"/>
          <w:szCs w:val="18"/>
          <w:color w:val="auto"/>
        </w:rPr>
      </w:pPr>
    </w:p>
    <w:p>
      <w:pPr>
        <w:jc w:val="center"/>
        <w:ind w:left="60" w:right="7419"/>
        <w:spacing w:after="0" w:line="27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$430,011 $239,966 $220,582 Long-term obligations 2% Convertible Notes due June 1, 2008(2)..................</w:t>
      </w:r>
    </w:p>
    <w:p>
      <w:pPr>
        <w:spacing w:after="0" w:line="179" w:lineRule="exact"/>
        <w:rPr>
          <w:rFonts w:ascii="Courier New" w:cs="Courier New" w:eastAsia="Courier New" w:hAnsi="Courier New"/>
          <w:sz w:val="18"/>
          <w:szCs w:val="18"/>
          <w:color w:val="auto"/>
        </w:rPr>
      </w:pPr>
    </w:p>
    <w:p>
      <w:pPr>
        <w:jc w:val="center"/>
        <w:ind w:left="220" w:right="7479" w:hanging="105"/>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500,000 -- -- -- -- Long-term portion of capital lease obligations...........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24,779 23,417 17,148 9,215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7,370 Shareholders' equity</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(deficit)(3)</w:t>
      </w:r>
    </w:p>
    <w:p>
      <w:pPr>
        <w:sectPr>
          <w:pgSz w:w="11900" w:h="16838" w:orient="portrait"/>
          <w:cols w:equalWidth="0" w:num="1">
            <w:col w:w="10219"/>
          </w:cols>
          <w:pgMar w:left="240" w:top="717"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8"/>
        </w:trPr>
        <w:tc>
          <w:tcPr>
            <w:tcW w:w="120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1"/>
              </w:rPr>
              <w:t>(4)................</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1,512,091</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1,430,772</w:t>
            </w:r>
          </w:p>
        </w:tc>
      </w:tr>
      <w:tr>
        <w:trPr>
          <w:trHeight w:val="203"/>
        </w:trPr>
        <w:tc>
          <w:tcPr>
            <w:tcW w:w="8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w w:val="95"/>
              </w:rPr>
              <w:t>123,737</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(21,889)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94,253</w:t>
            </w:r>
          </w:p>
        </w:tc>
      </w:tr>
    </w:tbl>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999"/>
          </w:cols>
          <w:pgMar w:left="460" w:top="142" w:right="1440" w:bottom="1440" w:gutter="0" w:footer="0" w:header="0"/>
        </w:sectPr>
      </w:pPr>
    </w:p>
    <w:bookmarkStart w:id="5" w:name="page6"/>
    <w:bookmarkEnd w:id="5"/>
    <w:p>
      <w:pPr>
        <w:ind w:left="60"/>
        <w:spacing w:after="0"/>
        <w:rPr>
          <w:sz w:val="20"/>
          <w:szCs w:val="20"/>
          <w:color w:val="auto"/>
        </w:rPr>
      </w:pPr>
      <w:r>
        <w:rPr>
          <w:rFonts w:ascii="Courier New" w:cs="Courier New" w:eastAsia="Courier New" w:hAnsi="Courier New"/>
          <w:sz w:val="18"/>
          <w:szCs w:val="18"/>
          <w:color w:val="auto"/>
        </w:rPr>
        <w:t>ORDINARY SHARES ADDITIONAL -----------------------</w:t>
      </w:r>
    </w:p>
    <w:p>
      <w:pPr>
        <w:ind w:left="60"/>
        <w:spacing w:after="0" w:line="238" w:lineRule="auto"/>
        <w:rPr>
          <w:sz w:val="20"/>
          <w:szCs w:val="20"/>
          <w:color w:val="auto"/>
        </w:rPr>
      </w:pPr>
      <w:r>
        <w:rPr>
          <w:rFonts w:ascii="Courier New" w:cs="Courier New" w:eastAsia="Courier New" w:hAnsi="Courier New"/>
          <w:sz w:val="18"/>
          <w:szCs w:val="18"/>
          <w:color w:val="auto"/>
        </w:rPr>
        <w:t>-- PAID-IN SHARES AMOUNT CAPITAL ------- ---------</w:t>
      </w:r>
    </w:p>
    <w:p>
      <w:pPr>
        <w:spacing w:after="0" w:line="5" w:lineRule="exact"/>
        <w:rPr>
          <w:sz w:val="20"/>
          <w:szCs w:val="20"/>
          <w:color w:val="auto"/>
        </w:rPr>
      </w:pPr>
    </w:p>
    <w:p>
      <w:pPr>
        <w:ind w:left="160" w:right="4999" w:firstLine="211"/>
        <w:spacing w:after="0" w:line="268" w:lineRule="auto"/>
        <w:tabs>
          <w:tab w:leader="none" w:pos="10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THOUSANDS) STATEMENT OF CHANGES IN SHAREHOLDERS' EQUITY DATA: Balance as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September 30, 1997........................</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124,708 $1,996 $ 105,779 Issuance of ordinary</w:t>
      </w:r>
    </w:p>
    <w:p>
      <w:pPr>
        <w:ind w:left="260"/>
        <w:spacing w:after="0"/>
        <w:rPr>
          <w:sz w:val="20"/>
          <w:szCs w:val="20"/>
          <w:color w:val="auto"/>
        </w:rPr>
      </w:pPr>
      <w:r>
        <w:rPr>
          <w:rFonts w:ascii="Courier New" w:cs="Courier New" w:eastAsia="Courier New" w:hAnsi="Courier New"/>
          <w:sz w:val="18"/>
          <w:szCs w:val="18"/>
          <w:color w:val="auto"/>
        </w:rPr>
        <w:t>shares(3)........................ 72,092 1,153</w:t>
      </w:r>
    </w:p>
    <w:p>
      <w:pPr>
        <w:jc w:val="center"/>
        <w:ind w:right="4859"/>
        <w:spacing w:after="0" w:line="237" w:lineRule="auto"/>
        <w:rPr>
          <w:sz w:val="20"/>
          <w:szCs w:val="20"/>
          <w:color w:val="auto"/>
        </w:rPr>
      </w:pPr>
      <w:r>
        <w:rPr>
          <w:rFonts w:ascii="Courier New" w:cs="Courier New" w:eastAsia="Courier New" w:hAnsi="Courier New"/>
          <w:sz w:val="18"/>
          <w:szCs w:val="18"/>
          <w:color w:val="auto"/>
        </w:rPr>
        <w:t>331,485 Stock options granted, net of</w:t>
      </w:r>
    </w:p>
    <w:p>
      <w:pPr>
        <w:ind w:left="60"/>
        <w:spacing w:after="0" w:line="238" w:lineRule="auto"/>
        <w:rPr>
          <w:sz w:val="20"/>
          <w:szCs w:val="20"/>
          <w:color w:val="auto"/>
        </w:rPr>
      </w:pPr>
      <w:r>
        <w:rPr>
          <w:rFonts w:ascii="Courier New" w:cs="Courier New" w:eastAsia="Courier New" w:hAnsi="Courier New"/>
          <w:sz w:val="18"/>
          <w:szCs w:val="18"/>
          <w:color w:val="auto"/>
        </w:rPr>
        <w:t>forfeitures............. -- -- 10,239 ------- ----</w:t>
      </w:r>
    </w:p>
    <w:p>
      <w:pPr>
        <w:ind w:left="520"/>
        <w:spacing w:after="0"/>
        <w:rPr>
          <w:sz w:val="20"/>
          <w:szCs w:val="20"/>
          <w:color w:val="auto"/>
        </w:rPr>
      </w:pPr>
      <w:r>
        <w:rPr>
          <w:rFonts w:ascii="Courier New" w:cs="Courier New" w:eastAsia="Courier New" w:hAnsi="Courier New"/>
          <w:sz w:val="18"/>
          <w:szCs w:val="18"/>
          <w:color w:val="auto"/>
        </w:rPr>
        <w:t>-- ---------- Balance as of September 30,</w:t>
      </w:r>
    </w:p>
    <w:p>
      <w:pPr>
        <w:ind w:left="60"/>
        <w:spacing w:after="0" w:line="237" w:lineRule="auto"/>
        <w:rPr>
          <w:sz w:val="20"/>
          <w:szCs w:val="20"/>
          <w:color w:val="auto"/>
        </w:rPr>
      </w:pPr>
      <w:r>
        <w:rPr>
          <w:rFonts w:ascii="Courier New" w:cs="Courier New" w:eastAsia="Courier New" w:hAnsi="Courier New"/>
          <w:sz w:val="18"/>
          <w:szCs w:val="18"/>
          <w:color w:val="auto"/>
        </w:rPr>
        <w:t>1998........................ 196,800 3,149 447,503</w:t>
      </w:r>
    </w:p>
    <w:p>
      <w:pPr>
        <w:jc w:val="center"/>
        <w:ind w:right="4859"/>
        <w:spacing w:after="0"/>
        <w:rPr>
          <w:sz w:val="20"/>
          <w:szCs w:val="20"/>
          <w:color w:val="auto"/>
        </w:rPr>
      </w:pPr>
      <w:r>
        <w:rPr>
          <w:rFonts w:ascii="Courier New" w:cs="Courier New" w:eastAsia="Courier New" w:hAnsi="Courier New"/>
          <w:sz w:val="18"/>
          <w:szCs w:val="18"/>
          <w:color w:val="auto"/>
        </w:rPr>
        <w:t>Issuance of ordinary</w:t>
      </w:r>
    </w:p>
    <w:p>
      <w:pPr>
        <w:ind w:left="100"/>
        <w:spacing w:after="0" w:line="237" w:lineRule="auto"/>
        <w:rPr>
          <w:sz w:val="20"/>
          <w:szCs w:val="20"/>
          <w:color w:val="auto"/>
        </w:rPr>
      </w:pPr>
      <w:r>
        <w:rPr>
          <w:rFonts w:ascii="Courier New" w:cs="Courier New" w:eastAsia="Courier New" w:hAnsi="Courier New"/>
          <w:sz w:val="18"/>
          <w:szCs w:val="18"/>
          <w:color w:val="auto"/>
        </w:rPr>
        <w:t>shares(3)........................ 2,000 32 41,352</w:t>
      </w:r>
    </w:p>
    <w:p>
      <w:pPr>
        <w:jc w:val="center"/>
        <w:ind w:right="4859"/>
        <w:spacing w:after="0"/>
        <w:rPr>
          <w:sz w:val="20"/>
          <w:szCs w:val="20"/>
          <w:color w:val="auto"/>
        </w:rPr>
      </w:pPr>
      <w:r>
        <w:rPr>
          <w:rFonts w:ascii="Courier New" w:cs="Courier New" w:eastAsia="Courier New" w:hAnsi="Courier New"/>
          <w:sz w:val="18"/>
          <w:szCs w:val="18"/>
          <w:color w:val="auto"/>
        </w:rPr>
        <w:t>Stock options granted, net of</w:t>
      </w:r>
    </w:p>
    <w:p>
      <w:pPr>
        <w:ind w:left="100"/>
        <w:spacing w:after="0" w:line="237" w:lineRule="auto"/>
        <w:rPr>
          <w:sz w:val="20"/>
          <w:szCs w:val="20"/>
          <w:color w:val="auto"/>
        </w:rPr>
      </w:pPr>
      <w:r>
        <w:rPr>
          <w:rFonts w:ascii="Courier New" w:cs="Courier New" w:eastAsia="Courier New" w:hAnsi="Courier New"/>
          <w:sz w:val="18"/>
          <w:szCs w:val="18"/>
          <w:color w:val="auto"/>
        </w:rPr>
        <w:t>forfeitures............. -- -- 244 ------- ------</w:t>
      </w:r>
    </w:p>
    <w:p>
      <w:pPr>
        <w:ind w:left="680"/>
        <w:spacing w:after="0" w:line="238" w:lineRule="auto"/>
        <w:rPr>
          <w:sz w:val="20"/>
          <w:szCs w:val="20"/>
          <w:color w:val="auto"/>
        </w:rPr>
      </w:pPr>
      <w:r>
        <w:rPr>
          <w:rFonts w:ascii="Courier New" w:cs="Courier New" w:eastAsia="Courier New" w:hAnsi="Courier New"/>
          <w:sz w:val="18"/>
          <w:szCs w:val="18"/>
          <w:color w:val="auto"/>
        </w:rPr>
        <w:t>---------- Balance as of September 30,</w:t>
      </w:r>
    </w:p>
    <w:p>
      <w:pPr>
        <w:ind w:left="60"/>
        <w:spacing w:after="0"/>
        <w:rPr>
          <w:sz w:val="20"/>
          <w:szCs w:val="20"/>
          <w:color w:val="auto"/>
        </w:rPr>
      </w:pPr>
      <w:r>
        <w:rPr>
          <w:rFonts w:ascii="Courier New" w:cs="Courier New" w:eastAsia="Courier New" w:hAnsi="Courier New"/>
          <w:sz w:val="18"/>
          <w:szCs w:val="18"/>
          <w:color w:val="auto"/>
        </w:rPr>
        <w:t>1999........................ 198,800 3,181 489,099</w:t>
      </w:r>
    </w:p>
    <w:p>
      <w:pPr>
        <w:jc w:val="center"/>
        <w:ind w:right="4859"/>
        <w:spacing w:after="0" w:line="237" w:lineRule="auto"/>
        <w:rPr>
          <w:sz w:val="20"/>
          <w:szCs w:val="20"/>
          <w:color w:val="auto"/>
        </w:rPr>
      </w:pPr>
      <w:r>
        <w:rPr>
          <w:rFonts w:ascii="Courier New" w:cs="Courier New" w:eastAsia="Courier New" w:hAnsi="Courier New"/>
          <w:sz w:val="18"/>
          <w:szCs w:val="18"/>
          <w:color w:val="auto"/>
        </w:rPr>
        <w:t>Issuance of ordinary shares related to</w:t>
      </w:r>
    </w:p>
    <w:p>
      <w:pPr>
        <w:jc w:val="center"/>
        <w:ind w:right="4859"/>
        <w:spacing w:after="0"/>
        <w:rPr>
          <w:sz w:val="20"/>
          <w:szCs w:val="20"/>
          <w:color w:val="auto"/>
        </w:rPr>
      </w:pPr>
      <w:r>
        <w:rPr>
          <w:rFonts w:ascii="Courier New" w:cs="Courier New" w:eastAsia="Courier New" w:hAnsi="Courier New"/>
          <w:sz w:val="18"/>
          <w:szCs w:val="18"/>
          <w:color w:val="auto"/>
        </w:rPr>
        <w:t>acquisitions,</w:t>
      </w:r>
    </w:p>
    <w:p>
      <w:pPr>
        <w:spacing w:after="0" w:line="237" w:lineRule="auto"/>
        <w:rPr>
          <w:sz w:val="20"/>
          <w:szCs w:val="20"/>
          <w:color w:val="auto"/>
        </w:rPr>
      </w:pPr>
      <w:r>
        <w:rPr>
          <w:rFonts w:ascii="Courier New" w:cs="Courier New" w:eastAsia="Courier New" w:hAnsi="Courier New"/>
          <w:sz w:val="18"/>
          <w:szCs w:val="18"/>
          <w:color w:val="auto"/>
        </w:rPr>
        <w:t>net(4).............................................</w:t>
      </w:r>
    </w:p>
    <w:p>
      <w:pPr>
        <w:jc w:val="center"/>
        <w:ind w:right="4859"/>
        <w:spacing w:after="0"/>
        <w:rPr>
          <w:sz w:val="20"/>
          <w:szCs w:val="20"/>
          <w:color w:val="auto"/>
        </w:rPr>
      </w:pPr>
      <w:r>
        <w:rPr>
          <w:rFonts w:ascii="Courier New" w:cs="Courier New" w:eastAsia="Courier New" w:hAnsi="Courier New"/>
          <w:sz w:val="18"/>
          <w:szCs w:val="18"/>
          <w:color w:val="auto"/>
        </w:rPr>
        <w:t>20,307 325 1,263,330 Employee stock options</w:t>
      </w:r>
    </w:p>
    <w:p>
      <w:pPr>
        <w:ind w:left="220"/>
        <w:spacing w:after="0" w:line="237" w:lineRule="auto"/>
        <w:rPr>
          <w:sz w:val="20"/>
          <w:szCs w:val="20"/>
          <w:color w:val="auto"/>
        </w:rPr>
      </w:pPr>
      <w:r>
        <w:rPr>
          <w:rFonts w:ascii="Courier New" w:cs="Courier New" w:eastAsia="Courier New" w:hAnsi="Courier New"/>
          <w:sz w:val="18"/>
          <w:szCs w:val="18"/>
          <w:color w:val="auto"/>
        </w:rPr>
        <w:t>exercised...................... 2,058 33 21,327</w:t>
      </w:r>
    </w:p>
    <w:p>
      <w:pPr>
        <w:jc w:val="center"/>
        <w:ind w:right="4859"/>
        <w:spacing w:after="0" w:line="238" w:lineRule="auto"/>
        <w:rPr>
          <w:sz w:val="20"/>
          <w:szCs w:val="20"/>
          <w:color w:val="auto"/>
        </w:rPr>
      </w:pPr>
      <w:r>
        <w:rPr>
          <w:rFonts w:ascii="Courier New" w:cs="Courier New" w:eastAsia="Courier New" w:hAnsi="Courier New"/>
          <w:sz w:val="18"/>
          <w:szCs w:val="18"/>
          <w:color w:val="auto"/>
        </w:rPr>
        <w:t>Tax benefit of stock options</w:t>
      </w:r>
    </w:p>
    <w:p>
      <w:pPr>
        <w:ind w:left="380"/>
        <w:spacing w:after="0"/>
        <w:rPr>
          <w:sz w:val="20"/>
          <w:szCs w:val="20"/>
          <w:color w:val="auto"/>
        </w:rPr>
      </w:pPr>
      <w:r>
        <w:rPr>
          <w:rFonts w:ascii="Courier New" w:cs="Courier New" w:eastAsia="Courier New" w:hAnsi="Courier New"/>
          <w:sz w:val="18"/>
          <w:szCs w:val="18"/>
          <w:color w:val="auto"/>
        </w:rPr>
        <w:t>exercised................ -- -- 10,825 Stock</w:t>
      </w:r>
    </w:p>
    <w:p>
      <w:pPr>
        <w:ind w:left="60"/>
        <w:spacing w:after="0" w:line="237" w:lineRule="auto"/>
        <w:rPr>
          <w:sz w:val="20"/>
          <w:szCs w:val="20"/>
          <w:color w:val="auto"/>
        </w:rPr>
      </w:pPr>
      <w:r>
        <w:rPr>
          <w:rFonts w:ascii="Courier New" w:cs="Courier New" w:eastAsia="Courier New" w:hAnsi="Courier New"/>
          <w:sz w:val="18"/>
          <w:szCs w:val="18"/>
          <w:color w:val="auto"/>
        </w:rPr>
        <w:t>options granted................................. -</w:t>
      </w:r>
    </w:p>
    <w:p>
      <w:pPr>
        <w:ind w:left="160"/>
        <w:spacing w:after="0"/>
        <w:rPr>
          <w:sz w:val="20"/>
          <w:szCs w:val="20"/>
          <w:color w:val="auto"/>
        </w:rPr>
      </w:pPr>
      <w:r>
        <w:rPr>
          <w:rFonts w:ascii="Courier New" w:cs="Courier New" w:eastAsia="Courier New" w:hAnsi="Courier New"/>
          <w:sz w:val="18"/>
          <w:szCs w:val="18"/>
          <w:color w:val="auto"/>
        </w:rPr>
        <w:t>- -- 235 ------- ------ ---------- Balance as of</w:t>
      </w:r>
    </w:p>
    <w:p>
      <w:pPr>
        <w:ind w:left="60"/>
        <w:spacing w:after="0" w:line="237" w:lineRule="auto"/>
        <w:rPr>
          <w:sz w:val="20"/>
          <w:szCs w:val="20"/>
          <w:color w:val="auto"/>
        </w:rPr>
      </w:pPr>
      <w:r>
        <w:rPr>
          <w:rFonts w:ascii="Courier New" w:cs="Courier New" w:eastAsia="Courier New" w:hAnsi="Courier New"/>
          <w:sz w:val="18"/>
          <w:szCs w:val="18"/>
          <w:color w:val="auto"/>
        </w:rPr>
        <w:t>September 30, 2000........................ 221,165</w:t>
      </w:r>
    </w:p>
    <w:p>
      <w:pPr>
        <w:jc w:val="center"/>
        <w:ind w:right="4859"/>
        <w:spacing w:after="0"/>
        <w:rPr>
          <w:sz w:val="20"/>
          <w:szCs w:val="20"/>
          <w:color w:val="auto"/>
        </w:rPr>
      </w:pPr>
      <w:r>
        <w:rPr>
          <w:rFonts w:ascii="Courier New" w:cs="Courier New" w:eastAsia="Courier New" w:hAnsi="Courier New"/>
          <w:sz w:val="18"/>
          <w:szCs w:val="18"/>
          <w:color w:val="auto"/>
        </w:rPr>
        <w:t>3,539 1,784,816 Employee stock options</w:t>
      </w:r>
    </w:p>
    <w:p>
      <w:pPr>
        <w:ind w:left="220"/>
        <w:spacing w:after="0" w:line="237" w:lineRule="auto"/>
        <w:rPr>
          <w:sz w:val="20"/>
          <w:szCs w:val="20"/>
          <w:color w:val="auto"/>
        </w:rPr>
      </w:pPr>
      <w:r>
        <w:rPr>
          <w:rFonts w:ascii="Courier New" w:cs="Courier New" w:eastAsia="Courier New" w:hAnsi="Courier New"/>
          <w:sz w:val="18"/>
          <w:szCs w:val="18"/>
          <w:color w:val="auto"/>
        </w:rPr>
        <w:t>exercised...................... 1,463 21 13,946</w:t>
      </w:r>
    </w:p>
    <w:p>
      <w:pPr>
        <w:jc w:val="center"/>
        <w:ind w:right="4859"/>
        <w:spacing w:after="0"/>
        <w:rPr>
          <w:sz w:val="20"/>
          <w:szCs w:val="20"/>
          <w:color w:val="auto"/>
        </w:rPr>
      </w:pPr>
      <w:r>
        <w:rPr>
          <w:rFonts w:ascii="Courier New" w:cs="Courier New" w:eastAsia="Courier New" w:hAnsi="Courier New"/>
          <w:sz w:val="18"/>
          <w:szCs w:val="18"/>
          <w:color w:val="auto"/>
        </w:rPr>
        <w:t>Tax benefit of stock options</w:t>
      </w:r>
    </w:p>
    <w:p>
      <w:pPr>
        <w:ind w:left="420"/>
        <w:spacing w:after="0" w:line="237" w:lineRule="auto"/>
        <w:rPr>
          <w:sz w:val="20"/>
          <w:szCs w:val="20"/>
          <w:color w:val="auto"/>
        </w:rPr>
      </w:pPr>
      <w:r>
        <w:rPr>
          <w:rFonts w:ascii="Courier New" w:cs="Courier New" w:eastAsia="Courier New" w:hAnsi="Courier New"/>
          <w:sz w:val="18"/>
          <w:szCs w:val="18"/>
          <w:color w:val="auto"/>
        </w:rPr>
        <w:t>exercised................ -- -- 7,345 Stock</w:t>
      </w:r>
    </w:p>
    <w:p>
      <w:pPr>
        <w:ind w:left="60"/>
        <w:spacing w:after="0" w:line="238" w:lineRule="auto"/>
        <w:rPr>
          <w:sz w:val="20"/>
          <w:szCs w:val="20"/>
          <w:color w:val="auto"/>
        </w:rPr>
      </w:pPr>
      <w:r>
        <w:rPr>
          <w:rFonts w:ascii="Courier New" w:cs="Courier New" w:eastAsia="Courier New" w:hAnsi="Courier New"/>
          <w:sz w:val="18"/>
          <w:szCs w:val="18"/>
          <w:color w:val="auto"/>
        </w:rPr>
        <w:t>options granted................................. -</w:t>
      </w:r>
    </w:p>
    <w:p>
      <w:pPr>
        <w:ind w:left="160"/>
        <w:spacing w:after="0"/>
        <w:rPr>
          <w:sz w:val="20"/>
          <w:szCs w:val="20"/>
          <w:color w:val="auto"/>
        </w:rPr>
      </w:pPr>
      <w:r>
        <w:rPr>
          <w:rFonts w:ascii="Courier New" w:cs="Courier New" w:eastAsia="Courier New" w:hAnsi="Courier New"/>
          <w:sz w:val="18"/>
          <w:szCs w:val="18"/>
          <w:color w:val="auto"/>
        </w:rPr>
        <w:t>- -- 183 ------- ------ ---------- Balance as of</w:t>
      </w:r>
    </w:p>
    <w:p>
      <w:pPr>
        <w:ind w:left="60"/>
        <w:spacing w:after="0" w:line="237" w:lineRule="auto"/>
        <w:rPr>
          <w:sz w:val="20"/>
          <w:szCs w:val="20"/>
          <w:color w:val="auto"/>
        </w:rPr>
      </w:pPr>
      <w:r>
        <w:rPr>
          <w:rFonts w:ascii="Courier New" w:cs="Courier New" w:eastAsia="Courier New" w:hAnsi="Courier New"/>
          <w:sz w:val="18"/>
          <w:szCs w:val="18"/>
          <w:color w:val="auto"/>
        </w:rPr>
        <w:t>September 30, 2001........................ 222,628</w:t>
      </w:r>
    </w:p>
    <w:p>
      <w:pPr>
        <w:ind w:left="420"/>
        <w:spacing w:after="0"/>
        <w:rPr>
          <w:sz w:val="20"/>
          <w:szCs w:val="20"/>
          <w:color w:val="auto"/>
        </w:rPr>
      </w:pPr>
      <w:r>
        <w:rPr>
          <w:rFonts w:ascii="Courier New" w:cs="Courier New" w:eastAsia="Courier New" w:hAnsi="Courier New"/>
          <w:sz w:val="18"/>
          <w:szCs w:val="18"/>
          <w:color w:val="auto"/>
        </w:rPr>
        <w:t>$3,560 $1,806,290 =======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nonrecurring acquisition-related charges aggregating to $75,617, relating to our acquisitions of International Telecommunication Data Systems, Inc. ("ITDS") in November 1999 and Solect Technology Group Inc. ("Solect") in April 2000, in stock-for-stock transactions. The charges related to the ITDS transaction aggregated to $19,876 and were incurred by us in the first quarter of fiscal 2000. The charges related to the Solect transaction aggregated to $55,741 and were incurred by us in the third quarter of fiscal 2000. These charges included write-offs of purchased in-process research and development and other indirect acquisition-related costs. In the fourth quarter of fiscal 1997, we recorded nonrecurring charges of $27,563. Of such amount, $25,763 was attributable to the funding of a contribution to a trust and the balance, $1,800, was due to the write-off of in-process technology related to certain software rights acquired from several operating subsidiaries of SBC Communications Inc.</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May 2001, we issued to qualified institutional buyers $500,000 aggregate principal amount of 2% Convertible Notes due June 1, 2008 (the "Notes"). On September 25, 2001, following a shelf registration on Form F-3, the Notes began trading in the public market.</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second quarter of fiscal 1998, we issued 54,092 ordinary shares pursuant to agreements with certain shareholders. We completed our initial public offering of 18,000 ordinary shares in June 1998 and a public offering of an additional 2,000 ordinary shares in June 1999. The net proceeds to us from the offerings were $234,190 and $41,384, respectively.</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7,564 ordinary shares, including shares issuable upon exercise of vested ITDS employee options, were issued in connection with the ITDS acquisition, and an aggregate of 15,500 ordinary shares, including shares issuable upon exercise of vested Solect employee options, were issued in connection with the Solect acquisition.</w:t>
      </w:r>
    </w:p>
    <w:p>
      <w:pPr>
        <w:sectPr>
          <w:pgSz w:w="11900" w:h="16838" w:orient="portrait"/>
          <w:cols w:equalWidth="0" w:num="1">
            <w:col w:w="10219"/>
          </w:cols>
          <w:pgMar w:left="240" w:top="717" w:right="1440" w:bottom="784"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784"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could materially affect our existing or potential customers. Recently, these conditions have reduced the high growth that the communications industry had experienced over the past several years, and have caused the market value, financial results and prospects, and capital spending levels of many communications companies to decline or degrade. The impact of these conditions on the communications industry could reduce the demand for our products and services, and the revenue growth rates that we have achieved in recent years. As a result, we may be unable to effectively market and sell our information systems to potential customers in the communications industry.</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portion of our revenue is derived from products and services provided to directory publishers. We believe that the demand for those products and services will remain relatively stable as a result of the increased competition between directory publishers and other media channels. Our new products for these markets may not be successful and we believe our current levels of revenue from the sales of products and services to directory publishers are not likely to grow significantly.</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September 11, 2001 terrorist attacks on the United States and the subsequent military response by the United States in Afghanistan have had, and we expect will continue for some time to have, a negative effect on the global economy. These events and any similar acts of violence or war may negatively affect the communications industry, our revenue and our profitability and could also result in a disruption of our business or the businesses of our customers.</w:t>
      </w:r>
    </w:p>
    <w:p>
      <w:pPr>
        <w:spacing w:after="0" w:line="186" w:lineRule="exact"/>
        <w:rPr>
          <w:sz w:val="20"/>
          <w:szCs w:val="20"/>
          <w:color w:val="auto"/>
        </w:rPr>
      </w:pPr>
    </w:p>
    <w:p>
      <w:pPr>
        <w:ind w:left="220" w:right="2619"/>
        <w:spacing w:after="0" w:line="235" w:lineRule="auto"/>
        <w:rPr>
          <w:sz w:val="20"/>
          <w:szCs w:val="20"/>
          <w:color w:val="auto"/>
        </w:rPr>
      </w:pPr>
      <w:r>
        <w:rPr>
          <w:rFonts w:ascii="Courier New" w:cs="Courier New" w:eastAsia="Courier New" w:hAnsi="Courier New"/>
          <w:sz w:val="18"/>
          <w:szCs w:val="18"/>
          <w:color w:val="auto"/>
        </w:rPr>
        <w:t>IF WE CANNOT COMPETE SUCCESSFULLY WITH EXISTING OR NEW COMPETITORS OUR BUSINESS COULD BE MATERIALLY ADVERSELY AFFECTED</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also believe that our ability to compete depends in part on a number of factors, including:</w:t>
      </w:r>
    </w:p>
    <w:p>
      <w:pPr>
        <w:spacing w:after="0" w:line="208" w:lineRule="exact"/>
        <w:rPr>
          <w:sz w:val="20"/>
          <w:szCs w:val="20"/>
          <w:color w:val="auto"/>
        </w:rPr>
      </w:pPr>
    </w:p>
    <w:p>
      <w:pPr>
        <w:ind w:left="860" w:right="241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860" w:right="273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564"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MUST CONTINUALLY ENHANCE OUR PRODUCTS TO REMAIN COMPETITIVE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Systems ("BSS") products that operate in state-of-the-art computing environments.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that we will be able to successfully and efficiently integrate acquired businesses into our own or that our acquisitions will enhance or continue to enhance our products or strengthen our competitive position.</w:t>
      </w:r>
    </w:p>
    <w:p>
      <w:pPr>
        <w:spacing w:after="0" w:line="21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WE DEPEND ON SBC COMMUNICATIONS INC. FOR A SIGNIFICANT PORTION OF OUR REVENUE</w:t>
      </w:r>
    </w:p>
    <w:p>
      <w:pPr>
        <w:spacing w:after="0" w:line="22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One of our largest groups of customers is SBC Communications Inc. ("SBC") and its operating subsidiaries. A significant decrease in the sale of products and services to SBC or its subsidiaries may materially adversely affect our results of operations and financial condition. SBC International Inc. ("SBCI"), a wholly-owned subsidiary of SBC, is also one of our largest shareholders. As of November 30, 2001, it held approximately 14.4% of our outstanding voting ordinary shares and all of our outstanding non-voting ordinary shares.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Substantially all of our work for SBC is conducted directly with SBC's operating subsidiaries and affiliates, such as Cingular Wireless, Southwestern Bell Yellow Pages, Southwestern Bell Communications Services and Southwestern Bell Telephone Company. These SBC relationships accounted for, in the aggregate, 13.3%, 12.6% and 15.9% of our total revenue in fiscal 2001, 2000 and 1999, respectively. The revenue attributable to SBC and such subsidiaries and affiliates amounted to $203.9 million, $141.0 million and $99.5 million in fiscal 2001, 2000 and 1999, respectively.</w:t>
      </w: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OUR BUSINESS IS HIGHLY DEPENDENT ON A LIMITED NUMBER OF SIGNIFICANT CUSTOMERS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business is highly dependent on a limited number of significant customers, including SBC.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and its operating subsidiaries and affiliates, accounted for approximately 41.3% of revenue in fiscal 2001.</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ind w:left="220" w:right="1999"/>
        <w:spacing w:after="0" w:line="235" w:lineRule="auto"/>
        <w:rPr>
          <w:sz w:val="20"/>
          <w:szCs w:val="20"/>
          <w:color w:val="auto"/>
        </w:rPr>
      </w:pPr>
      <w:r>
        <w:rPr>
          <w:rFonts w:ascii="Courier New" w:cs="Courier New" w:eastAsia="Courier New" w:hAnsi="Courier New"/>
          <w:sz w:val="18"/>
          <w:szCs w:val="18"/>
          <w:color w:val="auto"/>
        </w:rPr>
        <w:t>OUR FUTURE SUCCESS DEPENDS ON OUR ABILITY TO DEVELOP LONG-TERM RELATIONSHIPS WITH OUR CUSTOMERS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depends to a significant extent on our ability to develop long-term relationships with successful network operators and service providers with the financial and other resources required to invest in significant ongoing BSS products. We may be unable to develop new customer relationships and our new customers may be unsuccessful. Either of these factors could have a material adverse effect on our business, results of operations and financial condition.</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SKILLED EMPLOYEES THAT WE NEED MAY BE DIFFICULT TO HIRE AND RETAIN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As of November 30, 2001, we employed on a full time basis approximately 9,100 software and information technology specialists, of which over 4,200 are located in Israel and 3,100 are located in North America.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8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QUARTERLY OPERATING RESULTS MAY FLUCTUATE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3" w:lineRule="exact"/>
        <w:rPr>
          <w:sz w:val="20"/>
          <w:szCs w:val="20"/>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fees,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cancellations of significant projects by customers,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rates,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564" w:gutter="0" w:footer="0" w:header="0"/>
        </w:sectPr>
      </w:pPr>
    </w:p>
    <w:bookmarkStart w:id="9" w:name="page10"/>
    <w:bookmarkEnd w:id="9"/>
    <w:p>
      <w:pPr>
        <w:ind w:left="220"/>
        <w:spacing w:after="0"/>
        <w:rPr>
          <w:sz w:val="20"/>
          <w:szCs w:val="20"/>
          <w:color w:val="auto"/>
        </w:rPr>
      </w:pPr>
      <w:r>
        <w:rPr>
          <w:rFonts w:ascii="Courier New" w:cs="Courier New" w:eastAsia="Courier New" w:hAnsi="Courier New"/>
          <w:sz w:val="18"/>
          <w:szCs w:val="18"/>
          <w:color w:val="auto"/>
        </w:rPr>
        <w:t>OUR BUSINESS IS IMPACTED BY THE LENGTH OF OUR SALES CYCLE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implementation procedures within an organization. The purchase of such products typically also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 Moreover, as a result of the current slowdown in the growth of the global communications market, our typical sales cycle associated with the purchase of our information systems has lengthened, which means that the average time between our initial contact with a prospective customer and the signing of a sales contract has increased. For the reasons discussed above, we believe that such lengthening of our sales cycle could reduce growth in our revenue.</w:t>
      </w:r>
    </w:p>
    <w:p>
      <w:pPr>
        <w:spacing w:after="0" w:line="18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INTERNATIONAL PRESENCE CREATES SPECIAL RISKS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are subject to certain risks inherent in doing business in international markets, including:</w:t>
      </w:r>
    </w:p>
    <w:p>
      <w:pPr>
        <w:spacing w:after="0" w:line="203" w:lineRule="exact"/>
        <w:rPr>
          <w:sz w:val="20"/>
          <w:szCs w:val="20"/>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860" w:right="2199" w:hanging="325"/>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6"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immigration regulations that limit our ability to deploy our employees,</w:t>
      </w:r>
    </w:p>
    <w:p>
      <w:pPr>
        <w:spacing w:after="0" w:line="218"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860" w:right="2519" w:hanging="325"/>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European and North American customer base and to expand into new international markets.</w:t>
      </w:r>
    </w:p>
    <w:p>
      <w:pPr>
        <w:spacing w:after="0" w:line="188"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FLUCTUATIONS IN FOREIGN CURRENCY EXCHANGE RATES COULD ADVERSELY AFFECT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portion of our revenue is not incurred in dollars or linked to the dollar, and therefore fluctuations in exchange rates between the currencies in which such revenue is incurred and the dollar may have a material effect on our results of operations and financial condition.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362" w:gutter="0" w:footer="0" w:header="0"/>
        </w:sectPr>
      </w:pPr>
    </w:p>
    <w:bookmarkStart w:id="10" w:name="page11"/>
    <w:bookmarkEnd w:id="10"/>
    <w:p>
      <w:pPr>
        <w:ind w:right="1999" w:firstLine="527"/>
        <w:spacing w:after="0" w:line="237" w:lineRule="auto"/>
        <w:rPr>
          <w:sz w:val="20"/>
          <w:szCs w:val="20"/>
          <w:color w:val="auto"/>
        </w:rPr>
      </w:pPr>
      <w:r>
        <w:rPr>
          <w:rFonts w:ascii="Courier New" w:cs="Courier New" w:eastAsia="Courier New" w:hAnsi="Courier New"/>
          <w:sz w:val="18"/>
          <w:szCs w:val="18"/>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BE UNABLE TO PROTECT OUR PROPRIETARY TECHNOLOGY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8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970" w:gutter="0" w:footer="0" w:header="0"/>
        </w:sectPr>
      </w:pPr>
    </w:p>
    <w:bookmarkStart w:id="11" w:name="page12"/>
    <w:bookmarkEnd w:id="11"/>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860" w:hanging="325"/>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860" w:right="1879" w:hanging="325"/>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860" w:right="2319" w:hanging="325"/>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 or</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generally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also damage our reputation, adversely affecting our business, results of operations and financial condition.</w:t>
      </w:r>
    </w:p>
    <w:p>
      <w:pPr>
        <w:spacing w:after="0" w:line="396"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OUR DEVELOPMENT FACILITIES IN ISRAEL AND CYPRUS MAY BE ADVERSELY AFFECTED BY POLITICAL AND ECONOMIC CONDITIONS IN THOSE COUNTRIES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 of the five development centers we maintain worldwide, our largest development center is located in Israel in six different sites throughout the country. Approximately half of our employees are located in Israel. As a result, we are directly influenced by the political, economic and military conditions affecting Israel and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any peace arrangement with Syria or Lebanon. Over the past year there has been a significant deterioration in Israel's relationship with the Palestinian Authority and a related increase in violence. Efforts to resolve the problem have failed to result in an agreeable solution. Continued hostilities between the Palestinian community and Israel and any failure to settle the conflict may have a material adverse effect on our business and us. Further deterioration of hostilities into a full-scale conflict might require more widespread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market price of our ordinary shares has fluctuated widely and may continue to do so. For example, since the beginning of fiscal 2001 through December 21, 2001 the sales price of our ordinary shares ranged from a low of $24.00 per share to a high of $80.50 per share. Many factors could cause the market price of our ordinary shares to rise and fall. Some of these factors are:</w:t>
      </w:r>
    </w:p>
    <w:p>
      <w:pPr>
        <w:spacing w:after="0" w:line="179" w:lineRule="exact"/>
        <w:rPr>
          <w:sz w:val="20"/>
          <w:szCs w:val="20"/>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860" w:right="2519" w:hanging="325"/>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 of new products or new pricing policies by us or our competitors,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industry,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6" w:lineRule="exact"/>
        <w:rPr>
          <w:rFonts w:ascii="Courier New" w:cs="Courier New" w:eastAsia="Courier New" w:hAnsi="Courier New"/>
          <w:sz w:val="18"/>
          <w:szCs w:val="18"/>
          <w:color w:val="auto"/>
        </w:rPr>
      </w:pPr>
    </w:p>
    <w:p>
      <w:pPr>
        <w:ind w:left="860" w:right="1879" w:hanging="325"/>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215"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FUTURE SALES BY EXISTING SHAREHOLDERS COULD DEPRESS THE MARKET PRICE OF OUR ORDINARY SHARES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Sales of substantial amounts of ordinary shares in the public market, or the perception that such sales could occur, could adversely affect prevailing market prices for the ordinary shares. As of November 30, 2001, we had 222,742,898 ordinary shares issued and outstanding, a substantial portion of which are either freely tradeable on the New York Stock Exchange (the "NYSE") or currently eligible for sale pursuant to Rule 144, under the Securities Act of 1933, as amended (the "Securities Act")(subject to compliance with the volume and manner of sale limitations of Rule 144), or pursuant to another exemption from the registration requirements of the Securities Act.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principal shareholders have the right, in certain circumstances, to require us to register their shares under the Securities Act for resale to the public. In addition, we have registered under the Securities Act a total of 35,062,121 ordinary shares, reserved for issuance upon the exercise of options that have been or may be granted under our stock option plans and stock option plans assumed by us in connection with our acquisitions of International Telecommunication Data Systems, Inc. ("ITDS") and Solect Technology Group Inc. ("Solect"). The right to exercise options outstanding under these plans is subject to certain vesting requirements.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DEVELOPMENT AND ORGANIZATIONAL STRUCTURE OF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Limited was organized under the laws of the Island of Guernsey in 1988 and, since 1995, we have been a holding company for the various subsidiaries that conduct our business on a worldwide basis. Our global business is providing information system solutions to major communications companies in North America, Europe and the rest of the world. Our registered office is located in Suite 5, Tower Hill House Le Bordage, St. Peter Port, Island of Guernsey, GY1 3QT Channel Islands, and the telephone number at that location is 011-44-1481-728444.</w:t>
      </w:r>
    </w:p>
    <w:p>
      <w:pPr>
        <w:spacing w:after="0" w:line="212"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82"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Our subsidiaries are organized under and subject to the laws of several countries. Our principal operating wholly-owned subsidiaries are Amdocs, Inc. (United States), Amdocs (UK) Limited, Amdocs Development Limited (Cyprus), Amdocs Management Limited (United Kingdom), Amdocs (Israel) Limited, Amdocs Software Systems Ltd (Ireland), Amdocs Champaign, Inc. (previously ITDS Intellicom Services, Inc.)(United States), Amdocs Stamford, Inc. (previously ITDS)(United States) and Amdocs Canada, Inc. (previously Solect).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acquisition of ITDS in November 1999 enabled us to expand our service offering and enhanced our ability to provide outsourcing solutions to our customers. (We have since renamed ITDS, Amdocs Stamford, Inc.) Our acquisition of Solect in April 2000 enhanced our ability to serve the growing Internet Protocol ("IP") needs of our customers, while also expanding our target market to cover IP operators, such as Internet Service Providers ("ISPs"), Application Service Providers ("ASPs") and broadband providers. (We have since renamed Solect, Amdocs Canada, Inc.)</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November 28, 2001, we completed our acquisition from Nortel Networks Corporation of substantially all of the assets of its Clarify business ("Clarify"), a leading provider of Customer Relationship Management ("CRM") software to communications companies and other enterprise sectors, for approximately $200 million in cash. We believe that this acquisition positions us as a leading provider of CRM to the communications industry and reinforces our leadership in delivering a comprehensive portfolio of BSS products and applications.</w:t>
      </w:r>
    </w:p>
    <w:p>
      <w:pPr>
        <w:spacing w:after="0" w:line="212" w:lineRule="exact"/>
        <w:rPr>
          <w:sz w:val="20"/>
          <w:szCs w:val="20"/>
          <w:color w:val="auto"/>
        </w:rPr>
      </w:pPr>
    </w:p>
    <w:p>
      <w:pPr>
        <w:jc w:val="both"/>
        <w:ind w:right="2419" w:firstLine="527"/>
        <w:spacing w:after="0" w:line="268" w:lineRule="auto"/>
        <w:rPr>
          <w:sz w:val="20"/>
          <w:szCs w:val="20"/>
          <w:color w:val="auto"/>
        </w:rPr>
      </w:pPr>
      <w:r>
        <w:rPr>
          <w:rFonts w:ascii="Courier New" w:cs="Courier New" w:eastAsia="Courier New" w:hAnsi="Courier New"/>
          <w:sz w:val="16"/>
          <w:szCs w:val="16"/>
          <w:color w:val="auto"/>
        </w:rPr>
        <w:t>In January 2001 we formed Certen Inc. ("Certen") with Bell Canada to provide customer care and billing solutions to Bell Canada and some of its affiliated companies. Certen is owned 90% by Bell Canada and 10% by us.</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Commencing on the 30-month anniversary of the transaction, convertible debentures issued by Certen to us will be convertible into an additional 35% ownership interest in Certen. The relative ownership interests of the shareholders might further be modified through the exercise of a series of contractual rights, commencing on the 30-month anniversary of the transaction. We will provide the customer care and billing software required by Certen, including customization, installation, maintenance and other services.</w:t>
      </w:r>
    </w:p>
    <w:p>
      <w:pPr>
        <w:spacing w:after="0" w:line="18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the future, we may consider, as part of our strategy, additional acquisitions and other initiatives in order to offer new products or services or otherwise enhance our market position or strategic strengths.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capital expenditures for each of fiscal 2001, 2000 and 1999 have been for computer equipment, for which we spent approximately $62.0 million, $35.7 million and $30.2 million in each respective year. We also lease vehicles for use by our employees, incurring lease obligations of $13.1 million, $15.7 million and $14.9 million, respectively, in each of the last three fiscal years.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Principal capital expenditures currently in progress consist of approximately $81.1 million to be used in fiscal 2002 for additional computer equipment with the bulk of these expenditures for computer equipment to be located at our facilities in North America and Israel.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are a leading provider of software products and services to major communications companies in North America, Europe and the rest of the world.</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0" w:gutter="0" w:footer="0" w:header="0"/>
        </w:sectPr>
      </w:pPr>
    </w:p>
    <w:bookmarkStart w:id="14" w:name="page15"/>
    <w:bookmarkEnd w:id="14"/>
    <w:p>
      <w:pPr>
        <w:ind w:right="1779" w:firstLine="527"/>
        <w:spacing w:after="0" w:line="237" w:lineRule="auto"/>
        <w:rPr>
          <w:sz w:val="20"/>
          <w:szCs w:val="20"/>
          <w:color w:val="auto"/>
        </w:rPr>
      </w:pPr>
      <w:r>
        <w:rPr>
          <w:rFonts w:ascii="Courier New" w:cs="Courier New" w:eastAsia="Courier New" w:hAnsi="Courier New"/>
          <w:sz w:val="18"/>
          <w:szCs w:val="18"/>
          <w:color w:val="auto"/>
        </w:rPr>
        <w:t>Our BSS products consist of software products designed to support the business operations of communications companies. Our BSS products and related services are designed to manage and improve key aspects of the business operations of communications companies, such as CRM, order management, call rating, invoice calculation and preparation, bill formatting, collections, fraud management, Partner Relationship Management ("PRM") and directory publishing services. We tailor our BSS products to address the unique needs of each communications provider.</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primarily provide Customer Care and Billing, CRM and Order Management Systems (collectively, "CC&amp;B Systems") for communications service providers. Our systems support a wide range of communications services including wireline, wireless, broadband, electronic and mobile commerce and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wireless companies (such as Sprint PCS, Nextel, Cingular Wireless and Vodafone Group) and Internet companies (such as BT Global Mobile Portal, SBC Internet Services and E-Plus Online).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Communications Industry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Over the past 20 years, the global communications industry has become increasingly more competitive as a result of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multiple or convergent services, offering combinations of local exchange, long distance, wireless, Internet data and electronic and mobile commerce services. Deregulation is also creating opportunities for new ways of doing business, such as wholesaling and reselling communications services. Internationally, privatization and deregulation continue to encourage increased international competition and the emergence of newly authorized 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parallel, the communications industry is undergoing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recent years, there has also been a large increase of new communications technologies, including ATM, IP, xDSL, utilization of cable television infrastructure to provide Internet services, PCS, GPRS (General Packet Radio Services), UMTS (Universal Mobile Telecommunications System), WAP (Wireless Application Protocol) for wireless Internet, and intelligent networks. Additionally, the directory publishing industry, which is currently dominated by communications companies that are owned by or affiliated with the public telecommunications carriers, is experiencing significant changes due to the introduction of new technologies and distribution platforms, especially Internet directories.</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15" w:name="page16"/>
    <w:bookmarkEnd w:id="15"/>
    <w:p>
      <w:pPr>
        <w:ind w:right="1779" w:firstLine="527"/>
        <w:spacing w:after="0" w:line="237" w:lineRule="auto"/>
        <w:rPr>
          <w:sz w:val="20"/>
          <w:szCs w:val="20"/>
          <w:color w:val="auto"/>
        </w:rPr>
      </w:pPr>
      <w:r>
        <w:rPr>
          <w:rFonts w:ascii="Courier New" w:cs="Courier New" w:eastAsia="Courier New" w:hAnsi="Courier New"/>
          <w:sz w:val="18"/>
          <w:szCs w:val="18"/>
          <w:color w:val="auto"/>
        </w:rPr>
        <w:t>Recently, market conditions in the communications industry have reduced the high growth that the communications industry had experienced over the past several years. As a result, the market value, financial results and prospects and capital spending levels of many communications companies have declined or degraded. However, we believe that our future business prospects remain strong in the current market because of our long-term customer relationships, solutions-based business model and diverse product portfolio, as discussed below. In addition, we believe that the current market conditions create additional opportunities for outsourcing of CC&amp;B Systems.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Systems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result of the technological and business developments in the communications industry, many communications companies are seeking a new generation of information systems to support their operations. These communications companies are looking for systems that provide enhanced customer management to support customer retention, flexible rating capabilities to support rapid rollout of new price plans and advanced IP services, and the ability to provide customers with single-contact, single-invoice solutions with integrated pricing plans for a wide range of services (convergence or "one-stop shopping"). The legacy information systems used by communications companies generally do not provide the level of integration, flexibility and scalability needed by communications companies as they seek to differentiate themselves from their competitors in an increasingly competitive marketplace.</w:t>
      </w:r>
    </w:p>
    <w:p>
      <w:pPr>
        <w:spacing w:after="0" w:line="39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Many new and existing communications companies do not have the financial or human resources or technological capability to internally develop efficient, flexible, cost-effective information systems on a timely basis. Moreover, as many communications companies strive to become more consumer-oriented, they are concentrating their efforts and internal resources on marketing to consumers and expanding their service offerings, and many are turning to third-party vendors for their information systems which creates significant opportunities for vendors of CC&amp;B Systems and providers of outsourcing services, such as Amdocs.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AMDOCS SOLUTION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believe that our total solutions orientation, product-driven approach and commitment to and support of quality personnel permit us to offer our customers effective solutions that are both highly innovative and reliable. We believe that our success derives from a combination of the following factors that differentiate us from most of our competitors.</w:t>
      </w:r>
    </w:p>
    <w:p>
      <w:pPr>
        <w:spacing w:after="0" w:line="209" w:lineRule="exact"/>
        <w:rPr>
          <w:sz w:val="20"/>
          <w:szCs w:val="20"/>
          <w:color w:val="auto"/>
        </w:rPr>
      </w:pPr>
    </w:p>
    <w:p>
      <w:pPr>
        <w:ind w:left="860" w:right="1879" w:hanging="325"/>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Solutions Orientation. We offer our customers total solutions that include BSS product-driven software tailored to the customer's specific requirements, implementation services, systems integration, maintenance, ongoing support and outsourcing. By providing services directly to the customer, we are able to effectively utilize our intricate technical knowledge of our BSS products in the overall execution of a project, significantly reducing project risk. Our product-driven software solutions approach is distinctly different from the project-based strategy that has traditionally characterized many of the communications information systems and service providers over the past twenty years. Our product-driven software solutions use our BSS products as the starting point for each project. This approach enhances our ability to provide our customers with timely, cost-effective, low-risk solutions at a consistent level of quality.</w:t>
      </w:r>
    </w:p>
    <w:p>
      <w:pPr>
        <w:spacing w:after="0" w:line="207"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Functional and Flexible BSS Products. Our BSS products are based on an open, multi-tier, client-server, rule and table-based architecture that provides the functionality, scalability, modularity and adaptability required by today's deregulated, highly competitive communications industry. The flexibility of our BSS products enables our customers to achieve significant time-to-market advantages and reduce their dependence on technical and other staff.</w:t>
      </w:r>
    </w:p>
    <w:p>
      <w:pPr>
        <w:spacing w:after="0" w:line="211" w:lineRule="exact"/>
        <w:rPr>
          <w:rFonts w:ascii="Courier New" w:cs="Courier New" w:eastAsia="Courier New" w:hAnsi="Courier New"/>
          <w:sz w:val="18"/>
          <w:szCs w:val="18"/>
          <w:color w:val="auto"/>
        </w:rPr>
      </w:pPr>
    </w:p>
    <w:p>
      <w:pPr>
        <w:ind w:left="860" w:right="1779" w:hanging="325"/>
        <w:spacing w:after="0" w:line="271"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4" w:gutter="0" w:footer="0" w:header="0"/>
        </w:sectPr>
      </w:pPr>
    </w:p>
    <w:bookmarkStart w:id="16" w:name="page17"/>
    <w:bookmarkEnd w:id="16"/>
    <w:p>
      <w:pPr>
        <w:ind w:left="860" w:right="1879"/>
        <w:spacing w:after="0" w:line="237" w:lineRule="auto"/>
        <w:rPr>
          <w:sz w:val="20"/>
          <w:szCs w:val="20"/>
          <w:color w:val="auto"/>
        </w:rPr>
      </w:pPr>
      <w:r>
        <w:rPr>
          <w:rFonts w:ascii="Courier New" w:cs="Courier New" w:eastAsia="Courier New" w:hAnsi="Courier New"/>
          <w:sz w:val="18"/>
          <w:szCs w:val="18"/>
          <w:color w:val="auto"/>
        </w:rPr>
        <w:t>reputation for reliably delivering quality solutions within agreed time frames and budgets. We have global recruitment capabilities and have development centers in Israel, the United States, Cyprus, Ireland and Canada.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207" w:lineRule="exact"/>
        <w:rPr>
          <w:sz w:val="20"/>
          <w:szCs w:val="20"/>
          <w:color w:val="auto"/>
        </w:rPr>
      </w:pPr>
    </w:p>
    <w:p>
      <w:pPr>
        <w:ind w:left="860" w:right="1999" w:hanging="325"/>
        <w:spacing w:after="0" w:line="23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IP and convergent service sectors.</w:t>
      </w:r>
    </w:p>
    <w:p>
      <w:pPr>
        <w:spacing w:after="0" w:line="212" w:lineRule="exact"/>
        <w:rPr>
          <w:rFonts w:ascii="Courier New" w:cs="Courier New" w:eastAsia="Courier New" w:hAnsi="Courier New"/>
          <w:sz w:val="18"/>
          <w:szCs w:val="18"/>
          <w:color w:val="auto"/>
        </w:rPr>
      </w:pPr>
    </w:p>
    <w:p>
      <w:pPr>
        <w:ind w:left="860" w:right="1879" w:hanging="325"/>
        <w:spacing w:after="0" w:line="27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and Promising New Entrants. We intend to continue to direct our marketing efforts principally towards the major communications companies and new entrants that are believed to have the potential to be market leaders. Our customer base includes major communications companies in North America (including SBC, Verizon, BellSouth, Sprint PCS and Nextel), Europe (including Deutsche Telekom (Germany), BT (UK) and Vodafone Group (UK)) and the Asia-Pacific region (Telstra (Australia), Japan Telecom (Japan) and KT Freetel (South Korea)).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387" w:lineRule="exact"/>
        <w:rPr>
          <w:rFonts w:ascii="Courier New" w:cs="Courier New" w:eastAsia="Courier New" w:hAnsi="Courier New"/>
          <w:sz w:val="16"/>
          <w:szCs w:val="16"/>
          <w:color w:val="auto"/>
        </w:rPr>
      </w:pPr>
    </w:p>
    <w:p>
      <w:pPr>
        <w:ind w:left="860" w:right="1779" w:hanging="325"/>
        <w:spacing w:after="0" w:line="27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our development personnel prepare detailed functional specifications. In accordance with such specifications, system modules are then adapted or customized to meet the customer's specific business requirements. We believe that this approach minimizes risks and increases efficiencies by drawing on field-proven BSS products and techniques, and also helps to create significant time-to-market and other competitive advantages for our customers. By leveraging our specialized product knowledge, we believe that we can provide more effective system integration and implementation support services to our customers.</w:t>
      </w:r>
    </w:p>
    <w:p>
      <w:pPr>
        <w:spacing w:after="0" w:line="387" w:lineRule="exact"/>
        <w:rPr>
          <w:rFonts w:ascii="Courier New" w:cs="Courier New" w:eastAsia="Courier New" w:hAnsi="Courier New"/>
          <w:sz w:val="16"/>
          <w:szCs w:val="16"/>
          <w:color w:val="auto"/>
        </w:rPr>
      </w:pPr>
    </w:p>
    <w:p>
      <w:pPr>
        <w:ind w:left="860" w:right="1779" w:hanging="325"/>
        <w:spacing w:after="0" w:line="23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Customers with End-to-End Solutions. We seek to provide our customers with end-to-end solutions to meet all their BSS needs. For communications service providers, we seek to provide end-to-end CC&amp;B Systems across all lines of their business, such as wireline, mobile and IP. In addition, we seek to provide a complete range of services to support these systems. This end-to-end approach also means that we offer to support global communications service providers throughout their various international operations. We believe that our ability to provide end-to-end solutions helps establish us as a strategic partner for our customers, and also provides us with multiple avenues for strengthening and expanding our ongoing customer relationships.</w:t>
      </w:r>
    </w:p>
    <w:p>
      <w:pPr>
        <w:spacing w:after="0" w:line="215"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17" w:name="page18"/>
    <w:bookmarkEnd w:id="17"/>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developed core competencies in various advanced technologies that are used in our BSS products. By utilizing technologies such as rule and table-based design, multi-tier architecture, object-oriented techniques, data mining, web-enabling and open application program interfaces ("APIs"),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by remote users, both internally within a communications company's organization and between the organization and its subscribers.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architecture of our BSS products includes the key characteristics described below.</w:t>
      </w:r>
    </w:p>
    <w:p>
      <w:pPr>
        <w:spacing w:after="0" w:line="208" w:lineRule="exact"/>
        <w:rPr>
          <w:sz w:val="20"/>
          <w:szCs w:val="20"/>
          <w:color w:val="auto"/>
        </w:rPr>
      </w:pPr>
    </w:p>
    <w:p>
      <w:pPr>
        <w:ind w:left="860" w:right="1779" w:hanging="325"/>
        <w:spacing w:after="0" w:line="23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BSS products are comprised of sets of functional modules. Each module can be installed on an individual stand-alone basis, interfacing with the customer's existing 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213"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Utilization of the UNIX platform ensures that our BSS customers are able to choose from a variety of hardware vendors, including Compaq, Hewlett Packard, IBM and Sun Microsystems. In implementing solutions for wireline companies, we are also able to employ MVS and hybrid UNIX/MVS platforms. Certain applications can also be deployed on the Windows NT platform. The BSS products utilize, where applicable, Java-based design and programming to augment cross-platform portability.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product offerings include an extensive library of BSS software products that we have developed to provide comprehensive information systems functionality for wireline, wireless, broadband, electronic and mobile commerce and IP service providers. Core elements include CRM, order management, call rating, invoice calculation, bill formatting, collections, fraud management, PRM and directory publishing services.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configure individual BSS modules into families of products, which serve as marketing packages oriented to the needs of specific customer segments. We provide Ensemble(TM) software, our main CC&amp;B Systems offering, in a number of versions to serve the different needs of communications operators in the various network and business segments, such as wireline, wireless, broadband and electronic and mobile commerce. As a result of our acquisition of Solect, our CC&amp;B Systems offering also includes the IAF Horizon(TM) product for Internet and electronic and mobile commerce, encompassing functionalities such as Internet-based bill viewing, IP service management, IP provisioning, IP event collection and partner management. We expanded our CRM offering with our acquisition of Clarify. We also offer our new generation, or NG, line of ADS (NG)/Family of Products which provides comprehensive support for directory publishing operations. Each individual module from the product families can be installed as an</w:t>
      </w: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564" w:gutter="0" w:footer="0" w:header="0"/>
        </w:sectPr>
      </w:pPr>
    </w:p>
    <w:bookmarkStart w:id="18" w:name="page19"/>
    <w:bookmarkEnd w:id="18"/>
    <w:p>
      <w:pPr>
        <w:ind w:right="1879"/>
        <w:spacing w:after="0" w:line="235" w:lineRule="auto"/>
        <w:rPr>
          <w:sz w:val="20"/>
          <w:szCs w:val="20"/>
          <w:color w:val="auto"/>
        </w:rPr>
      </w:pPr>
      <w:r>
        <w:rPr>
          <w:rFonts w:ascii="Courier New" w:cs="Courier New" w:eastAsia="Courier New" w:hAnsi="Courier New"/>
          <w:sz w:val="18"/>
          <w:szCs w:val="18"/>
          <w:color w:val="auto"/>
        </w:rPr>
        <w:t>independent stand-alone application, interfacing with the customer's legacy and third-party systems, or as part of an integrated Amdocs solution.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CC&amp;B Systems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Ensemble(TM) suite of products offered by Amdocs encompasses the following key customer care and billing, CRM and order management application areas:</w:t>
      </w:r>
    </w:p>
    <w:p>
      <w:pPr>
        <w:spacing w:after="0" w:line="209" w:lineRule="exact"/>
        <w:rPr>
          <w:sz w:val="20"/>
          <w:szCs w:val="20"/>
          <w:color w:val="auto"/>
        </w:rPr>
      </w:pPr>
    </w:p>
    <w:p>
      <w:pPr>
        <w:ind w:left="860" w:right="1779" w:hanging="325"/>
        <w:spacing w:after="0" w:line="279"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Management -- provides customer account information management and service support, including account initiation, on-line assistance in choosing a price plan, installation scheduling and complaint handling.</w:t>
      </w:r>
    </w:p>
    <w:p>
      <w:pPr>
        <w:spacing w:after="0" w:line="178" w:lineRule="exact"/>
        <w:rPr>
          <w:rFonts w:ascii="Courier New" w:cs="Courier New" w:eastAsia="Courier New" w:hAnsi="Courier New"/>
          <w:sz w:val="16"/>
          <w:szCs w:val="16"/>
          <w:color w:val="auto"/>
        </w:rPr>
      </w:pPr>
    </w:p>
    <w:p>
      <w:pPr>
        <w:ind w:left="860" w:right="1879" w:hanging="325"/>
        <w:spacing w:after="0" w:line="23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207" w:lineRule="exact"/>
        <w:rPr>
          <w:rFonts w:ascii="Courier New" w:cs="Courier New" w:eastAsia="Courier New" w:hAnsi="Courier New"/>
          <w:sz w:val="18"/>
          <w:szCs w:val="18"/>
          <w:color w:val="auto"/>
        </w:rPr>
      </w:pPr>
    </w:p>
    <w:p>
      <w:pPr>
        <w:ind w:left="860" w:right="1779" w:hanging="325"/>
        <w:spacing w:after="0" w:line="271"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Processing -- calculates charges for usage (i.e., event rating) of communications services, such as telephone calls, Internet access and data transfer. Usage of the communications network creates event records, which contain information such as the origin and destination of a telephone call and its duration. This module provides for acquisition and formatting of the raw event data received from a communications switch, and calculates the charges for each event based on the service packages and price plans applicable to each individual user.</w:t>
      </w:r>
    </w:p>
    <w:p>
      <w:pPr>
        <w:spacing w:after="0" w:line="185" w:lineRule="exact"/>
        <w:rPr>
          <w:rFonts w:ascii="Courier New" w:cs="Courier New" w:eastAsia="Courier New" w:hAnsi="Courier New"/>
          <w:sz w:val="16"/>
          <w:szCs w:val="16"/>
          <w:color w:val="auto"/>
        </w:rPr>
      </w:pPr>
    </w:p>
    <w:p>
      <w:pPr>
        <w:ind w:left="860" w:right="1999" w:hanging="325"/>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Invoicing -- provides comprehensive functionality for bill preparation (totaling of usage and other charges, application of discounts, taxes and credits) and bill production.</w:t>
      </w:r>
    </w:p>
    <w:p>
      <w:pPr>
        <w:spacing w:after="0" w:line="208"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Formatter -- enables the flexible definition and modification of bill formats, according to user requests (e.g., to combine charges from multiple services onto a single bill or to permit certain types of charges to be highlighted).</w:t>
      </w:r>
    </w:p>
    <w:p>
      <w:pPr>
        <w:spacing w:after="0" w:line="207"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207" w:lineRule="exact"/>
        <w:rPr>
          <w:rFonts w:ascii="Courier New" w:cs="Courier New" w:eastAsia="Courier New" w:hAnsi="Courier New"/>
          <w:sz w:val="18"/>
          <w:szCs w:val="18"/>
          <w:color w:val="auto"/>
        </w:rPr>
      </w:pPr>
    </w:p>
    <w:p>
      <w:pPr>
        <w:ind w:left="860" w:right="2319" w:hanging="325"/>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 manages the carrier's inventory of telephone numbers and SIM cards.</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Wireless and IP Provisioning -- Manages the interface between the carrier's customer care and billing system and the network, transferring instructions regarding the provision or discontinuation of wireless and IP services to specified users.</w:t>
      </w:r>
    </w:p>
    <w:p>
      <w:pPr>
        <w:spacing w:after="0" w:line="207" w:lineRule="exact"/>
        <w:rPr>
          <w:rFonts w:ascii="Courier New" w:cs="Courier New" w:eastAsia="Courier New" w:hAnsi="Courier New"/>
          <w:sz w:val="18"/>
          <w:szCs w:val="18"/>
          <w:color w:val="auto"/>
        </w:rPr>
      </w:pPr>
    </w:p>
    <w:p>
      <w:pPr>
        <w:ind w:left="860" w:right="1999" w:hanging="325"/>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Management -- calculates and manages commissions to be paid by the wireless carrier to its authorized dealers and sales representatives.</w:t>
      </w:r>
    </w:p>
    <w:p>
      <w:pPr>
        <w:spacing w:after="0" w:line="208"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Fraud Management -- employs sophisticated data analysis tools and makes use of the integrated user database to detect the fraudulent use of phones and phone numbers.</w:t>
      </w:r>
    </w:p>
    <w:p>
      <w:pPr>
        <w:spacing w:after="0" w:line="208" w:lineRule="exact"/>
        <w:rPr>
          <w:rFonts w:ascii="Courier New" w:cs="Courier New" w:eastAsia="Courier New" w:hAnsi="Courier New"/>
          <w:sz w:val="18"/>
          <w:szCs w:val="18"/>
          <w:color w:val="auto"/>
        </w:rPr>
      </w:pPr>
    </w:p>
    <w:p>
      <w:pPr>
        <w:jc w:val="both"/>
        <w:ind w:left="860" w:right="1779" w:hanging="325"/>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Web-based Customer Care -- enables bill viewing and payment capabilities over the Internet for both residential and business/corporate customers.</w:t>
      </w:r>
    </w:p>
    <w:p>
      <w:pPr>
        <w:spacing w:after="0" w:line="169" w:lineRule="exact"/>
        <w:rPr>
          <w:rFonts w:ascii="Courier New" w:cs="Courier New" w:eastAsia="Courier New" w:hAnsi="Courier New"/>
          <w:sz w:val="16"/>
          <w:szCs w:val="16"/>
          <w:color w:val="auto"/>
        </w:rPr>
      </w:pPr>
    </w:p>
    <w:p>
      <w:pPr>
        <w:ind w:left="860" w:right="2099" w:hanging="325"/>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Churn Management -- uses data mining techniques to identify customers with a high probability of switching to another carrier or of disconnecting service.</w:t>
      </w:r>
    </w:p>
    <w:p>
      <w:pPr>
        <w:spacing w:after="0" w:line="208" w:lineRule="exact"/>
        <w:rPr>
          <w:rFonts w:ascii="Courier New" w:cs="Courier New" w:eastAsia="Courier New" w:hAnsi="Courier New"/>
          <w:sz w:val="18"/>
          <w:szCs w:val="18"/>
          <w:color w:val="auto"/>
        </w:rPr>
      </w:pPr>
    </w:p>
    <w:p>
      <w:pPr>
        <w:ind w:left="860" w:right="1779" w:hanging="325"/>
        <w:spacing w:after="0" w:line="275"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Relationship Management -- calculates, manages and reconciles payments for intercarrier network access, including settlement of roaming charges between cellular carriers, as well as management of agreements and settlements between carriers and their business partners.</w:t>
      </w:r>
    </w:p>
    <w:p>
      <w:pPr>
        <w:spacing w:after="0" w:line="18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Clarify CRM product suite acquired from Nortel Networks enables us to provide a complete end-to-end or modular applications suite for communications service providers. The Amdocs suite of CRM products are divided into the three main categories described below.</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362" w:gutter="0" w:footer="0" w:header="0"/>
        </w:sectPr>
      </w:pPr>
    </w:p>
    <w:bookmarkStart w:id="19" w:name="page20"/>
    <w:bookmarkEnd w:id="19"/>
    <w:p>
      <w:pPr>
        <w:ind w:left="860" w:right="1879" w:hanging="325"/>
        <w:spacing w:after="0" w:line="270"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Marketing Solutions. Our sales marketing solutions provide a single, end-to-end approach for addressing the entire customer lifecycle. The applications included in these solutions provide every professional involved in the sales cycle with their own unique view of customer data. The solutions enable management of the entire sales process, from lead generation to deal closure, including analysis of business intelligence gathered from the sale, definition of optimal sales strategies and analysis of the service provider's performance in predicting and identifying key areas of opportunity. Our solutions also provide detailed tracking and measurement of marketing programs at the customer level. Using built-in analysis and scripting capabilities, our solutions can be used to create and manage new sales campaigns.</w:t>
      </w:r>
    </w:p>
    <w:p>
      <w:pPr>
        <w:spacing w:after="0" w:line="186" w:lineRule="exact"/>
        <w:rPr>
          <w:rFonts w:ascii="Courier New" w:cs="Courier New" w:eastAsia="Courier New" w:hAnsi="Courier New"/>
          <w:sz w:val="16"/>
          <w:szCs w:val="16"/>
          <w:color w:val="auto"/>
        </w:rPr>
      </w:pPr>
    </w:p>
    <w:p>
      <w:pPr>
        <w:ind w:left="860" w:right="1779" w:hanging="325"/>
        <w:spacing w:after="0" w:line="270"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and Support Solutions. Our service and support solutions provide customer service support and trouble management capabilities for the handling of customer trouble calls, questions and service requests. Our solutions create trouble tickets, which are automatically routed to the appropriate queues and workflows for prompt and efficient issue resolution. With links to logistics management applications, communications service providers can manage the entire service support cycle, from call handling to scheduling, field dispatch, on-site data collection and parts inventory and fulfillment. Using our solutions, service technicians are able to provide on-site assessments of the information and materials needed to resolve customer problems, reducing their service response time. With self-service capabilities, a service provider's customers can create service requests, and track the progress of open requests, on a 24/7 basis.</w:t>
      </w:r>
    </w:p>
    <w:p>
      <w:pPr>
        <w:spacing w:after="0" w:line="387" w:lineRule="exact"/>
        <w:rPr>
          <w:rFonts w:ascii="Courier New" w:cs="Courier New" w:eastAsia="Courier New" w:hAnsi="Courier New"/>
          <w:sz w:val="16"/>
          <w:szCs w:val="16"/>
          <w:color w:val="auto"/>
        </w:rPr>
      </w:pPr>
    </w:p>
    <w:p>
      <w:pPr>
        <w:ind w:left="860" w:right="1779" w:hanging="325"/>
        <w:spacing w:after="0" w:line="271"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Intelligence and Customer Analytics Solutions. Our customer analytics solutions provide insight in evaluating customer value and profitability. Our patented analytic algorithms and advanced data mining processes offer communications service providers the ability to take key front-office and customer behavior metrics, such as demand prediction, cross-selling opportunities and customer profitability estimates, and use that information to determine customer needs/lifetime value for personalized one-to-one marketing and sales efforts.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IAF Horizon(TM) suite of CC&amp;B Systems products acquired from Solect has helped us to focus on the IP service provider market. By allowing service providers to offer, collect and bill for IP services over packet-switched networks, IAF Horizon(TM) supports innovative new business models, such as Virtual Service Providers ("VSPs"), mobile commerce, content aggregation, revenue sharing, sponsorship and hosting packaged applications.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IAF Horizon(TM) is comprised of the following functional modules:</w:t>
      </w:r>
    </w:p>
    <w:p>
      <w:pPr>
        <w:spacing w:after="0" w:line="207" w:lineRule="exact"/>
        <w:rPr>
          <w:sz w:val="20"/>
          <w:szCs w:val="20"/>
          <w:color w:val="auto"/>
        </w:rPr>
      </w:pPr>
    </w:p>
    <w:p>
      <w:pPr>
        <w:ind w:left="860" w:right="1879" w:hanging="325"/>
        <w:spacing w:after="0" w:line="237"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Management -- provides the functionality for flexibly defining service offerings, real-time provisioning of these services in the network, and collecting usage data for the services so that the service provider can bill for them.</w:t>
      </w:r>
    </w:p>
    <w:p>
      <w:pPr>
        <w:spacing w:after="0" w:line="207" w:lineRule="exact"/>
        <w:rPr>
          <w:rFonts w:ascii="Courier New" w:cs="Courier New" w:eastAsia="Courier New" w:hAnsi="Courier New"/>
          <w:sz w:val="18"/>
          <w:szCs w:val="18"/>
          <w:color w:val="auto"/>
        </w:rPr>
      </w:pPr>
    </w:p>
    <w:p>
      <w:pPr>
        <w:jc w:val="both"/>
        <w:ind w:left="860" w:right="1779" w:hanging="325"/>
        <w:spacing w:after="0" w:line="279"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PDC Service Plug-ins -- Provisioning Data Collectors ("PDCs") operate as a service plug-in, allowing service providers the opportunity to rapidly add new services without costly coding delays or system downtime.</w:t>
      </w:r>
    </w:p>
    <w:p>
      <w:pPr>
        <w:spacing w:after="0" w:line="178" w:lineRule="exact"/>
        <w:rPr>
          <w:rFonts w:ascii="Courier New" w:cs="Courier New" w:eastAsia="Courier New" w:hAnsi="Courier New"/>
          <w:sz w:val="16"/>
          <w:szCs w:val="16"/>
          <w:color w:val="auto"/>
        </w:rPr>
      </w:pPr>
    </w:p>
    <w:p>
      <w:pPr>
        <w:ind w:left="860" w:right="1779" w:hanging="325"/>
        <w:spacing w:after="0" w:line="23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Console -- allows the service provider's marketing managers to create product offerings, pricing and bundles quickly and easily through a web-based graphical user interface ("GUI").</w:t>
      </w:r>
    </w:p>
    <w:p>
      <w:pPr>
        <w:spacing w:after="0" w:line="208" w:lineRule="exact"/>
        <w:rPr>
          <w:rFonts w:ascii="Courier New" w:cs="Courier New" w:eastAsia="Courier New" w:hAnsi="Courier New"/>
          <w:sz w:val="18"/>
          <w:szCs w:val="18"/>
          <w:color w:val="auto"/>
        </w:rPr>
      </w:pPr>
    </w:p>
    <w:p>
      <w:pPr>
        <w:ind w:left="860" w:right="2099" w:hanging="325"/>
        <w:spacing w:after="0" w:line="23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Rater -- advanced rule and table-based rating engine, which allows service providers to develop complex rating rules in a simple logical manner via an intuitive HTML-based GUI.</w:t>
      </w:r>
    </w:p>
    <w:p>
      <w:pPr>
        <w:spacing w:after="0" w:line="208"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Billing -- provides comprehensive billing capabilities, generates invoices in multiple formats (electronic and hard-copy), and offers optional credit card billing as well as interfaces to existing billing and invoicing systems.</w:t>
      </w:r>
    </w:p>
    <w:p>
      <w:pPr>
        <w:spacing w:after="0" w:line="207" w:lineRule="exact"/>
        <w:rPr>
          <w:rFonts w:ascii="Courier New" w:cs="Courier New" w:eastAsia="Courier New" w:hAnsi="Courier New"/>
          <w:sz w:val="18"/>
          <w:szCs w:val="18"/>
          <w:color w:val="auto"/>
        </w:rPr>
      </w:pPr>
    </w:p>
    <w:p>
      <w:pPr>
        <w:ind w:left="860" w:right="2099" w:hanging="325"/>
        <w:spacing w:after="0" w:line="275"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Care -- includes a highly configurable HTML template-driven interface for customer service representatives, corporate self-administration and self-care. This module allows IP service providers to create price plans. The templates are fully WAP enabled.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0" w:name="page21"/>
    <w:bookmarkEnd w:id="20"/>
    <w:p>
      <w:pPr>
        <w:ind w:left="540"/>
        <w:spacing w:after="0"/>
        <w:rPr>
          <w:sz w:val="20"/>
          <w:szCs w:val="20"/>
          <w:color w:val="auto"/>
        </w:rPr>
      </w:pPr>
      <w:r>
        <w:rPr>
          <w:rFonts w:ascii="Courier New" w:cs="Courier New" w:eastAsia="Courier New" w:hAnsi="Courier New"/>
          <w:sz w:val="18"/>
          <w:szCs w:val="18"/>
          <w:color w:val="auto"/>
        </w:rPr>
        <w:t>Directory Publishing</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ADS(NG)/Family of Products, our main offering in the Directory Systems area, provides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186" w:lineRule="exact"/>
        <w:rPr>
          <w:sz w:val="20"/>
          <w:szCs w:val="20"/>
          <w:color w:val="auto"/>
        </w:rPr>
      </w:pPr>
    </w:p>
    <w:p>
      <w:pPr>
        <w:ind w:left="860" w:right="1879" w:hanging="325"/>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213" w:lineRule="exact"/>
        <w:rPr>
          <w:rFonts w:ascii="Courier New" w:cs="Courier New" w:eastAsia="Courier New" w:hAnsi="Courier New"/>
          <w:sz w:val="18"/>
          <w:szCs w:val="18"/>
          <w:color w:val="auto"/>
        </w:rPr>
      </w:pPr>
    </w:p>
    <w:p>
      <w:pPr>
        <w:ind w:left="860" w:right="1879" w:hanging="325"/>
        <w:spacing w:after="0" w:line="273"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84" w:lineRule="exact"/>
        <w:rPr>
          <w:rFonts w:ascii="Courier New" w:cs="Courier New" w:eastAsia="Courier New" w:hAnsi="Courier New"/>
          <w:sz w:val="16"/>
          <w:szCs w:val="16"/>
          <w:color w:val="auto"/>
        </w:rPr>
      </w:pPr>
    </w:p>
    <w:p>
      <w:pPr>
        <w:ind w:left="860" w:right="1879" w:hanging="325"/>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213"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208"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 -- permits online support for handling customer inquiries and resolving customer complaints, including online correction of advertising data and billing adjustments.</w:t>
      </w:r>
    </w:p>
    <w:p>
      <w:pPr>
        <w:spacing w:after="0" w:line="208" w:lineRule="exact"/>
        <w:rPr>
          <w:rFonts w:ascii="Courier New" w:cs="Courier New" w:eastAsia="Courier New" w:hAnsi="Courier New"/>
          <w:sz w:val="18"/>
          <w:szCs w:val="18"/>
          <w:color w:val="auto"/>
        </w:rPr>
      </w:pPr>
    </w:p>
    <w:p>
      <w:pPr>
        <w:ind w:left="860" w:right="2319" w:hanging="325"/>
        <w:spacing w:after="0" w:line="290"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86"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System implementation and integration activities are conducted by joint teams from Amdocs and the customer in parallel with the customization effort. Implementation and integration activities include, for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767"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conducted on a global basis. We maintain five development facilities located in Israel, the United States, Cyprus, Ireland and Canada, operate a support center located in Brazil and have operations in North America, Europe, Latin America and the Asia-Pacific region. Support for implementation and integration activities is typically performed at the customer site. Once the system is operational or in production, we provide ongoing support and maintenance through a combination of remote support from the development centers and local support at the customer site.</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part of our effort to provide comprehensive solutions to our customers, we also offer outsourcing services to support operation of our BSS products. These outsourcing services generally comprise a combination of functions such as responsibility for the ongoing development and enhancement of BSS systems that we have installed, the purchase and management of related hardware assets and overall management of the customer's associated data centers.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sales and marketing activities are primarily directed at major communications companies.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The current slowdown in the growth of the global communications market has lengthened our typical sales cycle associated with the purchase of our information systems, which means that the average time between our initial contact with a prospective customer and the signing of a sales contract has increased. Our sales cycle currently ranges between six to twelve months for the majority of our new sales. See "Risk Factors -- Our business is impacted by lengthening sales cycles".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employ a relatively small and dedicated sales force and maintain sales offices in the United States, the United Kingdom, and several other countries. Our sales activities are supported by marketing efforts, including marketing communications, product management, market research and strategic alliances. Our sales efforts are dependent upon close cooperation between our sales representatives and development personnel. Development personnel are intensively engaged with potential clients from the early stages of the sales cycle. This approach enables us to demonstrate our technical and professional skills to potential customers and to simultaneously engage our customer in a discussion of its system needs. In addition, to ensure that we maintain a clear understanding of customer needs and expectations, it is our policy to have the development personnel who were involved in a particular sales proposal continue to work with the customer. This approach creates continuity from the initial sales proposal through project development and beyond, into the ongoing production phase.</w:t>
      </w:r>
    </w:p>
    <w:p>
      <w:pPr>
        <w:spacing w:after="0" w:line="1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 w:name="page23"/>
    <w:bookmarkEnd w:id="22"/>
    <w:p>
      <w:pPr>
        <w:ind w:right="1999"/>
        <w:spacing w:after="0" w:line="235" w:lineRule="auto"/>
        <w:rPr>
          <w:sz w:val="20"/>
          <w:szCs w:val="20"/>
          <w:color w:val="auto"/>
        </w:rPr>
      </w:pPr>
      <w:r>
        <w:rPr>
          <w:rFonts w:ascii="Courier New" w:cs="Courier New" w:eastAsia="Courier New" w:hAnsi="Courier New"/>
          <w:sz w:val="18"/>
          <w:szCs w:val="18"/>
          <w:color w:val="auto"/>
        </w:rPr>
        <w:t>resources to each project to meet our quality standards while also adhering to the project's cost and schedule parameters.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November 2000, we announced a global alliance with Accenture Ltd ("Accenture"). Under the terms of the alliance, we cooperate with Accenture on sales, implementation and servicing of CC&amp;B Systems. We believe that this alliance allows us to enhance our penetration of new markets, increase our market share and improve the service we provide to existing customers.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target market is comprised of 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communications industry and that our BSS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Our customers include global communications leaders, as well as other leading network operators and service providers and directory publishers in the United States and around the world. Our customers include SBC and a number of its operating subsidiaries and affiliates, such as Cingular Wireless, Southwestern Bell Yellow Pages, Southwestern Bell Communications Services and Southwestern Bell Telephone Company. Additional customers include:</w:t>
      </w:r>
    </w:p>
    <w:p>
      <w:pPr>
        <w:sectPr>
          <w:pgSz w:w="11900" w:h="16838" w:orient="portrait"/>
          <w:cols w:equalWidth="0" w:num="1">
            <w:col w:w="10219"/>
          </w:cols>
          <w:pgMar w:left="240" w:top="722" w:right="1440" w:bottom="97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BCP</w:t>
      </w:r>
    </w:p>
    <w:p>
      <w:pPr>
        <w:ind w:left="420"/>
        <w:spacing w:after="0" w:line="238" w:lineRule="auto"/>
        <w:rPr>
          <w:sz w:val="20"/>
          <w:szCs w:val="20"/>
          <w:color w:val="auto"/>
        </w:rPr>
      </w:pPr>
      <w:r>
        <w:rPr>
          <w:rFonts w:ascii="Courier New" w:cs="Courier New" w:eastAsia="Courier New" w:hAnsi="Courier New"/>
          <w:sz w:val="18"/>
          <w:szCs w:val="18"/>
          <w:color w:val="auto"/>
        </w:rPr>
        <w:t>Bell Canada</w:t>
      </w:r>
    </w:p>
    <w:p>
      <w:pPr>
        <w:ind w:left="420"/>
        <w:spacing w:after="0"/>
        <w:rPr>
          <w:sz w:val="20"/>
          <w:szCs w:val="20"/>
          <w:color w:val="auto"/>
        </w:rPr>
      </w:pPr>
      <w:r>
        <w:rPr>
          <w:rFonts w:ascii="Courier New" w:cs="Courier New" w:eastAsia="Courier New" w:hAnsi="Courier New"/>
          <w:sz w:val="18"/>
          <w:szCs w:val="18"/>
          <w:color w:val="auto"/>
        </w:rPr>
        <w:t>BellSouth</w:t>
      </w:r>
    </w:p>
    <w:p>
      <w:pPr>
        <w:ind w:left="420"/>
        <w:spacing w:after="0" w:line="237" w:lineRule="auto"/>
        <w:rPr>
          <w:sz w:val="20"/>
          <w:szCs w:val="20"/>
          <w:color w:val="auto"/>
        </w:rPr>
      </w:pPr>
      <w:r>
        <w:rPr>
          <w:rFonts w:ascii="Courier New" w:cs="Courier New" w:eastAsia="Courier New" w:hAnsi="Courier New"/>
          <w:sz w:val="18"/>
          <w:szCs w:val="18"/>
          <w:color w:val="auto"/>
        </w:rPr>
        <w:t>BT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Deutsche Telekom</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Eircom PLC</w:t>
      </w:r>
    </w:p>
    <w:p>
      <w:pPr>
        <w:ind w:left="420"/>
        <w:spacing w:after="0" w:line="238" w:lineRule="auto"/>
        <w:rPr>
          <w:sz w:val="20"/>
          <w:szCs w:val="20"/>
          <w:color w:val="auto"/>
        </w:rPr>
      </w:pPr>
      <w:r>
        <w:rPr>
          <w:rFonts w:ascii="Courier New" w:cs="Courier New" w:eastAsia="Courier New" w:hAnsi="Courier New"/>
          <w:sz w:val="18"/>
          <w:szCs w:val="18"/>
          <w:color w:val="auto"/>
        </w:rPr>
        <w:t>Japan Telecom</w:t>
      </w:r>
    </w:p>
    <w:p>
      <w:pPr>
        <w:ind w:left="420"/>
        <w:spacing w:after="0"/>
        <w:rPr>
          <w:sz w:val="20"/>
          <w:szCs w:val="20"/>
          <w:color w:val="auto"/>
        </w:rPr>
      </w:pPr>
      <w:r>
        <w:rPr>
          <w:rFonts w:ascii="Courier New" w:cs="Courier New" w:eastAsia="Courier New" w:hAnsi="Courier New"/>
          <w:sz w:val="18"/>
          <w:szCs w:val="18"/>
          <w:color w:val="auto"/>
        </w:rPr>
        <w:t>Korea Telecom</w:t>
      </w:r>
    </w:p>
    <w:p>
      <w:pPr>
        <w:ind w:left="420"/>
        <w:spacing w:after="0" w:line="237" w:lineRule="auto"/>
        <w:rPr>
          <w:sz w:val="20"/>
          <w:szCs w:val="20"/>
          <w:color w:val="auto"/>
        </w:rPr>
      </w:pPr>
      <w:r>
        <w:rPr>
          <w:rFonts w:ascii="Courier New" w:cs="Courier New" w:eastAsia="Courier New" w:hAnsi="Courier New"/>
          <w:sz w:val="18"/>
          <w:szCs w:val="18"/>
          <w:color w:val="auto"/>
        </w:rPr>
        <w:t>Netcom</w:t>
      </w:r>
    </w:p>
    <w:p>
      <w:pPr>
        <w:ind w:left="420"/>
        <w:spacing w:after="0" w:line="238" w:lineRule="auto"/>
        <w:rPr>
          <w:sz w:val="20"/>
          <w:szCs w:val="20"/>
          <w:color w:val="auto"/>
        </w:rPr>
      </w:pPr>
      <w:r>
        <w:rPr>
          <w:rFonts w:ascii="Courier New" w:cs="Courier New" w:eastAsia="Courier New" w:hAnsi="Courier New"/>
          <w:sz w:val="18"/>
          <w:szCs w:val="18"/>
          <w:color w:val="auto"/>
        </w:rPr>
        <w:t>Nextel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Rogers AT&amp;T</w:t>
      </w:r>
    </w:p>
    <w:p>
      <w:pPr>
        <w:spacing w:after="0" w:line="238" w:lineRule="auto"/>
        <w:rPr>
          <w:sz w:val="20"/>
          <w:szCs w:val="20"/>
          <w:color w:val="auto"/>
        </w:rPr>
      </w:pPr>
      <w:r>
        <w:rPr>
          <w:rFonts w:ascii="Courier New" w:cs="Courier New" w:eastAsia="Courier New" w:hAnsi="Courier New"/>
          <w:sz w:val="18"/>
          <w:szCs w:val="18"/>
          <w:color w:val="auto"/>
        </w:rPr>
        <w:t>Sprint</w:t>
      </w:r>
    </w:p>
    <w:p>
      <w:pPr>
        <w:spacing w:after="0"/>
        <w:rPr>
          <w:sz w:val="20"/>
          <w:szCs w:val="20"/>
          <w:color w:val="auto"/>
        </w:rPr>
      </w:pPr>
      <w:r>
        <w:rPr>
          <w:rFonts w:ascii="Courier New" w:cs="Courier New" w:eastAsia="Courier New" w:hAnsi="Courier New"/>
          <w:sz w:val="18"/>
          <w:szCs w:val="18"/>
          <w:color w:val="auto"/>
        </w:rPr>
        <w:t>Tele Danmark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 New Zealand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Telstra</w:t>
      </w:r>
    </w:p>
    <w:p>
      <w:pPr>
        <w:spacing w:after="0" w:line="238" w:lineRule="auto"/>
        <w:rPr>
          <w:sz w:val="20"/>
          <w:szCs w:val="20"/>
          <w:color w:val="auto"/>
        </w:rPr>
      </w:pPr>
      <w:r>
        <w:rPr>
          <w:rFonts w:ascii="Courier New" w:cs="Courier New" w:eastAsia="Courier New" w:hAnsi="Courier New"/>
          <w:sz w:val="18"/>
          <w:szCs w:val="18"/>
          <w:color w:val="auto"/>
        </w:rPr>
        <w:t>Telus</w:t>
      </w:r>
    </w:p>
    <w:p>
      <w:pPr>
        <w:spacing w:after="0"/>
        <w:rPr>
          <w:sz w:val="20"/>
          <w:szCs w:val="20"/>
          <w:color w:val="auto"/>
        </w:rPr>
      </w:pPr>
      <w:r>
        <w:rPr>
          <w:rFonts w:ascii="Courier New" w:cs="Courier New" w:eastAsia="Courier New" w:hAnsi="Courier New"/>
          <w:sz w:val="18"/>
          <w:szCs w:val="18"/>
          <w:color w:val="auto"/>
        </w:rPr>
        <w:t>Verizon</w:t>
      </w:r>
    </w:p>
    <w:p>
      <w:pPr>
        <w:spacing w:after="0" w:line="237" w:lineRule="auto"/>
        <w:rPr>
          <w:sz w:val="20"/>
          <w:szCs w:val="20"/>
          <w:color w:val="auto"/>
        </w:rPr>
      </w:pPr>
      <w:r>
        <w:rPr>
          <w:rFonts w:ascii="Courier New" w:cs="Courier New" w:eastAsia="Courier New" w:hAnsi="Courier New"/>
          <w:sz w:val="18"/>
          <w:szCs w:val="18"/>
          <w:color w:val="auto"/>
        </w:rPr>
        <w:t>Vodafone Group</w:t>
      </w:r>
    </w:p>
    <w:p>
      <w:pPr>
        <w:spacing w:after="0" w:line="238" w:lineRule="auto"/>
        <w:rPr>
          <w:sz w:val="20"/>
          <w:szCs w:val="20"/>
          <w:color w:val="auto"/>
        </w:rPr>
      </w:pPr>
      <w:r>
        <w:rPr>
          <w:rFonts w:ascii="Courier New" w:cs="Courier New" w:eastAsia="Courier New" w:hAnsi="Courier New"/>
          <w:sz w:val="18"/>
          <w:szCs w:val="18"/>
          <w:color w:val="auto"/>
        </w:rPr>
        <w:t>VoiceStream</w:t>
      </w:r>
    </w:p>
    <w:p>
      <w:pPr>
        <w:spacing w:after="0"/>
        <w:rPr>
          <w:sz w:val="20"/>
          <w:szCs w:val="20"/>
          <w:color w:val="auto"/>
        </w:rPr>
      </w:pPr>
      <w:r>
        <w:rPr>
          <w:rFonts w:ascii="Courier New" w:cs="Courier New" w:eastAsia="Courier New" w:hAnsi="Courier New"/>
          <w:sz w:val="18"/>
          <w:szCs w:val="18"/>
          <w:color w:val="auto"/>
        </w:rPr>
        <w:t>Western Wireless</w:t>
      </w:r>
    </w:p>
    <w:p>
      <w:pPr>
        <w:spacing w:after="0" w:line="200" w:lineRule="exact"/>
        <w:rPr>
          <w:sz w:val="20"/>
          <w:szCs w:val="20"/>
          <w:color w:val="auto"/>
        </w:rPr>
      </w:pPr>
    </w:p>
    <w:p>
      <w:pPr>
        <w:sectPr>
          <w:pgSz w:w="11900" w:h="16838" w:orient="portrait"/>
          <w:cols w:equalWidth="0" w:num="2">
            <w:col w:w="4980" w:space="720"/>
            <w:col w:w="4519"/>
          </w:cols>
          <w:pgMar w:left="240" w:top="722" w:right="1440" w:bottom="970" w:gutter="0" w:footer="0" w:header="0"/>
          <w:type w:val="continuous"/>
        </w:sect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single largest customer group is SBC and its operating subsidiaries, which accounted for, in the aggregate, 13.3%, 12.6% and 15.9% of our revenue in fiscal 2001, 2000 and 1999, respectively. Our next largest group of customers is Vodafone Group, which accounted for 11.1%, 14.4% and 8.0% of our revenue in fiscal 2001, 2000 and 1999, respectively.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Aggregate revenue derived from the multiple business arrangements we have with each of our five largest customers and their affiliates, excluding SBC and its operating subsidiaries, accounted for approximately 41.3%, 39.7% and 33.4% of our revenue in fiscal 2001, 2000 and 1999, respectively.</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50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8"/>
              </w:rPr>
              <w:t>2001 2000 1999 ----- ----- ----- North</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America</w:t>
            </w:r>
          </w:p>
        </w:tc>
        <w:tc>
          <w:tcPr>
            <w:tcW w:w="5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60" w:type="dxa"/>
            <w:vAlign w:val="bottom"/>
          </w:tcPr>
          <w:p>
            <w:pPr>
              <w:spacing w:after="0"/>
              <w:rPr>
                <w:sz w:val="17"/>
                <w:szCs w:val="17"/>
                <w:color w:val="auto"/>
              </w:rPr>
            </w:pPr>
          </w:p>
        </w:tc>
        <w:tc>
          <w:tcPr>
            <w:tcW w:w="506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53.8% 45.6% 36.1%</w:t>
            </w:r>
          </w:p>
        </w:tc>
      </w:tr>
      <w:tr>
        <w:trPr>
          <w:trHeight w:val="203"/>
        </w:trPr>
        <w:tc>
          <w:tcPr>
            <w:tcW w:w="6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Europe.....................................................</w:t>
            </w:r>
          </w:p>
        </w:tc>
      </w:tr>
      <w:tr>
        <w:trPr>
          <w:trHeight w:val="203"/>
        </w:trPr>
        <w:tc>
          <w:tcPr>
            <w:tcW w:w="1060" w:type="dxa"/>
            <w:vAlign w:val="bottom"/>
          </w:tcPr>
          <w:p>
            <w:pPr>
              <w:spacing w:after="0"/>
              <w:rPr>
                <w:sz w:val="17"/>
                <w:szCs w:val="17"/>
                <w:color w:val="auto"/>
              </w:rPr>
            </w:pPr>
          </w:p>
        </w:tc>
        <w:tc>
          <w:tcPr>
            <w:tcW w:w="506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35.8 42.4 41.8 Rest of the</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5"/>
                <w:szCs w:val="5"/>
                <w:color w:val="auto"/>
                <w:w w:val="73"/>
              </w:rPr>
              <w:t>World..........................................</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10.4 12.0</w:t>
            </w:r>
          </w:p>
        </w:tc>
      </w:tr>
      <w:tr>
        <w:trPr>
          <w:trHeight w:val="203"/>
        </w:trPr>
        <w:tc>
          <w:tcPr>
            <w:tcW w:w="1060" w:type="dxa"/>
            <w:vAlign w:val="bottom"/>
          </w:tcPr>
          <w:p>
            <w:pPr>
              <w:spacing w:after="0"/>
              <w:rPr>
                <w:sz w:val="17"/>
                <w:szCs w:val="17"/>
                <w:color w:val="auto"/>
              </w:rPr>
            </w:pPr>
          </w:p>
        </w:tc>
        <w:tc>
          <w:tcPr>
            <w:tcW w:w="5060" w:type="dxa"/>
            <w:vAlign w:val="bottom"/>
          </w:tcPr>
          <w:p>
            <w:pPr>
              <w:jc w:val="right"/>
              <w:ind w:right="2712"/>
              <w:spacing w:after="0" w:line="203" w:lineRule="exact"/>
              <w:rPr>
                <w:sz w:val="20"/>
                <w:szCs w:val="20"/>
                <w:color w:val="auto"/>
              </w:rPr>
            </w:pPr>
            <w:r>
              <w:rPr>
                <w:rFonts w:ascii="Courier New" w:cs="Courier New" w:eastAsia="Courier New" w:hAnsi="Courier New"/>
                <w:sz w:val="18"/>
                <w:szCs w:val="18"/>
                <w:color w:val="auto"/>
              </w:rPr>
              <w:t>22.1</w:t>
            </w:r>
          </w:p>
        </w:tc>
      </w:tr>
      <w:tr>
        <w:trPr>
          <w:trHeight w:val="608"/>
        </w:trPr>
        <w:tc>
          <w:tcPr>
            <w:tcW w:w="1060" w:type="dxa"/>
            <w:vAlign w:val="bottom"/>
          </w:tcPr>
          <w:p>
            <w:pPr>
              <w:spacing w:after="0"/>
              <w:rPr>
                <w:sz w:val="24"/>
                <w:szCs w:val="24"/>
                <w:color w:val="auto"/>
              </w:rPr>
            </w:pPr>
          </w:p>
        </w:tc>
        <w:tc>
          <w:tcPr>
            <w:tcW w:w="50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20</w:t>
            </w:r>
          </w:p>
        </w:tc>
      </w:tr>
    </w:tbl>
    <w:p>
      <w:pPr>
        <w:sectPr>
          <w:pgSz w:w="11900" w:h="16838" w:orient="portrait"/>
          <w:cols w:equalWidth="0" w:num="1">
            <w:col w:w="10219"/>
          </w:cols>
          <w:pgMar w:left="240" w:top="722" w:right="1440" w:bottom="970" w:gutter="0" w:footer="0" w:header="0"/>
          <w:type w:val="continuous"/>
        </w:sectPr>
      </w:pPr>
    </w:p>
    <w:bookmarkStart w:id="23" w:name="page24"/>
    <w:bookmarkEnd w:id="23"/>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market for communications information systems is highly competitive and fragmented, and we expect competition to increase. We compete with many independent providers of information systems and services, including American Management Systems, Convergys (which recently acquired Geneva Group), IBM, Kenan Systems (a subsidiary of Lucent Technologies), Portal Software Inc., Saville Systems (a subsidiary of ADC Telecommunications, Inc.), SchlumbergerSema Group and Siebel Systems Inc., with system integrators, such as EDS, and with internal information systems departments of large communication companies. We expect continued growth and competition in the communications industry and the entrance of new competitors into the software information systems market in the future.</w:t>
      </w:r>
    </w:p>
    <w:p>
      <w:pPr>
        <w:spacing w:after="0" w:line="1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believe that we are able to differentiate ourselves from the competition by, among other things:</w:t>
      </w:r>
    </w:p>
    <w:p>
      <w:pPr>
        <w:spacing w:after="0" w:line="203" w:lineRule="exact"/>
        <w:rPr>
          <w:sz w:val="20"/>
          <w:szCs w:val="20"/>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a total information system from a single vendor,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 quality reliable, scalable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managing the timely implementation of products,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customer service and support needs through a skilled professional organization.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PLANTS AND EQUIPMENT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lease space in various facilities in Israel, aggregating approximately 1,158,000 square feet, pursuant to leases expiring on various dates between 2001 and 2016, and we have various options to extend the terms of such leases. In Israel, we currently pay total yearly rental fees of approximately $22.3 million, which are linked, in most cases, to the dollar. Included in these facilities are an aggregate 628,000 square feet in Ra'anana, with the remainder in Ramat-Gan, Hod-Hasharon, Jerusalem and Haifa. Approximately 73,000 square feet of the facilities in Ramat-Gan are owned by related companies that lease these facilities to us.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4" w:name="page25"/>
    <w:bookmarkEnd w:id="24"/>
    <w:p>
      <w:pPr>
        <w:ind w:right="2319" w:firstLine="527"/>
        <w:spacing w:after="0" w:line="237" w:lineRule="auto"/>
        <w:rPr>
          <w:sz w:val="20"/>
          <w:szCs w:val="20"/>
          <w:color w:val="auto"/>
        </w:rPr>
      </w:pPr>
      <w:r>
        <w:rPr>
          <w:rFonts w:ascii="Courier New" w:cs="Courier New" w:eastAsia="Courier New" w:hAnsi="Courier New"/>
          <w:sz w:val="18"/>
          <w:szCs w:val="18"/>
          <w:color w:val="auto"/>
        </w:rPr>
        <w:t>Our Amdocs, Inc. subsidiary in the United States rents approximately 170,000 square feet in Chesterfield, Missouri under various leases expiring between 2005 and 2008. The aggregate annual rent for these facilities is approximately $4.2 million.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 subsidiary rents approximately 81,000 square feet in Stamford, Connecticut under a lease expiring in 2008 and another subsidiary rents approximately 85,000 square feet in Champaign, Illinois under a lease expiring in 2006. The annual rent for these facilities is approximately $2.2 million and $1.1 million, respectively. We are in the process of combining these two facilities into one data center in Champaign. Once this consolidation is complete, we will close our Stamford data center and sublet that site.</w:t>
      </w:r>
    </w:p>
    <w:p>
      <w:pPr>
        <w:spacing w:after="0" w:line="18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We also hold a number of other leases in the United States, with an aggregate annual rent of approximately $1.1 million.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Amdocs Canada subsidiary currently rents two facilities in Toronto, Canada, aggregating approximately 120,000 square feet, under leases expiring between 2002 and 2007. The total annual rent for these facilities is approximately $3.5 million. In addition, we have entered into a ten-year lease commencing in June 2002 for an additional 150,000 square feet. The annual rent under the new lease will be approximately $3.4 million. We intend to move to the new facility, vacate 45,000 square feet of our current space and to sublet the remaining 75,000 square feet.</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subsidiary in the United Kingdom leases approximately 44,000 square feet in London under a lease expiring in 2007, with an annual rent of approximately $2.2 million. We are currently subletting 11,000 square feet of this space to a third party for $0.6 million per year.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subsidiary in Cyprus leases approximately 164,000 square feet in various facilities in Limassol under leases expiring between 2003 and 2005. The aggregate annual rent for these facilities is approximately $2.0 million.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lease additional office space in Argentina, Australia, Brazil, Denmark, France, Germany, Hong Kong, Ireland, Italy, Japan and Spain.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BSS products are developed and, in many cases, operated over a system of UNIX, MVS and Windows NT servers owned by us and manufactured by, among others, Compaq, Hewlett Packard, IBM and Sun Microsystems, which are connected to approximately 10,000 personal computers owned by us.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These tapes are kept on-site and off-site, as appropriate, to ensure security and integrity, and are connected with a high speed redundant wide area network ("WAN").</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distributed development sites that we operate worldwide are connected by a high speed WAN.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Some of the information in this section contains forward looking statements (within the meaning of the Private Securities Litigation Reform Act of 1995) that involve substantial risks and uncertainties. You can identify these statements by forward looking words such as "expect", "anticipate", "believe", "seek", "estimate", "project", "forecast", "continue", "potential" and similar words. Statements that we make in this section that are not statements of historical fact also may be forward looking statements. Forward looking statements are not guarantees of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 See "Risk Factors" for more information.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and its subsidiaries including:</w:t>
      </w:r>
    </w:p>
    <w:p>
      <w:pPr>
        <w:spacing w:after="0" w:line="203" w:lineRule="exact"/>
        <w:rPr>
          <w:sz w:val="20"/>
          <w:szCs w:val="20"/>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factors affect our business,</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our revenue and costs were in the fiscal years ended September 30, 2001, 2000 and 1999,</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those revenue and costs were different from year to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our expenditures were in the fiscal years ended September 30, 2001, 2000 and 1999,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this section, we also analyze and explain the annual changes in the specific line items in our consolidated statements of income. This section should be read in conjunction with our Consolidated Financial Statements included elsewhere in this report.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leading provider of software products and services to the communications industry. Our BSS products consist of families of software products and services designed to meet the mission-critical needs of specific communications market sectors. We provide primarily CC&amp;B Systems for communications and IP service providers. Our systems support a wide range of communications services, including wireline, wireless, broadband, electronic and mobile commerce and IP services. We also support companies that offer multiple service packages, commonly referred to as convergent services. In addition, we provide a full range of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future, we may consider, as part of our strategy, acquisitions and other initiatives in order to offer new products or services or otherwise enhance our market position or strategic strengths. See discussions below -- "Acquisitions" and "Subsequent Events".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7" w:lineRule="exact"/>
        <w:rPr>
          <w:sz w:val="20"/>
          <w:szCs w:val="20"/>
          <w:color w:val="auto"/>
        </w:rPr>
      </w:pPr>
    </w:p>
    <w:p>
      <w:pPr>
        <w:ind w:left="740" w:right="1879" w:hanging="205"/>
        <w:spacing w:after="0" w:line="290"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 of our products and related services, including license fees and customization, implementation and integration services,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support, maintenance, outsourcing and other related services provided to our customers and, to a lesser degree, from incremental license fees resulting from increases in the number of a customer's subscribers.</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We usually sell our software as part of an overall solution offered to a customer, in which significant customization and modification to our software generally is required. As a result, revenue generally is recognized over the course of these long-term projects. Initial license revenue is recognized as work is performed, using the percentage of completion method of accounting.</w:t>
      </w:r>
    </w:p>
    <w:p>
      <w:pPr>
        <w:spacing w:after="0" w:line="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Subsequent license fee revenue is recognized upon completion of the specified conditions in each contract. Service revenue that involves significant ongoing obligations, including fees for customization, implementation and modification, is also recognized as work is performed, under the percentage of completion method of accounting. Revenue from software solutions, that do not require significant customization and modification, is recognized upon delivery. In outsourcing contracts, revenue from the operation and maintenance of customers' billing systems is recognized in the period in which the bills are produced. Revenue from ongoing support services is recognized as work is performed. Revenue from third-party hardware and software sales is recognized</w:t>
      </w:r>
    </w:p>
    <w:p>
      <w:pPr>
        <w:spacing w:after="0" w:line="1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362"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upon delivery. Maintenance revenue is recognized ratably over the term of the maintenance agreement. As a result of a substantial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subject to the effects of general global economic conditions and, in particular, market conditions in the communications industry. Recently, these conditions have reduced the high growth that the communications industry had experienced over the past several years. As a result, the market value, financial results and prospects, and capital spending levels of many communications companies have declined or degraded.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current slowdown in the growth of the global communications market, our typical sales cycle has lengthened, which means that the average time between our initial contact with a prospective customer and the signing of a sales contract has increased. Our sales cycle currently ranges between six to twelve months for the majority of our new sales. We believe that such lengthening of our sales cycle and the impact of the current general economic downturn on the communications industry may result in slower revenue growth rates for us than has been achieved in recent years.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September 11, 2001 terrorist attacks on the United States and the subsequent military response by the United States in Afghanistan, the global economy has been negatively affected. These events may adversely affect our revenue and our profitability and could also result in a disruption of our business or the businesses of our customers.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License and service fee revenue from the sale of CC&amp;B Systems amounted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$1,379.7 million in the year ended September 30, 2001, representing 89.9% of our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for such period, as compared to $986.5 million in fiscal 2000 and $468.2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in fiscal 1999, when license and service fee revenue from the sale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CC&amp;B Systems represented 88.2% and 74.7%, respectively, of our revenue for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believe that we are a leading global provider of CC&amp;B Systems. We provide a broad set of CC&amp;B Systems with proven functionality and scalability, accompanied by a comprehensive range of support services.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believe that the demand for our CC&amp;B Systems will continue to increase due to, among other key factors:</w:t>
      </w:r>
    </w:p>
    <w:p>
      <w:pPr>
        <w:spacing w:after="0" w:line="203"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growth and deregulation of the communications market,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global penetration and expansion of communications services,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proliferation of new communications products and services, especially IP and data services,</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 technological changes, such as the introduction of wireless Internet services via GPRS and UMTS technology,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intensifying competition among communications carriers,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shift from in-house management to vendor solutions and outsourcing.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believe that a key driver of demand is the continuing trend for communications service providers to offer to their subscribers multiple service packages, commonly referred to as convergent services (combinations of voice, broadband, electronic and mobile commerce and IP services).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addition, we believe that our CC&amp;B solutions enable communications providers to improve productivity and reduce costs.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License and service fee revenue from the sale of Directory Systems totaled $154.2 million in the year ended September 30, 2001, accounting for 10.1% of our revenue for such period, as compared to $131.8 million in fiscal 2000 and $158.6 million in fiscal 1999, when license and service fee revenue from the sale of Directory Systems represented 11.8% and 25.3%, respectively, of our revenue for such periods.</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believe that we are a leading provider of Directory Systems in most of the markets that we serve.</w:t>
      </w: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564" w:gutter="0" w:footer="0" w:header="0"/>
        </w:sectPr>
      </w:pPr>
    </w:p>
    <w:bookmarkStart w:id="27" w:name="page28"/>
    <w:bookmarkEnd w:id="27"/>
    <w:p>
      <w:pPr>
        <w:ind w:right="1879" w:firstLine="527"/>
        <w:spacing w:after="0" w:line="237" w:lineRule="auto"/>
        <w:rPr>
          <w:sz w:val="20"/>
          <w:szCs w:val="20"/>
          <w:color w:val="auto"/>
        </w:rPr>
      </w:pPr>
      <w:r>
        <w:rPr>
          <w:rFonts w:ascii="Courier New" w:cs="Courier New" w:eastAsia="Courier New" w:hAnsi="Courier New"/>
          <w:sz w:val="18"/>
          <w:szCs w:val="18"/>
          <w:color w:val="auto"/>
        </w:rPr>
        <w:t>We expect that the demand for our Directory Systems will remain relatively stable in future periods and that the contribution to total revenue, as a percentage of revenue, of license and service fees from Directory Systems services will, as a result, continue to decrease over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and IP markets. Research and development expenditures amounted to $105.8 million, $74.9 million and $40.9 million in fiscal 2001, 2000 and 1999, respectively, representing 6.9%, 6.7% and 6.5%, respectively, of our revenue in these fiscal years. In the next several years we intend to continue to make substantial investments in our research and development activities.</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January 2001 we formed Certen with Bell Canada to provide customer care and billing solutions to Bell Canada and some of its affiliated companies. Certen is owned 90% by Bell Canada and 10% by us. Commencing on the 30-month anniversary of the transaction, convertible debentures issued by Certen to us will be convertible into an additional 35% ownership interest in Certen. The relative ownership interests of the shareholders might further be modified through the exercise of a series of contractual rights, commencing on the</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30-month anniversary of the transaction. We will provide the customer care and billing software required by Certen, including customization, installation, maintenance and other services. We account for our investment in Certen under the cost method.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May 2001 we issued to qualified institutional buyers $500.0 million aggregate principal amount of 2% Convertible Notes due June 1, 2008 (the "Notes"). On September 25, 2001, following a shelf registration on Form F-3, the Notes began trading in the public market. We are obligated to pay interest on the Notes semi-annually on June 1 and December 1 of each year, and made our first interest payment on December 1, 2001. The Notes are senior unsecured obligations and rank equal in right of payment with all our existing and future senior unsecured indebtedness. The Notes are convertible, at the option of the holders at any time before the maturity date, into ordinary shares at a conversion rate of 10.8587 shares per $1,000 principal amount of Notes, subject to adjustment in certain events. The Notes are subject to redemption at any time on or after June 1, 2006, all or in part, at our option, at a redemption price of 100% of the principal amount plus accrued and unpaid interest; and are subject to repurchase, at the holder's option, on June 1, 2004 and June 1, 2006, at a repurchase price equal to 100% of the principal amount plus accrued and unpaid interest, if any, on such repurchase date. We may choose to pay the repurchase price in cash, ordinary shares or a combination of cash and ordinary shares. As of September 30, 2001 all of the Notes were outstanding.</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November 30, 1999, we completed the purchase of ITDS in a</w:t>
      </w:r>
    </w:p>
    <w:p>
      <w:pPr>
        <w:spacing w:after="0" w:line="238" w:lineRule="auto"/>
        <w:rPr>
          <w:sz w:val="20"/>
          <w:szCs w:val="20"/>
          <w:color w:val="auto"/>
        </w:rPr>
      </w:pPr>
      <w:r>
        <w:rPr>
          <w:rFonts w:ascii="Courier New" w:cs="Courier New" w:eastAsia="Courier New" w:hAnsi="Courier New"/>
          <w:sz w:val="18"/>
          <w:szCs w:val="18"/>
          <w:color w:val="auto"/>
        </w:rPr>
        <w:t>stock-for-stock acquisition. The acquisition of ITDS, a leading provider of</w:t>
      </w:r>
    </w:p>
    <w:p>
      <w:pPr>
        <w:spacing w:after="0"/>
        <w:rPr>
          <w:sz w:val="20"/>
          <w:szCs w:val="20"/>
          <w:color w:val="auto"/>
        </w:rPr>
      </w:pPr>
      <w:r>
        <w:rPr>
          <w:rFonts w:ascii="Courier New" w:cs="Courier New" w:eastAsia="Courier New" w:hAnsi="Courier New"/>
          <w:sz w:val="18"/>
          <w:szCs w:val="18"/>
          <w:color w:val="auto"/>
        </w:rPr>
        <w:t>solutions to communications companies for outsourcing of billing operations,</w:t>
      </w:r>
    </w:p>
    <w:p>
      <w:pPr>
        <w:spacing w:after="0" w:line="237" w:lineRule="auto"/>
        <w:rPr>
          <w:sz w:val="20"/>
          <w:szCs w:val="20"/>
          <w:color w:val="auto"/>
        </w:rPr>
      </w:pPr>
      <w:r>
        <w:rPr>
          <w:rFonts w:ascii="Courier New" w:cs="Courier New" w:eastAsia="Courier New" w:hAnsi="Courier New"/>
          <w:sz w:val="18"/>
          <w:szCs w:val="18"/>
          <w:color w:val="auto"/>
        </w:rPr>
        <w:t>expanded the scope of our CC&amp;B Systems offering and, we believe, further</w:t>
      </w:r>
    </w:p>
    <w:p>
      <w:pPr>
        <w:spacing w:after="0" w:line="238" w:lineRule="auto"/>
        <w:rPr>
          <w:sz w:val="20"/>
          <w:szCs w:val="20"/>
          <w:color w:val="auto"/>
        </w:rPr>
      </w:pPr>
      <w:r>
        <w:rPr>
          <w:rFonts w:ascii="Courier New" w:cs="Courier New" w:eastAsia="Courier New" w:hAnsi="Courier New"/>
          <w:sz w:val="18"/>
          <w:szCs w:val="18"/>
          <w:color w:val="auto"/>
        </w:rPr>
        <w:t>established our leadership in providing total solutions to the communications</w:t>
      </w:r>
    </w:p>
    <w:p>
      <w:pPr>
        <w:spacing w:after="0"/>
        <w:rPr>
          <w:sz w:val="20"/>
          <w:szCs w:val="20"/>
          <w:color w:val="auto"/>
        </w:rPr>
      </w:pPr>
      <w:r>
        <w:rPr>
          <w:rFonts w:ascii="Courier New" w:cs="Courier New" w:eastAsia="Courier New" w:hAnsi="Courier New"/>
          <w:sz w:val="18"/>
          <w:szCs w:val="18"/>
          <w:color w:val="auto"/>
        </w:rPr>
        <w:t>industry. In connection with the consummation of this transaction, we issued</w:t>
      </w:r>
    </w:p>
    <w:p>
      <w:pPr>
        <w:spacing w:after="0" w:line="237" w:lineRule="auto"/>
        <w:rPr>
          <w:sz w:val="20"/>
          <w:szCs w:val="20"/>
          <w:color w:val="auto"/>
        </w:rPr>
      </w:pPr>
      <w:r>
        <w:rPr>
          <w:rFonts w:ascii="Courier New" w:cs="Courier New" w:eastAsia="Courier New" w:hAnsi="Courier New"/>
          <w:sz w:val="18"/>
          <w:szCs w:val="18"/>
          <w:color w:val="auto"/>
        </w:rPr>
        <w:t>6,461,376 ordinary shares and granted options to purchase 1,102,955 ordinary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The total purchase price of $189.0 million included issuance of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the grant of options and transaction costs. The acquisition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accounted for using the purchase method of accounting. The fair market value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ITDS' assets and liabilities has been included in our balance sheet and the</w:t>
      </w:r>
    </w:p>
    <w:p>
      <w:pPr>
        <w:spacing w:after="0" w:line="238" w:lineRule="auto"/>
        <w:rPr>
          <w:sz w:val="20"/>
          <w:szCs w:val="20"/>
          <w:color w:val="auto"/>
        </w:rPr>
      </w:pPr>
      <w:r>
        <w:rPr>
          <w:rFonts w:ascii="Courier New" w:cs="Courier New" w:eastAsia="Courier New" w:hAnsi="Courier New"/>
          <w:sz w:val="18"/>
          <w:szCs w:val="18"/>
          <w:color w:val="auto"/>
        </w:rPr>
        <w:t>results of ITDS's operations are included in our consolidated statement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commencing on December 1, 1999. The value of acquired technology,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determined by an independent specialist, included both existing technology</w:t>
      </w:r>
    </w:p>
    <w:p>
      <w:pPr>
        <w:spacing w:after="0" w:line="238" w:lineRule="auto"/>
        <w:rPr>
          <w:sz w:val="20"/>
          <w:szCs w:val="20"/>
          <w:color w:val="auto"/>
        </w:rPr>
      </w:pPr>
      <w:r>
        <w:rPr>
          <w:rFonts w:ascii="Courier New" w:cs="Courier New" w:eastAsia="Courier New" w:hAnsi="Courier New"/>
          <w:sz w:val="18"/>
          <w:szCs w:val="18"/>
          <w:color w:val="auto"/>
        </w:rPr>
        <w:t>and in-process research and development. The valuation of these items was made</w:t>
      </w:r>
    </w:p>
    <w:p>
      <w:pPr>
        <w:spacing w:after="0"/>
        <w:rPr>
          <w:sz w:val="20"/>
          <w:szCs w:val="20"/>
          <w:color w:val="auto"/>
        </w:rPr>
      </w:pPr>
      <w:r>
        <w:rPr>
          <w:rFonts w:ascii="Courier New" w:cs="Courier New" w:eastAsia="Courier New" w:hAnsi="Courier New"/>
          <w:sz w:val="18"/>
          <w:szCs w:val="18"/>
          <w:color w:val="auto"/>
        </w:rPr>
        <w:t>by applying the income forecast method, which considered the present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by product lines. The fair value of existing technology products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valued at $12.3 million and is being amortized over approximately two years</w:t>
      </w:r>
    </w:p>
    <w:p>
      <w:pPr>
        <w:spacing w:after="0" w:line="238" w:lineRule="auto"/>
        <w:rPr>
          <w:sz w:val="20"/>
          <w:szCs w:val="20"/>
          <w:color w:val="auto"/>
        </w:rPr>
      </w:pPr>
      <w:r>
        <w:rPr>
          <w:rFonts w:ascii="Courier New" w:cs="Courier New" w:eastAsia="Courier New" w:hAnsi="Courier New"/>
          <w:sz w:val="18"/>
          <w:szCs w:val="18"/>
          <w:color w:val="auto"/>
        </w:rPr>
        <w:t>commencing on December 1, 1999. In-process research and development, valued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 million, was charged as an expense immediately following the completion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acquisition since this technology had not reached technological feasibility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had no alternative use. Additional development, coding and testing efforts</w:t>
      </w:r>
    </w:p>
    <w:p>
      <w:pPr>
        <w:spacing w:after="0" w:line="238" w:lineRule="auto"/>
        <w:rPr>
          <w:sz w:val="20"/>
          <w:szCs w:val="20"/>
          <w:color w:val="auto"/>
        </w:rPr>
      </w:pPr>
      <w:r>
        <w:rPr>
          <w:rFonts w:ascii="Courier New" w:cs="Courier New" w:eastAsia="Courier New" w:hAnsi="Courier New"/>
          <w:sz w:val="18"/>
          <w:szCs w:val="18"/>
          <w:color w:val="auto"/>
        </w:rPr>
        <w:t>were required before technological feasibility could be determined. The fair</w:t>
      </w:r>
    </w:p>
    <w:p>
      <w:pPr>
        <w:spacing w:after="0"/>
        <w:rPr>
          <w:sz w:val="20"/>
          <w:szCs w:val="20"/>
          <w:color w:val="auto"/>
        </w:rPr>
      </w:pPr>
      <w:r>
        <w:rPr>
          <w:rFonts w:ascii="Courier New" w:cs="Courier New" w:eastAsia="Courier New" w:hAnsi="Courier New"/>
          <w:sz w:val="18"/>
          <w:szCs w:val="18"/>
          <w:color w:val="auto"/>
        </w:rPr>
        <w:t>value of customer base was valued at $0.6 million and the fair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workforce-in-place was valued at $5.4 million, both of which are being amortized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 five years commencing on December 1, 1999. The excess of the purchase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 the net assets acquired, or goodwill, of $71.2 million is being amortized</w:t>
      </w:r>
    </w:p>
    <w:p>
      <w:pPr>
        <w:spacing w:after="0" w:line="238" w:lineRule="auto"/>
        <w:rPr>
          <w:sz w:val="20"/>
          <w:szCs w:val="20"/>
          <w:color w:val="auto"/>
        </w:rPr>
      </w:pPr>
      <w:r>
        <w:rPr>
          <w:rFonts w:ascii="Courier New" w:cs="Courier New" w:eastAsia="Courier New" w:hAnsi="Courier New"/>
          <w:sz w:val="18"/>
          <w:szCs w:val="18"/>
          <w:color w:val="auto"/>
        </w:rPr>
        <w:t>over 15 years commencing on December 1, 1999.</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April 5, 2000, we completed the purchase of Solect in a stock-for-stock acquisition. The acquisition of Solect, a leading provider of billing and customer care software to IP service providers, including wireless and application service providers, or ASPs, expanded our IP service provider customer base for CC&amp;B Systems. Under the terms of our combination agreement with Solect, all then outstanding Solect common shares were exchanged for shares of a newly issued class of exchangeable shares of Solect. (We have since renamed Solect, Amdocs Canada, Inc.) The exchangeable shares entitle holders to dividends and other rights economically equivalent to our ordinary shares, including the right, through a voting trust, to vote at our shareholder meetings, and are exchangeable at the option of the holders into our ordinary shares on a one-for-one basis. The total purchase price of $1,087.7 million included the issuance of 13,846,302 exchangeable shares, the grant of options to purchase 1,653,662 ordinary shares and transaction costs. The acquisition was accounted for using the purchase method of accounting. The fair market value of Solect's assets and liabilities has been included in our balance sheet and the results of Solect's operations are included in our consolidated statement of income, commencing on April 6, 2000. The value of acquired technology, which was determined by an independent specialist, included both existing technology and in-process research and development. The valuation of these items was made by applying the income forecast method, which considered the present value of cash flows by product lines. The fair value of existing technology products was valued at $18.3 million and is being amortized over two years commencing on April 6, 2000. In-process research and development, valued at $50.4 million, was charged as an expense immediately following the completion of the acquisition since this technology had not reached technological feasibility and had no alternative use. Additional development, coding and testing efforts were required before technological feasibility could be determined. The fair value of customer base was valued at $1.2 million and the fair value of workforce-in-place was valued at $3.3 million, both of which are being amortized over three years commencing on April 6, 2000. The excess of the purchase price over the net assets acquired, or goodwill, of $986.2 million is being amortized over five years commencing on April 6, 2000.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STANDARDS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issued Statements of Financial Accounting Standards ("SFAS") No. 141, "Business Combinations" ("SFAS 141"), and No. 142, "Goodwill and Other Intangible Assets" ("SFAS 142").</w:t>
      </w:r>
    </w:p>
    <w:p>
      <w:pPr>
        <w:ind w:left="4220"/>
        <w:spacing w:after="0" w:line="233"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29" w:name="page30"/>
    <w:bookmarkEnd w:id="29"/>
    <w:p>
      <w:pPr>
        <w:ind w:right="2099" w:firstLine="527"/>
        <w:spacing w:after="0" w:line="237" w:lineRule="auto"/>
        <w:rPr>
          <w:sz w:val="20"/>
          <w:szCs w:val="20"/>
          <w:color w:val="auto"/>
        </w:rPr>
      </w:pPr>
      <w:r>
        <w:rPr>
          <w:rFonts w:ascii="Courier New" w:cs="Courier New" w:eastAsia="Courier New" w:hAnsi="Courier New"/>
          <w:sz w:val="18"/>
          <w:szCs w:val="18"/>
          <w:color w:val="auto"/>
        </w:rPr>
        <w:t>SFAS 141 requires that the purchase method of accounting be used for all business combinations initiated after June 30, 2001. The adoption of SFAS 141 will have no impact on our business, results of operations, or financial condition.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SFAS 142 is effective for fiscal years beginning after December 15, 2001. Under SFAS 142, goodwill and intangible assets deemed to have indefinite lives will no longer be amortized but will be subject to annual impairment tests in accordance with the Statement. Other intangible assets will continue to be amortized over their useful lives. According to the adoption requirements of SFAS 142, we have the option of applying the new standard on accounting for goodwill and other intangible assets beginning either in the quarters ended on December 31, 2001 or December 31, 2002. We anticipate adopting this Statement in the quarter ended December 31, 2002. Subsequent to the adoption of SFAS 142, we will perform the first of the required impairment tests of goodwill and intangible assets recorded as of the date of adoption. We have not yet determined what the effect of these tests will be on our earnings and financial position. We recorded $202.4 million and $102.8 million of goodwill amortization during fiscal years 2001 and 2000, respectively, and no goodwill amortization during fiscal year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table sets forth for the fiscal years ended September 30, 2001, 2000 and 1999 certain items in our consolidated statements of income reflected as a percentage of total revenue: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---------- 2001 2000 1999 --------</w:t>
      </w:r>
    </w:p>
    <w:p>
      <w:pPr>
        <w:ind w:left="12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60" w:right="6579" w:firstLine="317"/>
        <w:spacing w:after="0" w:line="268" w:lineRule="auto"/>
        <w:tabs>
          <w:tab w:leader="none" w:pos="100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AS PRO AS FORMA(*) REPORTED FORMA(*) REPORTED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1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11.2% 11.2% 11.2% 11.2% 11.9%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88.8 88.8 88.8 88.8 88.1 ----- ---</w:t>
      </w:r>
    </w:p>
    <w:p>
      <w:pPr>
        <w:ind w:left="480" w:hanging="314"/>
        <w:spacing w:after="0" w:line="238" w:lineRule="auto"/>
        <w:tabs>
          <w:tab w:leader="none" w:pos="4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----- 100.0 100.0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100.0 100.0 100.0 ----- ----- ----</w:t>
      </w:r>
    </w:p>
    <w:p>
      <w:pPr>
        <w:spacing w:after="0" w:line="4" w:lineRule="exact"/>
        <w:rPr>
          <w:rFonts w:ascii="Courier New" w:cs="Courier New" w:eastAsia="Courier New" w:hAnsi="Courier New"/>
          <w:sz w:val="18"/>
          <w:szCs w:val="18"/>
          <w:color w:val="auto"/>
        </w:rPr>
      </w:pPr>
    </w:p>
    <w:p>
      <w:pPr>
        <w:ind w:left="1480" w:right="6639" w:hanging="1367"/>
        <w:spacing w:after="0" w:line="235" w:lineRule="auto"/>
        <w:tabs>
          <w:tab w:leader="none" w:pos="3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Operating expenses: Cost of</w:t>
      </w:r>
    </w:p>
    <w:p>
      <w:pPr>
        <w:ind w:left="220"/>
        <w:spacing w:after="0"/>
        <w:rPr>
          <w:sz w:val="20"/>
          <w:szCs w:val="20"/>
          <w:color w:val="auto"/>
        </w:rPr>
      </w:pPr>
      <w:r>
        <w:rPr>
          <w:rFonts w:ascii="Courier New" w:cs="Courier New" w:eastAsia="Courier New" w:hAnsi="Courier New"/>
          <w:sz w:val="18"/>
          <w:szCs w:val="18"/>
          <w:color w:val="auto"/>
        </w:rPr>
        <w:t>license.................... 0.4</w:t>
      </w:r>
    </w:p>
    <w:p>
      <w:pPr>
        <w:ind w:left="640"/>
        <w:spacing w:after="0" w:line="238" w:lineRule="auto"/>
        <w:rPr>
          <w:sz w:val="20"/>
          <w:szCs w:val="20"/>
          <w:color w:val="auto"/>
        </w:rPr>
      </w:pPr>
      <w:r>
        <w:rPr>
          <w:rFonts w:ascii="Courier New" w:cs="Courier New" w:eastAsia="Courier New" w:hAnsi="Courier New"/>
          <w:sz w:val="18"/>
          <w:szCs w:val="18"/>
          <w:color w:val="auto"/>
        </w:rPr>
        <w:t>0.4 0.5 0.5 0.9 Cost of</w:t>
      </w:r>
    </w:p>
    <w:p>
      <w:pPr>
        <w:ind w:left="160"/>
        <w:spacing w:after="0"/>
        <w:rPr>
          <w:sz w:val="20"/>
          <w:szCs w:val="20"/>
          <w:color w:val="auto"/>
        </w:rPr>
      </w:pPr>
      <w:r>
        <w:rPr>
          <w:rFonts w:ascii="Courier New" w:cs="Courier New" w:eastAsia="Courier New" w:hAnsi="Courier New"/>
          <w:sz w:val="18"/>
          <w:szCs w:val="18"/>
          <w:color w:val="auto"/>
        </w:rPr>
        <w:t>service.................... 55.3</w:t>
      </w:r>
    </w:p>
    <w:p>
      <w:pPr>
        <w:ind w:left="160"/>
        <w:spacing w:after="0" w:line="237" w:lineRule="auto"/>
        <w:rPr>
          <w:sz w:val="20"/>
          <w:szCs w:val="20"/>
          <w:color w:val="auto"/>
        </w:rPr>
      </w:pPr>
      <w:r>
        <w:rPr>
          <w:rFonts w:ascii="Courier New" w:cs="Courier New" w:eastAsia="Courier New" w:hAnsi="Courier New"/>
          <w:sz w:val="18"/>
          <w:szCs w:val="18"/>
          <w:color w:val="auto"/>
        </w:rPr>
        <w:t>55.3 57.2 57.2 57.1 Research and</w:t>
      </w:r>
    </w:p>
    <w:p>
      <w:pPr>
        <w:ind w:left="60"/>
        <w:spacing w:after="0" w:line="238" w:lineRule="auto"/>
        <w:rPr>
          <w:sz w:val="20"/>
          <w:szCs w:val="20"/>
          <w:color w:val="auto"/>
        </w:rPr>
      </w:pPr>
      <w:r>
        <w:rPr>
          <w:rFonts w:ascii="Courier New" w:cs="Courier New" w:eastAsia="Courier New" w:hAnsi="Courier New"/>
          <w:sz w:val="18"/>
          <w:szCs w:val="18"/>
          <w:color w:val="auto"/>
        </w:rPr>
        <w:t>development........... 6.9 6.9 6.7</w:t>
      </w:r>
    </w:p>
    <w:p>
      <w:pPr>
        <w:ind w:left="380"/>
        <w:spacing w:after="0"/>
        <w:rPr>
          <w:sz w:val="20"/>
          <w:szCs w:val="20"/>
          <w:color w:val="auto"/>
        </w:rPr>
      </w:pPr>
      <w:r>
        <w:rPr>
          <w:rFonts w:ascii="Courier New" w:cs="Courier New" w:eastAsia="Courier New" w:hAnsi="Courier New"/>
          <w:sz w:val="18"/>
          <w:szCs w:val="18"/>
          <w:color w:val="auto"/>
        </w:rPr>
        <w:t>6.7 6.5 Selling, general and</w:t>
      </w:r>
    </w:p>
    <w:p>
      <w:pPr>
        <w:ind w:left="160"/>
        <w:spacing w:after="0" w:line="237" w:lineRule="auto"/>
        <w:rPr>
          <w:sz w:val="20"/>
          <w:szCs w:val="20"/>
          <w:color w:val="auto"/>
        </w:rPr>
      </w:pPr>
      <w:r>
        <w:rPr>
          <w:rFonts w:ascii="Courier New" w:cs="Courier New" w:eastAsia="Courier New" w:hAnsi="Courier New"/>
          <w:sz w:val="18"/>
          <w:szCs w:val="18"/>
          <w:color w:val="auto"/>
        </w:rPr>
        <w:t>administrative..................</w:t>
      </w:r>
    </w:p>
    <w:p>
      <w:pPr>
        <w:ind w:left="580"/>
        <w:spacing w:after="0"/>
        <w:rPr>
          <w:sz w:val="20"/>
          <w:szCs w:val="20"/>
          <w:color w:val="auto"/>
        </w:rPr>
      </w:pPr>
      <w:r>
        <w:rPr>
          <w:rFonts w:ascii="Courier New" w:cs="Courier New" w:eastAsia="Courier New" w:hAnsi="Courier New"/>
          <w:sz w:val="18"/>
          <w:szCs w:val="18"/>
          <w:color w:val="auto"/>
        </w:rPr>
        <w:t>12.7 12.7 12.3 12.3 12.1</w:t>
      </w:r>
    </w:p>
    <w:p>
      <w:pPr>
        <w:ind w:left="380"/>
        <w:spacing w:after="0" w:line="237" w:lineRule="auto"/>
        <w:rPr>
          <w:sz w:val="20"/>
          <w:szCs w:val="20"/>
          <w:color w:val="auto"/>
        </w:rPr>
      </w:pPr>
      <w:r>
        <w:rPr>
          <w:rFonts w:ascii="Courier New" w:cs="Courier New" w:eastAsia="Courier New" w:hAnsi="Courier New"/>
          <w:sz w:val="18"/>
          <w:szCs w:val="18"/>
          <w:color w:val="auto"/>
        </w:rPr>
        <w:t>Amortization of goodwill and</w:t>
      </w:r>
    </w:p>
    <w:p>
      <w:pPr>
        <w:ind w:left="60"/>
        <w:spacing w:after="0"/>
        <w:rPr>
          <w:sz w:val="20"/>
          <w:szCs w:val="20"/>
          <w:color w:val="auto"/>
        </w:rPr>
      </w:pPr>
      <w:r>
        <w:rPr>
          <w:rFonts w:ascii="Courier New" w:cs="Courier New" w:eastAsia="Courier New" w:hAnsi="Courier New"/>
          <w:sz w:val="18"/>
          <w:szCs w:val="18"/>
          <w:color w:val="auto"/>
        </w:rPr>
        <w:t>purchased intangible assets..... -</w:t>
      </w:r>
    </w:p>
    <w:p>
      <w:pPr>
        <w:spacing w:after="0" w:line="3" w:lineRule="exact"/>
        <w:rPr>
          <w:sz w:val="20"/>
          <w:szCs w:val="20"/>
          <w:color w:val="auto"/>
        </w:rPr>
      </w:pPr>
    </w:p>
    <w:p>
      <w:pPr>
        <w:ind w:left="60" w:right="6579" w:firstLine="369"/>
        <w:spacing w:after="0" w:line="268" w:lineRule="auto"/>
        <w:tabs>
          <w:tab w:leader="none" w:pos="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14.3 -- 9.9 -- In-process research and development and other indirect acquisition-related</w:t>
      </w:r>
    </w:p>
    <w:tbl>
      <w:tblPr>
        <w:tblLayout w:type="fixed"/>
        <w:tblInd w:w="60" w:type="dxa"/>
        <w:tblCellMar>
          <w:top w:w="0" w:type="dxa"/>
          <w:left w:w="0" w:type="dxa"/>
          <w:bottom w:w="0" w:type="dxa"/>
          <w:right w:w="0" w:type="dxa"/>
        </w:tblCellMar>
      </w:tblPr>
      <w:tr>
        <w:trPr>
          <w:trHeight w:val="199"/>
        </w:trPr>
        <w:tc>
          <w:tcPr>
            <w:tcW w:w="1320" w:type="dxa"/>
            <w:vAlign w:val="bottom"/>
          </w:tcPr>
          <w:p>
            <w:pPr>
              <w:spacing w:after="0" w:line="198" w:lineRule="exact"/>
              <w:rPr>
                <w:sz w:val="20"/>
                <w:szCs w:val="20"/>
                <w:color w:val="auto"/>
              </w:rPr>
            </w:pPr>
            <w:r>
              <w:rPr>
                <w:rFonts w:ascii="Courier New" w:cs="Courier New" w:eastAsia="Courier New" w:hAnsi="Courier New"/>
                <w:sz w:val="18"/>
                <w:szCs w:val="18"/>
                <w:color w:val="auto"/>
              </w:rPr>
              <w:t>costs.......</w:t>
            </w:r>
          </w:p>
        </w:tc>
        <w:tc>
          <w:tcPr>
            <w:tcW w:w="22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 -- -- 6.8 -- -----</w:t>
            </w:r>
          </w:p>
        </w:tc>
      </w:tr>
    </w:tbl>
    <w:p>
      <w:pPr>
        <w:spacing w:after="0" w:line="4" w:lineRule="exact"/>
        <w:rPr>
          <w:sz w:val="20"/>
          <w:szCs w:val="20"/>
          <w:color w:val="auto"/>
        </w:rPr>
      </w:pPr>
    </w:p>
    <w:p>
      <w:pPr>
        <w:jc w:val="both"/>
        <w:ind w:left="60" w:right="6579" w:firstLine="53"/>
        <w:spacing w:after="0" w:line="290" w:lineRule="auto"/>
        <w:tabs>
          <w:tab w:leader="none" w:pos="74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----- 75.3 89.6 76.7 93.4 76.6 ----- ----- ----- -</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income.....................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24.7</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10.4 23.3 6.6 23.4 Interest income</w:t>
      </w:r>
    </w:p>
    <w:p>
      <w:pPr>
        <w:jc w:val="center"/>
        <w:ind w:right="6519"/>
        <w:spacing w:after="0"/>
        <w:rPr>
          <w:sz w:val="20"/>
          <w:szCs w:val="20"/>
          <w:color w:val="auto"/>
        </w:rPr>
      </w:pPr>
      <w:r>
        <w:rPr>
          <w:rFonts w:ascii="Courier New" w:cs="Courier New" w:eastAsia="Courier New" w:hAnsi="Courier New"/>
          <w:sz w:val="18"/>
          <w:szCs w:val="18"/>
          <w:color w:val="auto"/>
        </w:rPr>
        <w:t>(expense) and other,</w:t>
      </w:r>
    </w:p>
    <w:p>
      <w:pPr>
        <w:spacing w:after="0" w:line="237" w:lineRule="auto"/>
        <w:rPr>
          <w:sz w:val="20"/>
          <w:szCs w:val="20"/>
          <w:color w:val="auto"/>
        </w:rPr>
      </w:pPr>
      <w:r>
        <w:rPr>
          <w:rFonts w:ascii="Courier New" w:cs="Courier New" w:eastAsia="Courier New" w:hAnsi="Courier New"/>
          <w:sz w:val="18"/>
          <w:szCs w:val="18"/>
          <w:color w:val="auto"/>
        </w:rPr>
        <w:t>net................................</w:t>
      </w:r>
    </w:p>
    <w:p>
      <w:pPr>
        <w:ind w:left="120"/>
        <w:spacing w:after="0" w:line="238" w:lineRule="auto"/>
        <w:rPr>
          <w:sz w:val="20"/>
          <w:szCs w:val="20"/>
          <w:color w:val="auto"/>
        </w:rPr>
      </w:pPr>
      <w:r>
        <w:rPr>
          <w:rFonts w:ascii="Courier New" w:cs="Courier New" w:eastAsia="Courier New" w:hAnsi="Courier New"/>
          <w:sz w:val="18"/>
          <w:szCs w:val="18"/>
          <w:color w:val="auto"/>
        </w:rPr>
        <w:t>1.4 1.4 1.0 1.0 (1.0) ----- -----</w:t>
      </w:r>
    </w:p>
    <w:p>
      <w:pPr>
        <w:ind w:left="220"/>
        <w:spacing w:after="0"/>
        <w:rPr>
          <w:sz w:val="20"/>
          <w:szCs w:val="20"/>
          <w:color w:val="auto"/>
        </w:rPr>
      </w:pPr>
      <w:r>
        <w:rPr>
          <w:rFonts w:ascii="Courier New" w:cs="Courier New" w:eastAsia="Courier New" w:hAnsi="Courier New"/>
          <w:sz w:val="18"/>
          <w:szCs w:val="18"/>
          <w:color w:val="auto"/>
        </w:rPr>
        <w:t>----- ----- ----- Income before</w:t>
      </w:r>
    </w:p>
    <w:tbl>
      <w:tblPr>
        <w:tblLayout w:type="fixed"/>
        <w:tblInd w:w="60" w:type="dxa"/>
        <w:tblCellMar>
          <w:top w:w="0" w:type="dxa"/>
          <w:left w:w="0" w:type="dxa"/>
          <w:bottom w:w="0" w:type="dxa"/>
          <w:right w:w="0" w:type="dxa"/>
        </w:tblCellMar>
      </w:tblPr>
      <w:tr>
        <w:trPr>
          <w:trHeight w:val="202"/>
        </w:trPr>
        <w:tc>
          <w:tcPr>
            <w:tcW w:w="258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income taxes...........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26.1 11.8</w:t>
            </w:r>
          </w:p>
        </w:tc>
      </w:tr>
      <w:tr>
        <w:trPr>
          <w:trHeight w:val="203"/>
        </w:trPr>
        <w:tc>
          <w:tcPr>
            <w:tcW w:w="35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24.3 7.6 22.4 Income</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9"/>
              </w:rPr>
              <w:t>taxes.........................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bl>
    <w:p>
      <w:pPr>
        <w:ind w:left="120"/>
        <w:spacing w:after="0" w:line="238" w:lineRule="auto"/>
        <w:rPr>
          <w:sz w:val="20"/>
          <w:szCs w:val="20"/>
          <w:color w:val="auto"/>
        </w:rPr>
      </w:pPr>
      <w:r>
        <w:rPr>
          <w:rFonts w:ascii="Courier New" w:cs="Courier New" w:eastAsia="Courier New" w:hAnsi="Courier New"/>
          <w:sz w:val="18"/>
          <w:szCs w:val="18"/>
          <w:color w:val="auto"/>
        </w:rPr>
        <w:t>7.5 7.3 7.1 6.7 ----- ----- -----</w:t>
      </w:r>
    </w:p>
    <w:p>
      <w:pPr>
        <w:ind w:left="1060"/>
        <w:spacing w:after="0"/>
        <w:rPr>
          <w:sz w:val="20"/>
          <w:szCs w:val="20"/>
          <w:color w:val="auto"/>
        </w:rPr>
      </w:pPr>
      <w:r>
        <w:rPr>
          <w:rFonts w:ascii="Courier New" w:cs="Courier New" w:eastAsia="Courier New" w:hAnsi="Courier New"/>
          <w:sz w:val="18"/>
          <w:szCs w:val="18"/>
          <w:color w:val="auto"/>
        </w:rPr>
        <w:t>----- ----- Net</w:t>
      </w:r>
    </w:p>
    <w:p>
      <w:pPr>
        <w:ind w:left="12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18.3% 4.3% 17.0% 0.5% 15.7% =====</w:t>
      </w:r>
    </w:p>
    <w:p>
      <w:pPr>
        <w:jc w:val="center"/>
        <w:ind w:right="651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23" w:right="1440" w:bottom="0" w:gutter="0" w:footer="0" w:header="0"/>
        </w:sectPr>
      </w:pPr>
    </w:p>
    <w:bookmarkStart w:id="30" w:name="page31"/>
    <w:bookmarkEnd w:id="30"/>
    <w:p>
      <w:pPr>
        <w:ind w:left="532" w:right="1779" w:hanging="532"/>
        <w:spacing w:after="0" w:line="271" w:lineRule="auto"/>
        <w:tabs>
          <w:tab w:leader="none" w:pos="53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acquired ITDS and Solect in fiscal year 2000. The pro forma financial information regarding our operating results is provided as a complement to results reported in accordance with GAAP. The pro forma financial information excludes (i) amortization of goodwill and purchased intangible assets and all related tax effects attributable to the acquisitions of ITDS and Solect and (ii) for fiscal year 2000 only, purchased in-process research and development charges, other indirect acquisition-related costs, and all related tax effects (clauses (i) and (ii) collectively referred to herein as the "ITDS and Solect acquisition-related charges").</w:t>
      </w:r>
    </w:p>
    <w:p>
      <w:pPr>
        <w:spacing w:after="0" w:line="178"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1"/>
          </w:cols>
          <w:pgMar w:left="248" w:top="142" w:right="1440" w:bottom="1440" w:gutter="0" w:footer="0" w:header="0"/>
        </w:sectPr>
      </w:pPr>
    </w:p>
    <w:bookmarkStart w:id="31" w:name="page32"/>
    <w:bookmarkEnd w:id="31"/>
    <w:p>
      <w:pPr>
        <w:ind w:left="220"/>
        <w:spacing w:after="0"/>
        <w:rPr>
          <w:sz w:val="20"/>
          <w:szCs w:val="20"/>
          <w:color w:val="auto"/>
        </w:rPr>
      </w:pPr>
      <w:r>
        <w:rPr>
          <w:rFonts w:ascii="Courier New" w:cs="Courier New" w:eastAsia="Courier New" w:hAnsi="Courier New"/>
          <w:sz w:val="18"/>
          <w:szCs w:val="18"/>
          <w:color w:val="auto"/>
        </w:rPr>
        <w:t>YEARS ENDED SEPTEMBER 30, 2001 AND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Revenue for the year ended September 30, 2001 was $1,533.9 million, an increase of $415.6 million, or 37.2%, over fiscal 2000. The increase in revenue was due to the continued growth in the demand for our CC&amp;B Systems solutions in our traditional target markets of high-end and mid-tier communications companies. License revenue increased from $124.8 million in the year ended September 30, 2000 to $171.4 million during fiscal 2001, an increase of 37.3%, and service revenue increased 37.1% from $993.5 million in the year ended September 30, 2000 to $1,362.5 million in fiscal 2001.</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CC&amp;B Systems revenue for the year ended September 30, 2001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$1,379.7 million, an increase of $393.1 million, or 39.8%, over fiscal 2000.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year ended September 30, 2001, the demand for our CC&amp;B Systems was primarily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driven by the need for communications companies to upgrade their customer care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billing, CRM and order management systems in response to competition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subscriber markets, the need to offer convergent and IP services, and the need</w:t>
      </w:r>
    </w:p>
    <w:p>
      <w:pPr>
        <w:spacing w:after="0" w:line="238" w:lineRule="auto"/>
        <w:rPr>
          <w:sz w:val="20"/>
          <w:szCs w:val="20"/>
          <w:color w:val="auto"/>
        </w:rPr>
      </w:pPr>
      <w:r>
        <w:rPr>
          <w:rFonts w:ascii="Courier New" w:cs="Courier New" w:eastAsia="Courier New" w:hAnsi="Courier New"/>
          <w:sz w:val="18"/>
          <w:szCs w:val="18"/>
          <w:color w:val="auto"/>
        </w:rPr>
        <w:t>to improve productivity and operational efficiency.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Revenue from Directory Systems was $154.2 million for the year ended September 30, 2001, an increase of $22.5 million, or 17.1%, over fiscal 2000. The increase is attributable primarily to extensions of agreements with and additional services rendered to existing customers.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year ended September 30, 2001, revenue from customers in North America, Europe and the rest of the world accounted for 53.8%, 35.8% and 10.4%, respectively, compared to 45.6%, 42.4% and 12.0%, respectively, in fiscal 2000. The growth in North America was attributable primarily to revenue we gained from forming or expanding relationships with new or existing customers in fiscal 2001.</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 of License. Cost of license for fiscal 2001 was $5.7 million, which is approximately equal to the cost of license in the prior fiscal year. Cost of license includes amortization of purchased computer software and intellectual property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Cost of service for fiscal 2001 was $847.6 million, an increase of $207.7 million, or 32.5%, over the cost of service of $639.9 million for the year ended September 30, 2000. As a percentage of revenue, cost of service decreased to 55.3% in the year ended September 30, 2001 from 57.2% in fiscal 2000. The decrease in cost of service as a percentage of revenue is primarily due to increases in our operational efficiency in the year ended September 30, 2001. In the second half of fiscal 2001, we adopted a plan to increase the efficiency of our operations and lower costs by reducing discretionary expenses. As a result of this plan, we were able to reduce the growth rate of our costs and achieve greater operational efficiency in fiscal 2001.</w:t>
      </w:r>
    </w:p>
    <w:p>
      <w:pPr>
        <w:spacing w:after="0" w:line="216"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programs. In the year ended September 30, 2001, research and development expense was $105.8 million, or 6.9% of revenue, compared with $74.9 million, or 6.7% of revenue, in the previous fiscal year. The increase represents ongoing expenditures primarily for CC&amp;B Systems.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was primarily comprised of compensation expense and increased by 42.8% to $195.6 million, or 12.7% of revenue, in the year ended September 30, 2001, from $137.0 million, or 12.3% of revenue, in fiscal 2000. The increase is attributable primarily to increases in our selling and marketing efforts in the year ended September 30, 2001.</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Goodwill and Purchased Intangible Assets. Amortization of goodwill and purchased intangible assets for the year ended September 30, 2001 was $220.0 million, compared to $111.2 million in fiscal 2000. Amortization of goodwill and purchased intangible assets relates to the acquisitions of ITDS and Solect. The increase in amortization of goodwill and purchased intangible assets in fiscal 2001 is due to the full-year amortization period applied in fiscal 2001 compared to a shorter amortization period in fiscal 2000.</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2" w:name="page33"/>
    <w:bookmarkEnd w:id="32"/>
    <w:p>
      <w:pPr>
        <w:ind w:right="1879" w:firstLine="527"/>
        <w:spacing w:after="0" w:line="237" w:lineRule="auto"/>
        <w:rPr>
          <w:sz w:val="20"/>
          <w:szCs w:val="20"/>
          <w:color w:val="auto"/>
        </w:rPr>
      </w:pPr>
      <w:r>
        <w:rPr>
          <w:rFonts w:ascii="Courier New" w:cs="Courier New" w:eastAsia="Courier New" w:hAnsi="Courier New"/>
          <w:sz w:val="18"/>
          <w:szCs w:val="18"/>
          <w:color w:val="auto"/>
        </w:rPr>
        <w:t>In-process Research and Development and Other Indirect Acquisition-Related Costs. In-process research and development and other indirect acquisition-related costs were last incurred in fiscal 2000 and consisted of a nonrecurring charge of $75.6 million related to the acquisitions of ITDS and Solect.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Operating Income. Operating income in the year ended September 30, 2001 was $159.3 million, compared to $74.1 million in fiscal 2000, an increase of 115%, primarily due to the effect of a nonrecurring charge for write-off of purchased in-process research and development related to the acquisitions of ITDS and Solect in fiscal 2000. Pro forma operating income for the year ended September 30, 2001, excluding ITDS and Solect acquisition-related charges, was $379.3 million, or 24.7% of revenue, compared to $260.9 million, or 23.3% of revenue, for fiscal 2000, an increase of 45.4%.</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Interest Income and Other, Net. In the year ended September 30, 2001, interest income and other, net, was $22.3 million, an increase of $11.6 million over fiscal 2000. The increase in interest income and other, net, is primarily attributable to the increase in our cash equivalents and short-term interest-bearing investments partially offset by overall interest rate declines.</w:t>
      </w:r>
    </w:p>
    <w:p>
      <w:pPr>
        <w:spacing w:after="0" w:line="179"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Income Taxes.</w:t>
      </w:r>
      <w:r>
        <w:rPr>
          <w:sz w:val="20"/>
          <w:szCs w:val="20"/>
          <w:color w:val="auto"/>
        </w:rPr>
        <w:tab/>
      </w:r>
      <w:r>
        <w:rPr>
          <w:rFonts w:ascii="Courier New" w:cs="Courier New" w:eastAsia="Courier New" w:hAnsi="Courier New"/>
          <w:sz w:val="16"/>
          <w:szCs w:val="16"/>
          <w:color w:val="auto"/>
        </w:rPr>
        <w:t>Income taxes in the year ended September 30, 2001 were</w:t>
      </w:r>
    </w:p>
    <w:p>
      <w:pPr>
        <w:spacing w:after="0" w:line="238" w:lineRule="auto"/>
        <w:rPr>
          <w:sz w:val="20"/>
          <w:szCs w:val="20"/>
          <w:color w:val="auto"/>
        </w:rPr>
      </w:pPr>
      <w:r>
        <w:rPr>
          <w:rFonts w:ascii="Courier New" w:cs="Courier New" w:eastAsia="Courier New" w:hAnsi="Courier New"/>
          <w:sz w:val="18"/>
          <w:szCs w:val="18"/>
          <w:color w:val="auto"/>
        </w:rPr>
        <w:t>$115.2 million on income before income taxes of $181.6 million. Our effective</w:t>
      </w:r>
    </w:p>
    <w:p>
      <w:pPr>
        <w:spacing w:after="0"/>
        <w:rPr>
          <w:sz w:val="20"/>
          <w:szCs w:val="20"/>
          <w:color w:val="auto"/>
        </w:rPr>
      </w:pPr>
      <w:r>
        <w:rPr>
          <w:rFonts w:ascii="Courier New" w:cs="Courier New" w:eastAsia="Courier New" w:hAnsi="Courier New"/>
          <w:sz w:val="18"/>
          <w:szCs w:val="18"/>
          <w:color w:val="auto"/>
        </w:rPr>
        <w:t>tax rate in the year ended September 30, 2001 was 63%, resulting from the</w:t>
      </w:r>
    </w:p>
    <w:p>
      <w:pPr>
        <w:spacing w:after="0" w:line="237" w:lineRule="auto"/>
        <w:rPr>
          <w:sz w:val="20"/>
          <w:szCs w:val="20"/>
          <w:color w:val="auto"/>
        </w:rPr>
      </w:pPr>
      <w:r>
        <w:rPr>
          <w:rFonts w:ascii="Courier New" w:cs="Courier New" w:eastAsia="Courier New" w:hAnsi="Courier New"/>
          <w:sz w:val="18"/>
          <w:szCs w:val="18"/>
          <w:color w:val="auto"/>
        </w:rPr>
        <w:t>non-cash amortization of goodwill related to the ITDS and Solect acquisitions,</w:t>
      </w:r>
    </w:p>
    <w:p>
      <w:pPr>
        <w:spacing w:after="0" w:line="238" w:lineRule="auto"/>
        <w:rPr>
          <w:sz w:val="20"/>
          <w:szCs w:val="20"/>
          <w:color w:val="auto"/>
        </w:rPr>
      </w:pPr>
      <w:r>
        <w:rPr>
          <w:rFonts w:ascii="Courier New" w:cs="Courier New" w:eastAsia="Courier New" w:hAnsi="Courier New"/>
          <w:sz w:val="18"/>
          <w:szCs w:val="18"/>
          <w:color w:val="auto"/>
        </w:rPr>
        <w:t>much of which is not tax deductible. In the year ended September 30,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 were $78.9 million on income before income taxes of $84.9 million.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year ended September 30, 2000, the effective tax rate (based on the ratio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 income taxes and income before income taxes, excluding nonrecurring</w:t>
      </w:r>
    </w:p>
    <w:p>
      <w:pPr>
        <w:spacing w:after="0" w:line="238" w:lineRule="auto"/>
        <w:rPr>
          <w:sz w:val="20"/>
          <w:szCs w:val="20"/>
          <w:color w:val="auto"/>
        </w:rPr>
      </w:pPr>
      <w:r>
        <w:rPr>
          <w:rFonts w:ascii="Courier New" w:cs="Courier New" w:eastAsia="Courier New" w:hAnsi="Courier New"/>
          <w:sz w:val="18"/>
          <w:szCs w:val="18"/>
          <w:color w:val="auto"/>
        </w:rPr>
        <w:t>charges for write-offs of purchased in-process research and development and</w:t>
      </w:r>
    </w:p>
    <w:p>
      <w:pPr>
        <w:spacing w:after="0"/>
        <w:rPr>
          <w:sz w:val="20"/>
          <w:szCs w:val="20"/>
          <w:color w:val="auto"/>
        </w:rPr>
      </w:pPr>
      <w:r>
        <w:rPr>
          <w:rFonts w:ascii="Courier New" w:cs="Courier New" w:eastAsia="Courier New" w:hAnsi="Courier New"/>
          <w:sz w:val="18"/>
          <w:szCs w:val="18"/>
          <w:color w:val="auto"/>
        </w:rPr>
        <w:t>other indirect acquisition-related costs) was 49%. The pro forma effective tax</w:t>
      </w:r>
    </w:p>
    <w:p>
      <w:pPr>
        <w:spacing w:after="0" w:line="237" w:lineRule="auto"/>
        <w:rPr>
          <w:sz w:val="20"/>
          <w:szCs w:val="20"/>
          <w:color w:val="auto"/>
        </w:rPr>
      </w:pPr>
      <w:r>
        <w:rPr>
          <w:rFonts w:ascii="Courier New" w:cs="Courier New" w:eastAsia="Courier New" w:hAnsi="Courier New"/>
          <w:sz w:val="18"/>
          <w:szCs w:val="18"/>
          <w:color w:val="auto"/>
        </w:rPr>
        <w:t>rate for fiscal 2001 and 2000, excluding ITDS and Solect acquisition-related</w:t>
      </w:r>
    </w:p>
    <w:p>
      <w:pPr>
        <w:spacing w:after="0" w:line="238" w:lineRule="auto"/>
        <w:rPr>
          <w:sz w:val="20"/>
          <w:szCs w:val="20"/>
          <w:color w:val="auto"/>
        </w:rPr>
      </w:pPr>
      <w:r>
        <w:rPr>
          <w:rFonts w:ascii="Courier New" w:cs="Courier New" w:eastAsia="Courier New" w:hAnsi="Courier New"/>
          <w:sz w:val="18"/>
          <w:szCs w:val="18"/>
          <w:color w:val="auto"/>
        </w:rPr>
        <w:t>charges, was 30%. See discussion below -- "Effective Tax Rate".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Net Income. Net income was $66.4 million in the year ended September 30, 2001, compared to net income of $6.0 million in the previous fiscal year. Pro forma net income in fiscal 2001, excluding ITDS and Solect acquisition-related charges, increased by 47.8% over fiscal 2000, reaching $281.1 million, representing 18.3% of revenue.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Diluted Earnings per Share. Diluted earnings per share were $0.29 for the year ended September 30, 2001, compared to $0.03 in fiscal 2000. Pro forma diluted earnings per share in the year ended September 30, 2001, excluding ITDS and Solect acquisition-related charges, increased by 40.9% from the year ended September 30, 2000, reaching $1.24 per diluted share.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SEPTEMBER 30, 2000 AND 1999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Revenue for the year ended September 30, 2000 was $1,118.3 million, an increase of $491.5 million, or 78.4%, compared to fiscal 1999. Over 70% of the increase in revenue was due to the continued growth in the demand for our CC&amp;B Systems in our traditional target markets of high-end and mid-tier communications companies and less than 30% was attributable to our acquisitions of ITDS and Solect.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License revenue increased from $74.4 million in fiscal 1999 to $124.8 million in the year ended September 30, 2000, an increase of 67.8%. Service revenue increased from $552.5 million in fiscal 1999 to $993.5 million in fiscal 2000, an increase of $441.0 million, or 79.8%.</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Total CC&amp;B Systems revenue for the year ended September 30, 2000 was $986.5 million, an increase of $518.3 million, or 111%, compared to fiscal 1999. The diversity of demand for CC&amp;B Systems was reflected by the broad cross section of new projects we were awarded in fiscal 2000. These projects covered customers in, among other locations, Europe, North America and Latin America, working within a wide range of operating environments, including wireline, wireless and IP. In many cases, we expanded our ongoing relationships with existing customers. In fiscal 2000,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w:t>
      </w:r>
    </w:p>
    <w:p>
      <w:pPr>
        <w:ind w:left="4220"/>
        <w:spacing w:after="0" w:line="238" w:lineRule="auto"/>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33" w:name="page34"/>
    <w:bookmarkEnd w:id="33"/>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Revenue from Directory Systems decreased to $131.8 million for the year ended September 30, 2000, from $158.6 million for the prior fiscal year. The decrease in revenue from Directory Systems primarily reflected a reduction in the volume of Directory Systems services required by our existing customers.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year ended September 30, 2000, revenue from customers in North America, Europe and the rest of the world accounted for 45.6%, 42.4% and 12.0%, respectively, compared to 36.1%, 41.8% and 22.1%, respectively, in the year ended September 30, 1999. The growth in North America was primarily attributable to revenue we gained from existing ITDS customers and to our forming or expanding relationships with new or existing customers in North America in fiscal 2000.</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License. Cost of license for fiscal 2000 was $5.6 million, an increase of $0.1 million from cost of license for the prior fiscal year. Cost of license included amortization of purchased computer software and intellectual property rights. The increase in cost of license for fiscal 2000 was primarily attributable to new purchases of computer software in fiscal 2000 and the related amortization.</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Cost of Service. Cost of service for fiscal 2000 was $639.9 million, an increase of $282.1 million, or 78.8%, compared to cost of service of $357.8 million for the year ended September 30, 1999. Cost of service was predominantly related to salary and employee-related expenses. The absolute increase in cost of service was consistent with the increase in revenue for fiscal 2000, and reflected increased employment levels required to support our growth.</w:t>
      </w:r>
    </w:p>
    <w:p>
      <w:pPr>
        <w:spacing w:after="0" w:line="18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programs. In fiscal 2000, research and development expense was $74.9 million, or 6.7% of revenue, compared with $40.9 million, or 6.5% of revenue, in the previous fiscal year. The bulk of the increase in research and development expense represented ongoing expenditures primarily for CC&amp;B Systems, with the balance attributable to Directory Systems.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was primarily comprised of compensation expense and increased by 81.1% to $137.0 million, or 12.3% of revenue, in fiscal 2000, from $75.7 million, or 12.1% of revenue, in the year ended September 30, 1999. The increase in selling, general and administrative expense was consistent with the increase in our revenue for fiscal 2000 and with our acquisitions of ITDS and Solect.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Amortization of Goodwill and Purchased Intangible Assets. Amortization of goodwill and purchased intangible assets in the year ended September 30, 2000 related to the ITDS and Solect transactions.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In-process Research and Development and Other Indirect Acquisition-Related Costs. In-process research and development and other indirect acquisition-related costs in the year ended September 30, 2000 consisted primarily of nonrecurring charges related to the ITDS and Solect transactions of $19.9 million and $50.4 million, respectively, for write-offs of purchased in-process research and development.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Operating income for the year ended September 30, 2000 was $74.1 million, as compared with $147.0 million for the previous fiscal year, a decrease of 49.6%, primarily due to the ITDS and Solect acquisition-related charges. Pro forma operating income for the year ended September 30, 2000, excluding the ITDS and Solect acquisition-related charges, was $260.9 million, or 23.3% of revenue, as compared with $147.0 million, or 23.4% of revenue, in the year ended September 30, 1999, an increase of 77.5%.</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Interest Income (Expense) and Other, Net. Interest income (expense) and other, net, consisted primarily of interest income. In the year ended September 30, 2000, interest income and other, net, was $10.7 million, an increase of $16.9 million from the prior fiscal year. The increase in interest income and other, net, was primarily attributable to increases in interest earned on cash equivalents and short-term interest-bearing investments.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4" w:name="page35"/>
    <w:bookmarkEnd w:id="34"/>
    <w:p>
      <w:pPr>
        <w:ind w:right="1779" w:firstLine="527"/>
        <w:spacing w:after="0" w:line="270" w:lineRule="auto"/>
        <w:rPr>
          <w:sz w:val="20"/>
          <w:szCs w:val="20"/>
          <w:color w:val="auto"/>
        </w:rPr>
      </w:pPr>
      <w:r>
        <w:rPr>
          <w:rFonts w:ascii="Courier New" w:cs="Courier New" w:eastAsia="Courier New" w:hAnsi="Courier New"/>
          <w:sz w:val="16"/>
          <w:szCs w:val="16"/>
          <w:color w:val="auto"/>
        </w:rPr>
        <w:t>Income Taxes. Income taxes in fiscal 2000 were $78.9 million on income before income taxes of $84.9 million. Our effective tax rate in fiscal 2000 (based on the ratio between income taxes and income before income taxes, excluding nonrecurring charges for write-offs of purchased in-process research and development and other indirect acquisition-related costs) was 49%, resulting from the non-cash amortization of goodwill related to the acquisitions of ITDS and Solect, much of which was not tax deductible. The pro forma effective tax rate for the year ended September 30, 2000, excluding the ITDS and Solect acquisition-related charges, was 30%. In fiscal 1999 income taxes were $42.2 million on income before income taxes of $140.8 million. Our effective tax rate in fiscal 1999 was 30%. See discussion below -- "Effective Tax Rate".</w:t>
      </w:r>
    </w:p>
    <w:p>
      <w:pPr>
        <w:spacing w:after="0" w:line="18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Net Income. Net income was $6.0 million in the year ended September 30, 2000, as compared to $98.5 million in the previous fiscal year. Net income was</w:t>
      </w:r>
    </w:p>
    <w:p>
      <w:pPr>
        <w:ind w:right="1779"/>
        <w:spacing w:after="0" w:line="237" w:lineRule="auto"/>
        <w:rPr>
          <w:sz w:val="20"/>
          <w:szCs w:val="20"/>
          <w:color w:val="auto"/>
        </w:rPr>
      </w:pPr>
      <w:r>
        <w:rPr>
          <w:rFonts w:ascii="Courier New" w:cs="Courier New" w:eastAsia="Courier New" w:hAnsi="Courier New"/>
          <w:sz w:val="18"/>
          <w:szCs w:val="18"/>
          <w:color w:val="auto"/>
        </w:rPr>
        <w:t>0.5% of revenue for fiscal 2000, as compared to 15.7% for fiscal 1999. Pro forma net income in fiscal 2000, excluding the ITDS and Solect acquisition-related charges, increased by 93.0% from fiscal 1999, reaching $190.1 million, representing 17.0% of revenue.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Diluted Earnings per Share. Diluted earnings per share were $0.03 for the year ended September 30, 2000, as compared with $0.49 in fiscal 1999. Pro forma diluted earnings per share in the year ended September 30, 2000, excluding the ITDS and Solect acquisition-related charges, increased by 79.6% from the year ended September 30, 1999, reaching $0.88 per diluted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Cash, cash equivalents and short-term interest-bearing investments totaled $1,110.1 million as of September 30, 2001, compared to $402.3 million as of September 30, 2000. The increase is primarily attributable to net proceeds from the issuance of the Notes and cash flows from operations. Net cash provided by operating activities amounted to $338.0 million and $287.6 million for fiscal 2001 and 2000, respectively. The increase in cash flows from operations was due to increased net income before depreciation and amortization offset by increases in working capital, principally from accounts receivable. A significant portion of our cash flow from operations during the year ended September 30, 2001 was used to invest in cash equivalents and short-term interest-bearing investments. We currently intend to retain our future operating cash flows to support the further expansion of our business.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As of September 30, 2001, we had positive working capital of $1,059.9 million, compared to positive working capital of $319.0 million as of September 30, 2000. The increase is attributable primarily to cash generated from the issuance of the Notes and operating activities. We believe that current cash balances, cash generated from operations and our current lines of credit will provide sufficient resources to meet our needs in the near future.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All of the Notes were outstanding as of September 30, 2001, representing an aggregate principal amount of $500.0 million plus accumulated interest. See discussion above -- "Convertible Notes".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September 30, 2001, we had short-term general revolving lines of credit totaling $40.0 million, none of which were outstanding. In addition, as of September 30, 2001, we had credit facilities totaling $22.6 million limited for the use of letters of credit and bank guaranties from various banks. We had utilized approximately $22.9 million from these credit facilities and from compensating cash balances to support outstanding letters of credit and bank guarantees as of September 30, 2001.</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Subsequent to the balance sheet date, we entered into an additional credit facility limited for the use of letters of credit and bank guaranties totaling $20.0 million from a commercial bank.</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had outstanding long-term obligations of $35.2 million in connection with leasing arrangements as of September 30, 2001.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97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NET DEFERRED TAX ASSETS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September 30, 2001, deferred tax assets of $27.9 million, derived primarily from carry-forward net operating losses relating to Solect pre-acquisition losses, were offset by valuation allowances due to the uncertainty of realizing any tax benefit for such losses. When realization of the tax benefits associated with such net operating losses is deemed probable, the valuation allowance will be released, resulting primarily in an offsetting reduction of the goodwill recorded in the Solect acquisition.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TAX RATE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overall effective tax rate has historically been approximately 30% due to the corporate income tax rates in the various countries in which we operate and the relative magnitude of our business in those countries. Our consolidated effective tax rate for the year ended September 30, 2001 was 63%, compared to 49% (based on the ratio between income taxes and income before income taxes, excluding nonrecurring charges for write-offs of purchased in-process research and development and other indirect acquisition-related costs) in the year ended September 30, 2000. This higher effective tax rate was attributable to amortization of goodwill related to our acquisitions of ITDS and Solect, much of which is not tax deductible. Excluding the impact of the ITDS and Solect acquisition-related charges, the effective tax rate for the years ended September 30, 2001 and 2000 was 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November 28, 2001, we completed our acquisition from Nortel Networks of substantially all of the assets of Clarify, a leading provider of CRM software to communications companies and other enterprise sectors, for approximately $200.0 million in cash. We believe that this acquisition positions us as a leading provider of CRM to the communications industry and reinforces our leadership in delivering a comprehensive portfolio of BSS products and applications.</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transaction will be accounted for by the purchase accounting method, as required by SFAS 141 (see discussion above -- "New Accounting Standards"). We expect to incur a nonrecurring acquisition-related charge in the first quarter of fiscal 2002 to account for certain costs relating to the acquisition, primarily the write-off of purchased in-process research and development.</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November 6, 2001, we announced that our board of directors had approved a share repurchase program authorizing the repurchase of up to 11.0 million of our ordinary shares, or approximately 5% of our currently outstanding ordinary shares. According to the program, shares may be repurchased from time to time over the next twelve months on the open market, in privately negotiated transactions or otherwise, all in accordance with any applicable laws, and at prices per share as we deem appropriate. If any repurchases are made, we intend to fund the repurchases with available funds.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our plan to achieve increased operational efficiency and to reduce costs, we have decided to combine our Stamford, Connecticut data center with one we operate in Champaign, Illinois, and thereupon to close our Stamford facility. As a direct result of this plan, we expect to incur a nonrecurring charge of between $10.0 million to $15.0 million, primarily for the write-off of leasehold improvements and rent obligations, during the first quarter of fiscal 2002.</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6" w:name="page37"/>
    <w:bookmarkEnd w:id="36"/>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December 24, 2001, our directors, senior managers and key employees upon whose work we are dependent were as follows:</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NAME AGE POSITION ---- ---- --------</w:t>
      </w:r>
    </w:p>
    <w:tbl>
      <w:tblPr>
        <w:tblLayout w:type="fixed"/>
        <w:tblInd w:w="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326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Bruce K. Anderson(1)</w:t>
            </w: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8"/>
                <w:szCs w:val="8"/>
                <w:color w:val="auto"/>
                <w:w w:val="76"/>
              </w:rPr>
              <w:t>(2)......................</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 Chairman of</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the Board and Chief Executive Officer</w:t>
            </w:r>
          </w:p>
        </w:tc>
      </w:tr>
      <w:tr>
        <w:trPr>
          <w:trHeight w:val="203"/>
        </w:trPr>
        <w:tc>
          <w:tcPr>
            <w:tcW w:w="940" w:type="dxa"/>
            <w:vAlign w:val="bottom"/>
          </w:tcPr>
          <w:p>
            <w:pPr>
              <w:spacing w:after="0"/>
              <w:rPr>
                <w:sz w:val="17"/>
                <w:szCs w:val="17"/>
                <w:color w:val="auto"/>
              </w:rPr>
            </w:pPr>
          </w:p>
        </w:tc>
        <w:tc>
          <w:tcPr>
            <w:tcW w:w="326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Robert A. Minicucci(1)</w:t>
            </w: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9"/>
                <w:szCs w:val="9"/>
                <w:color w:val="auto"/>
                <w:w w:val="74"/>
              </w:rPr>
              <w:t>(2)....................</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 Director and</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Chief Financial Officer Avinoam Naor(1)</w:t>
            </w: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7"/>
                <w:szCs w:val="7"/>
                <w:color w:val="auto"/>
                <w:w w:val="72"/>
              </w:rPr>
              <w:t>(2)...........................</w:t>
            </w:r>
          </w:p>
        </w:tc>
        <w:tc>
          <w:tcPr>
            <w:tcW w:w="3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Limited Nehemia</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Lemelbaum............................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Yossef.............................</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O'Brien............................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r>
      <w:tr>
        <w:trPr>
          <w:trHeight w:val="203"/>
        </w:trPr>
        <w:tc>
          <w:tcPr>
            <w:tcW w:w="3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Treasurer and Secretary Simon</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Limited Melinos</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Pissourios...........................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Foster............................ 65</w:t>
      </w:r>
    </w:p>
    <w:p>
      <w:pPr>
        <w:jc w:val="center"/>
        <w:ind w:right="5899"/>
        <w:spacing w:after="0" w:line="238" w:lineRule="auto"/>
        <w:rPr>
          <w:sz w:val="20"/>
          <w:szCs w:val="20"/>
          <w:color w:val="auto"/>
        </w:rPr>
      </w:pPr>
      <w:r>
        <w:rPr>
          <w:rFonts w:ascii="Courier New" w:cs="Courier New" w:eastAsia="Courier New" w:hAnsi="Courier New"/>
          <w:sz w:val="18"/>
          <w:szCs w:val="18"/>
          <w:color w:val="auto"/>
        </w:rPr>
        <w:t>Director Adrian Gardner(1)(2)</w:t>
      </w:r>
    </w:p>
    <w:p>
      <w:pPr>
        <w:jc w:val="center"/>
        <w:ind w:right="5899"/>
        <w:spacing w:after="0"/>
        <w:rPr>
          <w:sz w:val="20"/>
          <w:szCs w:val="20"/>
          <w:color w:val="auto"/>
        </w:rPr>
      </w:pPr>
      <w:r>
        <w:rPr>
          <w:rFonts w:ascii="Courier New" w:cs="Courier New" w:eastAsia="Courier New" w:hAnsi="Courier New"/>
          <w:sz w:val="18"/>
          <w:szCs w:val="18"/>
          <w:color w:val="auto"/>
        </w:rPr>
        <w:t>(3)...................... 39 Director</w:t>
      </w:r>
    </w:p>
    <w:p>
      <w:pPr>
        <w:jc w:val="center"/>
        <w:ind w:right="5899"/>
        <w:spacing w:after="0" w:line="237" w:lineRule="auto"/>
        <w:rPr>
          <w:sz w:val="20"/>
          <w:szCs w:val="20"/>
          <w:color w:val="auto"/>
        </w:rPr>
      </w:pPr>
      <w:r>
        <w:rPr>
          <w:rFonts w:ascii="Courier New" w:cs="Courier New" w:eastAsia="Courier New" w:hAnsi="Courier New"/>
          <w:sz w:val="18"/>
          <w:szCs w:val="18"/>
          <w:color w:val="auto"/>
        </w:rPr>
        <w:t>James S. Kahan(1)</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(2)......................... 54 Director</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John 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McLennan(3).......................... 56</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Director Lawrence</w:t>
      </w:r>
    </w:p>
    <w:p>
      <w:pPr>
        <w:jc w:val="center"/>
        <w:ind w:right="5899"/>
        <w:spacing w:after="0" w:line="238" w:lineRule="auto"/>
        <w:rPr>
          <w:sz w:val="20"/>
          <w:szCs w:val="20"/>
          <w:color w:val="auto"/>
        </w:rPr>
      </w:pPr>
      <w:r>
        <w:rPr>
          <w:rFonts w:ascii="Courier New" w:cs="Courier New" w:eastAsia="Courier New" w:hAnsi="Courier New"/>
          <w:sz w:val="18"/>
          <w:szCs w:val="18"/>
          <w:color w:val="auto"/>
        </w:rPr>
        <w:t>Perlman(3).......................... 63</w:t>
      </w:r>
    </w:p>
    <w:p>
      <w:pPr>
        <w:jc w:val="center"/>
        <w:ind w:right="5899"/>
        <w:spacing w:after="0"/>
        <w:rPr>
          <w:sz w:val="20"/>
          <w:szCs w:val="20"/>
          <w:color w:val="auto"/>
        </w:rPr>
      </w:pPr>
      <w:r>
        <w:rPr>
          <w:rFonts w:ascii="Courier New" w:cs="Courier New" w:eastAsia="Courier New" w:hAnsi="Courier New"/>
          <w:sz w:val="18"/>
          <w:szCs w:val="18"/>
          <w:color w:val="auto"/>
        </w:rPr>
        <w:t>Director Michael J.</w:t>
      </w:r>
    </w:p>
    <w:p>
      <w:pPr>
        <w:jc w:val="center"/>
        <w:ind w:right="5899"/>
        <w:spacing w:after="0" w:line="237" w:lineRule="auto"/>
        <w:rPr>
          <w:sz w:val="20"/>
          <w:szCs w:val="20"/>
          <w:color w:val="auto"/>
        </w:rPr>
      </w:pPr>
      <w:r>
        <w:rPr>
          <w:rFonts w:ascii="Courier New" w:cs="Courier New" w:eastAsia="Courier New" w:hAnsi="Courier New"/>
          <w:sz w:val="18"/>
          <w:szCs w:val="18"/>
          <w:color w:val="auto"/>
        </w:rPr>
        <w:t>Price............................. 44</w:t>
      </w:r>
    </w:p>
    <w:p>
      <w:pPr>
        <w:jc w:val="center"/>
        <w:ind w:right="5899"/>
        <w:spacing w:after="0" w:line="238" w:lineRule="auto"/>
        <w:rPr>
          <w:sz w:val="20"/>
          <w:szCs w:val="20"/>
          <w:color w:val="auto"/>
        </w:rPr>
      </w:pPr>
      <w:r>
        <w:rPr>
          <w:rFonts w:ascii="Courier New" w:cs="Courier New" w:eastAsia="Courier New" w:hAnsi="Courier New"/>
          <w:sz w:val="18"/>
          <w:szCs w:val="18"/>
          <w:color w:val="auto"/>
        </w:rPr>
        <w:t>Director Modi</w:t>
      </w:r>
    </w:p>
    <w:p>
      <w:pPr>
        <w:jc w:val="center"/>
        <w:ind w:right="5899"/>
        <w:spacing w:after="0"/>
        <w:rPr>
          <w:sz w:val="20"/>
          <w:szCs w:val="20"/>
          <w:color w:val="auto"/>
        </w:rPr>
      </w:pPr>
      <w:r>
        <w:rPr>
          <w:rFonts w:ascii="Courier New" w:cs="Courier New" w:eastAsia="Courier New" w:hAnsi="Courier New"/>
          <w:sz w:val="18"/>
          <w:szCs w:val="18"/>
          <w:color w:val="auto"/>
        </w:rPr>
        <w:t>Rosen...................................</w:t>
      </w:r>
    </w:p>
    <w:p>
      <w:pPr>
        <w:jc w:val="center"/>
        <w:ind w:right="5899"/>
        <w:spacing w:after="0" w:line="237" w:lineRule="auto"/>
        <w:rPr>
          <w:sz w:val="20"/>
          <w:szCs w:val="20"/>
          <w:color w:val="auto"/>
        </w:rPr>
      </w:pPr>
      <w:r>
        <w:rPr>
          <w:rFonts w:ascii="Courier New" w:cs="Courier New" w:eastAsia="Courier New" w:hAnsi="Courier New"/>
          <w:sz w:val="18"/>
          <w:szCs w:val="18"/>
          <w:color w:val="auto"/>
        </w:rPr>
        <w:t>41 Director Ron</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Zuckerman................................</w:t>
      </w:r>
    </w:p>
    <w:p>
      <w:pPr>
        <w:spacing w:after="0" w:line="16" w:lineRule="exact"/>
        <w:rPr>
          <w:sz w:val="20"/>
          <w:szCs w:val="20"/>
          <w:color w:val="auto"/>
        </w:rPr>
      </w:pPr>
    </w:p>
    <w:p>
      <w:pPr>
        <w:ind w:left="1900" w:hanging="317"/>
        <w:spacing w:after="0"/>
        <w:tabs>
          <w:tab w:leader="none" w:pos="190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Committee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Executive Committee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sectPr>
          <w:pgSz w:w="11900" w:h="16838" w:orient="portrait"/>
          <w:cols w:equalWidth="0" w:num="1">
            <w:col w:w="10219"/>
          </w:cols>
          <w:pgMar w:left="240" w:top="717" w:right="1440" w:bottom="0" w:gutter="0" w:footer="0" w:header="0"/>
        </w:sectPr>
      </w:pPr>
    </w:p>
    <w:bookmarkStart w:id="37" w:name="page38"/>
    <w:bookmarkEnd w:id="37"/>
    <w:p>
      <w:pPr>
        <w:ind w:right="1879" w:firstLine="527"/>
        <w:spacing w:after="0" w:line="237" w:lineRule="auto"/>
        <w:rPr>
          <w:sz w:val="20"/>
          <w:szCs w:val="20"/>
          <w:color w:val="auto"/>
        </w:rPr>
      </w:pPr>
      <w:r>
        <w:rPr>
          <w:rFonts w:ascii="Courier New" w:cs="Courier New" w:eastAsia="Courier New" w:hAnsi="Courier New"/>
          <w:sz w:val="18"/>
          <w:szCs w:val="18"/>
          <w:color w:val="auto"/>
        </w:rPr>
        <w:t>Bruce K. Anderson has been Chief Executive Officer and Chairman of the Board of Amdocs since September 1997. Since August 1978, he has been a general partner of Welsh, Carson, Anderson &amp; Stowe ("WCAS"), an investment firm that specializes in the acquisition of companies in the information services, communications and health care industries. Investment partnerships affiliated with WCAS are collectively one of our largest shareholders. Mr. Anderson served for nine years with Automated Data</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44"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Processing, Inc. ("ADP") until his resignation as Executive Vice President and a director of ADP, and President of ADP International, effective August 1978. Mr. Anderson serves on the board of Alliance Data Systems, Inc., a publicly held company, and Headstrong,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Avinoam Naor has been a director of Amdocs Limited since January 1999 and is Chief Executive Officer of Amdocs Management Limited, having overall coordination responsibility for the operations and activities of our operating subsidiaries. Mr. Naor was a member of the team that founded Amdocs in 1982, initially serving as a Senior Vice President. He was appointed President and CEO of Amdocs Management Limited in 1995. In 1998 he led our initial public offering, and has since directed our major acquisitions and secondary offerings. He has been involved with software development for 28 years, working on projects for the development of application and infrastructure software for communications systems and developing and marketing directory assistance systems.</w:t>
      </w:r>
    </w:p>
    <w:p>
      <w:pPr>
        <w:spacing w:after="0" w:line="216"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Dov Baharav is a Senior Vice President and the Chief Financial Officer of Amdocs Management Limited, and has overall coordination responsibility for the financial reporting and human resources of our operating subsidiaries. Mr.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Baharav joined Amdocs in 1991 in St. Louis, Missouri and until 1995 served first as Vice President and then as President of Amdocs, Inc., our principal U.S. subsidiary. Prior to joining Amdocs, Mr. Baharav served as Chief Operating Officer of Optrotech Ltd., a publicly held company that develops, manufactures and markets electro-optical devices.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Nehemia Lemelbaum was appointed a director of Amdocs in December 2001 and is the Senior Vice President, Strategy and Corporate Development, of Amdocs Management Limited. He joined Amdocs in 1985, with initial responsibility for U.S. operations. Mr. Lemelbaum led our development of graphic products for the yellow pages industry and directed our development of CC&amp;B Systems.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Mario Segal was appointed a director of Amdocs in December 2001 and is a Senior Vice President and the Chief Operating Officer of Amdocs Management Limited. He joined Amdocs in 1984 as Senior Vice President and was a leading member of the team that developed the ADS(NG)/Family of Products directory automation systems and the Ensemble(TM) platform. Prior 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Eli Gelman is a Senior Vice President of Amdocs Management Limited, with responsibility for sales, strategic alliances and business development. He has over 25 years of experience in the software industry, including over 14 years with Amdocs. Prior to his current position, he was a division president. He headed Amdocs' United States sales and marketing operations and helped spearhead our entry into the CC&amp;B Systems market. Mr. Gelman was an account manager for our major European and North American installations, and has also led several major software development projects. Before joining Amdocs, Mr. Gelman was involved in the development of real-time software systems for communications networks.</w:t>
      </w:r>
    </w:p>
    <w:p>
      <w:pPr>
        <w:spacing w:after="0" w:line="215"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Yigal Bar-Yossef is the Senior Vice President of Marketing for Amdocs Management Limited, and has responsibility for Amdocs' newly-acquired Clarify Division. Prior to joining Amdocs in 2001, Mr. Bar-Yossef served as Managing Director and CEO of Pelephone Communications Ltd., Israel's pioneer cellular</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59" w:gutter="0" w:footer="0" w:header="0"/>
        </w:sectPr>
      </w:pPr>
    </w:p>
    <w:bookmarkStart w:id="39" w:name="page40"/>
    <w:bookmarkEnd w:id="39"/>
    <w:p>
      <w:pPr>
        <w:ind w:right="1879"/>
        <w:spacing w:after="0" w:line="236" w:lineRule="auto"/>
        <w:rPr>
          <w:sz w:val="20"/>
          <w:szCs w:val="20"/>
          <w:color w:val="auto"/>
        </w:rPr>
      </w:pPr>
      <w:r>
        <w:rPr>
          <w:rFonts w:ascii="Courier New" w:cs="Courier New" w:eastAsia="Courier New" w:hAnsi="Courier New"/>
          <w:sz w:val="18"/>
          <w:szCs w:val="18"/>
          <w:color w:val="auto"/>
        </w:rPr>
        <w:t>company, which was jointly owned at the time by BEZEQ (Israel PTT) and Motorola Inc. Before that, he served as Managing Director of Digital Israel, a wholly-owned subsidiary of Digital Equipment Corporation (DEC).</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Shlomo Baleli joined Amdocs in 1982 and has been a Senior Vice President of Amdocs Management Limited since October 2000. He has over 20 years experience in software engineering and in the development of software applications and infrastructure for communications systems and directory systems. Prior to joining Amdocs, he was a member of the team that established the computerized system for Golden Pages, the Israeli yellow pages company.</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billing and order management systems. Prior to joining Amdocs, Mr. Cassif was Chief Information Officer and Vice President, Systems and Computers at Bezeq, the Israel Telecommunication Corp. Ltd. Mr. Cassif held this position for twelve years, with full responsibility for Bezeq's information technology strategy, systems development, maintenance and operations.</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Kevin Picker has been a director and the General Manager of Amdocs (UK) Limited since October 1999. He joined the Amdocs group in 1997 as the financial director of Directory Technology (PTY) Ltd. From May 1992 Mr. Picker was the general manager of Myers Tyres in Australia and prior to that financial director of KM Printing and Publishing. Mr. Picker is a member of the Institute of Chartered Accountants in Australia, the Israeli Institute of Certified Public Accountants and the South African Institute of Chartered Accountants.</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Charles E. Foster was appointed a director of Amdocs in December 2001.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SBCI, a wholly-owned subsidiary of SBC, is one of our largest shareholders. Mr. Foster is a member of the Texas Society of Professional Engineers.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Adrian Gardner has been a director of Amdocs since April 1998. Mr. Gardner is a Managing Director of Lazard LLC, based in London, and works with technology and telecommunications-related companies. Prior to joining Lazard in 1989, Mr. Gardner qualified as a chartered accountant with Price Waterhouse (now PricewaterhouseCoopers). Mr. Gardner is a member of the Institute of Chartered Accountants in England &amp; Wales and a member of The Securities Institute in the United Kingdom.</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James S. Kahan has been a director of Amdocs since April 1998. He has worked at SBC since 1983, and currently serves as its Senior Executive Vice President-Corporate Development, a position he has held since 1992. SBCI, a wholly-owned subsidiary of SBC, is one of our largest shareholders. Prior to joining SBC, Mr. Kahan held various positions at several telecommunications companies, including Western Electric, Bell Laboratories, South Central Bell and AT&amp;T.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970" w:gutter="0" w:footer="0" w:header="0"/>
        </w:sectPr>
      </w:pPr>
    </w:p>
    <w:bookmarkStart w:id="40" w:name="page41"/>
    <w:bookmarkEnd w:id="40"/>
    <w:p>
      <w:pPr>
        <w:ind w:right="1879" w:firstLine="527"/>
        <w:spacing w:after="0" w:line="237" w:lineRule="auto"/>
        <w:rPr>
          <w:sz w:val="20"/>
          <w:szCs w:val="20"/>
          <w:color w:val="auto"/>
        </w:rPr>
      </w:pPr>
      <w:r>
        <w:rPr>
          <w:rFonts w:ascii="Courier New" w:cs="Courier New" w:eastAsia="Courier New" w:hAnsi="Courier New"/>
          <w:sz w:val="18"/>
          <w:szCs w:val="18"/>
          <w:color w:val="auto"/>
        </w:rPr>
        <w:t>John T. McLennan has been a director of Amdocs since November 1999. Since May 1999, he has served as Vice-Chair and Chief Executive Officer of AT&amp;T Canada. Mr. McLennan founded and was the President of Jenmark Consulting Inc. from 1997 until May 1999. From 1994 to 1997, Mr. McLennan served as the President and Chief Executive Officer of Bell Canada. Prior to that, he held various positions at several telecommunications companies, including BCE Mobile Communications and Cantel Inc. Mr. McLennan currently serves on the board of directors of Hummingbird Corporation and several other private software and communication companies.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Lawrence Perlman has been a director of Amdocs since April 1998. He was Chairman of Ceridian Corporation from 1992 through 1999, and its Chief Executive Officer from 1990 through 1999. Ceridian Corporation is a provider of information services to employers to administer various human resource functions, as well as information services for the transportation market. Mr. Perlman was a director and Chairman of Seagate Technology, Inc., a global data storage company, until November 2000. Currently he serves as Chairman and Chief Executive Officer of XIOtech Corporation, a data network company that is a subsidiary of Seagate, and as Chairman of Arbitron Inc., a media information company. He also serves as a director of Carlson Companies, Inc. and Valspar Corporation.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Michael J. Price has been a director of Amdocs since January 1998. He is Vice Chairman of Evercore Partners, Inc., a leading advisory and private equity firm. He was co-Chairman of FirstMark Communications Europe S.A., a broadband communications company in Europe, from 1998 to 2001. Prior to that, he worked at Lazard Freres &amp; Co. L.L.C., starting in 1987, serving first as a Vice President and then as a Managing Director, where he led its technology and telecommunications group. Mr. Price is also a director of SpectraSite, a leading tower management company, and FirstMark Communications Europe S.A.</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Modi Rosen has been a director of Amdocs since December 2000. He founded and has been a co-manager of Magnum Communications Fund, a venture capital fund specializing in the Israeli telecommunications industry, since 1999. From 1997 to 1999, he was a Vice-President of Monitor Company, an international consulting group, where he advised European wireless and wireline companies, including Siemens. From 1991 to 1997, he was a managing partner at Shaldor, an Israeli consultancy firm. Mr. Rosen is also a director of several Israeli private companies.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Ron Zuckerman has been a director of Amdocs since December 2000. He founded and has been Chairman of the Board of Precise Software Solutions, a Nasdaq-listed company and a provider of information technology infrastructure performance management software, since 1991. He also founded Sapiens International, a Nasdaq-listed company and global e-business solutions provider, where he has served as Chairman since 1998, and EC-Gate, a solutions provider for e-marketplaces, where he has served as Chairman since 1996. Mr. Zuckerman is also a director of several private companies.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directors who are not employees or affiliates of either the Company or any of our major shareholders have the choice of receiving as compensation either (i) an annual a cash payment of $30,000 or (ii) every three years, a grant of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We reimburse all of our directors for their reasonable travel expenses incurred in connection with attending meetings of the board of directors or committees thereof.</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total of 23 persons who served either as directors of Amdocs or members of its administrative, supervisory or management bodies during fiscal 2001 received remuneration from Amdocs. The aggregate remuneration paid by us to such persons was approximately $15.5 million, which includes amounts set aside or accrued to provide pension, retirement or similar benefits, but does not include amounts expended by us for automobiles made available to such persons, expenses (including business travel, professional and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969" w:gutter="0" w:footer="0" w:header="0"/>
        </w:sectPr>
      </w:pPr>
    </w:p>
    <w:bookmarkStart w:id="41" w:name="page42"/>
    <w:bookmarkEnd w:id="41"/>
    <w:p>
      <w:pPr>
        <w:ind w:right="1879"/>
        <w:spacing w:after="0" w:line="235" w:lineRule="auto"/>
        <w:rPr>
          <w:sz w:val="20"/>
          <w:szCs w:val="20"/>
          <w:color w:val="auto"/>
        </w:rPr>
      </w:pPr>
      <w:r>
        <w:rPr>
          <w:rFonts w:ascii="Courier New" w:cs="Courier New" w:eastAsia="Courier New" w:hAnsi="Courier New"/>
          <w:sz w:val="18"/>
          <w:szCs w:val="18"/>
          <w:color w:val="auto"/>
        </w:rPr>
        <w:t>business association dues) or other fringe benefits. Included in this amount is remuneration to one former executive officer and two former directors.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During fiscal 2001, directors or members of our administrative, supervisory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management bodies were granted options to purchase a total of 793,450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 at an average price of $36.20 per share, with vesting over three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eight year terms. In addition, in the first quarter of fiscal 2002, we</w:t>
      </w:r>
    </w:p>
    <w:p>
      <w:pPr>
        <w:spacing w:after="0" w:line="238" w:lineRule="auto"/>
        <w:rPr>
          <w:sz w:val="20"/>
          <w:szCs w:val="20"/>
          <w:color w:val="auto"/>
        </w:rPr>
      </w:pPr>
      <w:r>
        <w:rPr>
          <w:rFonts w:ascii="Courier New" w:cs="Courier New" w:eastAsia="Courier New" w:hAnsi="Courier New"/>
          <w:sz w:val="18"/>
          <w:szCs w:val="18"/>
          <w:color w:val="auto"/>
        </w:rPr>
        <w:t>granted options to purchase 21,000 ordinary shares at an exercise price of</w:t>
      </w:r>
    </w:p>
    <w:p>
      <w:pPr>
        <w:spacing w:after="0"/>
        <w:rPr>
          <w:sz w:val="20"/>
          <w:szCs w:val="20"/>
          <w:color w:val="auto"/>
        </w:rPr>
      </w:pPr>
      <w:r>
        <w:rPr>
          <w:rFonts w:ascii="Courier New" w:cs="Courier New" w:eastAsia="Courier New" w:hAnsi="Courier New"/>
          <w:sz w:val="18"/>
          <w:szCs w:val="18"/>
          <w:color w:val="auto"/>
        </w:rPr>
        <w:t>$27.75 to two of our directors with respect to compensation earned in fiscal</w:t>
      </w:r>
    </w:p>
    <w:p>
      <w:pPr>
        <w:spacing w:after="0" w:line="237" w:lineRule="auto"/>
        <w:rPr>
          <w:sz w:val="20"/>
          <w:szCs w:val="20"/>
          <w:color w:val="auto"/>
        </w:rPr>
      </w:pPr>
      <w:r>
        <w:rPr>
          <w:rFonts w:ascii="Courier New" w:cs="Courier New" w:eastAsia="Courier New" w:hAnsi="Courier New"/>
          <w:sz w:val="18"/>
          <w:szCs w:val="18"/>
          <w:color w:val="auto"/>
        </w:rPr>
        <w:t>2001.</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recognize significant contributions to Amdocs over the years, in the first quarter of fiscal 2002 we made one-time grants of options to four of our non-employee directors to purchase an aggregate 40,000 ordinary shares at an exercise price of $27.75 per share.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All options were granted pursuant to our 1998 Stock Option and Incentive Plan, as amended. See discussion below -- "Share Ownership -- Employee Stock Option and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PRACTICES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than an employment agreement between us and Mr. Naor, which provides that Mr. Naor shall be paid a cash severance upon termination of his employment, there are no service contracts between us and any of our directors providing for benefits upon termination of their employment.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Our Audit Committee consists of Messrs. Perlman (Chair), Gardner and McLennan, all of whom are independent directors, as required by the rules of the NYSE.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 Our Compensation Committee consists of Messrs. Anderson (Chair), Gardner, Kahan, Minicucci and Naor. None of the members of the Committee was an employee of ours at any time during fiscal 2001, with the exception of Mr. Naor, who does not participate in any discussions relating to his own compensation.</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also established an Executive Committee that may act from time to time instead of the full board of directors and has such responsibilities as may be delegated to it by the board from time to time. Our Executive Committee consists of Messrs. Anderson (Chair), Gardner, Kahan, Miniccuci and Naor.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September 30, 2001, we employed on a full-time basis approximately 8,600 software and information technology specialists, engaged in research, development, maintenance and support activities, and approximately 1,100 managers and administrative professionals. We employ approximately 4,200 and 2,700 software and information technology specialists in Israel and North America, respectively, with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0" w:gutter="0" w:footer="0" w:header="0"/>
        </w:sectPr>
      </w:pPr>
    </w:p>
    <w:bookmarkStart w:id="42" w:name="page43"/>
    <w:bookmarkEnd w:id="42"/>
    <w:p>
      <w:pPr>
        <w:ind w:right="2099"/>
        <w:spacing w:after="0" w:line="236" w:lineRule="auto"/>
        <w:rPr>
          <w:sz w:val="20"/>
          <w:szCs w:val="20"/>
          <w:color w:val="auto"/>
        </w:rPr>
      </w:pPr>
      <w:r>
        <w:rPr>
          <w:rFonts w:ascii="Courier New" w:cs="Courier New" w:eastAsia="Courier New" w:hAnsi="Courier New"/>
          <w:sz w:val="18"/>
          <w:szCs w:val="18"/>
          <w:color w:val="auto"/>
        </w:rPr>
        <w:t>remaining principally located in Europe and the Asia-Pacific region. We often maintain teams of employees at a customer's premises to work on specific projects.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2000, we employed on a full-time basis approximately 7,400 software and information technology specialists, engaged in research, development, maintenance and support activities, and approximately 1,000 managers and administrative professionals. As of that date, we employed approximately 4,000 and 2,200 software and information technology specialists in Israel and North America, respectively, with the remaining principally located in Europe and the Asia-Pacific region. We often maintain teams of employees at a customer's premises to work on specific projects.</w:t>
      </w:r>
    </w:p>
    <w:p>
      <w:pPr>
        <w:spacing w:after="0" w:line="21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As of September 30, 1999, we employed on a full-time basis approximately 4,400 software and information technology specialists, engaged in research, development, maintenance and support activities, and approximately 600 managers and administrative professionals. We employed over 3,000 and 780 software and information technology specialists in Israel and North America, respectively, with the remaining located in Europe and the Asia-Pacific region.</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comply with various labor and immigration laws throughout the world, including laws and regulations in Australia, Brazil, Canada, Europe, Israel, Japan and the United States. Our employees in Europe are protected, in some countries, by mandatory collective bargaining agreements. The legal duties imposed on us by these agreements relate mainly to minimum wage payment obligations. To date, compliance with such laws has not been a material burden for us. As the number of our employees increases over time, our compliance with such regulations could become more burdensome.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consumer price index, or CPI. The amount and frequency of these adjustments are modified from time to time. We consider our relationship with our employees to be good and have never experienced a labor dispute, strike or work stoppage.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all employees in Brazil, including members of management, are represented by unions. Collective bargaining between employers and unions is mandatory, negotiated annually, and covers work conditions, including cost of living increases, minimum wages that exceed the government thresholds and overtime pay.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SECURITY OWNERSHIP OF DIRECTORS AND SENIOR MANAGEMENT AND CERTAIN KEY EMPLOYEES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November 30, 2001, the aggregate number of our voting ordinary shares beneficially owned by our directors, senior managers and certain key employees was 52,286,292 shares. This number includes voting ordinary shares held by SBCI and WCAS since affiliates of SBCI and WCAS serve on our board of directors and, accordingly, such designees may be deemed to be the beneficial owners of the voting ordinary shares held by such entities. Each such designee disclaims beneficial ownership of such shares. See "Major Shareholders and Related Party Transactions".</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Beneficial ownership by a person assumes the exercise of all options and warrants held by such person that are currently exercisable or are exercisable within 60 days of such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STOCK OPTION AND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1998 Stock Option and Incentive Plan, as amended (the "Option Plan") provides for the grant by Amdocs of restricted shares or stock options to our directors, employees (including officers) and consultants. Of the 32,300,000 ordinary shares originally available for issuance under the Option Plan, options to purchase 16,200,931 ordinary shares have been granted as of November 30, 2001,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16,099,069 ordinary shares remain available for future grants. The purpose of the Option Plan is to enable us to attract and retain qualified personnel and to motivate such persons by providing them with an equity participation in the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 Plan provides for the granting of "incentive stock options" and "non-qualified stock options" to purchase ordinary shares and/or the granting of rights to purchase ordinary shares on a "restricted"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Option Plan is administered by the Compensation Committee, which determines all the terms of the awards (subject to the above), including which employees, directors or consultants are granted awards. The board of directors may amend or terminate the Option Plan, provided that stockholder approval is required to increase the number of ordinary shares available under the Option Plan, to decrease the basis upon which the minimum exercise price of options is determined or to extend the term of an individual option or the period in which awards may be granted. Ordinary shares acquired upon exercise of an award are subject to certain restrictions on sale, transfer or hypothecation.</w:t>
      </w:r>
    </w:p>
    <w:p>
      <w:pPr>
        <w:spacing w:after="0" w:line="18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of November 30, 2001, there were outstanding options to purchase an aggregate 14,010,163 ordinary shares at exercise prices ranging from $1.92 to $78.31 per share and no restricted shares had been awarded.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ITDS and Solect transactions, as of November 30, 2001, we are obligated to issue (and have reserved for issuance) an additional 331,260 and 650,629 ordinary shares, respectively, upon exercise of options that had previously been granted under the ITDS and Solect option plans (the "Predecessor Plans") and were exchanged for options to purchase our ordinary shares. These options vest over a period of 3.5 years and have exercise prices ranging from $0.001 to $93.49 per share. No additional options have been or will be granted under the Predecessor Plans.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4" w:name="page45"/>
    <w:bookmarkEnd w:id="44"/>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of our voting ordinary shares as of November 30, 2001 of any person known by us to be the beneficial owner of more than 5% of such shares.</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BENEFICIALLY PERCENTAGE NAME AND</w:t>
      </w:r>
    </w:p>
    <w:p>
      <w:pPr>
        <w:ind w:left="60"/>
        <w:spacing w:after="0" w:line="238" w:lineRule="auto"/>
        <w:rPr>
          <w:sz w:val="20"/>
          <w:szCs w:val="20"/>
          <w:color w:val="auto"/>
        </w:rPr>
      </w:pPr>
      <w:r>
        <w:rPr>
          <w:rFonts w:ascii="Courier New" w:cs="Courier New" w:eastAsia="Courier New" w:hAnsi="Courier New"/>
          <w:sz w:val="18"/>
          <w:szCs w:val="18"/>
          <w:color w:val="auto"/>
        </w:rPr>
        <w:t>ADDRESS OWNED(1) OWNERSHIP(2) - --------</w:t>
      </w:r>
    </w:p>
    <w:p>
      <w:pPr>
        <w:ind w:left="160"/>
        <w:spacing w:after="0"/>
        <w:rPr>
          <w:sz w:val="20"/>
          <w:szCs w:val="20"/>
          <w:color w:val="auto"/>
        </w:rPr>
      </w:pPr>
      <w:r>
        <w:rPr>
          <w:rFonts w:ascii="Courier New" w:cs="Courier New" w:eastAsia="Courier New" w:hAnsi="Courier New"/>
          <w:sz w:val="18"/>
          <w:szCs w:val="18"/>
          <w:color w:val="auto"/>
        </w:rPr>
        <w:t>-------- ------------ ------------ SBC</w:t>
      </w:r>
    </w:p>
    <w:p>
      <w:pPr>
        <w:jc w:val="center"/>
        <w:ind w:right="5899"/>
        <w:spacing w:after="0" w:line="237" w:lineRule="auto"/>
        <w:rPr>
          <w:sz w:val="20"/>
          <w:szCs w:val="20"/>
          <w:color w:val="auto"/>
        </w:rPr>
      </w:pPr>
      <w:r>
        <w:rPr>
          <w:rFonts w:ascii="Courier New" w:cs="Courier New" w:eastAsia="Courier New" w:hAnsi="Courier New"/>
          <w:sz w:val="18"/>
          <w:szCs w:val="18"/>
          <w:color w:val="auto"/>
        </w:rPr>
        <w:t>International Inc.</w:t>
      </w:r>
    </w:p>
    <w:p>
      <w:pPr>
        <w:ind w:left="160"/>
        <w:spacing w:after="0" w:line="238" w:lineRule="auto"/>
        <w:rPr>
          <w:sz w:val="20"/>
          <w:szCs w:val="20"/>
          <w:color w:val="auto"/>
        </w:rPr>
      </w:pPr>
      <w:r>
        <w:rPr>
          <w:rFonts w:ascii="Courier New" w:cs="Courier New" w:eastAsia="Courier New" w:hAnsi="Courier New"/>
          <w:sz w:val="18"/>
          <w:szCs w:val="18"/>
          <w:color w:val="auto"/>
        </w:rPr>
        <w:t>(3)...................................</w:t>
      </w:r>
    </w:p>
    <w:p>
      <w:pPr>
        <w:jc w:val="center"/>
        <w:ind w:right="5899"/>
        <w:spacing w:after="0"/>
        <w:rPr>
          <w:sz w:val="20"/>
          <w:szCs w:val="20"/>
          <w:color w:val="auto"/>
        </w:rPr>
      </w:pPr>
      <w:r>
        <w:rPr>
          <w:rFonts w:ascii="Courier New" w:cs="Courier New" w:eastAsia="Courier New" w:hAnsi="Courier New"/>
          <w:sz w:val="18"/>
          <w:szCs w:val="18"/>
          <w:color w:val="auto"/>
        </w:rPr>
        <w:t>30,654,138 14.4% 175 E. Houston Street</w:t>
      </w:r>
    </w:p>
    <w:p>
      <w:pPr>
        <w:jc w:val="center"/>
        <w:ind w:right="5899"/>
        <w:spacing w:after="0" w:line="237" w:lineRule="auto"/>
        <w:rPr>
          <w:sz w:val="20"/>
          <w:szCs w:val="20"/>
          <w:color w:val="auto"/>
        </w:rPr>
      </w:pPr>
      <w:r>
        <w:rPr>
          <w:rFonts w:ascii="Courier New" w:cs="Courier New" w:eastAsia="Courier New" w:hAnsi="Courier New"/>
          <w:sz w:val="18"/>
          <w:szCs w:val="18"/>
          <w:color w:val="auto"/>
        </w:rPr>
        <w:t>San Antonio, Texas 78205-2233 AXA</w:t>
      </w:r>
    </w:p>
    <w:p>
      <w:pPr>
        <w:jc w:val="center"/>
        <w:ind w:right="5899"/>
        <w:spacing w:after="0"/>
        <w:rPr>
          <w:sz w:val="20"/>
          <w:szCs w:val="20"/>
          <w:color w:val="auto"/>
        </w:rPr>
      </w:pPr>
      <w:r>
        <w:rPr>
          <w:rFonts w:ascii="Courier New" w:cs="Courier New" w:eastAsia="Courier New" w:hAnsi="Courier New"/>
          <w:sz w:val="18"/>
          <w:szCs w:val="18"/>
          <w:color w:val="auto"/>
        </w:rPr>
        <w:t>Financial, Inc.</w:t>
      </w:r>
    </w:p>
    <w:p>
      <w:pPr>
        <w:spacing w:after="0" w:line="237" w:lineRule="auto"/>
        <w:rPr>
          <w:sz w:val="20"/>
          <w:szCs w:val="20"/>
          <w:color w:val="auto"/>
        </w:rPr>
      </w:pPr>
      <w:r>
        <w:rPr>
          <w:rFonts w:ascii="Courier New" w:cs="Courier New" w:eastAsia="Courier New" w:hAnsi="Courier New"/>
          <w:sz w:val="18"/>
          <w:szCs w:val="18"/>
          <w:color w:val="auto"/>
        </w:rPr>
        <w:t>(4)......................................</w:t>
      </w:r>
    </w:p>
    <w:p>
      <w:pPr>
        <w:jc w:val="center"/>
        <w:ind w:right="5899"/>
        <w:spacing w:after="0"/>
        <w:rPr>
          <w:sz w:val="20"/>
          <w:szCs w:val="20"/>
          <w:color w:val="auto"/>
        </w:rPr>
      </w:pPr>
      <w:r>
        <w:rPr>
          <w:rFonts w:ascii="Courier New" w:cs="Courier New" w:eastAsia="Courier New" w:hAnsi="Courier New"/>
          <w:sz w:val="18"/>
          <w:szCs w:val="18"/>
          <w:color w:val="auto"/>
        </w:rPr>
        <w:t>15,899,634 7.4% 1290 Avenue of the</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Americas New York, New York 10104 Welsh,</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Carson, Anderson &amp;</w:t>
      </w:r>
    </w:p>
    <w:p>
      <w:pPr>
        <w:ind w:left="380"/>
        <w:spacing w:after="0" w:line="238" w:lineRule="auto"/>
        <w:rPr>
          <w:sz w:val="20"/>
          <w:szCs w:val="20"/>
          <w:color w:val="auto"/>
        </w:rPr>
      </w:pPr>
      <w:r>
        <w:rPr>
          <w:rFonts w:ascii="Courier New" w:cs="Courier New" w:eastAsia="Courier New" w:hAnsi="Courier New"/>
          <w:sz w:val="18"/>
          <w:szCs w:val="18"/>
          <w:color w:val="auto"/>
        </w:rPr>
        <w:t>Stowe(5)..........................</w:t>
      </w:r>
    </w:p>
    <w:p>
      <w:pPr>
        <w:jc w:val="center"/>
        <w:ind w:right="5899"/>
        <w:spacing w:after="0"/>
        <w:rPr>
          <w:sz w:val="20"/>
          <w:szCs w:val="20"/>
          <w:color w:val="auto"/>
        </w:rPr>
      </w:pPr>
      <w:r>
        <w:rPr>
          <w:rFonts w:ascii="Courier New" w:cs="Courier New" w:eastAsia="Courier New" w:hAnsi="Courier New"/>
          <w:sz w:val="18"/>
          <w:szCs w:val="18"/>
          <w:color w:val="auto"/>
        </w:rPr>
        <w:t>10,585,340 5.0% 320 Park Avenue, Suite</w:t>
      </w:r>
    </w:p>
    <w:p>
      <w:pPr>
        <w:jc w:val="center"/>
        <w:ind w:right="5899"/>
        <w:spacing w:after="0" w:line="237" w:lineRule="auto"/>
        <w:rPr>
          <w:sz w:val="20"/>
          <w:szCs w:val="20"/>
          <w:color w:val="auto"/>
        </w:rPr>
      </w:pPr>
      <w:r>
        <w:rPr>
          <w:rFonts w:ascii="Courier New" w:cs="Courier New" w:eastAsia="Courier New" w:hAnsi="Courier New"/>
          <w:sz w:val="18"/>
          <w:szCs w:val="18"/>
          <w:color w:val="auto"/>
        </w:rPr>
        <w:t>2500 New York, New York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779" w:hanging="412"/>
        <w:spacing w:after="0" w:line="237"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entities identified in this table have sole voting and investment power with respect to all voting ordinary shares shown as beneficially owned by them, subject to community property laws, where applicable.</w:t>
      </w:r>
    </w:p>
    <w:p>
      <w:pPr>
        <w:spacing w:after="0" w:line="207"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are based on 213,539,100 voting ordinary shares outstanding on November 30, 2001.</w:t>
      </w:r>
    </w:p>
    <w:p>
      <w:pPr>
        <w:spacing w:after="0" w:line="208" w:lineRule="exact"/>
        <w:rPr>
          <w:rFonts w:ascii="Courier New" w:cs="Courier New" w:eastAsia="Courier New" w:hAnsi="Courier New"/>
          <w:sz w:val="18"/>
          <w:szCs w:val="18"/>
          <w:color w:val="auto"/>
        </w:rPr>
      </w:pPr>
    </w:p>
    <w:p>
      <w:pPr>
        <w:ind w:left="420" w:right="1879" w:hanging="412"/>
        <w:spacing w:after="0" w:line="270" w:lineRule="auto"/>
        <w:tabs>
          <w:tab w:leader="none" w:pos="4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16,473,823 voting ordinary shares held by SBC Option Delivery LLC, a majority-owned subsidiary of SBCI, and 10,000,000 voting ordinary shares held by another shareholder, which SBCI has the sole power to vote, but not to dispose of, pursuant to an irrevocable proxy granted to SBCI on December 19, 2000. The proxy will expire on the earlier of June 11, 2002 or the occurrence of certain events described in the proxy. In addition to the shares listed above, SBCI also owns 9,203,798 non-voting ordinary shares, which, in accordance with their terms, become voting ordinary shares upon being transferred by SBCI to any party that is not an affiliate of SBCI. SBCI is the only shareholder of our non-voting ordinary shares. SBCI is a wholly-owned subsidiary of SBC. James S. Kahan, Senior Executive Vice President-Corporate Development of SBC, serves on our board of directors.</w:t>
      </w:r>
    </w:p>
    <w:p>
      <w:pPr>
        <w:spacing w:after="0" w:line="390" w:lineRule="exact"/>
        <w:rPr>
          <w:rFonts w:ascii="Courier New" w:cs="Courier New" w:eastAsia="Courier New" w:hAnsi="Courier New"/>
          <w:sz w:val="16"/>
          <w:szCs w:val="16"/>
          <w:color w:val="auto"/>
        </w:rPr>
      </w:pPr>
    </w:p>
    <w:p>
      <w:pPr>
        <w:ind w:left="420" w:right="2199" w:hanging="412"/>
        <w:spacing w:after="0" w:line="237"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15,478,834 voting ordinary shares held by Alliance Capital Management L.P. (a majority-owned subsidiary of AXA Financial), 262,800 shares held by AXA Investment Managers UK Ltd. (an affiliate of AXA Financial) and 158,000 voting ordinary shares held by The Equitable Life Assurance Society of the United States (a wholly-owned subsidiary of AXA Financial).</w:t>
      </w:r>
    </w:p>
    <w:p>
      <w:pPr>
        <w:spacing w:after="0" w:line="209"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6,814,611 voting ordinary shares held by Welsh, Carson, Anderson &amp; Stowe VII, L.P., 1,990,966 voting ordinary shares held by Welsh, Carson, Anderson &amp; Stowe VI, L.P. and 1,779,763 voting ordinary shares held by WCAS Capital Partners III, L.P. Bruce K. Anderson and Robert A. Minicucci, principals of the various WCAS entities, serve on our board of directors and as Chairman of the Board and Chief Executive Officer of Amdocs, and Chief Financial Officer of Amdocs, respectively.</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Pursuant to a call option agreement entered into in September 1997 among various of our shareholders as of that date, a call option was exercised in November 1999, without the payment of any consideration, as a result of certain revenue and cash flow targets having been met by us, which resulted in the relative ownership of certain of our shareholders increasing or decreasing with no change in the aggregate number of our outstanding ordinary shares.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45" w:name="page46"/>
    <w:bookmarkEnd w:id="45"/>
    <w:p>
      <w:pPr>
        <w:ind w:right="1779" w:firstLine="527"/>
        <w:spacing w:after="0" w:line="237" w:lineRule="auto"/>
        <w:rPr>
          <w:sz w:val="20"/>
          <w:szCs w:val="20"/>
          <w:color w:val="auto"/>
        </w:rPr>
      </w:pPr>
      <w:r>
        <w:rPr>
          <w:rFonts w:ascii="Courier New" w:cs="Courier New" w:eastAsia="Courier New" w:hAnsi="Courier New"/>
          <w:sz w:val="18"/>
          <w:szCs w:val="18"/>
          <w:color w:val="auto"/>
        </w:rPr>
        <w:t>As of November 30, 2001, our ordinary shares were held by approximately 229 recordholders. Based on a review of the information provided to us by our transfer agent, 166 recordholders, holding approximately 90.7% of our outstanding ordinary shares, were residents of the 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SHAREHOLDERS AGREEMENTS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connection with a series of transactions in 1997, SBCI, WCAS (on behalf of certain affiliates of WCAS and other investors), AIL and Amdocs, entered into a Shareholders Agreement, under which these shareholders have certain rights to have their shares registered for sale to the public under the Securities Act.</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separate Shareholders Agreements entered into in 1995 among various of our shareholders as of that date, the parties thereto have, subject to the occurrence of specified events, call and put rights with respect to certain shares held by the parties. These rights expire ratably over time and fully expire in 2002. The exercise of such rights will not affect the number of our outstanding ordinary shares.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RELATIONSHIP WITH SBC</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SBC and some of its operating subsidiaries are also significant customers of ours. During fiscal 2001, 2000 and 1999, SBC and those subsidiaries accounted for approximately 13.3%, 12.6% and 15.9%, respectively, of our revenue.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1999, we entered into an agreement with a subsidiary of SBC, under which SBC agreed that the level of support and development services that we provided to SBC and its subsidiaries over the subsequent three years would be at least equal to a substantial portion of the services we provided to SBC as of such date. This commitment expired in May 2001.</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SBC is also a beneficial owner of companies that lease certain office facilities and provide certain miscellaneous support services to us in Israel and United States.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not involved in any material 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did not pay any cash dividends on our ordinary shares in fiscal 2001, 2000 or 1999. After the payment of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6" w:name="page47"/>
    <w:bookmarkEnd w:id="46"/>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THE OFFER AND LISTING</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2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FISCAL YEAR ENDED SEPTEMBER 30</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1998........................................................</w:t>
            </w:r>
          </w:p>
        </w:tc>
        <w:tc>
          <w:tcPr>
            <w:tcW w:w="5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$ 16.50</w:t>
            </w:r>
          </w:p>
        </w:tc>
        <w:tc>
          <w:tcPr>
            <w:tcW w:w="286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$ 8.19</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2000........................................................</w:t>
            </w:r>
          </w:p>
        </w:tc>
        <w:tc>
          <w:tcPr>
            <w:tcW w:w="5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$ 96.00</w:t>
            </w:r>
          </w:p>
        </w:tc>
        <w:tc>
          <w:tcPr>
            <w:tcW w:w="28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w w:val="97"/>
              </w:rPr>
              <w:t>$ 19.81</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2001........................................................</w:t>
            </w:r>
          </w:p>
        </w:tc>
        <w:tc>
          <w:tcPr>
            <w:tcW w:w="5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80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$ 80.50</w:t>
            </w:r>
          </w:p>
        </w:tc>
        <w:tc>
          <w:tcPr>
            <w:tcW w:w="426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w w:val="96"/>
              </w:rPr>
              <w:t>$ 25.85 QUARTER Fiscal 2000: First</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Quarter.............................................</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37.94</w:t>
            </w: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$ 19.81 Second</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Quarter............................................</w:t>
            </w: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$ 96.00</w:t>
            </w: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8"/>
              </w:rPr>
              <w:t>$ 32.44 Third</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Quarter.............................................</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88.75</w:t>
            </w: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$ 49.00 Fourth</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Quarter............................................</w:t>
            </w: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$ 88.75</w:t>
            </w: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7"/>
              </w:rPr>
              <w:t>$ 59.38 Fiscal 2001: First</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Quarter.............................................</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73.50</w:t>
            </w: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$ 51.63 Second</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Quarter............................................</w:t>
            </w: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$ 80.50</w:t>
            </w: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8"/>
              </w:rPr>
              <w:t>$ 43.50 Third</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Quarter.............................................</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66.50</w:t>
            </w: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$ 40.60 Fourth</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Quarter............................................</w:t>
            </w: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$ 55.75</w:t>
            </w:r>
          </w:p>
        </w:tc>
      </w:tr>
      <w:tr>
        <w:trPr>
          <w:trHeight w:val="203"/>
        </w:trPr>
        <w:tc>
          <w:tcPr>
            <w:tcW w:w="62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$ 25.85 Fiscal 2002: First Quarter (through December 21,</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$ 35.70 $ 30.01 MOST RECENT SIX</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7"/>
              </w:rPr>
              <w:t>MONTHS June,</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2001................................................</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66.50</w:t>
            </w:r>
          </w:p>
        </w:tc>
        <w:tc>
          <w:tcPr>
            <w:tcW w:w="3360" w:type="dxa"/>
            <w:vAlign w:val="bottom"/>
            <w:gridSpan w:val="2"/>
          </w:tcPr>
          <w:p>
            <w:pPr>
              <w:jc w:val="center"/>
              <w:ind w:right="1712"/>
              <w:spacing w:after="0" w:line="203" w:lineRule="exact"/>
              <w:rPr>
                <w:sz w:val="20"/>
                <w:szCs w:val="20"/>
                <w:color w:val="auto"/>
              </w:rPr>
            </w:pPr>
            <w:r>
              <w:rPr>
                <w:rFonts w:ascii="Courier New" w:cs="Courier New" w:eastAsia="Courier New" w:hAnsi="Courier New"/>
                <w:sz w:val="18"/>
                <w:szCs w:val="18"/>
                <w:color w:val="auto"/>
                <w:w w:val="96"/>
              </w:rPr>
              <w:t>$ 52.80 July,</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2001................................................</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55.75</w:t>
            </w:r>
          </w:p>
        </w:tc>
        <w:tc>
          <w:tcPr>
            <w:tcW w:w="3360" w:type="dxa"/>
            <w:vAlign w:val="bottom"/>
            <w:gridSpan w:val="2"/>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$ 37.00 August,</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2001..............................................</w:t>
            </w:r>
          </w:p>
        </w:tc>
        <w:tc>
          <w:tcPr>
            <w:tcW w:w="500" w:type="dxa"/>
            <w:vAlign w:val="bottom"/>
          </w:tcPr>
          <w:p>
            <w:pPr>
              <w:spacing w:after="0"/>
              <w:rPr>
                <w:sz w:val="17"/>
                <w:szCs w:val="17"/>
                <w:color w:val="auto"/>
              </w:rPr>
            </w:pPr>
          </w:p>
        </w:tc>
        <w:tc>
          <w:tcPr>
            <w:tcW w:w="3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$ 46.75</w:t>
            </w: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7"/>
              </w:rPr>
              <w:t>$ 36.00 September,</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2001...........................................</w:t>
            </w:r>
          </w:p>
        </w:tc>
        <w:tc>
          <w:tcPr>
            <w:tcW w:w="500" w:type="dxa"/>
            <w:vAlign w:val="bottom"/>
          </w:tcPr>
          <w:p>
            <w:pPr>
              <w:spacing w:after="0"/>
              <w:rPr>
                <w:sz w:val="17"/>
                <w:szCs w:val="17"/>
                <w:color w:val="auto"/>
              </w:rPr>
            </w:pPr>
          </w:p>
        </w:tc>
        <w:tc>
          <w:tcPr>
            <w:tcW w:w="28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$ 38.45</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6"/>
              </w:rPr>
              <w:t>25.85 October,</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2001.............................................</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$ 30.94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4260" w:type="dxa"/>
            <w:vAlign w:val="bottom"/>
            <w:gridSpan w:val="3"/>
          </w:tcPr>
          <w:p>
            <w:pPr>
              <w:jc w:val="center"/>
              <w:ind w:right="1432"/>
              <w:spacing w:after="0" w:line="203" w:lineRule="exact"/>
              <w:rPr>
                <w:sz w:val="20"/>
                <w:szCs w:val="20"/>
                <w:color w:val="auto"/>
              </w:rPr>
            </w:pPr>
            <w:r>
              <w:rPr>
                <w:rFonts w:ascii="Courier New" w:cs="Courier New" w:eastAsia="Courier New" w:hAnsi="Courier New"/>
                <w:sz w:val="18"/>
                <w:szCs w:val="18"/>
                <w:color w:val="auto"/>
                <w:w w:val="97"/>
              </w:rPr>
              <w:t>24.00 November,</w:t>
            </w:r>
          </w:p>
        </w:tc>
        <w:tc>
          <w:tcPr>
            <w:tcW w:w="22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2001............................................</w:t>
            </w:r>
          </w:p>
        </w:tc>
        <w:tc>
          <w:tcPr>
            <w:tcW w:w="500" w:type="dxa"/>
            <w:vAlign w:val="bottom"/>
          </w:tcPr>
          <w:p>
            <w:pPr>
              <w:spacing w:after="0"/>
              <w:rPr>
                <w:sz w:val="17"/>
                <w:szCs w:val="17"/>
                <w:color w:val="auto"/>
              </w:rPr>
            </w:pP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$ 35.90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60" w:type="dxa"/>
            <w:vAlign w:val="bottom"/>
            <w:gridSpan w:val="2"/>
          </w:tcPr>
          <w:p>
            <w:pPr>
              <w:jc w:val="center"/>
              <w:ind w:right="2332"/>
              <w:spacing w:after="0" w:line="203" w:lineRule="exact"/>
              <w:rPr>
                <w:sz w:val="20"/>
                <w:szCs w:val="20"/>
                <w:color w:val="auto"/>
              </w:rPr>
            </w:pPr>
            <w:r>
              <w:rPr>
                <w:rFonts w:ascii="Courier New" w:cs="Courier New" w:eastAsia="Courier New" w:hAnsi="Courier New"/>
                <w:sz w:val="18"/>
                <w:szCs w:val="18"/>
                <w:color w:val="auto"/>
                <w:w w:val="99"/>
              </w:rPr>
              <w:t>26.30</w:t>
            </w:r>
          </w:p>
        </w:tc>
        <w:tc>
          <w:tcPr>
            <w:tcW w:w="2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AND ARTICLES OF ASSOCIATION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registered at the Greffe (Companies Registry) in Guernsey, the Channel Islands and has been assigned company number 19528, registered office situated at Suite 5, Tower Hill House, Le Bordage, St Peter Port, Island of Guernsey, GY1 3QT, Channel Islands. The telephone number at that location is 011-44-1481-728444.</w:t>
      </w:r>
    </w:p>
    <w:p>
      <w:pPr>
        <w:spacing w:after="0" w:line="209"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and are set forth in detail at Clause 3(1) to</w:t>
      </w:r>
    </w:p>
    <w:p>
      <w:pPr>
        <w:ind w:right="2619" w:firstLine="8"/>
        <w:spacing w:after="0" w:line="235"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Memorandum of Association of the Company (the "Memorandum of Association").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21 of the Articles of Association provides that the remuneration of the directors shall from time to time be determined by the Company by ordinary resolution. No provision is made in the Articles of Association for directors to vote compensation to themselves or any members of their body under any circumstances. Article 22 provides that directors may exercise all the powers of the Company to borrow money, and to mortgage or charge its undertaking,</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564" w:gutter="0" w:footer="0" w:header="0"/>
        </w:sectPr>
      </w:pPr>
    </w:p>
    <w:bookmarkStart w:id="47" w:name="page48"/>
    <w:bookmarkEnd w:id="47"/>
    <w:p>
      <w:pPr>
        <w:ind w:right="1999"/>
        <w:spacing w:after="0" w:line="273" w:lineRule="auto"/>
        <w:rPr>
          <w:sz w:val="20"/>
          <w:szCs w:val="20"/>
          <w:color w:val="auto"/>
        </w:rPr>
      </w:pPr>
      <w:r>
        <w:rPr>
          <w:rFonts w:ascii="Courier New" w:cs="Courier New" w:eastAsia="Courier New" w:hAnsi="Courier New"/>
          <w:sz w:val="16"/>
          <w:szCs w:val="16"/>
          <w:color w:val="auto"/>
        </w:rPr>
        <w:t>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The rights, preferences and restrictions attaching to each class of the shares are as follows: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767" w:gutter="0" w:footer="0" w:header="0"/>
        </w:sectPr>
      </w:pPr>
    </w:p>
    <w:bookmarkStart w:id="48" w:name="page49"/>
    <w:bookmarkEnd w:id="48"/>
    <w:p>
      <w:pPr>
        <w:ind w:left="740" w:right="2099" w:hanging="205"/>
        <w:spacing w:after="0" w:line="279"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except for liquidation preference, the voting ordinary shares and non-voting ordinary shares are subject to all the powers, rights, privileges, preferences and priorities of the preferred shares as are set out in the Articles of Association.</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As regards both preferred shares and voting and non-voting ordinary shares, the Company has power to purchase any of its own shares, whether or not they are redeemable and may make a payment out of capital for such purchase.</w:t>
      </w:r>
    </w:p>
    <w:p>
      <w:pPr>
        <w:spacing w:after="0" w:line="17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There are no provisions for a classified board of directors or for cumulative voting for directors.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Article 8 of the Articles of Association provides that all or any of the rights, privileges, or conditions attached to any class or group of shares may be changed as follows:</w:t>
      </w:r>
    </w:p>
    <w:p>
      <w:pPr>
        <w:spacing w:after="0" w:line="209" w:lineRule="exact"/>
        <w:rPr>
          <w:sz w:val="20"/>
          <w:szCs w:val="20"/>
          <w:color w:val="auto"/>
        </w:rPr>
      </w:pPr>
    </w:p>
    <w:p>
      <w:pPr>
        <w:ind w:left="740" w:right="1779" w:hanging="205"/>
        <w:spacing w:after="0" w:line="275"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8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Provisions in respect of the holding of general meetings and extraordinary general meetings are set out at Articles 14, 15 and 16 of the Articles of Association. The Articles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limitations on the rights to own securities, including the rights of non-resident or foreign shareholders to hold or exercise voting rights on the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767" w:gutter="0" w:footer="0" w:header="0"/>
        </w:sectPr>
      </w:pPr>
    </w:p>
    <w:bookmarkStart w:id="49" w:name="page50"/>
    <w:bookmarkEnd w:id="49"/>
    <w:p>
      <w:pPr>
        <w:ind w:right="1879" w:firstLine="527"/>
        <w:spacing w:after="0" w:line="271" w:lineRule="auto"/>
        <w:rPr>
          <w:sz w:val="20"/>
          <w:szCs w:val="20"/>
          <w:color w:val="auto"/>
        </w:rPr>
      </w:pPr>
      <w:r>
        <w:rPr>
          <w:rFonts w:ascii="Courier New" w:cs="Courier New" w:eastAsia="Courier New" w:hAnsi="Courier New"/>
          <w:sz w:val="16"/>
          <w:szCs w:val="16"/>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disclose such ownership. In addition, holders of more than 5% of a registered equity security must disclose such ownership.</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and the 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CONTRACTS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than the ITDS, Solect and Clarify acquisition transaction agreements and related documents, in the past two years we have not entered into any material contracts other than contracts entered into in the ordinary course of our business. See "Information on the Company -- History and Development of Amdocs".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THE COMPANY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overall effective tax rate has historically been approximately 30% due to the various corporate income tax rates in the various countries in which we operate and the relative magnitude of our business in those countries. Our consolidated effective tax rate (calculated based on the ratio between income taxes and income before income taxes, excluding the impact in fiscal 2000 of nonrecurring charges for write-offs of purchased in-process research and development and other indirect acquisition-related costs) for fiscal 2001 was 63%, compared to 49% in fiscal 2000. This higher effective tax rate was attributable to amortization of goodwill related to our acquisitions of ITDS and Solect, much of which is not tax deductible. Excluding the impact of the ITDS and Solect acquisition-related charges, the effective tax rate for fiscal 2001 was 30%.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the Company and certain of our subsidiaries have been granted certain special tax benefits, discussed below, in Cyprus, Ireland and Israel. The loss of any such tax benefits could have an adverse effect on our effective tax rate.</w:t>
      </w: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0" w:name="page51"/>
    <w:bookmarkEnd w:id="50"/>
    <w:p>
      <w:pPr>
        <w:ind w:left="540"/>
        <w:spacing w:after="0"/>
        <w:rPr>
          <w:sz w:val="20"/>
          <w:szCs w:val="20"/>
          <w:color w:val="auto"/>
        </w:rPr>
      </w:pPr>
      <w:r>
        <w:rPr>
          <w:rFonts w:ascii="Courier New" w:cs="Courier New" w:eastAsia="Courier New" w:hAnsi="Courier New"/>
          <w:sz w:val="18"/>
          <w:szCs w:val="18"/>
          <w:color w:val="auto"/>
        </w:rPr>
        <w:t>Certain Cypriot Tax Considerations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Cyprus subsidiary, Amdocs Development Ltd., operates a development center. Corporations resident in Cyprus currently are subject to a maximum 25% income tax rate. The Government of Cyprus has issued a permit to our Cypriot subsidiary pursuant to which the activities conducted by it are deemed to be offshore activities for the purpose of Cypriot taxation. As a result, our Cypriot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Irish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Irish subsidiary, Amdocs Software Systems Ltd., operates a development center. The corporation tax rate on its trading activities is 20% for 2001 and will decline to 16% in 2002, and finally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is subject to a corporation tax rate in Ireland of 10% with respect to its manufacturing activities. This tax rate on manufacturing activities will be available to our Irish subsidiary until December 31, 2002. As of January 1, 2003, our Irish subsidiary will be subject to a single corporation tax rate of 12.5% on all of its trading and manufacturing activities.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Our Israeli subsidiary, Amdocs (Israel) Limited, operates our largest development center. Discussed below are certain Israeli tax considerations relating to our Israeli subsidiary.</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General Corporate Taxation in Israel. 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8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8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208" w:lineRule="exact"/>
        <w:rPr>
          <w:sz w:val="20"/>
          <w:szCs w:val="20"/>
          <w:color w:val="auto"/>
        </w:rPr>
      </w:pPr>
    </w:p>
    <w:p>
      <w:pPr>
        <w:ind w:left="860" w:right="2099" w:hanging="325"/>
        <w:spacing w:after="0" w:line="236"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6" w:lineRule="exact"/>
        <w:rPr>
          <w:rFonts w:ascii="Courier New" w:cs="Courier New" w:eastAsia="Courier New" w:hAnsi="Courier New"/>
          <w:sz w:val="18"/>
          <w:szCs w:val="18"/>
          <w:color w:val="auto"/>
        </w:rPr>
      </w:pPr>
    </w:p>
    <w:p>
      <w:pPr>
        <w:ind w:left="860" w:right="1879" w:hanging="325"/>
        <w:spacing w:after="0" w:line="235"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Such income is eligible for further reductions in tax rates if we qualify as a Foreign Investors' Company ("FIC") depending on the percentage of the foreign ownership. Subject to certain conditions, 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767" w:gutter="0" w:footer="0" w:header="0"/>
        </w:sectPr>
      </w:pPr>
    </w:p>
    <w:bookmarkStart w:id="51" w:name="page52"/>
    <w:bookmarkEnd w:id="51"/>
    <w:p>
      <w:pPr>
        <w:ind w:right="1779"/>
        <w:spacing w:after="0" w:line="238" w:lineRule="auto"/>
        <w:rPr>
          <w:sz w:val="20"/>
          <w:szCs w:val="20"/>
          <w:color w:val="auto"/>
        </w:rPr>
      </w:pPr>
      <w:r>
        <w:rPr>
          <w:rFonts w:ascii="Courier New" w:cs="Courier New" w:eastAsia="Courier New" w:hAnsi="Courier New"/>
          <w:sz w:val="18"/>
          <w:szCs w:val="18"/>
          <w:color w:val="auto"/>
        </w:rPr>
        <w:t>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2" w:name="page53"/>
    <w:bookmarkEnd w:id="52"/>
    <w:p>
      <w:pPr>
        <w:ind w:left="220"/>
        <w:spacing w:after="0"/>
        <w:rPr>
          <w:sz w:val="20"/>
          <w:szCs w:val="20"/>
          <w:color w:val="auto"/>
        </w:rPr>
      </w:pPr>
      <w:r>
        <w:rPr>
          <w:rFonts w:ascii="Courier New" w:cs="Courier New" w:eastAsia="Courier New" w:hAnsi="Courier New"/>
          <w:sz w:val="18"/>
          <w:szCs w:val="18"/>
          <w:color w:val="auto"/>
        </w:rPr>
        <w:t>TAXATION OF HOLDERS OF ORDINARY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The following discussion describes the material United States federal income tax consequences to a holder of our ordinary shares that is</w:t>
      </w:r>
    </w:p>
    <w:p>
      <w:pPr>
        <w:spacing w:after="0" w:line="164" w:lineRule="exact"/>
        <w:rPr>
          <w:sz w:val="20"/>
          <w:szCs w:val="20"/>
          <w:color w:val="auto"/>
        </w:rPr>
      </w:pPr>
    </w:p>
    <w:p>
      <w:pPr>
        <w:ind w:left="1160" w:hanging="625"/>
        <w:spacing w:after="0"/>
        <w:tabs>
          <w:tab w:leader="none" w:pos="11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1160" w:right="2319" w:hanging="625"/>
        <w:spacing w:after="0" w:line="235" w:lineRule="auto"/>
        <w:tabs>
          <w:tab w:leader="none" w:pos="11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in, or under the laws of, the United States or of any state thereof,</w:t>
      </w:r>
    </w:p>
    <w:p>
      <w:pPr>
        <w:spacing w:after="0" w:line="208" w:lineRule="exact"/>
        <w:rPr>
          <w:rFonts w:ascii="Courier New" w:cs="Courier New" w:eastAsia="Courier New" w:hAnsi="Courier New"/>
          <w:sz w:val="18"/>
          <w:szCs w:val="18"/>
          <w:color w:val="auto"/>
        </w:rPr>
      </w:pPr>
    </w:p>
    <w:p>
      <w:pPr>
        <w:ind w:left="1160" w:right="1999" w:hanging="625"/>
        <w:spacing w:after="0" w:line="236" w:lineRule="auto"/>
        <w:tabs>
          <w:tab w:leader="none" w:pos="11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includable in gross income for United States federal income tax purposes regardless of its source, or</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362"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Information Reporting and Backup Withholding. Dividend payments with respect to the ordinary shares and proceeds from the sale, exchange or redemption of ordinary shares may be subject to information reporting to the Internal Revenue Service ("IRS")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211"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ON DISPLAY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file annual, quarterly and current reports and other information with the Securities and Exchange Commission ("SEC"). You may read and copy any of our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210"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You may request copies of the filings, at no cost, by writing to or telephoning us as follows: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Amdocs, Inc.</w:t>
      </w:r>
    </w:p>
    <w:p>
      <w:pPr>
        <w:ind w:left="11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160"/>
        <w:spacing w:after="0"/>
        <w:rPr>
          <w:sz w:val="20"/>
          <w:szCs w:val="20"/>
          <w:color w:val="auto"/>
        </w:rPr>
      </w:pPr>
      <w:r>
        <w:rPr>
          <w:rFonts w:ascii="Courier New" w:cs="Courier New" w:eastAsia="Courier New" w:hAnsi="Courier New"/>
          <w:sz w:val="18"/>
          <w:szCs w:val="18"/>
          <w:color w:val="auto"/>
        </w:rPr>
        <w:t>Chesterfield, Missouri 63017</w:t>
      </w:r>
    </w:p>
    <w:p>
      <w:pPr>
        <w:ind w:left="1160"/>
        <w:spacing w:after="0" w:line="237" w:lineRule="auto"/>
        <w:rPr>
          <w:sz w:val="20"/>
          <w:szCs w:val="20"/>
          <w:color w:val="auto"/>
        </w:rPr>
      </w:pPr>
      <w:r>
        <w:rPr>
          <w:rFonts w:ascii="Courier New" w:cs="Courier New" w:eastAsia="Courier New" w:hAnsi="Courier New"/>
          <w:sz w:val="18"/>
          <w:szCs w:val="18"/>
          <w:color w:val="auto"/>
        </w:rPr>
        <w:t>Telephone: (314) 212-8328</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Approximately 90% of our revenue is in U.S. dollars or linked to the dollar and therefore the dollar is our functional currency. Approximately 60% of our operating expenses (excluding amortization for goodwill and intangible assets) are paid in dollars or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If we expand our operations outside of the United States, our exposure to fluctuations in currency exchange rates could increase. In managing our</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4" w:name="page55"/>
    <w:bookmarkEnd w:id="54"/>
    <w:p>
      <w:pPr>
        <w:ind w:right="1879"/>
        <w:spacing w:after="0" w:line="236" w:lineRule="auto"/>
        <w:rPr>
          <w:sz w:val="20"/>
          <w:szCs w:val="20"/>
          <w:color w:val="auto"/>
        </w:rPr>
      </w:pPr>
      <w:r>
        <w:rPr>
          <w:rFonts w:ascii="Courier New" w:cs="Courier New" w:eastAsia="Courier New" w:hAnsi="Courier New"/>
          <w:sz w:val="18"/>
          <w:szCs w:val="18"/>
          <w:color w:val="auto"/>
        </w:rPr>
        <w:t>foreign exchange risk, we enter from time to time into various foreign exchange contracts. As of September 30, 2001, we had hedged most of our significant exposures in currencies other than the dollar.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enter into foreign exchange forward contracts to hedge most of our foreign currency exposure. We use such contracts to hedge exposure to changes in foreign currency exchange rates associated with revenue denominated in a foreign currency, primarily British pounds and the euro, and anticipated costs to be incurred in a foreign currency, primarily Australian dollars, Canadian dollars and Israeli shekels. We seek to minimize the risk that the anticipated cash flow from sales of our products and services and cash flow required for our expenses denominated in a currency other than our functional currency will be affected by changes in exchange rates. See Note 22 to our Consolidated Financial Statements included elsewhere in this report. The following table summarizes our foreign currency forward exchange agreements as of September 30, 2001. The table (all dollar amounts in millions) presents the notional amounts by expected (contractual) maturity dates, and fair value of the total derivative instruments as of September 30, 2001. Notional values are calculated based on forward rates as of September 30, 2001, dollar translated.</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 ENDED AS OF SEPTEMBER 30, SEPTEMBER 30, -----</w:t>
      </w:r>
    </w:p>
    <w:p>
      <w:pPr>
        <w:ind w:left="60"/>
        <w:spacing w:after="0" w:line="238" w:lineRule="auto"/>
        <w:rPr>
          <w:sz w:val="20"/>
          <w:szCs w:val="20"/>
          <w:color w:val="auto"/>
        </w:rPr>
      </w:pPr>
      <w:r>
        <w:rPr>
          <w:rFonts w:ascii="Courier New" w:cs="Courier New" w:eastAsia="Courier New" w:hAnsi="Courier New"/>
          <w:sz w:val="18"/>
          <w:szCs w:val="18"/>
          <w:color w:val="auto"/>
        </w:rPr>
        <w:t>------------------ ------------- 2002 2003 2001 ----------</w:t>
      </w:r>
    </w:p>
    <w:p>
      <w:pPr>
        <w:spacing w:after="0" w:line="5" w:lineRule="exact"/>
        <w:rPr>
          <w:sz w:val="20"/>
          <w:szCs w:val="20"/>
          <w:color w:val="auto"/>
        </w:rPr>
      </w:pPr>
    </w:p>
    <w:p>
      <w:pPr>
        <w:ind w:left="60" w:right="4059" w:firstLine="157"/>
        <w:spacing w:after="0" w:line="268" w:lineRule="auto"/>
        <w:tabs>
          <w:tab w:leader="none" w:pos="42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NOTIONAL AMOUNT FAIR VALUE OF TRANSLATED TO US DOLLAR DERIVATIVE -----------------------</w:t>
      </w:r>
    </w:p>
    <w:tbl>
      <w:tblPr>
        <w:tblLayout w:type="fixed"/>
        <w:tblInd w:w="0" w:type="dxa"/>
        <w:tblCellMar>
          <w:top w:w="0" w:type="dxa"/>
          <w:left w:w="0" w:type="dxa"/>
          <w:bottom w:w="0" w:type="dxa"/>
          <w:right w:w="0" w:type="dxa"/>
        </w:tblCellMar>
      </w:tblPr>
      <w:tr>
        <w:trPr>
          <w:trHeight w:val="199"/>
        </w:trPr>
        <w:tc>
          <w:tcPr>
            <w:tcW w:w="5480" w:type="dxa"/>
            <w:vAlign w:val="bottom"/>
            <w:gridSpan w:val="2"/>
          </w:tcPr>
          <w:p>
            <w:pPr>
              <w:jc w:val="center"/>
              <w:ind w:left="652"/>
              <w:spacing w:after="0" w:line="198" w:lineRule="exact"/>
              <w:rPr>
                <w:sz w:val="20"/>
                <w:szCs w:val="20"/>
                <w:color w:val="auto"/>
              </w:rPr>
            </w:pPr>
            <w:r>
              <w:rPr>
                <w:rFonts w:ascii="Courier New" w:cs="Courier New" w:eastAsia="Courier New" w:hAnsi="Courier New"/>
                <w:sz w:val="18"/>
                <w:szCs w:val="18"/>
                <w:color w:val="auto"/>
                <w:w w:val="97"/>
              </w:rPr>
              <w:t>------------- Forward contracts hedging:</w:t>
            </w:r>
          </w:p>
        </w:tc>
        <w:tc>
          <w:tcPr>
            <w:tcW w:w="58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Revenue....................................................</w:t>
            </w:r>
          </w:p>
        </w:tc>
        <w:tc>
          <w:tcPr>
            <w:tcW w:w="580" w:type="dxa"/>
            <w:vAlign w:val="bottom"/>
          </w:tcPr>
          <w:p>
            <w:pPr>
              <w:spacing w:after="0"/>
              <w:rPr>
                <w:sz w:val="17"/>
                <w:szCs w:val="17"/>
                <w:color w:val="auto"/>
              </w:rPr>
            </w:pPr>
          </w:p>
        </w:tc>
      </w:tr>
      <w:tr>
        <w:trPr>
          <w:trHeight w:val="203"/>
        </w:trPr>
        <w:tc>
          <w:tcPr>
            <w:tcW w:w="2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$ 17.6</w:t>
            </w:r>
          </w:p>
        </w:tc>
        <w:tc>
          <w:tcPr>
            <w:tcW w:w="26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5"/>
              </w:rPr>
              <w:t>$ 8.2 $ (0.5)</w:t>
            </w:r>
          </w:p>
        </w:tc>
        <w:tc>
          <w:tcPr>
            <w:tcW w:w="58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Costs......................................................</w:t>
            </w:r>
          </w:p>
        </w:tc>
        <w:tc>
          <w:tcPr>
            <w:tcW w:w="580" w:type="dxa"/>
            <w:vAlign w:val="bottom"/>
          </w:tcPr>
          <w:p>
            <w:pPr>
              <w:spacing w:after="0"/>
              <w:rPr>
                <w:sz w:val="17"/>
                <w:szCs w:val="17"/>
                <w:color w:val="auto"/>
              </w:rPr>
            </w:pP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(213.5) (3.5) (10.8) -------</w:t>
            </w:r>
          </w:p>
        </w:tc>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$(195.9)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w:t>
            </w:r>
          </w:p>
        </w:tc>
      </w:tr>
      <w:tr>
        <w:trPr>
          <w:trHeight w:val="203"/>
        </w:trPr>
        <w:tc>
          <w:tcPr>
            <w:tcW w:w="5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$(11.3) ======= ===== ======</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interest expenses and income are sensitive to changes in interest rates, as all of our cash reserves and borrowings, other than the Notes, are subject to interest rate changes. Excess liquidity is invested in short-term interest-bearing investments. Such short-term interest-bearing investments consist primarily of federal agency securities and corporate bonds and currently bear minimal interest rate risk. As of September 30, 2001, we had nothing outstanding on either our revolving lines of credit or our short-term credit facilities, and $35.2 million recorded as long-term lease obligations, which in the aggregate bear minimal interest rate risk.</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DESCRIPTION OF SECURITIES OTHER THAN EQUITY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5" w:name="page56"/>
    <w:bookmarkEnd w:id="55"/>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DIVIDEND ARREARAGES AND DELINQUENCIES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MATERIAL MODIFICATIONS TO THE RIGHTS OF SECURITY HOLDERS AND USE OF PROCEEDS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Consolidated Financial Statements and Financial Statement Schedule are included at the end of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2001 and 2000</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Consolidated Statements of Income for the years ended September 30, 2001, 2000 and 1999</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Consolidated Statements of Changes in Shareholders' Equity (Deficit) for the years ended September 30, 2001, 2000 and 1999</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September 30, 2001, 2000 and 1999</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 SCHEDULE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17" w:right="1440" w:bottom="1440" w:gutter="0" w:footer="0" w:header="0"/>
        </w:sectPr>
      </w:pPr>
    </w:p>
    <w:bookmarkStart w:id="56" w:name="page57"/>
    <w:bookmarkEnd w:id="56"/>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947"/>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 and Articles of Association of Amdocs Limited</w:t>
      </w:r>
    </w:p>
    <w:p>
      <w:pPr>
        <w:spacing w:after="0" w:line="4" w:lineRule="exact"/>
        <w:rPr>
          <w:sz w:val="20"/>
          <w:szCs w:val="20"/>
          <w:color w:val="auto"/>
        </w:rPr>
      </w:pPr>
    </w:p>
    <w:p>
      <w:pPr>
        <w:ind w:left="1060" w:right="3039"/>
        <w:spacing w:after="0" w:line="268" w:lineRule="auto"/>
        <w:rPr>
          <w:sz w:val="20"/>
          <w:szCs w:val="20"/>
          <w:color w:val="auto"/>
        </w:rPr>
      </w:pPr>
      <w:r>
        <w:rPr>
          <w:rFonts w:ascii="Courier New" w:cs="Courier New" w:eastAsia="Courier New" w:hAnsi="Courier New"/>
          <w:sz w:val="16"/>
          <w:szCs w:val="16"/>
          <w:color w:val="auto"/>
        </w:rPr>
        <w:t>(Exhibits 3.1 and 3.2 to Amdocs' Registration Statement on Form F-1 dated June 19, 1998; Registration No. 333-8826)</w:t>
      </w:r>
    </w:p>
    <w:p>
      <w:pPr>
        <w:jc w:val="both"/>
        <w:ind w:left="1060" w:right="3259" w:hanging="947"/>
        <w:spacing w:after="0" w:line="268" w:lineRule="auto"/>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and Exchange Trust Agreement dated as of April 5, 2000 among Amdocs Limited, Amdocs (Denmark) ApS., Amdocs Holdings ULC, Solect Technology Group Inc. and The Trust</w:t>
      </w:r>
    </w:p>
    <w:p>
      <w:pPr>
        <w:spacing w:after="0" w:line="1" w:lineRule="exact"/>
        <w:rPr>
          <w:sz w:val="20"/>
          <w:szCs w:val="20"/>
          <w:color w:val="auto"/>
        </w:rPr>
      </w:pPr>
    </w:p>
    <w:p>
      <w:pPr>
        <w:ind w:left="1060" w:right="2939"/>
        <w:spacing w:after="0" w:line="236" w:lineRule="auto"/>
        <w:rPr>
          <w:sz w:val="20"/>
          <w:szCs w:val="20"/>
          <w:color w:val="auto"/>
        </w:rPr>
      </w:pPr>
      <w:r>
        <w:rPr>
          <w:rFonts w:ascii="Courier New" w:cs="Courier New" w:eastAsia="Courier New" w:hAnsi="Courier New"/>
          <w:sz w:val="18"/>
          <w:szCs w:val="18"/>
          <w:color w:val="auto"/>
        </w:rPr>
        <w:t>Company of Bank of Montreal (Exhibit 3 to Amdocs' Annual Report on Form 20-F for the fiscal year ended September 30, 2000)</w:t>
      </w:r>
    </w:p>
    <w:p>
      <w:pPr>
        <w:spacing w:after="0" w:line="6" w:lineRule="exact"/>
        <w:rPr>
          <w:sz w:val="20"/>
          <w:szCs w:val="20"/>
          <w:color w:val="auto"/>
        </w:rPr>
      </w:pPr>
    </w:p>
    <w:p>
      <w:pPr>
        <w:ind w:left="1060" w:right="293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4.a.1</w:t>
      </w:r>
      <w:r>
        <w:rPr>
          <w:sz w:val="20"/>
          <w:szCs w:val="20"/>
          <w:color w:val="auto"/>
        </w:rPr>
        <w:tab/>
      </w:r>
      <w:r>
        <w:rPr>
          <w:rFonts w:ascii="Courier New" w:cs="Courier New" w:eastAsia="Courier New" w:hAnsi="Courier New"/>
          <w:sz w:val="18"/>
          <w:szCs w:val="18"/>
          <w:color w:val="auto"/>
        </w:rPr>
        <w:t>Agreement and Plan of Merger dated as of September 3, 1999 among Amdocs Limited, Ivan Acquisition Corp. and International Telecommunication Data Systems, Inc. (Exhibit 2.1 to Amdocs' Current Report on Form 6-K dated September 10, 1999)</w:t>
      </w:r>
    </w:p>
    <w:p>
      <w:pPr>
        <w:spacing w:after="0" w:line="6" w:lineRule="exact"/>
        <w:rPr>
          <w:sz w:val="20"/>
          <w:szCs w:val="20"/>
          <w:color w:val="auto"/>
        </w:rPr>
      </w:pPr>
    </w:p>
    <w:p>
      <w:pPr>
        <w:ind w:left="1060" w:right="3159" w:hanging="947"/>
        <w:spacing w:after="0" w:line="268" w:lineRule="auto"/>
        <w:tabs>
          <w:tab w:leader="none" w:pos="1040" w:val="left"/>
        </w:tabs>
        <w:rPr>
          <w:sz w:val="20"/>
          <w:szCs w:val="20"/>
          <w:color w:val="auto"/>
        </w:rPr>
      </w:pPr>
      <w:r>
        <w:rPr>
          <w:rFonts w:ascii="Courier New" w:cs="Courier New" w:eastAsia="Courier New" w:hAnsi="Courier New"/>
          <w:sz w:val="18"/>
          <w:szCs w:val="18"/>
          <w:color w:val="auto"/>
        </w:rPr>
        <w:t>4.a.2</w:t>
      </w:r>
      <w:r>
        <w:rPr>
          <w:sz w:val="20"/>
          <w:szCs w:val="20"/>
          <w:color w:val="auto"/>
        </w:rPr>
        <w:tab/>
      </w:r>
      <w:r>
        <w:rPr>
          <w:rFonts w:ascii="Courier New" w:cs="Courier New" w:eastAsia="Courier New" w:hAnsi="Courier New"/>
          <w:sz w:val="16"/>
          <w:szCs w:val="16"/>
          <w:color w:val="auto"/>
        </w:rPr>
        <w:t>Combination Agreement dated as of February 28, 2000 among Amdocs Limited, Solect Technology Group Inc., Amdocs (Denmark) ApS. and Amdocs Holdings ULC (Exhibit 2.1 to Amdocs' Current Report on Form 6-K dated March 3, 2000)</w:t>
      </w:r>
    </w:p>
    <w:p>
      <w:pPr>
        <w:spacing w:after="0" w:line="1" w:lineRule="exact"/>
        <w:rPr>
          <w:sz w:val="20"/>
          <w:szCs w:val="20"/>
          <w:color w:val="auto"/>
        </w:rPr>
      </w:pPr>
    </w:p>
    <w:p>
      <w:pPr>
        <w:ind w:left="1060" w:right="283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4.a.3</w:t>
      </w:r>
      <w:r>
        <w:rPr>
          <w:sz w:val="20"/>
          <w:szCs w:val="20"/>
          <w:color w:val="auto"/>
        </w:rPr>
        <w:tab/>
      </w:r>
      <w:r>
        <w:rPr>
          <w:rFonts w:ascii="Courier New" w:cs="Courier New" w:eastAsia="Courier New" w:hAnsi="Courier New"/>
          <w:sz w:val="18"/>
          <w:szCs w:val="18"/>
          <w:color w:val="auto"/>
        </w:rPr>
        <w:t>Acquisition Agreement dated as of October 1, 2001, between Amdocs Limited and Nortel Networks Corporation. (Exhibit 2.1 to Amdocs' Current Report on Form 6-K dated October 10, 2001)</w:t>
      </w:r>
    </w:p>
    <w:p>
      <w:pPr>
        <w:spacing w:after="0" w:line="5" w:lineRule="exact"/>
        <w:rPr>
          <w:sz w:val="20"/>
          <w:szCs w:val="20"/>
          <w:color w:val="auto"/>
        </w:rPr>
      </w:pPr>
    </w:p>
    <w:p>
      <w:pPr>
        <w:ind w:left="120" w:right="5999" w:hanging="7"/>
        <w:spacing w:after="0" w:line="268" w:lineRule="auto"/>
        <w:tabs>
          <w:tab w:leader="none" w:pos="106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Amdocs Limited 10.a.1 Consent of Ernst &amp; Young LLP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10.a.2   Amdocs Limited Press Release dated November 6, 2001</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sectPr>
      </w:pPr>
    </w:p>
    <w:bookmarkStart w:id="57" w:name="page58"/>
    <w:bookmarkEnd w:id="5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G. O'BRIEN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27, 2001</w:t>
      </w:r>
    </w:p>
    <w:p>
      <w:pPr>
        <w:sectPr>
          <w:pgSz w:w="11900" w:h="16838" w:orient="portrait"/>
          <w:cols w:equalWidth="0" w:num="1">
            <w:col w:w="10219"/>
          </w:cols>
          <w:pgMar w:left="240" w:top="717"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w w:val="97"/>
              </w:rPr>
              <w:t>INDEX TO AUDITED CONSOLIDATED FINANCIAL STATEMENTS</w:t>
            </w:r>
          </w:p>
        </w:tc>
      </w:tr>
      <w:tr>
        <w:trPr>
          <w:trHeight w:val="203"/>
        </w:trPr>
        <w:tc>
          <w:tcPr>
            <w:tcW w:w="1580" w:type="dxa"/>
            <w:vAlign w:val="bottom"/>
          </w:tcPr>
          <w:p>
            <w:pPr>
              <w:spacing w:after="0"/>
              <w:rPr>
                <w:sz w:val="17"/>
                <w:szCs w:val="17"/>
                <w:color w:val="auto"/>
              </w:rPr>
            </w:pPr>
          </w:p>
        </w:tc>
        <w:tc>
          <w:tcPr>
            <w:tcW w:w="4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FINANCIAL STATEMENT SCHEDULE</w:t>
            </w:r>
          </w:p>
        </w:tc>
        <w:tc>
          <w:tcPr>
            <w:tcW w:w="420" w:type="dxa"/>
            <w:vAlign w:val="bottom"/>
          </w:tcPr>
          <w:p>
            <w:pPr>
              <w:spacing w:after="0"/>
              <w:rPr>
                <w:sz w:val="17"/>
                <w:szCs w:val="17"/>
                <w:color w:val="auto"/>
              </w:rPr>
            </w:pPr>
          </w:p>
        </w:tc>
      </w:tr>
      <w:tr>
        <w:trPr>
          <w:trHeight w:val="810"/>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FINANCIAL STATEMENTS</w:t>
            </w:r>
          </w:p>
        </w:tc>
        <w:tc>
          <w:tcPr>
            <w:tcW w:w="420" w:type="dxa"/>
            <w:vAlign w:val="bottom"/>
          </w:tcPr>
          <w:p>
            <w:pPr>
              <w:spacing w:after="0"/>
              <w:rPr>
                <w:sz w:val="24"/>
                <w:szCs w:val="24"/>
                <w:color w:val="auto"/>
              </w:rPr>
            </w:pPr>
          </w:p>
        </w:tc>
      </w:tr>
      <w:tr>
        <w:trPr>
          <w:trHeight w:val="405"/>
        </w:trPr>
        <w:tc>
          <w:tcPr>
            <w:tcW w:w="64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Report of Independent Auditors............................</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F-2</w:t>
            </w:r>
          </w:p>
        </w:tc>
      </w:tr>
      <w:tr>
        <w:trPr>
          <w:trHeight w:val="405"/>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Consolidated</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Balance Sheets as of September 30, 2001 and</w:t>
            </w:r>
          </w:p>
        </w:tc>
        <w:tc>
          <w:tcPr>
            <w:tcW w:w="420" w:type="dxa"/>
            <w:vAlign w:val="bottom"/>
          </w:tcPr>
          <w:p>
            <w:pPr>
              <w:spacing w:after="0"/>
              <w:rPr>
                <w:sz w:val="24"/>
                <w:szCs w:val="24"/>
                <w:color w:val="auto"/>
              </w:rPr>
            </w:pPr>
          </w:p>
        </w:tc>
      </w:tr>
      <w:tr>
        <w:trPr>
          <w:trHeight w:val="203"/>
        </w:trPr>
        <w:tc>
          <w:tcPr>
            <w:tcW w:w="6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2000...................................................</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F-3</w:t>
            </w:r>
          </w:p>
        </w:tc>
      </w:tr>
      <w:tr>
        <w:trPr>
          <w:trHeight w:val="405"/>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Consolidated</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Statements of Income for the years ended</w:t>
            </w:r>
          </w:p>
        </w:tc>
        <w:tc>
          <w:tcPr>
            <w:tcW w:w="420" w:type="dxa"/>
            <w:vAlign w:val="bottom"/>
          </w:tcPr>
          <w:p>
            <w:pPr>
              <w:spacing w:after="0"/>
              <w:rPr>
                <w:sz w:val="24"/>
                <w:szCs w:val="24"/>
                <w:color w:val="auto"/>
              </w:rPr>
            </w:pPr>
          </w:p>
        </w:tc>
      </w:tr>
      <w:tr>
        <w:trPr>
          <w:trHeight w:val="203"/>
        </w:trPr>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September</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30, 2001, 2000 and 1999......................</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F-4</w:t>
            </w:r>
          </w:p>
        </w:tc>
      </w:tr>
      <w:tr>
        <w:trPr>
          <w:trHeight w:val="405"/>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Consolidated</w:t>
            </w:r>
          </w:p>
        </w:tc>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Statements of Changes in Shareholders' Equity</w:t>
            </w:r>
          </w:p>
        </w:tc>
        <w:tc>
          <w:tcPr>
            <w:tcW w:w="420" w:type="dxa"/>
            <w:vAlign w:val="bottom"/>
          </w:tcPr>
          <w:p>
            <w:pPr>
              <w:spacing w:after="0"/>
              <w:rPr>
                <w:sz w:val="24"/>
                <w:szCs w:val="24"/>
                <w:color w:val="auto"/>
              </w:rPr>
            </w:pPr>
          </w:p>
        </w:tc>
      </w:tr>
      <w:tr>
        <w:trPr>
          <w:trHeight w:val="203"/>
        </w:trPr>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(Deficit)</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years ended September 30, 2001, 2000</w:t>
            </w:r>
          </w:p>
        </w:tc>
        <w:tc>
          <w:tcPr>
            <w:tcW w:w="420" w:type="dxa"/>
            <w:vAlign w:val="bottom"/>
          </w:tcPr>
          <w:p>
            <w:pPr>
              <w:spacing w:after="0"/>
              <w:rPr>
                <w:sz w:val="17"/>
                <w:szCs w:val="17"/>
                <w:color w:val="auto"/>
              </w:rPr>
            </w:pPr>
          </w:p>
        </w:tc>
      </w:tr>
      <w:tr>
        <w:trPr>
          <w:trHeight w:val="203"/>
        </w:trPr>
        <w:tc>
          <w:tcPr>
            <w:tcW w:w="6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and 1999...............................................</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F-5</w:t>
            </w:r>
          </w:p>
        </w:tc>
      </w:tr>
      <w:tr>
        <w:trPr>
          <w:trHeight w:val="405"/>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Consolidated</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Statements of Cash Flows for the years ended</w:t>
            </w:r>
          </w:p>
        </w:tc>
        <w:tc>
          <w:tcPr>
            <w:tcW w:w="420" w:type="dxa"/>
            <w:vAlign w:val="bottom"/>
          </w:tcPr>
          <w:p>
            <w:pPr>
              <w:spacing w:after="0"/>
              <w:rPr>
                <w:sz w:val="24"/>
                <w:szCs w:val="24"/>
                <w:color w:val="auto"/>
              </w:rPr>
            </w:pPr>
          </w:p>
        </w:tc>
      </w:tr>
      <w:tr>
        <w:trPr>
          <w:trHeight w:val="203"/>
        </w:trPr>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September</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30, 2001, 2000 and 1999......................</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F-6</w:t>
            </w:r>
          </w:p>
        </w:tc>
      </w:tr>
      <w:tr>
        <w:trPr>
          <w:trHeight w:val="405"/>
        </w:trPr>
        <w:tc>
          <w:tcPr>
            <w:tcW w:w="64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Notes to Consolidated Financial Statements................</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F-8</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FINANCIAL STATEMENT SCHEDULE</w:t>
            </w:r>
          </w:p>
        </w:tc>
        <w:tc>
          <w:tcPr>
            <w:tcW w:w="420" w:type="dxa"/>
            <w:vAlign w:val="bottom"/>
          </w:tcPr>
          <w:p>
            <w:pPr>
              <w:spacing w:after="0"/>
              <w:rPr>
                <w:sz w:val="24"/>
                <w:szCs w:val="24"/>
                <w:color w:val="auto"/>
              </w:rPr>
            </w:pPr>
          </w:p>
        </w:tc>
      </w:tr>
      <w:tr>
        <w:trPr>
          <w:trHeight w:val="405"/>
        </w:trPr>
        <w:tc>
          <w:tcPr>
            <w:tcW w:w="64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Valuation and Qualifying Accounts.........................</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S-1</w:t>
            </w:r>
          </w:p>
        </w:tc>
      </w:tr>
      <w:tr>
        <w:trPr>
          <w:trHeight w:val="608"/>
        </w:trPr>
        <w:tc>
          <w:tcPr>
            <w:tcW w:w="1580" w:type="dxa"/>
            <w:vAlign w:val="bottom"/>
          </w:tcPr>
          <w:p>
            <w:pPr>
              <w:spacing w:after="0"/>
              <w:rPr>
                <w:sz w:val="24"/>
                <w:szCs w:val="24"/>
                <w:color w:val="auto"/>
              </w:rPr>
            </w:pPr>
          </w:p>
        </w:tc>
        <w:tc>
          <w:tcPr>
            <w:tcW w:w="4860" w:type="dxa"/>
            <w:vAlign w:val="bottom"/>
          </w:tcPr>
          <w:p>
            <w:pPr>
              <w:ind w:left="2540"/>
              <w:spacing w:after="0"/>
              <w:rPr>
                <w:sz w:val="20"/>
                <w:szCs w:val="20"/>
                <w:color w:val="auto"/>
              </w:rPr>
            </w:pPr>
            <w:r>
              <w:rPr>
                <w:rFonts w:ascii="Courier New" w:cs="Courier New" w:eastAsia="Courier New" w:hAnsi="Courier New"/>
                <w:sz w:val="18"/>
                <w:szCs w:val="18"/>
                <w:color w:val="auto"/>
              </w:rPr>
              <w:t>F-1</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59" w:name="page60"/>
    <w:bookmarkEnd w:id="59"/>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 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Amdocs Limited as of September 30, 2001 and 2000, and the related consolidated statements of income, changes in shareholders' equity (deficit) and cash flows for each of the three years in the period ended September 30, 2001. Our audits also included the financial statement schedule listed in the index at Item 18. These financial statements and financial statement schedule are the responsibility of the Company's management. Our responsibility is to express an opinion on these financial statements and the financial statement schedule based on our audits.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Amdocs Limited as of September 30, 2001 and 2000, and the consolidated results of its operations and its cash flows for each of the three years in the period ended September 30, 2001, in conformity with accounting principles generally accepted in the United States. Also, in our opinion, the related financial statement schedule, when considered in relation to the basic consolidated financial statements taken as a whole, presents fairly in all material respects the information set forth herein.</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1, 2001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60" w:name="page61"/>
    <w:bookmarkEnd w:id="60"/>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SEPTEMBER 30, ----------------------------- 2001</w:t>
      </w:r>
    </w:p>
    <w:p>
      <w:pPr>
        <w:ind w:left="220"/>
        <w:spacing w:after="0" w:line="238" w:lineRule="auto"/>
        <w:rPr>
          <w:sz w:val="20"/>
          <w:szCs w:val="20"/>
          <w:color w:val="auto"/>
        </w:rPr>
      </w:pPr>
      <w:r>
        <w:rPr>
          <w:rFonts w:ascii="Courier New" w:cs="Courier New" w:eastAsia="Courier New" w:hAnsi="Courier New"/>
          <w:sz w:val="18"/>
          <w:szCs w:val="18"/>
          <w:color w:val="auto"/>
        </w:rPr>
        <w:t>2000 ---------- ---------- ASSETS CURRENT ASSETS: Cash</w:t>
      </w:r>
    </w:p>
    <w:p>
      <w:pPr>
        <w:ind w:left="160"/>
        <w:spacing w:after="0"/>
        <w:rPr>
          <w:sz w:val="20"/>
          <w:szCs w:val="20"/>
          <w:color w:val="auto"/>
        </w:rPr>
      </w:pPr>
      <w:r>
        <w:rPr>
          <w:rFonts w:ascii="Courier New" w:cs="Courier New" w:eastAsia="Courier New" w:hAnsi="Courier New"/>
          <w:sz w:val="18"/>
          <w:szCs w:val="18"/>
          <w:color w:val="auto"/>
        </w:rPr>
        <w:t>and cash equivalents................................. $</w:t>
      </w:r>
    </w:p>
    <w:p>
      <w:pPr>
        <w:ind w:left="680"/>
        <w:spacing w:after="0" w:line="237" w:lineRule="auto"/>
        <w:rPr>
          <w:sz w:val="20"/>
          <w:szCs w:val="20"/>
          <w:color w:val="auto"/>
        </w:rPr>
      </w:pPr>
      <w:r>
        <w:rPr>
          <w:rFonts w:ascii="Courier New" w:cs="Courier New" w:eastAsia="Courier New" w:hAnsi="Courier New"/>
          <w:sz w:val="18"/>
          <w:szCs w:val="18"/>
          <w:color w:val="auto"/>
        </w:rPr>
        <w:t>872,998 $ 402,300 Short-term interest-bearing</w:t>
      </w:r>
    </w:p>
    <w:p>
      <w:pPr>
        <w:ind w:left="420"/>
        <w:spacing w:after="0" w:line="238" w:lineRule="auto"/>
        <w:rPr>
          <w:sz w:val="20"/>
          <w:szCs w:val="20"/>
          <w:color w:val="auto"/>
        </w:rPr>
      </w:pPr>
      <w:r>
        <w:rPr>
          <w:rFonts w:ascii="Courier New" w:cs="Courier New" w:eastAsia="Courier New" w:hAnsi="Courier New"/>
          <w:sz w:val="18"/>
          <w:szCs w:val="18"/>
          <w:color w:val="auto"/>
        </w:rPr>
        <w:t>investments................... 237,069 -- Accounts</w:t>
      </w:r>
    </w:p>
    <w:p>
      <w:pPr>
        <w:ind w:left="260"/>
        <w:spacing w:after="0"/>
        <w:rPr>
          <w:sz w:val="20"/>
          <w:szCs w:val="20"/>
          <w:color w:val="auto"/>
        </w:rPr>
      </w:pPr>
      <w:r>
        <w:rPr>
          <w:rFonts w:ascii="Courier New" w:cs="Courier New" w:eastAsia="Courier New" w:hAnsi="Courier New"/>
          <w:sz w:val="18"/>
          <w:szCs w:val="18"/>
          <w:color w:val="auto"/>
        </w:rPr>
        <w:t>receivable, including unbilled of $23,272 and $4,203,</w:t>
      </w:r>
    </w:p>
    <w:p>
      <w:pPr>
        <w:ind w:left="160"/>
        <w:spacing w:after="0" w:line="237" w:lineRule="auto"/>
        <w:rPr>
          <w:sz w:val="20"/>
          <w:szCs w:val="20"/>
          <w:color w:val="auto"/>
        </w:rPr>
      </w:pPr>
      <w:r>
        <w:rPr>
          <w:rFonts w:ascii="Courier New" w:cs="Courier New" w:eastAsia="Courier New" w:hAnsi="Courier New"/>
          <w:sz w:val="18"/>
          <w:szCs w:val="18"/>
          <w:color w:val="auto"/>
        </w:rPr>
        <w:t>less allowances of $3,219 and $6,868, in 2001 and 2000,</w:t>
      </w:r>
    </w:p>
    <w:p>
      <w:pPr>
        <w:ind w:left="260"/>
        <w:spacing w:after="0"/>
        <w:rPr>
          <w:sz w:val="20"/>
          <w:szCs w:val="20"/>
          <w:color w:val="auto"/>
        </w:rPr>
      </w:pPr>
      <w:r>
        <w:rPr>
          <w:rFonts w:ascii="Courier New" w:cs="Courier New" w:eastAsia="Courier New" w:hAnsi="Courier New"/>
          <w:sz w:val="18"/>
          <w:szCs w:val="18"/>
          <w:color w:val="auto"/>
        </w:rPr>
        <w:t>respectively (*)............................. 384,851</w:t>
      </w:r>
    </w:p>
    <w:p>
      <w:pPr>
        <w:ind w:left="1000"/>
        <w:spacing w:after="0" w:line="237" w:lineRule="auto"/>
        <w:rPr>
          <w:sz w:val="20"/>
          <w:szCs w:val="20"/>
          <w:color w:val="auto"/>
        </w:rPr>
      </w:pPr>
      <w:r>
        <w:rPr>
          <w:rFonts w:ascii="Courier New" w:cs="Courier New" w:eastAsia="Courier New" w:hAnsi="Courier New"/>
          <w:sz w:val="18"/>
          <w:szCs w:val="18"/>
          <w:color w:val="auto"/>
        </w:rPr>
        <w:t>263,100 Deferred income taxes and taxes</w:t>
      </w:r>
    </w:p>
    <w:p>
      <w:pPr>
        <w:ind w:left="60"/>
        <w:spacing w:after="0"/>
        <w:rPr>
          <w:sz w:val="20"/>
          <w:szCs w:val="20"/>
          <w:color w:val="auto"/>
        </w:rPr>
      </w:pPr>
      <w:r>
        <w:rPr>
          <w:rFonts w:ascii="Courier New" w:cs="Courier New" w:eastAsia="Courier New" w:hAnsi="Courier New"/>
          <w:sz w:val="18"/>
          <w:szCs w:val="18"/>
          <w:color w:val="auto"/>
        </w:rPr>
        <w:t>receivable................ 38,916 35,179 Prepaid expenses</w:t>
      </w:r>
    </w:p>
    <w:p>
      <w:pPr>
        <w:ind w:left="60"/>
        <w:spacing w:after="0" w:line="237" w:lineRule="auto"/>
        <w:rPr>
          <w:sz w:val="20"/>
          <w:szCs w:val="20"/>
          <w:color w:val="auto"/>
        </w:rPr>
      </w:pPr>
      <w:r>
        <w:rPr>
          <w:rFonts w:ascii="Courier New" w:cs="Courier New" w:eastAsia="Courier New" w:hAnsi="Courier New"/>
          <w:sz w:val="18"/>
          <w:szCs w:val="18"/>
          <w:color w:val="auto"/>
        </w:rPr>
        <w:t>and other current assets................. 38,045 34,327 -</w:t>
      </w:r>
    </w:p>
    <w:p>
      <w:pPr>
        <w:ind w:left="1260"/>
        <w:spacing w:after="0" w:line="238" w:lineRule="auto"/>
        <w:rPr>
          <w:sz w:val="20"/>
          <w:szCs w:val="20"/>
          <w:color w:val="auto"/>
        </w:rPr>
      </w:pPr>
      <w:r>
        <w:rPr>
          <w:rFonts w:ascii="Courier New" w:cs="Courier New" w:eastAsia="Courier New" w:hAnsi="Courier New"/>
          <w:sz w:val="18"/>
          <w:szCs w:val="18"/>
          <w:color w:val="auto"/>
        </w:rPr>
        <w:t>--------- ---------- TOTAL CURRENT</w:t>
      </w:r>
    </w:p>
    <w:p>
      <w:pPr>
        <w:ind w:left="220"/>
        <w:spacing w:after="0"/>
        <w:rPr>
          <w:sz w:val="20"/>
          <w:szCs w:val="20"/>
          <w:color w:val="auto"/>
        </w:rPr>
      </w:pPr>
      <w:r>
        <w:rPr>
          <w:rFonts w:ascii="Courier New" w:cs="Courier New" w:eastAsia="Courier New" w:hAnsi="Courier New"/>
          <w:sz w:val="18"/>
          <w:szCs w:val="18"/>
          <w:color w:val="auto"/>
        </w:rPr>
        <w:t>ASSETS.............................. 1,571,879 734,906</w:t>
      </w:r>
    </w:p>
    <w:p>
      <w:pPr>
        <w:ind w:left="580"/>
        <w:spacing w:after="0" w:line="237" w:lineRule="auto"/>
        <w:rPr>
          <w:sz w:val="20"/>
          <w:szCs w:val="20"/>
          <w:color w:val="auto"/>
        </w:rPr>
      </w:pPr>
      <w:r>
        <w:rPr>
          <w:rFonts w:ascii="Courier New" w:cs="Courier New" w:eastAsia="Courier New" w:hAnsi="Courier New"/>
          <w:sz w:val="18"/>
          <w:szCs w:val="18"/>
          <w:color w:val="auto"/>
        </w:rPr>
        <w:t>Equipment, vehicles and leasehold improvements,</w:t>
      </w:r>
    </w:p>
    <w:p>
      <w:pPr>
        <w:ind w:left="740"/>
        <w:spacing w:after="0"/>
        <w:rPr>
          <w:sz w:val="20"/>
          <w:szCs w:val="20"/>
          <w:color w:val="auto"/>
        </w:rPr>
      </w:pPr>
      <w:r>
        <w:rPr>
          <w:rFonts w:ascii="Courier New" w:cs="Courier New" w:eastAsia="Courier New" w:hAnsi="Courier New"/>
          <w:sz w:val="18"/>
          <w:szCs w:val="18"/>
          <w:color w:val="auto"/>
        </w:rPr>
        <w:t>net......... 173,695 128,081 Deferred income</w:t>
      </w:r>
    </w:p>
    <w:p>
      <w:pPr>
        <w:ind w:left="380"/>
        <w:spacing w:after="0" w:line="237" w:lineRule="auto"/>
        <w:rPr>
          <w:sz w:val="20"/>
          <w:szCs w:val="20"/>
          <w:color w:val="auto"/>
        </w:rPr>
      </w:pPr>
      <w:r>
        <w:rPr>
          <w:rFonts w:ascii="Courier New" w:cs="Courier New" w:eastAsia="Courier New" w:hAnsi="Courier New"/>
          <w:sz w:val="18"/>
          <w:szCs w:val="18"/>
          <w:color w:val="auto"/>
        </w:rPr>
        <w:t>taxes....................................... 19,722</w:t>
      </w:r>
    </w:p>
    <w:p>
      <w:pPr>
        <w:ind w:left="740"/>
        <w:spacing w:after="0"/>
        <w:rPr>
          <w:sz w:val="20"/>
          <w:szCs w:val="20"/>
          <w:color w:val="auto"/>
        </w:rPr>
      </w:pPr>
      <w:r>
        <w:rPr>
          <w:rFonts w:ascii="Courier New" w:cs="Courier New" w:eastAsia="Courier New" w:hAnsi="Courier New"/>
          <w:sz w:val="18"/>
          <w:szCs w:val="18"/>
          <w:color w:val="auto"/>
        </w:rPr>
        <w:t>13,900 Goodwill and other intangible assets,</w:t>
      </w:r>
    </w:p>
    <w:p>
      <w:pPr>
        <w:ind w:left="60"/>
        <w:spacing w:after="0" w:line="237" w:lineRule="auto"/>
        <w:rPr>
          <w:sz w:val="20"/>
          <w:szCs w:val="20"/>
          <w:color w:val="auto"/>
        </w:rPr>
      </w:pPr>
      <w:r>
        <w:rPr>
          <w:rFonts w:ascii="Courier New" w:cs="Courier New" w:eastAsia="Courier New" w:hAnsi="Courier New"/>
          <w:sz w:val="18"/>
          <w:szCs w:val="18"/>
          <w:color w:val="auto"/>
        </w:rPr>
        <w:t>net................... 788,187 1,011,053 Other noncurrent</w:t>
      </w:r>
    </w:p>
    <w:p>
      <w:pPr>
        <w:ind w:left="60"/>
        <w:spacing w:after="0" w:line="238" w:lineRule="auto"/>
        <w:rPr>
          <w:sz w:val="20"/>
          <w:szCs w:val="20"/>
          <w:color w:val="auto"/>
        </w:rPr>
      </w:pPr>
      <w:r>
        <w:rPr>
          <w:rFonts w:ascii="Courier New" w:cs="Courier New" w:eastAsia="Courier New" w:hAnsi="Courier New"/>
          <w:sz w:val="18"/>
          <w:szCs w:val="18"/>
          <w:color w:val="auto"/>
        </w:rPr>
        <w:t>assets..................................... 70,953 47,145</w:t>
      </w:r>
    </w:p>
    <w:p>
      <w:pPr>
        <w:ind w:left="1640"/>
        <w:spacing w:after="0"/>
        <w:rPr>
          <w:sz w:val="20"/>
          <w:szCs w:val="20"/>
          <w:color w:val="auto"/>
        </w:rPr>
      </w:pPr>
      <w:r>
        <w:rPr>
          <w:rFonts w:ascii="Courier New" w:cs="Courier New" w:eastAsia="Courier New" w:hAnsi="Courier New"/>
          <w:sz w:val="18"/>
          <w:szCs w:val="18"/>
          <w:color w:val="auto"/>
        </w:rPr>
        <w:t>---------- ---------- TOTAL</w:t>
      </w:r>
    </w:p>
    <w:p>
      <w:pPr>
        <w:ind w:left="160"/>
        <w:spacing w:after="0" w:line="237" w:lineRule="auto"/>
        <w:rPr>
          <w:sz w:val="20"/>
          <w:szCs w:val="20"/>
          <w:color w:val="auto"/>
        </w:rPr>
      </w:pPr>
      <w:r>
        <w:rPr>
          <w:rFonts w:ascii="Courier New" w:cs="Courier New" w:eastAsia="Courier New" w:hAnsi="Courier New"/>
          <w:sz w:val="18"/>
          <w:szCs w:val="18"/>
          <w:color w:val="auto"/>
        </w:rPr>
        <w:t>ASSETS...................................... $2,624,436</w:t>
      </w:r>
    </w:p>
    <w:p>
      <w:pPr>
        <w:ind w:left="540"/>
        <w:spacing w:after="0"/>
        <w:rPr>
          <w:sz w:val="20"/>
          <w:szCs w:val="20"/>
          <w:color w:val="auto"/>
        </w:rPr>
      </w:pPr>
      <w:r>
        <w:rPr>
          <w:rFonts w:ascii="Courier New" w:cs="Courier New" w:eastAsia="Courier New" w:hAnsi="Courier New"/>
          <w:sz w:val="18"/>
          <w:szCs w:val="18"/>
          <w:color w:val="auto"/>
        </w:rPr>
        <w:t>$1,935,085 ========== ========== LIABILITIES AND</w:t>
      </w:r>
    </w:p>
    <w:p>
      <w:pPr>
        <w:ind w:left="420"/>
        <w:spacing w:after="0" w:line="237" w:lineRule="auto"/>
        <w:rPr>
          <w:sz w:val="20"/>
          <w:szCs w:val="20"/>
          <w:color w:val="auto"/>
        </w:rPr>
      </w:pPr>
      <w:r>
        <w:rPr>
          <w:rFonts w:ascii="Courier New" w:cs="Courier New" w:eastAsia="Courier New" w:hAnsi="Courier New"/>
          <w:sz w:val="18"/>
          <w:szCs w:val="18"/>
          <w:color w:val="auto"/>
        </w:rPr>
        <w:t>SHAREHOLDERS' EQUITY CURRENT LIABILITIES: Accounts</w:t>
      </w:r>
    </w:p>
    <w:p>
      <w:pPr>
        <w:ind w:left="380"/>
        <w:spacing w:after="0"/>
        <w:rPr>
          <w:sz w:val="20"/>
          <w:szCs w:val="20"/>
          <w:color w:val="auto"/>
        </w:rPr>
      </w:pPr>
      <w:r>
        <w:rPr>
          <w:rFonts w:ascii="Courier New" w:cs="Courier New" w:eastAsia="Courier New" w:hAnsi="Courier New"/>
          <w:sz w:val="18"/>
          <w:szCs w:val="18"/>
          <w:color w:val="auto"/>
        </w:rPr>
        <w:t>payable and accrued expenses..................... $</w:t>
      </w:r>
    </w:p>
    <w:p>
      <w:pPr>
        <w:ind w:left="1220"/>
        <w:spacing w:after="0" w:line="237" w:lineRule="auto"/>
        <w:rPr>
          <w:sz w:val="20"/>
          <w:szCs w:val="20"/>
          <w:color w:val="auto"/>
        </w:rPr>
      </w:pPr>
      <w:r>
        <w:rPr>
          <w:rFonts w:ascii="Courier New" w:cs="Courier New" w:eastAsia="Courier New" w:hAnsi="Courier New"/>
          <w:sz w:val="18"/>
          <w:szCs w:val="18"/>
          <w:color w:val="auto"/>
        </w:rPr>
        <w:t>166,527 $ 128,249 Accrued personnel</w:t>
      </w:r>
    </w:p>
    <w:p>
      <w:pPr>
        <w:ind w:left="160"/>
        <w:spacing w:after="0"/>
        <w:rPr>
          <w:sz w:val="20"/>
          <w:szCs w:val="20"/>
          <w:color w:val="auto"/>
        </w:rPr>
      </w:pPr>
      <w:r>
        <w:rPr>
          <w:rFonts w:ascii="Courier New" w:cs="Courier New" w:eastAsia="Courier New" w:hAnsi="Courier New"/>
          <w:sz w:val="18"/>
          <w:szCs w:val="18"/>
          <w:color w:val="auto"/>
        </w:rPr>
        <w:t>costs................................... 103,990 70,196</w:t>
      </w:r>
    </w:p>
    <w:p>
      <w:pPr>
        <w:ind w:left="2000"/>
        <w:spacing w:after="0" w:line="237" w:lineRule="auto"/>
        <w:rPr>
          <w:sz w:val="20"/>
          <w:szCs w:val="20"/>
          <w:color w:val="auto"/>
        </w:rPr>
      </w:pPr>
      <w:r>
        <w:rPr>
          <w:rFonts w:ascii="Courier New" w:cs="Courier New" w:eastAsia="Courier New" w:hAnsi="Courier New"/>
          <w:sz w:val="18"/>
          <w:szCs w:val="18"/>
          <w:color w:val="auto"/>
        </w:rPr>
        <w:t>Short-term financing</w:t>
      </w:r>
    </w:p>
    <w:p>
      <w:pPr>
        <w:ind w:left="120"/>
        <w:spacing w:after="0" w:line="238" w:lineRule="auto"/>
        <w:rPr>
          <w:sz w:val="20"/>
          <w:szCs w:val="20"/>
          <w:color w:val="auto"/>
        </w:rPr>
      </w:pPr>
      <w:r>
        <w:rPr>
          <w:rFonts w:ascii="Courier New" w:cs="Courier New" w:eastAsia="Courier New" w:hAnsi="Courier New"/>
          <w:sz w:val="18"/>
          <w:szCs w:val="18"/>
          <w:color w:val="auto"/>
        </w:rPr>
        <w:t>arrangements......................... -- 20,000 Deferred</w:t>
      </w:r>
    </w:p>
    <w:p>
      <w:pPr>
        <w:ind w:left="60"/>
        <w:spacing w:after="0"/>
        <w:rPr>
          <w:sz w:val="20"/>
          <w:szCs w:val="20"/>
          <w:color w:val="auto"/>
        </w:rPr>
      </w:pPr>
      <w:r>
        <w:rPr>
          <w:rFonts w:ascii="Courier New" w:cs="Courier New" w:eastAsia="Courier New" w:hAnsi="Courier New"/>
          <w:sz w:val="18"/>
          <w:szCs w:val="18"/>
          <w:color w:val="auto"/>
        </w:rPr>
        <w:t>revenue.......................................... 140,033</w:t>
      </w:r>
    </w:p>
    <w:p>
      <w:pPr>
        <w:ind w:left="800"/>
        <w:spacing w:after="0" w:line="237" w:lineRule="auto"/>
        <w:rPr>
          <w:sz w:val="20"/>
          <w:szCs w:val="20"/>
          <w:color w:val="auto"/>
        </w:rPr>
      </w:pPr>
      <w:r>
        <w:rPr>
          <w:rFonts w:ascii="Courier New" w:cs="Courier New" w:eastAsia="Courier New" w:hAnsi="Courier New"/>
          <w:sz w:val="18"/>
          <w:szCs w:val="18"/>
          <w:color w:val="auto"/>
        </w:rPr>
        <w:t>133,546 Short-term portion of capital lease</w:t>
      </w:r>
    </w:p>
    <w:p>
      <w:pPr>
        <w:ind w:left="60"/>
        <w:spacing w:after="0"/>
        <w:rPr>
          <w:sz w:val="20"/>
          <w:szCs w:val="20"/>
          <w:color w:val="auto"/>
        </w:rPr>
      </w:pPr>
      <w:r>
        <w:rPr>
          <w:rFonts w:ascii="Courier New" w:cs="Courier New" w:eastAsia="Courier New" w:hAnsi="Courier New"/>
          <w:sz w:val="18"/>
          <w:szCs w:val="18"/>
          <w:color w:val="auto"/>
        </w:rPr>
        <w:t>obligations........... 10,400 8,713 Deferred income taxes</w:t>
      </w:r>
    </w:p>
    <w:p>
      <w:pPr>
        <w:ind w:left="60"/>
        <w:spacing w:after="0" w:line="237" w:lineRule="auto"/>
        <w:rPr>
          <w:sz w:val="20"/>
          <w:szCs w:val="20"/>
          <w:color w:val="auto"/>
        </w:rPr>
      </w:pPr>
      <w:r>
        <w:rPr>
          <w:rFonts w:ascii="Courier New" w:cs="Courier New" w:eastAsia="Courier New" w:hAnsi="Courier New"/>
          <w:sz w:val="18"/>
          <w:szCs w:val="18"/>
          <w:color w:val="auto"/>
        </w:rPr>
        <w:t>and taxes payable................... 91,026 55,197 ------</w:t>
      </w:r>
    </w:p>
    <w:p>
      <w:pPr>
        <w:ind w:left="1540"/>
        <w:spacing w:after="0"/>
        <w:rPr>
          <w:sz w:val="20"/>
          <w:szCs w:val="20"/>
          <w:color w:val="auto"/>
        </w:rPr>
      </w:pPr>
      <w:r>
        <w:rPr>
          <w:rFonts w:ascii="Courier New" w:cs="Courier New" w:eastAsia="Courier New" w:hAnsi="Courier New"/>
          <w:sz w:val="18"/>
          <w:szCs w:val="18"/>
          <w:color w:val="auto"/>
        </w:rPr>
        <w:t>---- ---------- TOTAL CURRENT</w:t>
      </w:r>
    </w:p>
    <w:p>
      <w:pPr>
        <w:ind w:left="320"/>
        <w:spacing w:after="0" w:line="237" w:lineRule="auto"/>
        <w:rPr>
          <w:sz w:val="20"/>
          <w:szCs w:val="20"/>
          <w:color w:val="auto"/>
        </w:rPr>
      </w:pPr>
      <w:r>
        <w:rPr>
          <w:rFonts w:ascii="Courier New" w:cs="Courier New" w:eastAsia="Courier New" w:hAnsi="Courier New"/>
          <w:sz w:val="18"/>
          <w:szCs w:val="18"/>
          <w:color w:val="auto"/>
        </w:rPr>
        <w:t>LIABILITIES......................... 511,976 415,901</w:t>
      </w:r>
    </w:p>
    <w:p>
      <w:pPr>
        <w:ind w:left="120"/>
        <w:spacing w:after="0" w:line="238" w:lineRule="auto"/>
        <w:rPr>
          <w:sz w:val="20"/>
          <w:szCs w:val="20"/>
          <w:color w:val="auto"/>
        </w:rPr>
      </w:pPr>
      <w:r>
        <w:rPr>
          <w:rFonts w:ascii="Courier New" w:cs="Courier New" w:eastAsia="Courier New" w:hAnsi="Courier New"/>
          <w:sz w:val="18"/>
          <w:szCs w:val="18"/>
          <w:color w:val="auto"/>
        </w:rPr>
        <w:t>Convertible notes and long-term portion of capital lease</w:t>
      </w:r>
    </w:p>
    <w:p>
      <w:pPr>
        <w:spacing w:after="0"/>
        <w:rPr>
          <w:sz w:val="20"/>
          <w:szCs w:val="20"/>
          <w:color w:val="auto"/>
        </w:rPr>
      </w:pPr>
      <w:r>
        <w:rPr>
          <w:rFonts w:ascii="Courier New" w:cs="Courier New" w:eastAsia="Courier New" w:hAnsi="Courier New"/>
          <w:sz w:val="18"/>
          <w:szCs w:val="18"/>
          <w:color w:val="auto"/>
        </w:rPr>
        <w:t>obligations...............................................</w:t>
      </w:r>
    </w:p>
    <w:p>
      <w:pPr>
        <w:ind w:left="1480"/>
        <w:spacing w:after="0" w:line="237" w:lineRule="auto"/>
        <w:rPr>
          <w:sz w:val="20"/>
          <w:szCs w:val="20"/>
          <w:color w:val="auto"/>
        </w:rPr>
      </w:pPr>
      <w:r>
        <w:rPr>
          <w:rFonts w:ascii="Courier New" w:cs="Courier New" w:eastAsia="Courier New" w:hAnsi="Courier New"/>
          <w:sz w:val="18"/>
          <w:szCs w:val="18"/>
          <w:color w:val="auto"/>
        </w:rPr>
        <w:t>524,779 23,417 Deferred income</w:t>
      </w:r>
    </w:p>
    <w:p>
      <w:pPr>
        <w:ind w:left="60"/>
        <w:spacing w:after="0"/>
        <w:rPr>
          <w:sz w:val="20"/>
          <w:szCs w:val="20"/>
          <w:color w:val="auto"/>
        </w:rPr>
      </w:pPr>
      <w:r>
        <w:rPr>
          <w:rFonts w:ascii="Courier New" w:cs="Courier New" w:eastAsia="Courier New" w:hAnsi="Courier New"/>
          <w:sz w:val="18"/>
          <w:szCs w:val="18"/>
          <w:color w:val="auto"/>
        </w:rPr>
        <w:t>taxes....................................... 7,410 11,191</w:t>
      </w:r>
    </w:p>
    <w:p>
      <w:pPr>
        <w:ind w:left="2220"/>
        <w:spacing w:after="0" w:line="237" w:lineRule="auto"/>
        <w:rPr>
          <w:sz w:val="20"/>
          <w:szCs w:val="20"/>
          <w:color w:val="auto"/>
        </w:rPr>
      </w:pPr>
      <w:r>
        <w:rPr>
          <w:rFonts w:ascii="Courier New" w:cs="Courier New" w:eastAsia="Courier New" w:hAnsi="Courier New"/>
          <w:sz w:val="18"/>
          <w:szCs w:val="18"/>
          <w:color w:val="auto"/>
        </w:rPr>
        <w:t>Other noncurrent</w:t>
      </w:r>
    </w:p>
    <w:p>
      <w:pPr>
        <w:ind w:left="60"/>
        <w:spacing w:after="0"/>
        <w:rPr>
          <w:sz w:val="20"/>
          <w:szCs w:val="20"/>
          <w:color w:val="auto"/>
        </w:rPr>
      </w:pPr>
      <w:r>
        <w:rPr>
          <w:rFonts w:ascii="Courier New" w:cs="Courier New" w:eastAsia="Courier New" w:hAnsi="Courier New"/>
          <w:sz w:val="18"/>
          <w:szCs w:val="18"/>
          <w:color w:val="auto"/>
        </w:rPr>
        <w:t>liabilities................................ 68,180 53,804</w:t>
      </w:r>
    </w:p>
    <w:p>
      <w:pPr>
        <w:ind w:left="1640"/>
        <w:spacing w:after="0" w:line="237" w:lineRule="auto"/>
        <w:rPr>
          <w:sz w:val="20"/>
          <w:szCs w:val="20"/>
          <w:color w:val="auto"/>
        </w:rPr>
      </w:pPr>
      <w:r>
        <w:rPr>
          <w:rFonts w:ascii="Courier New" w:cs="Courier New" w:eastAsia="Courier New" w:hAnsi="Courier New"/>
          <w:sz w:val="18"/>
          <w:szCs w:val="18"/>
          <w:color w:val="auto"/>
        </w:rPr>
        <w:t>---------- ---------- TOTAL</w:t>
      </w:r>
    </w:p>
    <w:p>
      <w:pPr>
        <w:ind w:left="220"/>
        <w:spacing w:after="0" w:line="238" w:lineRule="auto"/>
        <w:rPr>
          <w:sz w:val="20"/>
          <w:szCs w:val="20"/>
          <w:color w:val="auto"/>
        </w:rPr>
      </w:pPr>
      <w:r>
        <w:rPr>
          <w:rFonts w:ascii="Courier New" w:cs="Courier New" w:eastAsia="Courier New" w:hAnsi="Courier New"/>
          <w:sz w:val="18"/>
          <w:szCs w:val="18"/>
          <w:color w:val="auto"/>
        </w:rPr>
        <w:t>LIABILITIES................................. 1,112,345</w:t>
      </w:r>
    </w:p>
    <w:p>
      <w:pPr>
        <w:ind w:left="380"/>
        <w:spacing w:after="0"/>
        <w:rPr>
          <w:sz w:val="20"/>
          <w:szCs w:val="20"/>
          <w:color w:val="auto"/>
        </w:rPr>
      </w:pPr>
      <w:r>
        <w:rPr>
          <w:rFonts w:ascii="Courier New" w:cs="Courier New" w:eastAsia="Courier New" w:hAnsi="Courier New"/>
          <w:sz w:val="18"/>
          <w:szCs w:val="18"/>
          <w:color w:val="auto"/>
        </w:rPr>
        <w:t>504,313 ---------- ---------- SHAREHOLDERS' EQUITY:</w:t>
      </w:r>
    </w:p>
    <w:p>
      <w:pPr>
        <w:ind w:left="160"/>
        <w:spacing w:after="0" w:line="237" w:lineRule="auto"/>
        <w:rPr>
          <w:sz w:val="20"/>
          <w:szCs w:val="20"/>
          <w:color w:val="auto"/>
        </w:rPr>
      </w:pPr>
      <w:r>
        <w:rPr>
          <w:rFonts w:ascii="Courier New" w:cs="Courier New" w:eastAsia="Courier New" w:hAnsi="Courier New"/>
          <w:sz w:val="18"/>
          <w:szCs w:val="18"/>
          <w:color w:val="auto"/>
        </w:rPr>
        <w:t>Preferred Shares -- Authorized 25,000 shares; L0.01 par</w:t>
      </w:r>
    </w:p>
    <w:p>
      <w:pPr>
        <w:ind w:left="1700"/>
        <w:spacing w:after="0"/>
        <w:rPr>
          <w:sz w:val="20"/>
          <w:szCs w:val="20"/>
          <w:color w:val="auto"/>
        </w:rPr>
      </w:pPr>
      <w:r>
        <w:rPr>
          <w:rFonts w:ascii="Courier New" w:cs="Courier New" w:eastAsia="Courier New" w:hAnsi="Courier New"/>
          <w:sz w:val="18"/>
          <w:szCs w:val="18"/>
          <w:color w:val="auto"/>
        </w:rPr>
        <w:t>value; 0 shares issued and</w:t>
      </w:r>
    </w:p>
    <w:p>
      <w:pPr>
        <w:ind w:left="60"/>
        <w:spacing w:after="0" w:line="237" w:lineRule="auto"/>
        <w:rPr>
          <w:sz w:val="20"/>
          <w:szCs w:val="20"/>
          <w:color w:val="auto"/>
        </w:rPr>
      </w:pPr>
      <w:r>
        <w:rPr>
          <w:rFonts w:ascii="Courier New" w:cs="Courier New" w:eastAsia="Courier New" w:hAnsi="Courier New"/>
          <w:sz w:val="18"/>
          <w:szCs w:val="18"/>
          <w:color w:val="auto"/>
        </w:rPr>
        <w:t>outstanding........................ -- -- Ordinary Shares</w:t>
      </w:r>
    </w:p>
    <w:p>
      <w:pPr>
        <w:ind w:left="220"/>
        <w:spacing w:after="0"/>
        <w:rPr>
          <w:sz w:val="20"/>
          <w:szCs w:val="20"/>
          <w:color w:val="auto"/>
        </w:rPr>
      </w:pPr>
      <w:r>
        <w:rPr>
          <w:rFonts w:ascii="Courier New" w:cs="Courier New" w:eastAsia="Courier New" w:hAnsi="Courier New"/>
          <w:sz w:val="18"/>
          <w:szCs w:val="18"/>
          <w:color w:val="auto"/>
        </w:rPr>
        <w:t>-- Authorized 550,000 shares; L0.01 par value; 222,628</w:t>
      </w:r>
    </w:p>
    <w:p>
      <w:pPr>
        <w:ind w:left="900"/>
        <w:spacing w:after="0" w:line="237" w:lineRule="auto"/>
        <w:rPr>
          <w:sz w:val="20"/>
          <w:szCs w:val="20"/>
          <w:color w:val="auto"/>
        </w:rPr>
      </w:pPr>
      <w:r>
        <w:rPr>
          <w:rFonts w:ascii="Courier New" w:cs="Courier New" w:eastAsia="Courier New" w:hAnsi="Courier New"/>
          <w:sz w:val="18"/>
          <w:szCs w:val="18"/>
          <w:color w:val="auto"/>
        </w:rPr>
        <w:t>and 221,165 outstanding in 2001 and 2000,</w:t>
      </w:r>
    </w:p>
    <w:p>
      <w:pPr>
        <w:ind w:left="160"/>
        <w:spacing w:after="0"/>
        <w:rPr>
          <w:sz w:val="20"/>
          <w:szCs w:val="20"/>
          <w:color w:val="auto"/>
        </w:rPr>
      </w:pPr>
      <w:r>
        <w:rPr>
          <w:rFonts w:ascii="Courier New" w:cs="Courier New" w:eastAsia="Courier New" w:hAnsi="Courier New"/>
          <w:sz w:val="18"/>
          <w:szCs w:val="18"/>
          <w:color w:val="auto"/>
        </w:rPr>
        <w:t>respectively...........................................</w:t>
      </w:r>
    </w:p>
    <w:p>
      <w:pPr>
        <w:ind w:left="1480"/>
        <w:spacing w:after="0" w:line="237" w:lineRule="auto"/>
        <w:rPr>
          <w:sz w:val="20"/>
          <w:szCs w:val="20"/>
          <w:color w:val="auto"/>
        </w:rPr>
      </w:pPr>
      <w:r>
        <w:rPr>
          <w:rFonts w:ascii="Courier New" w:cs="Courier New" w:eastAsia="Courier New" w:hAnsi="Courier New"/>
          <w:sz w:val="18"/>
          <w:szCs w:val="18"/>
          <w:color w:val="auto"/>
        </w:rPr>
        <w:t>3,560 3,539 Additional paid-in</w:t>
      </w:r>
    </w:p>
    <w:p>
      <w:pPr>
        <w:ind w:left="480"/>
        <w:spacing w:after="0" w:line="238" w:lineRule="auto"/>
        <w:rPr>
          <w:sz w:val="20"/>
          <w:szCs w:val="20"/>
          <w:color w:val="auto"/>
        </w:rPr>
      </w:pPr>
      <w:r>
        <w:rPr>
          <w:rFonts w:ascii="Courier New" w:cs="Courier New" w:eastAsia="Courier New" w:hAnsi="Courier New"/>
          <w:sz w:val="18"/>
          <w:szCs w:val="18"/>
          <w:color w:val="auto"/>
        </w:rPr>
        <w:t>capital................................ 1,806,290</w:t>
      </w:r>
    </w:p>
    <w:p>
      <w:pPr>
        <w:ind w:left="540"/>
        <w:spacing w:after="0"/>
        <w:rPr>
          <w:sz w:val="20"/>
          <w:szCs w:val="20"/>
          <w:color w:val="auto"/>
        </w:rPr>
      </w:pPr>
      <w:r>
        <w:rPr>
          <w:rFonts w:ascii="Courier New" w:cs="Courier New" w:eastAsia="Courier New" w:hAnsi="Courier New"/>
          <w:sz w:val="18"/>
          <w:szCs w:val="18"/>
          <w:color w:val="auto"/>
        </w:rPr>
        <w:t>1,784,816 Accumulated other comprehensive income</w:t>
      </w:r>
    </w:p>
    <w:p>
      <w:pPr>
        <w:ind w:left="840"/>
        <w:spacing w:after="0" w:line="237" w:lineRule="auto"/>
        <w:rPr>
          <w:sz w:val="20"/>
          <w:szCs w:val="20"/>
          <w:color w:val="auto"/>
        </w:rPr>
      </w:pPr>
      <w:r>
        <w:rPr>
          <w:rFonts w:ascii="Courier New" w:cs="Courier New" w:eastAsia="Courier New" w:hAnsi="Courier New"/>
          <w:sz w:val="18"/>
          <w:szCs w:val="18"/>
          <w:color w:val="auto"/>
        </w:rPr>
        <w:t>(loss)............. (6,382) 1,159 Unearned</w:t>
      </w:r>
    </w:p>
    <w:p>
      <w:pPr>
        <w:ind w:left="160"/>
        <w:spacing w:after="0"/>
        <w:rPr>
          <w:sz w:val="20"/>
          <w:szCs w:val="20"/>
          <w:color w:val="auto"/>
        </w:rPr>
      </w:pPr>
      <w:r>
        <w:rPr>
          <w:rFonts w:ascii="Courier New" w:cs="Courier New" w:eastAsia="Courier New" w:hAnsi="Courier New"/>
          <w:sz w:val="18"/>
          <w:szCs w:val="18"/>
          <w:color w:val="auto"/>
        </w:rPr>
        <w:t>compensation..................................... (185)</w:t>
      </w:r>
    </w:p>
    <w:p>
      <w:pPr>
        <w:ind w:left="2060"/>
        <w:spacing w:after="0" w:line="237" w:lineRule="auto"/>
        <w:rPr>
          <w:sz w:val="20"/>
          <w:szCs w:val="20"/>
          <w:color w:val="auto"/>
        </w:rPr>
      </w:pPr>
      <w:r>
        <w:rPr>
          <w:rFonts w:ascii="Courier New" w:cs="Courier New" w:eastAsia="Courier New" w:hAnsi="Courier New"/>
          <w:sz w:val="18"/>
          <w:szCs w:val="18"/>
          <w:color w:val="auto"/>
        </w:rPr>
        <w:t>(1,164) Accumulated</w:t>
      </w:r>
    </w:p>
    <w:p>
      <w:pPr>
        <w:ind w:left="120"/>
        <w:spacing w:after="0"/>
        <w:rPr>
          <w:sz w:val="20"/>
          <w:szCs w:val="20"/>
          <w:color w:val="auto"/>
        </w:rPr>
      </w:pPr>
      <w:r>
        <w:rPr>
          <w:rFonts w:ascii="Courier New" w:cs="Courier New" w:eastAsia="Courier New" w:hAnsi="Courier New"/>
          <w:sz w:val="18"/>
          <w:szCs w:val="18"/>
          <w:color w:val="auto"/>
        </w:rPr>
        <w:t>deficit....................................... (291,192)</w:t>
      </w:r>
    </w:p>
    <w:p>
      <w:pPr>
        <w:ind w:left="380"/>
        <w:spacing w:after="0" w:line="237" w:lineRule="auto"/>
        <w:rPr>
          <w:sz w:val="20"/>
          <w:szCs w:val="20"/>
          <w:color w:val="auto"/>
        </w:rPr>
      </w:pPr>
      <w:r>
        <w:rPr>
          <w:rFonts w:ascii="Courier New" w:cs="Courier New" w:eastAsia="Courier New" w:hAnsi="Courier New"/>
          <w:sz w:val="18"/>
          <w:szCs w:val="18"/>
          <w:color w:val="auto"/>
        </w:rPr>
        <w:t>(357,578) ---------- ---------- TOTAL SHAREHOLDERS'</w:t>
      </w:r>
    </w:p>
    <w:p>
      <w:pPr>
        <w:ind w:left="60"/>
        <w:spacing w:after="0" w:line="238" w:lineRule="auto"/>
        <w:rPr>
          <w:sz w:val="20"/>
          <w:szCs w:val="20"/>
          <w:color w:val="auto"/>
        </w:rPr>
      </w:pPr>
      <w:r>
        <w:rPr>
          <w:rFonts w:ascii="Courier New" w:cs="Courier New" w:eastAsia="Courier New" w:hAnsi="Courier New"/>
          <w:sz w:val="18"/>
          <w:szCs w:val="18"/>
          <w:color w:val="auto"/>
        </w:rPr>
        <w:t>EQUITY........................ 1,512,091 1,430,772 ------</w:t>
      </w:r>
    </w:p>
    <w:p>
      <w:pPr>
        <w:ind w:left="380"/>
        <w:spacing w:after="0"/>
        <w:rPr>
          <w:sz w:val="20"/>
          <w:szCs w:val="20"/>
          <w:color w:val="auto"/>
        </w:rPr>
      </w:pPr>
      <w:r>
        <w:rPr>
          <w:rFonts w:ascii="Courier New" w:cs="Courier New" w:eastAsia="Courier New" w:hAnsi="Courier New"/>
          <w:sz w:val="18"/>
          <w:szCs w:val="18"/>
          <w:color w:val="auto"/>
        </w:rPr>
        <w:t>---- ---------- TOTAL LIABILITIES AND SHAREHOLDERS'</w:t>
      </w:r>
    </w:p>
    <w:p>
      <w:pPr>
        <w:ind w:left="580"/>
        <w:spacing w:after="0" w:line="237" w:lineRule="auto"/>
        <w:rPr>
          <w:sz w:val="20"/>
          <w:szCs w:val="20"/>
          <w:color w:val="auto"/>
        </w:rPr>
      </w:pPr>
      <w:r>
        <w:rPr>
          <w:rFonts w:ascii="Courier New" w:cs="Courier New" w:eastAsia="Courier New" w:hAnsi="Courier New"/>
          <w:sz w:val="18"/>
          <w:szCs w:val="18"/>
          <w:color w:val="auto"/>
        </w:rPr>
        <w:t>EQUITY........ $2,624,436 $1,935,085 ==========</w:t>
      </w:r>
    </w:p>
    <w:p>
      <w:pPr>
        <w:ind w:left="2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See Note 4.</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statements.</w:t>
      </w:r>
    </w:p>
    <w:p>
      <w:pPr>
        <w:ind w:left="4120"/>
        <w:spacing w:after="0" w:line="238" w:lineRule="auto"/>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565" w:gutter="0" w:footer="0" w:header="0"/>
        </w:sectPr>
      </w:pPr>
    </w:p>
    <w:bookmarkStart w:id="61" w:name="page62"/>
    <w:bookmarkEnd w:id="6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jc w:val="center"/>
        <w:ind w:right="441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4419"/>
        <w:spacing w:after="0"/>
        <w:rPr>
          <w:sz w:val="20"/>
          <w:szCs w:val="20"/>
          <w:color w:val="auto"/>
        </w:rPr>
      </w:pPr>
      <w:r>
        <w:rPr>
          <w:rFonts w:ascii="Courier New" w:cs="Courier New" w:eastAsia="Courier New" w:hAnsi="Courier New"/>
          <w:sz w:val="18"/>
          <w:szCs w:val="18"/>
          <w:color w:val="auto"/>
        </w:rPr>
        <w:t>REVENUE: License</w:t>
      </w:r>
    </w:p>
    <w:p>
      <w:pPr>
        <w:jc w:val="center"/>
        <w:ind w:right="4419"/>
        <w:spacing w:after="0" w:line="237" w:lineRule="auto"/>
        <w:rPr>
          <w:sz w:val="20"/>
          <w:szCs w:val="20"/>
          <w:color w:val="auto"/>
        </w:rPr>
      </w:pPr>
      <w:r>
        <w:rPr>
          <w:rFonts w:ascii="Courier New" w:cs="Courier New" w:eastAsia="Courier New" w:hAnsi="Courier New"/>
          <w:sz w:val="18"/>
          <w:szCs w:val="18"/>
          <w:color w:val="auto"/>
        </w:rPr>
        <w:t>(*)........................................... $</w:t>
      </w:r>
    </w:p>
    <w:p>
      <w:pPr>
        <w:jc w:val="center"/>
        <w:ind w:right="4419"/>
        <w:spacing w:after="0" w:line="238" w:lineRule="auto"/>
        <w:rPr>
          <w:sz w:val="20"/>
          <w:szCs w:val="20"/>
          <w:color w:val="auto"/>
        </w:rPr>
      </w:pPr>
      <w:r>
        <w:rPr>
          <w:rFonts w:ascii="Courier New" w:cs="Courier New" w:eastAsia="Courier New" w:hAnsi="Courier New"/>
          <w:sz w:val="18"/>
          <w:szCs w:val="18"/>
          <w:color w:val="auto"/>
        </w:rPr>
        <w:t>171,430 $ 124,822 $ 74,387 Service</w:t>
      </w:r>
    </w:p>
    <w:p>
      <w:pPr>
        <w:jc w:val="center"/>
        <w:ind w:right="441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1,362,480 993,498 552,468 ---------- ---------- ------</w:t>
      </w:r>
    </w:p>
    <w:p>
      <w:pPr>
        <w:spacing w:after="0" w:line="2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-- 1,533,910 1,118,320 626,855 ---------- ----------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OPERATING EXPENSES: Cost of</w:t>
      </w:r>
    </w:p>
    <w:p>
      <w:pPr>
        <w:jc w:val="center"/>
        <w:ind w:right="4419"/>
        <w:spacing w:after="0" w:line="238" w:lineRule="auto"/>
        <w:rPr>
          <w:sz w:val="20"/>
          <w:szCs w:val="20"/>
          <w:color w:val="auto"/>
        </w:rPr>
      </w:pPr>
      <w:r>
        <w:rPr>
          <w:rFonts w:ascii="Courier New" w:cs="Courier New" w:eastAsia="Courier New" w:hAnsi="Courier New"/>
          <w:sz w:val="18"/>
          <w:szCs w:val="18"/>
          <w:color w:val="auto"/>
        </w:rPr>
        <w:t>license....................................... 5,651</w:t>
      </w:r>
    </w:p>
    <w:p>
      <w:pPr>
        <w:jc w:val="center"/>
        <w:ind w:right="4419"/>
        <w:spacing w:after="0"/>
        <w:rPr>
          <w:sz w:val="20"/>
          <w:szCs w:val="20"/>
          <w:color w:val="auto"/>
        </w:rPr>
      </w:pPr>
      <w:r>
        <w:rPr>
          <w:rFonts w:ascii="Courier New" w:cs="Courier New" w:eastAsia="Courier New" w:hAnsi="Courier New"/>
          <w:sz w:val="18"/>
          <w:szCs w:val="18"/>
          <w:color w:val="auto"/>
        </w:rPr>
        <w:t>5,624 5,515 Cost of service</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 847,591 639,900</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357,809 Research and</w:t>
      </w:r>
    </w:p>
    <w:p>
      <w:pPr>
        <w:jc w:val="center"/>
        <w:ind w:right="4419"/>
        <w:spacing w:after="0" w:line="238" w:lineRule="auto"/>
        <w:rPr>
          <w:sz w:val="20"/>
          <w:szCs w:val="20"/>
          <w:color w:val="auto"/>
        </w:rPr>
      </w:pPr>
      <w:r>
        <w:rPr>
          <w:rFonts w:ascii="Courier New" w:cs="Courier New" w:eastAsia="Courier New" w:hAnsi="Courier New"/>
          <w:sz w:val="18"/>
          <w:szCs w:val="18"/>
          <w:color w:val="auto"/>
        </w:rPr>
        <w:t>development.............................. 105,807</w:t>
      </w:r>
    </w:p>
    <w:p>
      <w:pPr>
        <w:jc w:val="center"/>
        <w:ind w:right="4419"/>
        <w:spacing w:after="0"/>
        <w:rPr>
          <w:sz w:val="20"/>
          <w:szCs w:val="20"/>
          <w:color w:val="auto"/>
        </w:rPr>
      </w:pPr>
      <w:r>
        <w:rPr>
          <w:rFonts w:ascii="Courier New" w:cs="Courier New" w:eastAsia="Courier New" w:hAnsi="Courier New"/>
          <w:sz w:val="18"/>
          <w:szCs w:val="18"/>
          <w:color w:val="auto"/>
        </w:rPr>
        <w:t>74,852 40,874 Selling, general and administrative</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 195,592 137,004 75,659 Amortization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of goodwill and purchased intangible</w:t>
      </w:r>
    </w:p>
    <w:p>
      <w:pPr>
        <w:jc w:val="center"/>
        <w:ind w:right="4419"/>
        <w:spacing w:after="0" w:line="238"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219,988 111,199 -- In-process research and development</w:t>
      </w:r>
    </w:p>
    <w:p>
      <w:pPr>
        <w:jc w:val="center"/>
        <w:ind w:right="4419"/>
        <w:spacing w:after="0" w:line="237" w:lineRule="auto"/>
        <w:rPr>
          <w:sz w:val="20"/>
          <w:szCs w:val="20"/>
          <w:color w:val="auto"/>
        </w:rPr>
      </w:pPr>
      <w:r>
        <w:rPr>
          <w:rFonts w:ascii="Courier New" w:cs="Courier New" w:eastAsia="Courier New" w:hAnsi="Courier New"/>
          <w:sz w:val="18"/>
          <w:szCs w:val="18"/>
          <w:color w:val="auto"/>
        </w:rPr>
        <w:t>and other indirect acquisition-related</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costs........................... -- 75,617 -- --------</w:t>
      </w:r>
    </w:p>
    <w:p>
      <w:pPr>
        <w:spacing w:after="0" w:line="16" w:lineRule="exact"/>
        <w:rPr>
          <w:sz w:val="20"/>
          <w:szCs w:val="20"/>
          <w:color w:val="auto"/>
        </w:rPr>
      </w:pPr>
    </w:p>
    <w:p>
      <w:pPr>
        <w:ind w:left="380" w:hanging="319"/>
        <w:spacing w:after="0"/>
        <w:tabs>
          <w:tab w:leader="none" w:pos="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-------- 1,374,629 1,044,196 479,857 ---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Operating</w:t>
      </w:r>
    </w:p>
    <w:p>
      <w:pPr>
        <w:ind w:left="320"/>
        <w:spacing w:after="0"/>
        <w:rPr>
          <w:sz w:val="20"/>
          <w:szCs w:val="20"/>
          <w:color w:val="auto"/>
        </w:rPr>
      </w:pPr>
      <w:r>
        <w:rPr>
          <w:rFonts w:ascii="Courier New" w:cs="Courier New" w:eastAsia="Courier New" w:hAnsi="Courier New"/>
          <w:sz w:val="18"/>
          <w:szCs w:val="18"/>
          <w:color w:val="auto"/>
        </w:rPr>
        <w:t>income...........................................</w:t>
      </w:r>
    </w:p>
    <w:p>
      <w:pPr>
        <w:jc w:val="center"/>
        <w:ind w:right="4419"/>
        <w:spacing w:after="0" w:line="237" w:lineRule="auto"/>
        <w:rPr>
          <w:sz w:val="20"/>
          <w:szCs w:val="20"/>
          <w:color w:val="auto"/>
        </w:rPr>
      </w:pPr>
      <w:r>
        <w:rPr>
          <w:rFonts w:ascii="Courier New" w:cs="Courier New" w:eastAsia="Courier New" w:hAnsi="Courier New"/>
          <w:sz w:val="18"/>
          <w:szCs w:val="18"/>
          <w:color w:val="auto"/>
        </w:rPr>
        <w:t>159,281 74,124 146,998 Interest income (expense) and</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other, net (*)............... 22,286 10,734 (6,223)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 Income before income</w:t>
      </w:r>
    </w:p>
    <w:p>
      <w:pPr>
        <w:jc w:val="center"/>
        <w:ind w:right="4419"/>
        <w:spacing w:after="0" w:line="238" w:lineRule="auto"/>
        <w:rPr>
          <w:sz w:val="20"/>
          <w:szCs w:val="20"/>
          <w:color w:val="auto"/>
        </w:rPr>
      </w:pPr>
      <w:r>
        <w:rPr>
          <w:rFonts w:ascii="Courier New" w:cs="Courier New" w:eastAsia="Courier New" w:hAnsi="Courier New"/>
          <w:sz w:val="18"/>
          <w:szCs w:val="18"/>
          <w:color w:val="auto"/>
        </w:rPr>
        <w:t>taxes................................. 181,567 84,858</w:t>
      </w:r>
    </w:p>
    <w:p>
      <w:pPr>
        <w:jc w:val="center"/>
        <w:ind w:right="4419"/>
        <w:spacing w:after="0"/>
        <w:rPr>
          <w:sz w:val="20"/>
          <w:szCs w:val="20"/>
          <w:color w:val="auto"/>
        </w:rPr>
      </w:pPr>
      <w:r>
        <w:rPr>
          <w:rFonts w:ascii="Courier New" w:cs="Courier New" w:eastAsia="Courier New" w:hAnsi="Courier New"/>
          <w:sz w:val="18"/>
          <w:szCs w:val="18"/>
          <w:color w:val="auto"/>
        </w:rPr>
        <w:t>140,775 Income</w:t>
      </w:r>
    </w:p>
    <w:p>
      <w:pPr>
        <w:jc w:val="center"/>
        <w:ind w:right="44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4419"/>
        <w:spacing w:after="0" w:line="238" w:lineRule="auto"/>
        <w:rPr>
          <w:sz w:val="20"/>
          <w:szCs w:val="20"/>
          <w:color w:val="auto"/>
        </w:rPr>
      </w:pPr>
      <w:r>
        <w:rPr>
          <w:rFonts w:ascii="Courier New" w:cs="Courier New" w:eastAsia="Courier New" w:hAnsi="Courier New"/>
          <w:sz w:val="18"/>
          <w:szCs w:val="18"/>
          <w:color w:val="auto"/>
        </w:rPr>
        <w:t>115,181 78,880 42,232 ---------- ---------- --------</w:t>
      </w:r>
    </w:p>
    <w:p>
      <w:pPr>
        <w:jc w:val="center"/>
        <w:ind w:right="4419"/>
        <w:spacing w:after="0"/>
        <w:rPr>
          <w:sz w:val="20"/>
          <w:szCs w:val="20"/>
          <w:color w:val="auto"/>
        </w:rPr>
      </w:pPr>
      <w:r>
        <w:rPr>
          <w:rFonts w:ascii="Courier New" w:cs="Courier New" w:eastAsia="Courier New" w:hAnsi="Courier New"/>
          <w:sz w:val="18"/>
          <w:szCs w:val="18"/>
          <w:color w:val="auto"/>
        </w:rPr>
        <w:t>NET</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ind w:left="640" w:hanging="211"/>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66,386 $ 5,978 $ 98,543 ========== ==========</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BASIC EARNINGS PER</w:t>
      </w:r>
    </w:p>
    <w:tbl>
      <w:tblPr>
        <w:tblLayout w:type="fixed"/>
        <w:tblInd w:w="60" w:type="dxa"/>
        <w:tblCellMar>
          <w:top w:w="0" w:type="dxa"/>
          <w:left w:w="0" w:type="dxa"/>
          <w:bottom w:w="0" w:type="dxa"/>
          <w:right w:w="0" w:type="dxa"/>
        </w:tblCellMar>
      </w:tblPr>
      <w:tr>
        <w:trPr>
          <w:trHeight w:val="203"/>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SHARE...................................</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$ 0.30 $ 0.03</w:t>
            </w:r>
          </w:p>
        </w:tc>
      </w:tr>
      <w:tr>
        <w:trPr>
          <w:trHeight w:val="203"/>
        </w:trPr>
        <w:tc>
          <w:tcPr>
            <w:tcW w:w="5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$ 0.50 ========== ========== ======== DILUTED EARNINGS</w:t>
            </w:r>
          </w:p>
        </w:tc>
      </w:tr>
      <w:tr>
        <w:trPr>
          <w:trHeight w:val="203"/>
        </w:trPr>
        <w:tc>
          <w:tcPr>
            <w:tcW w:w="4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1"/>
              </w:rPr>
              <w:t>PER SHARE.................................</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$ 0.29 $</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0.03 $ 0.49 ========== ========== ======== BASIC</w:t>
      </w:r>
    </w:p>
    <w:p>
      <w:pPr>
        <w:ind w:left="120"/>
        <w:spacing w:after="0"/>
        <w:rPr>
          <w:sz w:val="20"/>
          <w:szCs w:val="20"/>
          <w:color w:val="auto"/>
        </w:rPr>
      </w:pPr>
      <w:r>
        <w:rPr>
          <w:rFonts w:ascii="Courier New" w:cs="Courier New" w:eastAsia="Courier New" w:hAnsi="Courier New"/>
          <w:sz w:val="18"/>
          <w:szCs w:val="18"/>
          <w:color w:val="auto"/>
        </w:rPr>
        <w:t>WEIGHTED AVERAGE NUMBER OF SHARES OUTSTANDING........</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222,002 212,005 197,436 ========== ==========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DILUTED WEIGHTED AVERAGE NUMBER OF SHARES</w:t>
      </w:r>
    </w:p>
    <w:p>
      <w:pPr>
        <w:jc w:val="center"/>
        <w:ind w:right="4419"/>
        <w:spacing w:after="0" w:line="238" w:lineRule="auto"/>
        <w:rPr>
          <w:sz w:val="20"/>
          <w:szCs w:val="20"/>
          <w:color w:val="auto"/>
        </w:rPr>
      </w:pPr>
      <w:r>
        <w:rPr>
          <w:rFonts w:ascii="Courier New" w:cs="Courier New" w:eastAsia="Courier New" w:hAnsi="Courier New"/>
          <w:sz w:val="18"/>
          <w:szCs w:val="18"/>
          <w:color w:val="auto"/>
        </w:rPr>
        <w:t>OUTSTANDING...... 226,832 216,935 200,262 ==========</w:t>
      </w:r>
    </w:p>
    <w:p>
      <w:pPr>
        <w:jc w:val="center"/>
        <w:ind w:right="441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See Note 4.</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statements.</w:t>
      </w:r>
    </w:p>
    <w:p>
      <w:pPr>
        <w:ind w:left="4120"/>
        <w:spacing w:after="0" w:line="238" w:lineRule="auto"/>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 (DEFICIT)</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ACCUMULATED TOTAL ORDINARY</w:t>
      </w:r>
    </w:p>
    <w:p>
      <w:pPr>
        <w:jc w:val="center"/>
        <w:ind w:right="6959"/>
        <w:spacing w:after="0" w:line="238" w:lineRule="auto"/>
        <w:rPr>
          <w:sz w:val="20"/>
          <w:szCs w:val="20"/>
          <w:color w:val="auto"/>
        </w:rPr>
      </w:pPr>
      <w:r>
        <w:rPr>
          <w:rFonts w:ascii="Courier New" w:cs="Courier New" w:eastAsia="Courier New" w:hAnsi="Courier New"/>
          <w:sz w:val="18"/>
          <w:szCs w:val="18"/>
          <w:color w:val="auto"/>
        </w:rPr>
        <w:t>SHARES ADDITIONAL OTHER</w:t>
      </w:r>
    </w:p>
    <w:p>
      <w:pPr>
        <w:ind w:left="60"/>
        <w:spacing w:after="0"/>
        <w:rPr>
          <w:sz w:val="20"/>
          <w:szCs w:val="20"/>
          <w:color w:val="auto"/>
        </w:rPr>
      </w:pPr>
      <w:r>
        <w:rPr>
          <w:rFonts w:ascii="Courier New" w:cs="Courier New" w:eastAsia="Courier New" w:hAnsi="Courier New"/>
          <w:sz w:val="18"/>
          <w:szCs w:val="18"/>
          <w:color w:val="auto"/>
        </w:rPr>
        <w:t>SHAREHOLDERS' ----------------</w:t>
      </w:r>
    </w:p>
    <w:p>
      <w:pPr>
        <w:jc w:val="center"/>
        <w:ind w:right="6959"/>
        <w:spacing w:after="0" w:line="237" w:lineRule="auto"/>
        <w:rPr>
          <w:sz w:val="20"/>
          <w:szCs w:val="20"/>
          <w:color w:val="auto"/>
        </w:rPr>
      </w:pPr>
      <w:r>
        <w:rPr>
          <w:rFonts w:ascii="Courier New" w:cs="Courier New" w:eastAsia="Courier New" w:hAnsi="Courier New"/>
          <w:sz w:val="18"/>
          <w:szCs w:val="18"/>
          <w:color w:val="auto"/>
        </w:rPr>
        <w:t>PAID-IN COMPREHENSIVE UNEARNED</w:t>
      </w:r>
    </w:p>
    <w:p>
      <w:pPr>
        <w:jc w:val="center"/>
        <w:ind w:right="6959"/>
        <w:spacing w:after="0" w:line="238" w:lineRule="auto"/>
        <w:rPr>
          <w:sz w:val="20"/>
          <w:szCs w:val="20"/>
          <w:color w:val="auto"/>
        </w:rPr>
      </w:pPr>
      <w:r>
        <w:rPr>
          <w:rFonts w:ascii="Courier New" w:cs="Courier New" w:eastAsia="Courier New" w:hAnsi="Courier New"/>
          <w:sz w:val="18"/>
          <w:szCs w:val="18"/>
          <w:color w:val="auto"/>
        </w:rPr>
        <w:t>ACCUMULATED EQUITY SHARES</w:t>
      </w:r>
    </w:p>
    <w:p>
      <w:pPr>
        <w:jc w:val="center"/>
        <w:ind w:right="6959"/>
        <w:spacing w:after="0"/>
        <w:rPr>
          <w:sz w:val="20"/>
          <w:szCs w:val="20"/>
          <w:color w:val="auto"/>
        </w:rPr>
      </w:pPr>
      <w:r>
        <w:rPr>
          <w:rFonts w:ascii="Courier New" w:cs="Courier New" w:eastAsia="Courier New" w:hAnsi="Courier New"/>
          <w:sz w:val="18"/>
          <w:szCs w:val="18"/>
          <w:color w:val="auto"/>
        </w:rPr>
        <w:t>AMOUNT CAPITAL INCOME (LOSS)</w:t>
      </w:r>
    </w:p>
    <w:p>
      <w:pPr>
        <w:jc w:val="center"/>
        <w:ind w:right="6959"/>
        <w:spacing w:after="0" w:line="237" w:lineRule="auto"/>
        <w:rPr>
          <w:sz w:val="20"/>
          <w:szCs w:val="20"/>
          <w:color w:val="auto"/>
        </w:rPr>
      </w:pPr>
      <w:r>
        <w:rPr>
          <w:rFonts w:ascii="Courier New" w:cs="Courier New" w:eastAsia="Courier New" w:hAnsi="Courier New"/>
          <w:sz w:val="18"/>
          <w:szCs w:val="18"/>
          <w:color w:val="auto"/>
        </w:rPr>
        <w:t>COMPENSATION DEFICIT (DEFICIT)</w:t>
      </w:r>
    </w:p>
    <w:p>
      <w:pPr>
        <w:ind w:left="60"/>
        <w:spacing w:after="0"/>
        <w:rPr>
          <w:sz w:val="20"/>
          <w:szCs w:val="20"/>
          <w:color w:val="auto"/>
        </w:rPr>
      </w:pPr>
      <w:r>
        <w:rPr>
          <w:rFonts w:ascii="Courier New" w:cs="Courier New" w:eastAsia="Courier New" w:hAnsi="Courier New"/>
          <w:sz w:val="18"/>
          <w:szCs w:val="18"/>
          <w:color w:val="auto"/>
        </w:rPr>
        <w:t>-------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100"/>
        <w:spacing w:after="0"/>
        <w:rPr>
          <w:sz w:val="20"/>
          <w:szCs w:val="20"/>
          <w:color w:val="auto"/>
        </w:rPr>
      </w:pPr>
      <w:r>
        <w:rPr>
          <w:rFonts w:ascii="Courier New" w:cs="Courier New" w:eastAsia="Courier New" w:hAnsi="Courier New"/>
          <w:sz w:val="18"/>
          <w:szCs w:val="18"/>
          <w:color w:val="auto"/>
        </w:rPr>
        <w:t>---- ------------- BALANCE AS</w:t>
      </w:r>
    </w:p>
    <w:tbl>
      <w:tblPr>
        <w:tblLayout w:type="fixed"/>
        <w:tblInd w:w="60" w:type="dxa"/>
        <w:tblCellMar>
          <w:top w:w="0" w:type="dxa"/>
          <w:left w:w="0" w:type="dxa"/>
          <w:bottom w:w="0" w:type="dxa"/>
          <w:right w:w="0" w:type="dxa"/>
        </w:tblCellMar>
      </w:tblPr>
      <w:tr>
        <w:trPr>
          <w:trHeight w:val="202"/>
        </w:trPr>
        <w:tc>
          <w:tcPr>
            <w:tcW w:w="20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84"/>
              </w:rPr>
              <w:t>OF OCTOBER 1, 1998....</w:t>
            </w:r>
          </w:p>
        </w:tc>
        <w:tc>
          <w:tcPr>
            <w:tcW w:w="1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196,800</w:t>
            </w:r>
          </w:p>
        </w:tc>
      </w:tr>
      <w:tr>
        <w:trPr>
          <w:trHeight w:val="203"/>
        </w:trPr>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$3,149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$ 447,503</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$(1,495)</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$(8,947)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$(462,099)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(21,889)</w:t>
            </w:r>
          </w:p>
        </w:tc>
      </w:tr>
      <w:tr>
        <w:trPr>
          <w:trHeight w:val="203"/>
        </w:trPr>
        <w:tc>
          <w:tcPr>
            <w:tcW w:w="3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Comprehensive income: Net</w:t>
            </w:r>
          </w:p>
        </w:tc>
      </w:tr>
      <w:tr>
        <w:trPr>
          <w:trHeight w:val="203"/>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w w:val="77"/>
              </w:rPr>
              <w:t>income.....................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60" w:right="6999" w:firstLine="259"/>
        <w:spacing w:after="0" w:line="268" w:lineRule="auto"/>
        <w:tabs>
          <w:tab w:leader="none" w:pos="6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-- 98,543 98,543 Decrease in unrealized loss on derivative instruments, net of</w:t>
      </w:r>
    </w:p>
    <w:p>
      <w:pPr>
        <w:ind w:left="60"/>
        <w:spacing w:after="0" w:line="233" w:lineRule="auto"/>
        <w:rPr>
          <w:sz w:val="20"/>
          <w:szCs w:val="20"/>
          <w:color w:val="auto"/>
        </w:rPr>
      </w:pPr>
      <w:r>
        <w:rPr>
          <w:rFonts w:ascii="Courier New" w:cs="Courier New" w:eastAsia="Courier New" w:hAnsi="Courier New"/>
          <w:sz w:val="18"/>
          <w:szCs w:val="18"/>
          <w:color w:val="auto"/>
        </w:rPr>
        <w:t>$145 tax.............. -- -- -</w:t>
      </w:r>
    </w:p>
    <w:p>
      <w:pPr>
        <w:ind w:left="480" w:hanging="214"/>
        <w:spacing w:after="0"/>
        <w:tabs>
          <w:tab w:leader="none" w:pos="4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338 -- -- 338 ----------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ind w:left="60"/>
        <w:spacing w:after="0"/>
        <w:rPr>
          <w:sz w:val="20"/>
          <w:szCs w:val="20"/>
          <w:color w:val="auto"/>
        </w:rPr>
      </w:pPr>
      <w:r>
        <w:rPr>
          <w:rFonts w:ascii="Courier New" w:cs="Courier New" w:eastAsia="Courier New" w:hAnsi="Courier New"/>
          <w:sz w:val="18"/>
          <w:szCs w:val="18"/>
          <w:color w:val="auto"/>
        </w:rPr>
        <w:t>income........... 98,881 -----</w:t>
      </w:r>
    </w:p>
    <w:p>
      <w:pPr>
        <w:spacing w:after="0" w:line="3" w:lineRule="exact"/>
        <w:rPr>
          <w:sz w:val="20"/>
          <w:szCs w:val="20"/>
          <w:color w:val="auto"/>
        </w:rPr>
      </w:pPr>
    </w:p>
    <w:p>
      <w:pPr>
        <w:ind w:left="1260" w:right="7219" w:hanging="994"/>
        <w:spacing w:after="0" w:line="235" w:lineRule="auto"/>
        <w:tabs>
          <w:tab w:leader="none" w:pos="89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Ordinary Shares,</w:t>
      </w:r>
    </w:p>
    <w:p>
      <w:pPr>
        <w:spacing w:after="0"/>
        <w:rPr>
          <w:sz w:val="20"/>
          <w:szCs w:val="20"/>
          <w:color w:val="auto"/>
        </w:rPr>
      </w:pPr>
      <w:r>
        <w:rPr>
          <w:rFonts w:ascii="Courier New" w:cs="Courier New" w:eastAsia="Courier New" w:hAnsi="Courier New"/>
          <w:sz w:val="18"/>
          <w:szCs w:val="18"/>
          <w:color w:val="auto"/>
        </w:rPr>
        <w:t>net............................</w:t>
      </w:r>
    </w:p>
    <w:p>
      <w:pPr>
        <w:jc w:val="center"/>
        <w:ind w:right="6959"/>
        <w:spacing w:after="0" w:line="238" w:lineRule="auto"/>
        <w:rPr>
          <w:sz w:val="20"/>
          <w:szCs w:val="20"/>
          <w:color w:val="auto"/>
        </w:rPr>
      </w:pPr>
      <w:r>
        <w:rPr>
          <w:rFonts w:ascii="Courier New" w:cs="Courier New" w:eastAsia="Courier New" w:hAnsi="Courier New"/>
          <w:sz w:val="18"/>
          <w:szCs w:val="18"/>
          <w:color w:val="auto"/>
        </w:rPr>
        <w:t>2,000 32 41,352 -- -- --</w:t>
      </w:r>
    </w:p>
    <w:p>
      <w:pPr>
        <w:jc w:val="center"/>
        <w:ind w:right="6959"/>
        <w:spacing w:after="0"/>
        <w:rPr>
          <w:sz w:val="20"/>
          <w:szCs w:val="20"/>
          <w:color w:val="auto"/>
        </w:rPr>
      </w:pPr>
      <w:r>
        <w:rPr>
          <w:rFonts w:ascii="Courier New" w:cs="Courier New" w:eastAsia="Courier New" w:hAnsi="Courier New"/>
          <w:sz w:val="18"/>
          <w:szCs w:val="18"/>
          <w:color w:val="auto"/>
        </w:rPr>
        <w:t>41,384 Stock options granted,</w:t>
      </w:r>
    </w:p>
    <w:p>
      <w:pPr>
        <w:jc w:val="center"/>
        <w:ind w:right="6959"/>
        <w:spacing w:after="0" w:line="237" w:lineRule="auto"/>
        <w:rPr>
          <w:sz w:val="20"/>
          <w:szCs w:val="20"/>
          <w:color w:val="auto"/>
        </w:rPr>
      </w:pPr>
      <w:r>
        <w:rPr>
          <w:rFonts w:ascii="Courier New" w:cs="Courier New" w:eastAsia="Courier New" w:hAnsi="Courier New"/>
          <w:sz w:val="18"/>
          <w:szCs w:val="18"/>
          <w:color w:val="auto"/>
        </w:rPr>
        <w:t>net of</w:t>
      </w:r>
    </w:p>
    <w:p>
      <w:pPr>
        <w:spacing w:after="0" w:line="238" w:lineRule="auto"/>
        <w:rPr>
          <w:sz w:val="20"/>
          <w:szCs w:val="20"/>
          <w:color w:val="auto"/>
        </w:rPr>
      </w:pPr>
      <w:r>
        <w:rPr>
          <w:rFonts w:ascii="Courier New" w:cs="Courier New" w:eastAsia="Courier New" w:hAnsi="Courier New"/>
          <w:sz w:val="18"/>
          <w:szCs w:val="18"/>
          <w:color w:val="auto"/>
        </w:rPr>
        <w:t>forfeitures....................</w:t>
      </w:r>
    </w:p>
    <w:p>
      <w:pPr>
        <w:spacing w:after="0" w:line="5" w:lineRule="exact"/>
        <w:rPr>
          <w:sz w:val="20"/>
          <w:szCs w:val="20"/>
          <w:color w:val="auto"/>
        </w:rPr>
      </w:pPr>
    </w:p>
    <w:p>
      <w:pPr>
        <w:jc w:val="both"/>
        <w:ind w:left="380" w:right="7319" w:hanging="8"/>
        <w:spacing w:after="0" w:line="268" w:lineRule="auto"/>
        <w:tabs>
          <w:tab w:leader="none" w:pos="69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-- 244 -- (163) -- 81 Amortization of unearned</w:t>
      </w:r>
    </w:p>
    <w:p>
      <w:pPr>
        <w:spacing w:after="0" w:line="233" w:lineRule="auto"/>
        <w:rPr>
          <w:sz w:val="20"/>
          <w:szCs w:val="20"/>
          <w:color w:val="auto"/>
        </w:rPr>
      </w:pPr>
      <w:r>
        <w:rPr>
          <w:rFonts w:ascii="Courier New" w:cs="Courier New" w:eastAsia="Courier New" w:hAnsi="Courier New"/>
          <w:sz w:val="18"/>
          <w:szCs w:val="18"/>
          <w:color w:val="auto"/>
        </w:rPr>
        <w:t>compensation...................</w:t>
      </w:r>
    </w:p>
    <w:p>
      <w:pPr>
        <w:ind w:left="380" w:hanging="324"/>
        <w:spacing w:after="0"/>
        <w:tabs>
          <w:tab w:leader="none" w:pos="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-- 5,280 -- 5,280 ---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center"/>
        <w:ind w:right="6939" w:firstLine="2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BALANCE AS OF SEPTEMBER 30, 1999...........................</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198,800 3,181 489,099 (1,157)</w:t>
      </w:r>
    </w:p>
    <w:p>
      <w:pPr>
        <w:ind w:left="320"/>
        <w:spacing w:after="0"/>
        <w:rPr>
          <w:sz w:val="20"/>
          <w:szCs w:val="20"/>
          <w:color w:val="auto"/>
        </w:rPr>
      </w:pPr>
      <w:r>
        <w:rPr>
          <w:rFonts w:ascii="Courier New" w:cs="Courier New" w:eastAsia="Courier New" w:hAnsi="Courier New"/>
          <w:sz w:val="18"/>
          <w:szCs w:val="18"/>
          <w:color w:val="auto"/>
        </w:rPr>
        <w:t>(3,830) (363,556) 123,737</w:t>
      </w:r>
    </w:p>
    <w:p>
      <w:pPr>
        <w:ind w:left="320"/>
        <w:spacing w:after="0" w:line="237" w:lineRule="auto"/>
        <w:rPr>
          <w:sz w:val="20"/>
          <w:szCs w:val="20"/>
          <w:color w:val="auto"/>
        </w:rPr>
      </w:pPr>
      <w:r>
        <w:rPr>
          <w:rFonts w:ascii="Courier New" w:cs="Courier New" w:eastAsia="Courier New" w:hAnsi="Courier New"/>
          <w:sz w:val="18"/>
          <w:szCs w:val="18"/>
          <w:color w:val="auto"/>
        </w:rPr>
        <w:t>Comprehensive income: Net</w:t>
      </w:r>
    </w:p>
    <w:p>
      <w:pPr>
        <w:ind w:left="60"/>
        <w:spacing w:after="0" w:line="238" w:lineRule="auto"/>
        <w:rPr>
          <w:sz w:val="20"/>
          <w:szCs w:val="20"/>
          <w:color w:val="auto"/>
        </w:rPr>
      </w:pPr>
      <w:r>
        <w:rPr>
          <w:rFonts w:ascii="Courier New" w:cs="Courier New" w:eastAsia="Courier New" w:hAnsi="Courier New"/>
          <w:sz w:val="18"/>
          <w:szCs w:val="18"/>
          <w:color w:val="auto"/>
        </w:rPr>
        <w:t>income..................... --</w:t>
      </w:r>
    </w:p>
    <w:p>
      <w:pPr>
        <w:spacing w:after="0" w:line="5" w:lineRule="exact"/>
        <w:rPr>
          <w:sz w:val="20"/>
          <w:szCs w:val="20"/>
          <w:color w:val="auto"/>
        </w:rPr>
      </w:pPr>
    </w:p>
    <w:p>
      <w:pPr>
        <w:ind w:left="60" w:right="6999" w:firstLine="364"/>
        <w:spacing w:after="0" w:line="268" w:lineRule="auto"/>
        <w:tabs>
          <w:tab w:leader="none" w:pos="7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-- 5,978 5,978 Decrease in unrealized loss on derivative instruments, net of</w:t>
      </w:r>
    </w:p>
    <w:p>
      <w:pPr>
        <w:ind w:left="60"/>
        <w:spacing w:after="0" w:line="233" w:lineRule="auto"/>
        <w:rPr>
          <w:sz w:val="20"/>
          <w:szCs w:val="20"/>
          <w:color w:val="auto"/>
        </w:rPr>
      </w:pPr>
      <w:r>
        <w:rPr>
          <w:rFonts w:ascii="Courier New" w:cs="Courier New" w:eastAsia="Courier New" w:hAnsi="Courier New"/>
          <w:sz w:val="18"/>
          <w:szCs w:val="18"/>
          <w:color w:val="auto"/>
        </w:rPr>
        <w:t>$1,000 tax............ -- -- -</w:t>
      </w:r>
    </w:p>
    <w:p>
      <w:pPr>
        <w:spacing w:after="0" w:line="5" w:lineRule="exact"/>
        <w:rPr>
          <w:sz w:val="20"/>
          <w:szCs w:val="20"/>
          <w:color w:val="auto"/>
        </w:rPr>
      </w:pPr>
    </w:p>
    <w:p>
      <w:pPr>
        <w:ind w:left="260" w:right="7099" w:hanging="99"/>
        <w:spacing w:after="0" w:line="268" w:lineRule="auto"/>
        <w:tabs>
          <w:tab w:leader="none" w:pos="36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2,333 -- -- 2,333 Increase in unrealized loss on cash equivalents income, net of</w:t>
      </w:r>
    </w:p>
    <w:p>
      <w:pPr>
        <w:ind w:left="60"/>
        <w:spacing w:after="0" w:line="233" w:lineRule="auto"/>
        <w:rPr>
          <w:sz w:val="20"/>
          <w:szCs w:val="20"/>
          <w:color w:val="auto"/>
        </w:rPr>
      </w:pPr>
      <w:r>
        <w:rPr>
          <w:rFonts w:ascii="Courier New" w:cs="Courier New" w:eastAsia="Courier New" w:hAnsi="Courier New"/>
          <w:sz w:val="18"/>
          <w:szCs w:val="18"/>
          <w:color w:val="auto"/>
        </w:rPr>
        <w:t>$(7) tax.............. -- -- -</w:t>
      </w:r>
    </w:p>
    <w:p>
      <w:pPr>
        <w:ind w:left="380" w:hanging="219"/>
        <w:spacing w:after="0"/>
        <w:tabs>
          <w:tab w:leader="none" w:pos="3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 -- (17)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tbl>
      <w:tblPr>
        <w:tblLayout w:type="fixed"/>
        <w:tblInd w:w="6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income...........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8,294 ------</w:t>
            </w:r>
          </w:p>
        </w:tc>
      </w:tr>
    </w:tbl>
    <w:p>
      <w:pPr>
        <w:spacing w:after="0" w:line="4" w:lineRule="exact"/>
        <w:rPr>
          <w:sz w:val="20"/>
          <w:szCs w:val="20"/>
          <w:color w:val="auto"/>
        </w:rPr>
      </w:pPr>
    </w:p>
    <w:p>
      <w:pPr>
        <w:ind w:right="6939" w:firstLine="213"/>
        <w:spacing w:after="0" w:line="268" w:lineRule="auto"/>
        <w:tabs>
          <w:tab w:leader="none" w:pos="73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stock options exercised......................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2,058 33 21,327 -- --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21,360 Tax benefit of stock</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exercised......................</w:t>
      </w:r>
    </w:p>
    <w:p>
      <w:pPr>
        <w:spacing w:after="0" w:line="4" w:lineRule="exact"/>
        <w:rPr>
          <w:rFonts w:ascii="Courier New" w:cs="Courier New" w:eastAsia="Courier New" w:hAnsi="Courier New"/>
          <w:sz w:val="16"/>
          <w:szCs w:val="16"/>
          <w:color w:val="auto"/>
        </w:rPr>
      </w:pPr>
    </w:p>
    <w:p>
      <w:pPr>
        <w:jc w:val="both"/>
        <w:ind w:left="220" w:right="7119" w:hanging="59"/>
        <w:spacing w:after="0" w:line="268" w:lineRule="auto"/>
        <w:tabs>
          <w:tab w:leader="none" w:pos="4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-- 10,825 -- -- -- 10,825 Issuance of Ordinary Shares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 acquisitions,</w:t>
      </w:r>
    </w:p>
    <w:tbl>
      <w:tblPr>
        <w:tblLayout w:type="fixed"/>
        <w:tblInd w:w="60"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9"/>
              </w:rPr>
              <w:t>20,307 325 1,263,330 --</w:t>
            </w:r>
          </w:p>
        </w:tc>
      </w:tr>
    </w:tbl>
    <w:p>
      <w:pPr>
        <w:ind w:left="100"/>
        <w:spacing w:after="0" w:line="238" w:lineRule="auto"/>
        <w:rPr>
          <w:sz w:val="20"/>
          <w:szCs w:val="20"/>
          <w:color w:val="auto"/>
        </w:rPr>
      </w:pPr>
      <w:r>
        <w:rPr>
          <w:rFonts w:ascii="Courier New" w:cs="Courier New" w:eastAsia="Courier New" w:hAnsi="Courier New"/>
          <w:sz w:val="18"/>
          <w:szCs w:val="18"/>
          <w:color w:val="auto"/>
        </w:rPr>
        <w:t>-- -- 1,263,655 Stock options</w:t>
      </w:r>
    </w:p>
    <w:p>
      <w:pPr>
        <w:ind w:left="100"/>
        <w:spacing w:after="0"/>
        <w:rPr>
          <w:sz w:val="20"/>
          <w:szCs w:val="20"/>
          <w:color w:val="auto"/>
        </w:rPr>
      </w:pPr>
      <w:r>
        <w:rPr>
          <w:rFonts w:ascii="Courier New" w:cs="Courier New" w:eastAsia="Courier New" w:hAnsi="Courier New"/>
          <w:sz w:val="18"/>
          <w:szCs w:val="18"/>
          <w:color w:val="auto"/>
        </w:rPr>
        <w:t>granted............ -- -- 235</w:t>
      </w:r>
    </w:p>
    <w:p>
      <w:pPr>
        <w:jc w:val="center"/>
        <w:ind w:right="6959"/>
        <w:spacing w:after="0" w:line="237" w:lineRule="auto"/>
        <w:rPr>
          <w:sz w:val="20"/>
          <w:szCs w:val="20"/>
          <w:color w:val="auto"/>
        </w:rPr>
      </w:pPr>
      <w:r>
        <w:rPr>
          <w:rFonts w:ascii="Courier New" w:cs="Courier New" w:eastAsia="Courier New" w:hAnsi="Courier New"/>
          <w:sz w:val="18"/>
          <w:szCs w:val="18"/>
          <w:color w:val="auto"/>
        </w:rPr>
        <w:t>-- -- -- 235 Amortization of</w:t>
      </w:r>
    </w:p>
    <w:p>
      <w:pPr>
        <w:jc w:val="center"/>
        <w:ind w:right="6959"/>
        <w:spacing w:after="0" w:line="238" w:lineRule="auto"/>
        <w:rPr>
          <w:sz w:val="20"/>
          <w:szCs w:val="20"/>
          <w:color w:val="auto"/>
        </w:rPr>
      </w:pPr>
      <w:r>
        <w:rPr>
          <w:rFonts w:ascii="Courier New" w:cs="Courier New" w:eastAsia="Courier New" w:hAnsi="Courier New"/>
          <w:sz w:val="18"/>
          <w:szCs w:val="18"/>
          <w:color w:val="auto"/>
        </w:rPr>
        <w:t>unearned</w:t>
      </w:r>
    </w:p>
    <w:p>
      <w:pPr>
        <w:spacing w:after="0"/>
        <w:rPr>
          <w:sz w:val="20"/>
          <w:szCs w:val="20"/>
          <w:color w:val="auto"/>
        </w:rPr>
      </w:pPr>
      <w:r>
        <w:rPr>
          <w:rFonts w:ascii="Courier New" w:cs="Courier New" w:eastAsia="Courier New" w:hAnsi="Courier New"/>
          <w:sz w:val="18"/>
          <w:szCs w:val="18"/>
          <w:color w:val="auto"/>
        </w:rPr>
        <w:t>compensation...................</w:t>
      </w:r>
    </w:p>
    <w:p>
      <w:pPr>
        <w:ind w:left="380" w:hanging="324"/>
        <w:spacing w:after="0" w:line="237" w:lineRule="auto"/>
        <w:tabs>
          <w:tab w:leader="none" w:pos="3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-- 2,666 -- 2,666 ---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center"/>
        <w:ind w:right="6939" w:firstLine="2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BALANCE AS OF SEPTEMBER 30, 2000...........................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221,165 3,539 1,784,816 1,159</w:t>
      </w:r>
    </w:p>
    <w:p>
      <w:pPr>
        <w:sectPr>
          <w:pgSz w:w="11900" w:h="16838" w:orient="portrait"/>
          <w:cols w:equalWidth="0" w:num="1">
            <w:col w:w="10219"/>
          </w:cols>
          <w:pgMar w:left="240" w:top="717" w:right="1440" w:bottom="0" w:gutter="0" w:footer="0" w:header="0"/>
        </w:sectPr>
      </w:pPr>
    </w:p>
    <w:bookmarkStart w:id="63" w:name="page64"/>
    <w:bookmarkEnd w:id="63"/>
    <w:p>
      <w:pPr>
        <w:ind w:left="220"/>
        <w:spacing w:after="0"/>
        <w:rPr>
          <w:sz w:val="20"/>
          <w:szCs w:val="20"/>
          <w:color w:val="auto"/>
        </w:rPr>
      </w:pPr>
      <w:r>
        <w:rPr>
          <w:rFonts w:ascii="Courier New" w:cs="Courier New" w:eastAsia="Courier New" w:hAnsi="Courier New"/>
          <w:sz w:val="18"/>
          <w:szCs w:val="18"/>
          <w:color w:val="auto"/>
        </w:rPr>
        <w:t>(1,164) (357,578) 1,430,772</w:t>
      </w:r>
    </w:p>
    <w:p>
      <w:pPr>
        <w:ind w:left="320"/>
        <w:spacing w:after="0" w:line="238" w:lineRule="auto"/>
        <w:rPr>
          <w:sz w:val="20"/>
          <w:szCs w:val="20"/>
          <w:color w:val="auto"/>
        </w:rPr>
      </w:pPr>
      <w:r>
        <w:rPr>
          <w:rFonts w:ascii="Courier New" w:cs="Courier New" w:eastAsia="Courier New" w:hAnsi="Courier New"/>
          <w:sz w:val="18"/>
          <w:szCs w:val="18"/>
          <w:color w:val="auto"/>
        </w:rPr>
        <w:t>Comprehensive income: Net</w:t>
      </w:r>
    </w:p>
    <w:p>
      <w:pPr>
        <w:ind w:left="60"/>
        <w:spacing w:after="0"/>
        <w:rPr>
          <w:sz w:val="20"/>
          <w:szCs w:val="20"/>
          <w:color w:val="auto"/>
        </w:rPr>
      </w:pPr>
      <w:r>
        <w:rPr>
          <w:rFonts w:ascii="Courier New" w:cs="Courier New" w:eastAsia="Courier New" w:hAnsi="Courier New"/>
          <w:sz w:val="18"/>
          <w:szCs w:val="18"/>
          <w:color w:val="auto"/>
        </w:rPr>
        <w:t>income..................... --</w:t>
      </w:r>
    </w:p>
    <w:p>
      <w:pPr>
        <w:spacing w:after="0" w:line="3" w:lineRule="exact"/>
        <w:rPr>
          <w:sz w:val="20"/>
          <w:szCs w:val="20"/>
          <w:color w:val="auto"/>
        </w:rPr>
      </w:pPr>
    </w:p>
    <w:p>
      <w:pPr>
        <w:ind w:left="60" w:right="6999" w:firstLine="259"/>
        <w:spacing w:after="0" w:line="268" w:lineRule="auto"/>
        <w:tabs>
          <w:tab w:leader="none" w:pos="64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-- 66,386 66,386 Decrease in unrealized gain on</w:t>
      </w:r>
    </w:p>
    <w:p>
      <w:pPr>
        <w:jc w:val="both"/>
        <w:ind w:left="100" w:right="70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derivatives, net of $(3,891) tax..........................</w:t>
      </w:r>
    </w:p>
    <w:p>
      <w:pPr>
        <w:jc w:val="both"/>
        <w:ind w:left="60" w:right="6999" w:hanging="4"/>
        <w:spacing w:after="0" w:line="268" w:lineRule="auto"/>
        <w:tabs>
          <w:tab w:leader="none" w:pos="37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(9,078) -- -- (9,078) Increase in unrealized income on cash equivalents and short-</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term interest-bearing</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 net of $659</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w:t>
      </w:r>
    </w:p>
    <w:p>
      <w:pPr>
        <w:ind w:left="380" w:hanging="324"/>
        <w:spacing w:after="0" w:line="238" w:lineRule="auto"/>
        <w:tabs>
          <w:tab w:leader="none" w:pos="3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-- 1,537 -- -- 1,537 ---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Comprehensive</w:t>
      </w:r>
    </w:p>
    <w:p>
      <w:pPr>
        <w:ind w:left="60"/>
        <w:spacing w:after="0"/>
        <w:rPr>
          <w:sz w:val="20"/>
          <w:szCs w:val="20"/>
          <w:color w:val="auto"/>
        </w:rPr>
      </w:pPr>
      <w:r>
        <w:rPr>
          <w:rFonts w:ascii="Courier New" w:cs="Courier New" w:eastAsia="Courier New" w:hAnsi="Courier New"/>
          <w:sz w:val="18"/>
          <w:szCs w:val="18"/>
          <w:color w:val="auto"/>
        </w:rPr>
        <w:t>income........... 58,845 -----</w:t>
      </w:r>
    </w:p>
    <w:p>
      <w:pPr>
        <w:spacing w:after="0" w:line="3" w:lineRule="exact"/>
        <w:rPr>
          <w:sz w:val="20"/>
          <w:szCs w:val="20"/>
          <w:color w:val="auto"/>
        </w:rPr>
      </w:pPr>
    </w:p>
    <w:p>
      <w:pPr>
        <w:ind w:right="6939" w:firstLine="160"/>
        <w:spacing w:after="0" w:line="268" w:lineRule="auto"/>
        <w:tabs>
          <w:tab w:leader="none" w:pos="7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stock options exercised......................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1,463 21 13,946 -- --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13,967 Tax benefit of stock</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exercised......................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-- 7,345 -- -- -- 7,345</w:t>
      </w:r>
    </w:p>
    <w:p>
      <w:pPr>
        <w:jc w:val="center"/>
        <w:ind w:right="6959"/>
        <w:spacing w:after="0"/>
        <w:rPr>
          <w:sz w:val="20"/>
          <w:szCs w:val="20"/>
          <w:color w:val="auto"/>
        </w:rPr>
      </w:pPr>
      <w:r>
        <w:rPr>
          <w:rFonts w:ascii="Courier New" w:cs="Courier New" w:eastAsia="Courier New" w:hAnsi="Courier New"/>
          <w:sz w:val="18"/>
          <w:szCs w:val="18"/>
          <w:color w:val="auto"/>
        </w:rPr>
        <w:t>Stock options</w:t>
      </w:r>
    </w:p>
    <w:p>
      <w:pPr>
        <w:ind w:left="100"/>
        <w:spacing w:after="0" w:line="237" w:lineRule="auto"/>
        <w:rPr>
          <w:sz w:val="20"/>
          <w:szCs w:val="20"/>
          <w:color w:val="auto"/>
        </w:rPr>
      </w:pPr>
      <w:r>
        <w:rPr>
          <w:rFonts w:ascii="Courier New" w:cs="Courier New" w:eastAsia="Courier New" w:hAnsi="Courier New"/>
          <w:sz w:val="18"/>
          <w:szCs w:val="18"/>
          <w:color w:val="auto"/>
        </w:rPr>
        <w:t>granted............ -- -- 183</w:t>
      </w:r>
    </w:p>
    <w:p>
      <w:pPr>
        <w:spacing w:after="0" w:line="5" w:lineRule="exact"/>
        <w:rPr>
          <w:sz w:val="20"/>
          <w:szCs w:val="20"/>
          <w:color w:val="auto"/>
        </w:rPr>
      </w:pPr>
    </w:p>
    <w:p>
      <w:pPr>
        <w:ind w:left="1220" w:right="7119" w:hanging="1059"/>
        <w:spacing w:after="0" w:line="235" w:lineRule="auto"/>
        <w:tabs>
          <w:tab w:leader="none" w:pos="48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-- 183 Amortization of unearned</w:t>
      </w:r>
    </w:p>
    <w:p>
      <w:pPr>
        <w:spacing w:after="0"/>
        <w:rPr>
          <w:sz w:val="20"/>
          <w:szCs w:val="20"/>
          <w:color w:val="auto"/>
        </w:rPr>
      </w:pPr>
      <w:r>
        <w:rPr>
          <w:rFonts w:ascii="Courier New" w:cs="Courier New" w:eastAsia="Courier New" w:hAnsi="Courier New"/>
          <w:sz w:val="18"/>
          <w:szCs w:val="18"/>
          <w:color w:val="auto"/>
        </w:rPr>
        <w:t>compensation...................</w:t>
      </w:r>
    </w:p>
    <w:p>
      <w:pPr>
        <w:ind w:left="380" w:hanging="324"/>
        <w:spacing w:after="0" w:line="238" w:lineRule="auto"/>
        <w:tabs>
          <w:tab w:leader="none" w:pos="3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-- 979 -- 979 -------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800" w:hanging="429"/>
        <w:spacing w:after="0" w:line="238" w:lineRule="auto"/>
        <w:tabs>
          <w:tab w:leader="none" w:pos="80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 SEPTEMBER 30,</w:t>
      </w:r>
    </w:p>
    <w:p>
      <w:pPr>
        <w:spacing w:after="0"/>
        <w:rPr>
          <w:sz w:val="20"/>
          <w:szCs w:val="20"/>
          <w:color w:val="auto"/>
        </w:rPr>
      </w:pPr>
      <w:r>
        <w:rPr>
          <w:rFonts w:ascii="Courier New" w:cs="Courier New" w:eastAsia="Courier New" w:hAnsi="Courier New"/>
          <w:sz w:val="18"/>
          <w:szCs w:val="18"/>
          <w:color w:val="auto"/>
        </w:rPr>
        <w:t>2001...........................</w:t>
      </w:r>
    </w:p>
    <w:p>
      <w:pPr>
        <w:jc w:val="center"/>
        <w:ind w:right="6959"/>
        <w:spacing w:after="0" w:line="237" w:lineRule="auto"/>
        <w:rPr>
          <w:sz w:val="20"/>
          <w:szCs w:val="20"/>
          <w:color w:val="auto"/>
        </w:rPr>
      </w:pPr>
      <w:r>
        <w:rPr>
          <w:rFonts w:ascii="Courier New" w:cs="Courier New" w:eastAsia="Courier New" w:hAnsi="Courier New"/>
          <w:sz w:val="18"/>
          <w:szCs w:val="18"/>
          <w:color w:val="auto"/>
        </w:rPr>
        <w:t>222,628 $3,560 $1,806,290</w:t>
      </w:r>
    </w:p>
    <w:p>
      <w:pPr>
        <w:jc w:val="center"/>
        <w:ind w:right="6959"/>
        <w:spacing w:after="0" w:line="238" w:lineRule="auto"/>
        <w:rPr>
          <w:sz w:val="20"/>
          <w:szCs w:val="20"/>
          <w:color w:val="auto"/>
        </w:rPr>
      </w:pPr>
      <w:r>
        <w:rPr>
          <w:rFonts w:ascii="Courier New" w:cs="Courier New" w:eastAsia="Courier New" w:hAnsi="Courier New"/>
          <w:sz w:val="18"/>
          <w:szCs w:val="18"/>
          <w:color w:val="auto"/>
        </w:rPr>
        <w:t>$(6,382) $ (185) $(291,192)</w:t>
      </w:r>
    </w:p>
    <w:p>
      <w:pPr>
        <w:jc w:val="center"/>
        <w:ind w:right="6959"/>
        <w:spacing w:after="0"/>
        <w:rPr>
          <w:sz w:val="20"/>
          <w:szCs w:val="20"/>
          <w:color w:val="auto"/>
        </w:rPr>
      </w:pPr>
      <w:r>
        <w:rPr>
          <w:rFonts w:ascii="Courier New" w:cs="Courier New" w:eastAsia="Courier New" w:hAnsi="Courier New"/>
          <w:sz w:val="18"/>
          <w:szCs w:val="18"/>
          <w:color w:val="auto"/>
        </w:rPr>
        <w:t>$1,512,091 ======= ======</w:t>
      </w:r>
    </w:p>
    <w:p>
      <w:pPr>
        <w:jc w:val="center"/>
        <w:ind w:right="6959"/>
        <w:spacing w:after="0" w:line="237" w:lineRule="auto"/>
        <w:rPr>
          <w:sz w:val="20"/>
          <w:szCs w:val="20"/>
          <w:color w:val="auto"/>
        </w:rPr>
      </w:pPr>
      <w:r>
        <w:rPr>
          <w:rFonts w:ascii="Courier New" w:cs="Courier New" w:eastAsia="Courier New" w:hAnsi="Courier New"/>
          <w:sz w:val="18"/>
          <w:szCs w:val="18"/>
          <w:color w:val="auto"/>
        </w:rPr>
        <w:t>========== ======= =======</w:t>
      </w:r>
    </w:p>
    <w:p>
      <w:pPr>
        <w:jc w:val="center"/>
        <w:ind w:right="695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2001, 2000 and 1999, accumulated other comprehensive income (loss) is comprised of unrealized gain (loss) on derivatives, net of tax, of $(7,902), $1,176 and $(1,157) and unrealized gain (loss) on cash equivalents and short-term interest-bearing investments, net of tax, of $1,520, $(17) and $0, as of September 30, 2001, 2000 and 1999, respectively.</w:t>
      </w:r>
    </w:p>
    <w:p>
      <w:pPr>
        <w:spacing w:after="0" w:line="209" w:lineRule="exact"/>
        <w:rPr>
          <w:sz w:val="20"/>
          <w:szCs w:val="20"/>
          <w:color w:val="auto"/>
        </w:rPr>
      </w:pPr>
    </w:p>
    <w:p>
      <w:pPr>
        <w:ind w:left="3580" w:right="1779" w:hanging="3054"/>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36" w:right="1440" w:bottom="1440" w:gutter="0" w:footer="0" w:header="0"/>
        </w:sectPr>
      </w:pPr>
    </w:p>
    <w:bookmarkStart w:id="64" w:name="page65"/>
    <w:bookmarkEnd w:id="6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6"/>
          <w:szCs w:val="16"/>
          <w:color w:val="auto"/>
        </w:rPr>
        <w:t>YEAR ENDED SEPTEMBER 30, -------------------------------</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-- 2001 2000 1999 --------- --------- --------- CASH</w:t>
      </w:r>
    </w:p>
    <w:p>
      <w:pPr>
        <w:spacing w:after="0" w:line="200" w:lineRule="exact"/>
        <w:rPr>
          <w:sz w:val="20"/>
          <w:szCs w:val="20"/>
          <w:color w:val="auto"/>
        </w:rPr>
      </w:pPr>
    </w:p>
    <w:p>
      <w:pPr>
        <w:spacing w:after="0" w:line="209" w:lineRule="exact"/>
        <w:rPr>
          <w:sz w:val="20"/>
          <w:szCs w:val="20"/>
          <w:color w:val="auto"/>
        </w:rPr>
      </w:pPr>
    </w:p>
    <w:p>
      <w:pPr>
        <w:ind w:left="640" w:right="4379" w:hanging="478"/>
        <w:spacing w:after="0" w:line="268" w:lineRule="auto"/>
        <w:tabs>
          <w:tab w:leader="none" w:pos="37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66,386 $ 5,978 $ 98,543 Reconciliation of net income to net cash provided by operating activities:</w:t>
      </w:r>
    </w:p>
    <w:p>
      <w:pPr>
        <w:ind w:left="160"/>
        <w:spacing w:after="0" w:line="233" w:lineRule="auto"/>
        <w:rPr>
          <w:sz w:val="20"/>
          <w:szCs w:val="20"/>
          <w:color w:val="auto"/>
        </w:rPr>
      </w:pPr>
      <w:r>
        <w:rPr>
          <w:rFonts w:ascii="Courier New" w:cs="Courier New" w:eastAsia="Courier New" w:hAnsi="Courier New"/>
          <w:sz w:val="18"/>
          <w:szCs w:val="18"/>
          <w:color w:val="auto"/>
        </w:rPr>
        <w:t>Depreciation and amortization.........................</w:t>
      </w:r>
    </w:p>
    <w:p>
      <w:pPr>
        <w:ind w:left="420"/>
        <w:spacing w:after="0"/>
        <w:rPr>
          <w:sz w:val="20"/>
          <w:szCs w:val="20"/>
          <w:color w:val="auto"/>
        </w:rPr>
      </w:pPr>
      <w:r>
        <w:rPr>
          <w:rFonts w:ascii="Courier New" w:cs="Courier New" w:eastAsia="Courier New" w:hAnsi="Courier New"/>
          <w:sz w:val="18"/>
          <w:szCs w:val="18"/>
          <w:color w:val="auto"/>
        </w:rPr>
        <w:t>282,625 155,359 30,601 Adjustment to the basis of</w:t>
      </w:r>
    </w:p>
    <w:p>
      <w:pPr>
        <w:ind w:left="380"/>
        <w:spacing w:after="0" w:line="237" w:lineRule="auto"/>
        <w:rPr>
          <w:sz w:val="20"/>
          <w:szCs w:val="20"/>
          <w:color w:val="auto"/>
        </w:rPr>
      </w:pPr>
      <w:r>
        <w:rPr>
          <w:rFonts w:ascii="Courier New" w:cs="Courier New" w:eastAsia="Courier New" w:hAnsi="Courier New"/>
          <w:sz w:val="18"/>
          <w:szCs w:val="18"/>
          <w:color w:val="auto"/>
        </w:rPr>
        <w:t>investments................ 6,750 -- -- In-process</w:t>
      </w:r>
    </w:p>
    <w:p>
      <w:pPr>
        <w:ind w:left="60"/>
        <w:spacing w:after="0"/>
        <w:rPr>
          <w:sz w:val="20"/>
          <w:szCs w:val="20"/>
          <w:color w:val="auto"/>
        </w:rPr>
      </w:pPr>
      <w:r>
        <w:rPr>
          <w:rFonts w:ascii="Courier New" w:cs="Courier New" w:eastAsia="Courier New" w:hAnsi="Courier New"/>
          <w:sz w:val="18"/>
          <w:szCs w:val="18"/>
          <w:color w:val="auto"/>
        </w:rPr>
        <w:t>research and development expenses.......... -- 70,319 --</w:t>
      </w:r>
    </w:p>
    <w:p>
      <w:pPr>
        <w:ind w:left="160"/>
        <w:spacing w:after="0" w:line="237" w:lineRule="auto"/>
        <w:rPr>
          <w:sz w:val="20"/>
          <w:szCs w:val="20"/>
          <w:color w:val="auto"/>
        </w:rPr>
      </w:pPr>
      <w:r>
        <w:rPr>
          <w:rFonts w:ascii="Courier New" w:cs="Courier New" w:eastAsia="Courier New" w:hAnsi="Courier New"/>
          <w:sz w:val="18"/>
          <w:szCs w:val="18"/>
          <w:color w:val="auto"/>
        </w:rPr>
        <w:t>Loss on sale of equipment.............................</w:t>
      </w:r>
    </w:p>
    <w:p>
      <w:pPr>
        <w:ind w:left="1580"/>
        <w:spacing w:after="0"/>
        <w:rPr>
          <w:sz w:val="20"/>
          <w:szCs w:val="20"/>
          <w:color w:val="auto"/>
        </w:rPr>
      </w:pPr>
      <w:r>
        <w:rPr>
          <w:rFonts w:ascii="Courier New" w:cs="Courier New" w:eastAsia="Courier New" w:hAnsi="Courier New"/>
          <w:sz w:val="18"/>
          <w:szCs w:val="18"/>
          <w:color w:val="auto"/>
        </w:rPr>
        <w:t>593 148 549 Deferred income</w:t>
      </w:r>
    </w:p>
    <w:p>
      <w:pPr>
        <w:ind w:left="260"/>
        <w:spacing w:after="0" w:line="237" w:lineRule="auto"/>
        <w:rPr>
          <w:sz w:val="20"/>
          <w:szCs w:val="20"/>
          <w:color w:val="auto"/>
        </w:rPr>
      </w:pPr>
      <w:r>
        <w:rPr>
          <w:rFonts w:ascii="Courier New" w:cs="Courier New" w:eastAsia="Courier New" w:hAnsi="Courier New"/>
          <w:sz w:val="18"/>
          <w:szCs w:val="18"/>
          <w:color w:val="auto"/>
        </w:rPr>
        <w:t>taxes................................. 5,018 (1,196)</w:t>
      </w:r>
    </w:p>
    <w:p>
      <w:pPr>
        <w:ind w:left="1100"/>
        <w:spacing w:after="0" w:line="238" w:lineRule="auto"/>
        <w:rPr>
          <w:sz w:val="20"/>
          <w:szCs w:val="20"/>
          <w:color w:val="auto"/>
        </w:rPr>
      </w:pPr>
      <w:r>
        <w:rPr>
          <w:rFonts w:ascii="Courier New" w:cs="Courier New" w:eastAsia="Courier New" w:hAnsi="Courier New"/>
          <w:sz w:val="18"/>
          <w:szCs w:val="18"/>
          <w:color w:val="auto"/>
        </w:rPr>
        <w:t>(4,026) Tax benefit of stock options</w:t>
      </w:r>
    </w:p>
    <w:p>
      <w:pPr>
        <w:ind w:left="260"/>
        <w:spacing w:after="0"/>
        <w:rPr>
          <w:sz w:val="20"/>
          <w:szCs w:val="20"/>
          <w:color w:val="auto"/>
        </w:rPr>
      </w:pPr>
      <w:r>
        <w:rPr>
          <w:rFonts w:ascii="Courier New" w:cs="Courier New" w:eastAsia="Courier New" w:hAnsi="Courier New"/>
          <w:sz w:val="18"/>
          <w:szCs w:val="18"/>
          <w:color w:val="auto"/>
        </w:rPr>
        <w:t>exercised................ 7,345 10,825 -- Unrealized</w:t>
      </w:r>
    </w:p>
    <w:p>
      <w:pPr>
        <w:ind w:left="1100"/>
        <w:spacing w:after="0" w:line="237" w:lineRule="auto"/>
        <w:rPr>
          <w:sz w:val="20"/>
          <w:szCs w:val="20"/>
          <w:color w:val="auto"/>
        </w:rPr>
      </w:pPr>
      <w:r>
        <w:rPr>
          <w:rFonts w:ascii="Courier New" w:cs="Courier New" w:eastAsia="Courier New" w:hAnsi="Courier New"/>
          <w:sz w:val="18"/>
          <w:szCs w:val="18"/>
          <w:color w:val="auto"/>
        </w:rPr>
        <w:t>income (loss) on other comprehensive</w:t>
      </w:r>
    </w:p>
    <w:p>
      <w:pPr>
        <w:ind w:left="260"/>
        <w:spacing w:after="0"/>
        <w:rPr>
          <w:sz w:val="20"/>
          <w:szCs w:val="20"/>
          <w:color w:val="auto"/>
        </w:rPr>
      </w:pPr>
      <w:r>
        <w:rPr>
          <w:rFonts w:ascii="Courier New" w:cs="Courier New" w:eastAsia="Courier New" w:hAnsi="Courier New"/>
          <w:sz w:val="18"/>
          <w:szCs w:val="18"/>
          <w:color w:val="auto"/>
        </w:rPr>
        <w:t>income..............................................</w:t>
      </w:r>
    </w:p>
    <w:p>
      <w:pPr>
        <w:jc w:val="center"/>
        <w:ind w:right="4219"/>
        <w:spacing w:after="0" w:line="237" w:lineRule="auto"/>
        <w:rPr>
          <w:sz w:val="20"/>
          <w:szCs w:val="20"/>
          <w:color w:val="auto"/>
        </w:rPr>
      </w:pPr>
      <w:r>
        <w:rPr>
          <w:rFonts w:ascii="Courier New" w:cs="Courier New" w:eastAsia="Courier New" w:hAnsi="Courier New"/>
          <w:sz w:val="18"/>
          <w:szCs w:val="18"/>
          <w:color w:val="auto"/>
        </w:rPr>
        <w:t>(10,773) 3,309 483 Net changes in operating assets and</w:t>
      </w:r>
    </w:p>
    <w:p>
      <w:pPr>
        <w:jc w:val="center"/>
        <w:ind w:right="4219"/>
        <w:spacing w:after="0"/>
        <w:rPr>
          <w:sz w:val="20"/>
          <w:szCs w:val="20"/>
          <w:color w:val="auto"/>
        </w:rPr>
      </w:pPr>
      <w:r>
        <w:rPr>
          <w:rFonts w:ascii="Courier New" w:cs="Courier New" w:eastAsia="Courier New" w:hAnsi="Courier New"/>
          <w:sz w:val="18"/>
          <w:szCs w:val="18"/>
          <w:color w:val="auto"/>
        </w:rPr>
        <w:t>liabilities, net of amounts acquired: Accounts</w:t>
      </w:r>
    </w:p>
    <w:p>
      <w:pPr>
        <w:jc w:val="center"/>
        <w:ind w:right="4219"/>
        <w:spacing w:after="0" w:line="237" w:lineRule="auto"/>
        <w:rPr>
          <w:sz w:val="20"/>
          <w:szCs w:val="20"/>
          <w:color w:val="auto"/>
        </w:rPr>
      </w:pPr>
      <w:r>
        <w:rPr>
          <w:rFonts w:ascii="Courier New" w:cs="Courier New" w:eastAsia="Courier New" w:hAnsi="Courier New"/>
          <w:sz w:val="18"/>
          <w:szCs w:val="18"/>
          <w:color w:val="auto"/>
        </w:rPr>
        <w:t>receivable......................................</w:t>
      </w:r>
    </w:p>
    <w:p>
      <w:pPr>
        <w:ind w:left="160"/>
        <w:spacing w:after="0"/>
        <w:rPr>
          <w:sz w:val="20"/>
          <w:szCs w:val="20"/>
          <w:color w:val="auto"/>
        </w:rPr>
      </w:pPr>
      <w:r>
        <w:rPr>
          <w:rFonts w:ascii="Courier New" w:cs="Courier New" w:eastAsia="Courier New" w:hAnsi="Courier New"/>
          <w:sz w:val="18"/>
          <w:szCs w:val="18"/>
          <w:color w:val="auto"/>
        </w:rPr>
        <w:t>(121,751) (29,763) (69,354) Prepaid expenses and other</w:t>
      </w:r>
    </w:p>
    <w:p>
      <w:pPr>
        <w:ind w:left="100"/>
        <w:spacing w:after="0" w:line="237" w:lineRule="auto"/>
        <w:rPr>
          <w:sz w:val="20"/>
          <w:szCs w:val="20"/>
          <w:color w:val="auto"/>
        </w:rPr>
      </w:pPr>
      <w:r>
        <w:rPr>
          <w:rFonts w:ascii="Courier New" w:cs="Courier New" w:eastAsia="Courier New" w:hAnsi="Courier New"/>
          <w:sz w:val="18"/>
          <w:szCs w:val="18"/>
          <w:color w:val="auto"/>
        </w:rPr>
        <w:t>current assets................ (3,718) (12,408) (4,400)</w:t>
      </w:r>
    </w:p>
    <w:p>
      <w:pPr>
        <w:ind w:left="2160"/>
        <w:spacing w:after="0" w:line="238" w:lineRule="auto"/>
        <w:rPr>
          <w:sz w:val="20"/>
          <w:szCs w:val="20"/>
          <w:color w:val="auto"/>
        </w:rPr>
      </w:pPr>
      <w:r>
        <w:rPr>
          <w:rFonts w:ascii="Courier New" w:cs="Courier New" w:eastAsia="Courier New" w:hAnsi="Courier New"/>
          <w:sz w:val="18"/>
          <w:szCs w:val="18"/>
          <w:color w:val="auto"/>
        </w:rPr>
        <w:t>Other noncurrent</w:t>
      </w:r>
    </w:p>
    <w:p>
      <w:pPr>
        <w:ind w:left="480"/>
        <w:spacing w:after="0"/>
        <w:rPr>
          <w:sz w:val="20"/>
          <w:szCs w:val="20"/>
          <w:color w:val="auto"/>
        </w:rPr>
      </w:pPr>
      <w:r>
        <w:rPr>
          <w:rFonts w:ascii="Courier New" w:cs="Courier New" w:eastAsia="Courier New" w:hAnsi="Courier New"/>
          <w:sz w:val="18"/>
          <w:szCs w:val="18"/>
          <w:color w:val="auto"/>
        </w:rPr>
        <w:t>assets.................................. (7,826)</w:t>
      </w:r>
    </w:p>
    <w:p>
      <w:pPr>
        <w:ind w:left="580"/>
        <w:spacing w:after="0" w:line="237" w:lineRule="auto"/>
        <w:rPr>
          <w:sz w:val="20"/>
          <w:szCs w:val="20"/>
          <w:color w:val="auto"/>
        </w:rPr>
      </w:pPr>
      <w:r>
        <w:rPr>
          <w:rFonts w:ascii="Courier New" w:cs="Courier New" w:eastAsia="Courier New" w:hAnsi="Courier New"/>
          <w:sz w:val="18"/>
          <w:szCs w:val="18"/>
          <w:color w:val="auto"/>
        </w:rPr>
        <w:t>(10,861) (10,350) Accounts payable and accrued</w:t>
      </w:r>
    </w:p>
    <w:p>
      <w:pPr>
        <w:ind w:left="420"/>
        <w:spacing w:after="0"/>
        <w:rPr>
          <w:sz w:val="20"/>
          <w:szCs w:val="20"/>
          <w:color w:val="auto"/>
        </w:rPr>
      </w:pPr>
      <w:r>
        <w:rPr>
          <w:rFonts w:ascii="Courier New" w:cs="Courier New" w:eastAsia="Courier New" w:hAnsi="Courier New"/>
          <w:sz w:val="18"/>
          <w:szCs w:val="18"/>
          <w:color w:val="auto"/>
        </w:rPr>
        <w:t>expenses.................... 71,772 38,852 22,893</w:t>
      </w:r>
    </w:p>
    <w:p>
      <w:pPr>
        <w:ind w:left="2580"/>
        <w:spacing w:after="0" w:line="237" w:lineRule="auto"/>
        <w:rPr>
          <w:sz w:val="20"/>
          <w:szCs w:val="20"/>
          <w:color w:val="auto"/>
        </w:rPr>
      </w:pPr>
      <w:r>
        <w:rPr>
          <w:rFonts w:ascii="Courier New" w:cs="Courier New" w:eastAsia="Courier New" w:hAnsi="Courier New"/>
          <w:sz w:val="18"/>
          <w:szCs w:val="18"/>
          <w:color w:val="auto"/>
        </w:rPr>
        <w:t>Deferred</w:t>
      </w:r>
    </w:p>
    <w:p>
      <w:pPr>
        <w:ind w:left="160"/>
        <w:spacing w:after="0"/>
        <w:rPr>
          <w:sz w:val="20"/>
          <w:szCs w:val="20"/>
          <w:color w:val="auto"/>
        </w:rPr>
      </w:pPr>
      <w:r>
        <w:rPr>
          <w:rFonts w:ascii="Courier New" w:cs="Courier New" w:eastAsia="Courier New" w:hAnsi="Courier New"/>
          <w:sz w:val="18"/>
          <w:szCs w:val="18"/>
          <w:color w:val="auto"/>
        </w:rPr>
        <w:t>revenue......................................... 6,487</w:t>
      </w:r>
    </w:p>
    <w:p>
      <w:pPr>
        <w:ind w:left="1640"/>
        <w:spacing w:after="0" w:line="237" w:lineRule="auto"/>
        <w:rPr>
          <w:sz w:val="20"/>
          <w:szCs w:val="20"/>
          <w:color w:val="auto"/>
        </w:rPr>
      </w:pPr>
      <w:r>
        <w:rPr>
          <w:rFonts w:ascii="Courier New" w:cs="Courier New" w:eastAsia="Courier New" w:hAnsi="Courier New"/>
          <w:sz w:val="18"/>
          <w:szCs w:val="18"/>
          <w:color w:val="auto"/>
        </w:rPr>
        <w:t>24,313 75,448 Income taxes</w:t>
      </w:r>
    </w:p>
    <w:p>
      <w:pPr>
        <w:ind w:left="320"/>
        <w:spacing w:after="0" w:line="238" w:lineRule="auto"/>
        <w:rPr>
          <w:sz w:val="20"/>
          <w:szCs w:val="20"/>
          <w:color w:val="auto"/>
        </w:rPr>
      </w:pPr>
      <w:r>
        <w:rPr>
          <w:rFonts w:ascii="Courier New" w:cs="Courier New" w:eastAsia="Courier New" w:hAnsi="Courier New"/>
          <w:sz w:val="18"/>
          <w:szCs w:val="18"/>
          <w:color w:val="auto"/>
        </w:rPr>
        <w:t>payable..................................... 20,703</w:t>
      </w:r>
    </w:p>
    <w:p>
      <w:pPr>
        <w:ind w:left="1480"/>
        <w:spacing w:after="0"/>
        <w:rPr>
          <w:sz w:val="20"/>
          <w:szCs w:val="20"/>
          <w:color w:val="auto"/>
        </w:rPr>
      </w:pPr>
      <w:r>
        <w:rPr>
          <w:rFonts w:ascii="Courier New" w:cs="Courier New" w:eastAsia="Courier New" w:hAnsi="Courier New"/>
          <w:sz w:val="18"/>
          <w:szCs w:val="18"/>
          <w:color w:val="auto"/>
        </w:rPr>
        <w:t>16,071 2,177 Other noncurrent</w:t>
      </w:r>
    </w:p>
    <w:p>
      <w:pPr>
        <w:ind w:left="160"/>
        <w:spacing w:after="0" w:line="237" w:lineRule="auto"/>
        <w:rPr>
          <w:sz w:val="20"/>
          <w:szCs w:val="20"/>
          <w:color w:val="auto"/>
        </w:rPr>
      </w:pPr>
      <w:r>
        <w:rPr>
          <w:rFonts w:ascii="Courier New" w:cs="Courier New" w:eastAsia="Courier New" w:hAnsi="Courier New"/>
          <w:sz w:val="18"/>
          <w:szCs w:val="18"/>
          <w:color w:val="auto"/>
        </w:rPr>
        <w:t>liabilities............................. 14,376 16,642</w:t>
      </w:r>
    </w:p>
    <w:p>
      <w:pPr>
        <w:ind w:left="60"/>
        <w:spacing w:after="0"/>
        <w:rPr>
          <w:sz w:val="20"/>
          <w:szCs w:val="20"/>
          <w:color w:val="auto"/>
        </w:rPr>
      </w:pPr>
      <w:r>
        <w:rPr>
          <w:rFonts w:ascii="Courier New" w:cs="Courier New" w:eastAsia="Courier New" w:hAnsi="Courier New"/>
          <w:sz w:val="18"/>
          <w:szCs w:val="18"/>
          <w:color w:val="auto"/>
        </w:rPr>
        <w:t>9,739 --------- --------- --------- Net cash provided by</w:t>
      </w:r>
    </w:p>
    <w:p>
      <w:pPr>
        <w:ind w:left="160"/>
        <w:spacing w:after="0" w:line="237" w:lineRule="auto"/>
        <w:rPr>
          <w:sz w:val="20"/>
          <w:szCs w:val="20"/>
          <w:color w:val="auto"/>
        </w:rPr>
      </w:pPr>
      <w:r>
        <w:rPr>
          <w:rFonts w:ascii="Courier New" w:cs="Courier New" w:eastAsia="Courier New" w:hAnsi="Courier New"/>
          <w:sz w:val="18"/>
          <w:szCs w:val="18"/>
          <w:color w:val="auto"/>
        </w:rPr>
        <w:t>operating activities.................. 337,987 287,588</w:t>
      </w:r>
    </w:p>
    <w:p>
      <w:pPr>
        <w:ind w:left="260"/>
        <w:spacing w:after="0"/>
        <w:rPr>
          <w:sz w:val="20"/>
          <w:szCs w:val="20"/>
          <w:color w:val="auto"/>
        </w:rPr>
      </w:pPr>
      <w:r>
        <w:rPr>
          <w:rFonts w:ascii="Courier New" w:cs="Courier New" w:eastAsia="Courier New" w:hAnsi="Courier New"/>
          <w:sz w:val="18"/>
          <w:szCs w:val="18"/>
          <w:color w:val="auto"/>
        </w:rPr>
        <w:t>152,303 --------- --------- --------- CASH FLOW FROM</w:t>
      </w:r>
    </w:p>
    <w:p>
      <w:pPr>
        <w:jc w:val="center"/>
        <w:ind w:right="4219"/>
        <w:spacing w:after="0" w:line="237" w:lineRule="auto"/>
        <w:rPr>
          <w:sz w:val="20"/>
          <w:szCs w:val="20"/>
          <w:color w:val="auto"/>
        </w:rPr>
      </w:pPr>
      <w:r>
        <w:rPr>
          <w:rFonts w:ascii="Courier New" w:cs="Courier New" w:eastAsia="Courier New" w:hAnsi="Courier New"/>
          <w:sz w:val="18"/>
          <w:szCs w:val="18"/>
          <w:color w:val="auto"/>
        </w:rPr>
        <w:t>INVESTING ACTIVITIES: Proceeds from sale of equipment,</w:t>
      </w:r>
    </w:p>
    <w:p>
      <w:pPr>
        <w:jc w:val="center"/>
        <w:ind w:right="4219"/>
        <w:spacing w:after="0" w:line="238" w:lineRule="auto"/>
        <w:rPr>
          <w:sz w:val="20"/>
          <w:szCs w:val="20"/>
          <w:color w:val="auto"/>
        </w:rPr>
      </w:pPr>
      <w:r>
        <w:rPr>
          <w:rFonts w:ascii="Courier New" w:cs="Courier New" w:eastAsia="Courier New" w:hAnsi="Courier New"/>
          <w:sz w:val="18"/>
          <w:szCs w:val="18"/>
          <w:color w:val="auto"/>
        </w:rPr>
        <w:t>vehicles and leasehold</w:t>
      </w:r>
    </w:p>
    <w:p>
      <w:pPr>
        <w:spacing w:after="0"/>
        <w:rPr>
          <w:sz w:val="20"/>
          <w:szCs w:val="20"/>
          <w:color w:val="auto"/>
        </w:rPr>
      </w:pPr>
      <w:r>
        <w:rPr>
          <w:rFonts w:ascii="Courier New" w:cs="Courier New" w:eastAsia="Courier New" w:hAnsi="Courier New"/>
          <w:sz w:val="18"/>
          <w:szCs w:val="18"/>
          <w:color w:val="auto"/>
        </w:rPr>
        <w:t>improvements.............................................</w:t>
      </w:r>
    </w:p>
    <w:p>
      <w:pPr>
        <w:jc w:val="center"/>
        <w:ind w:right="4219"/>
        <w:spacing w:after="0" w:line="237" w:lineRule="auto"/>
        <w:rPr>
          <w:sz w:val="20"/>
          <w:szCs w:val="20"/>
          <w:color w:val="auto"/>
        </w:rPr>
      </w:pPr>
      <w:r>
        <w:rPr>
          <w:rFonts w:ascii="Courier New" w:cs="Courier New" w:eastAsia="Courier New" w:hAnsi="Courier New"/>
          <w:sz w:val="18"/>
          <w:szCs w:val="18"/>
          <w:color w:val="auto"/>
        </w:rPr>
        <w:t>2,062 1,280 1,461 Payments for purchase of equipment,</w:t>
      </w:r>
    </w:p>
    <w:p>
      <w:pPr>
        <w:ind w:left="1100"/>
        <w:spacing w:after="0"/>
        <w:rPr>
          <w:sz w:val="20"/>
          <w:szCs w:val="20"/>
          <w:color w:val="auto"/>
        </w:rPr>
      </w:pPr>
      <w:r>
        <w:rPr>
          <w:rFonts w:ascii="Courier New" w:cs="Courier New" w:eastAsia="Courier New" w:hAnsi="Courier New"/>
          <w:sz w:val="18"/>
          <w:szCs w:val="18"/>
          <w:color w:val="auto"/>
        </w:rPr>
        <w:t>vehicles, leasehold improvements and</w:t>
      </w:r>
    </w:p>
    <w:p>
      <w:pPr>
        <w:ind w:left="420"/>
        <w:spacing w:after="0" w:line="237" w:lineRule="auto"/>
        <w:rPr>
          <w:sz w:val="20"/>
          <w:szCs w:val="20"/>
          <w:color w:val="auto"/>
        </w:rPr>
      </w:pPr>
      <w:r>
        <w:rPr>
          <w:rFonts w:ascii="Courier New" w:cs="Courier New" w:eastAsia="Courier New" w:hAnsi="Courier New"/>
          <w:sz w:val="18"/>
          <w:szCs w:val="18"/>
          <w:color w:val="auto"/>
        </w:rPr>
        <w:t>other................................... (91,891)</w:t>
      </w:r>
    </w:p>
    <w:p>
      <w:pPr>
        <w:ind w:left="380"/>
        <w:spacing w:after="0"/>
        <w:rPr>
          <w:sz w:val="20"/>
          <w:szCs w:val="20"/>
          <w:color w:val="auto"/>
        </w:rPr>
      </w:pPr>
      <w:r>
        <w:rPr>
          <w:rFonts w:ascii="Courier New" w:cs="Courier New" w:eastAsia="Courier New" w:hAnsi="Courier New"/>
          <w:sz w:val="18"/>
          <w:szCs w:val="18"/>
          <w:color w:val="auto"/>
        </w:rPr>
        <w:t>(62,740) (43,180) Purchase of short-term interest-</w:t>
      </w:r>
    </w:p>
    <w:p>
      <w:pPr>
        <w:ind w:left="160"/>
        <w:spacing w:after="0" w:line="237" w:lineRule="auto"/>
        <w:rPr>
          <w:sz w:val="20"/>
          <w:szCs w:val="20"/>
          <w:color w:val="auto"/>
        </w:rPr>
      </w:pPr>
      <w:r>
        <w:rPr>
          <w:rFonts w:ascii="Courier New" w:cs="Courier New" w:eastAsia="Courier New" w:hAnsi="Courier New"/>
          <w:sz w:val="18"/>
          <w:szCs w:val="18"/>
          <w:color w:val="auto"/>
        </w:rPr>
        <w:t>bearing investments, net... (237,069) -- -- Investment</w:t>
      </w:r>
    </w:p>
    <w:p>
      <w:pPr>
        <w:ind w:left="480"/>
        <w:spacing w:after="0"/>
        <w:rPr>
          <w:sz w:val="20"/>
          <w:szCs w:val="20"/>
          <w:color w:val="auto"/>
        </w:rPr>
      </w:pPr>
      <w:r>
        <w:rPr>
          <w:rFonts w:ascii="Courier New" w:cs="Courier New" w:eastAsia="Courier New" w:hAnsi="Courier New"/>
          <w:sz w:val="18"/>
          <w:szCs w:val="18"/>
          <w:color w:val="auto"/>
        </w:rPr>
        <w:t>in noncurrent assets............................</w:t>
      </w:r>
    </w:p>
    <w:p>
      <w:pPr>
        <w:ind w:left="900"/>
        <w:spacing w:after="0" w:line="237" w:lineRule="auto"/>
        <w:rPr>
          <w:sz w:val="20"/>
          <w:szCs w:val="20"/>
          <w:color w:val="auto"/>
        </w:rPr>
      </w:pPr>
      <w:r>
        <w:rPr>
          <w:rFonts w:ascii="Courier New" w:cs="Courier New" w:eastAsia="Courier New" w:hAnsi="Courier New"/>
          <w:sz w:val="18"/>
          <w:szCs w:val="18"/>
          <w:color w:val="auto"/>
        </w:rPr>
        <w:t>(12,291) (9,000) -- Net cash acquired in</w:t>
      </w:r>
    </w:p>
    <w:p>
      <w:pPr>
        <w:ind w:left="60"/>
        <w:spacing w:after="0" w:line="238" w:lineRule="auto"/>
        <w:rPr>
          <w:sz w:val="20"/>
          <w:szCs w:val="20"/>
          <w:color w:val="auto"/>
        </w:rPr>
      </w:pPr>
      <w:r>
        <w:rPr>
          <w:rFonts w:ascii="Courier New" w:cs="Courier New" w:eastAsia="Courier New" w:hAnsi="Courier New"/>
          <w:sz w:val="18"/>
          <w:szCs w:val="18"/>
          <w:color w:val="auto"/>
        </w:rPr>
        <w:t>acquisitions.......................... -- 67,791 -- ----</w:t>
      </w:r>
    </w:p>
    <w:p>
      <w:pPr>
        <w:ind w:left="260"/>
        <w:spacing w:after="0"/>
        <w:rPr>
          <w:sz w:val="20"/>
          <w:szCs w:val="20"/>
          <w:color w:val="auto"/>
        </w:rPr>
      </w:pPr>
      <w:r>
        <w:rPr>
          <w:rFonts w:ascii="Courier New" w:cs="Courier New" w:eastAsia="Courier New" w:hAnsi="Courier New"/>
          <w:sz w:val="18"/>
          <w:szCs w:val="18"/>
          <w:color w:val="auto"/>
        </w:rPr>
        <w:t>----- --------- --------- Net cash used in investing</w:t>
      </w:r>
    </w:p>
    <w:p>
      <w:pPr>
        <w:ind w:left="380"/>
        <w:spacing w:after="0" w:line="237" w:lineRule="auto"/>
        <w:rPr>
          <w:sz w:val="20"/>
          <w:szCs w:val="20"/>
          <w:color w:val="auto"/>
        </w:rPr>
      </w:pPr>
      <w:r>
        <w:rPr>
          <w:rFonts w:ascii="Courier New" w:cs="Courier New" w:eastAsia="Courier New" w:hAnsi="Courier New"/>
          <w:sz w:val="18"/>
          <w:szCs w:val="18"/>
          <w:color w:val="auto"/>
        </w:rPr>
        <w:t>activities...................... (339,189) (2,669)</w:t>
      </w:r>
    </w:p>
    <w:p>
      <w:pPr>
        <w:ind w:left="220"/>
        <w:spacing w:after="0"/>
        <w:rPr>
          <w:sz w:val="20"/>
          <w:szCs w:val="20"/>
          <w:color w:val="auto"/>
        </w:rPr>
      </w:pPr>
      <w:r>
        <w:rPr>
          <w:rFonts w:ascii="Courier New" w:cs="Courier New" w:eastAsia="Courier New" w:hAnsi="Courier New"/>
          <w:sz w:val="18"/>
          <w:szCs w:val="18"/>
          <w:color w:val="auto"/>
        </w:rPr>
        <w:t>(41,719) --------- --------- --------- CASH FLOW FROM</w:t>
      </w:r>
    </w:p>
    <w:p>
      <w:pPr>
        <w:ind w:left="320"/>
        <w:spacing w:after="0" w:line="237" w:lineRule="auto"/>
        <w:rPr>
          <w:sz w:val="20"/>
          <w:szCs w:val="20"/>
          <w:color w:val="auto"/>
        </w:rPr>
      </w:pPr>
      <w:r>
        <w:rPr>
          <w:rFonts w:ascii="Courier New" w:cs="Courier New" w:eastAsia="Courier New" w:hAnsi="Courier New"/>
          <w:sz w:val="18"/>
          <w:szCs w:val="18"/>
          <w:color w:val="auto"/>
        </w:rPr>
        <w:t>FINANCING ACTIVITIES: Net proceeds from issuance of</w:t>
      </w:r>
    </w:p>
    <w:p>
      <w:pPr>
        <w:ind w:left="60"/>
        <w:spacing w:after="0"/>
        <w:rPr>
          <w:sz w:val="20"/>
          <w:szCs w:val="20"/>
          <w:color w:val="auto"/>
        </w:rPr>
      </w:pPr>
      <w:r>
        <w:rPr>
          <w:rFonts w:ascii="Courier New" w:cs="Courier New" w:eastAsia="Courier New" w:hAnsi="Courier New"/>
          <w:sz w:val="18"/>
          <w:szCs w:val="18"/>
          <w:color w:val="auto"/>
        </w:rPr>
        <w:t>Ordinary Shares.............. -- -- 42,535 Proceeds from</w:t>
      </w:r>
    </w:p>
    <w:p>
      <w:pPr>
        <w:ind w:left="260"/>
        <w:spacing w:after="0" w:line="237" w:lineRule="auto"/>
        <w:rPr>
          <w:sz w:val="20"/>
          <w:szCs w:val="20"/>
          <w:color w:val="auto"/>
        </w:rPr>
      </w:pPr>
      <w:r>
        <w:rPr>
          <w:rFonts w:ascii="Courier New" w:cs="Courier New" w:eastAsia="Courier New" w:hAnsi="Courier New"/>
          <w:sz w:val="18"/>
          <w:szCs w:val="18"/>
          <w:color w:val="auto"/>
        </w:rPr>
        <w:t>employee stock options exercised............. 13,967</w:t>
      </w:r>
    </w:p>
    <w:p>
      <w:pPr>
        <w:ind w:left="740"/>
        <w:spacing w:after="0" w:line="238" w:lineRule="auto"/>
        <w:rPr>
          <w:sz w:val="20"/>
          <w:szCs w:val="20"/>
          <w:color w:val="auto"/>
        </w:rPr>
      </w:pPr>
      <w:r>
        <w:rPr>
          <w:rFonts w:ascii="Courier New" w:cs="Courier New" w:eastAsia="Courier New" w:hAnsi="Courier New"/>
          <w:sz w:val="18"/>
          <w:szCs w:val="18"/>
          <w:color w:val="auto"/>
        </w:rPr>
        <w:t>21,360 -- Payments under short-term finance</w:t>
      </w:r>
    </w:p>
    <w:p>
      <w:pPr>
        <w:ind w:left="160"/>
        <w:spacing w:after="0"/>
        <w:rPr>
          <w:sz w:val="20"/>
          <w:szCs w:val="20"/>
          <w:color w:val="auto"/>
        </w:rPr>
      </w:pPr>
      <w:r>
        <w:rPr>
          <w:rFonts w:ascii="Courier New" w:cs="Courier New" w:eastAsia="Courier New" w:hAnsi="Courier New"/>
          <w:sz w:val="18"/>
          <w:szCs w:val="18"/>
          <w:color w:val="auto"/>
        </w:rPr>
        <w:t>arrangements............. (20,000) (284,464) (395,345)</w:t>
      </w:r>
    </w:p>
    <w:p>
      <w:pPr>
        <w:ind w:left="1160"/>
        <w:spacing w:after="0" w:line="237" w:lineRule="auto"/>
        <w:rPr>
          <w:sz w:val="20"/>
          <w:szCs w:val="20"/>
          <w:color w:val="auto"/>
        </w:rPr>
      </w:pPr>
      <w:r>
        <w:rPr>
          <w:rFonts w:ascii="Courier New" w:cs="Courier New" w:eastAsia="Courier New" w:hAnsi="Courier New"/>
          <w:sz w:val="18"/>
          <w:szCs w:val="18"/>
          <w:color w:val="auto"/>
        </w:rPr>
        <w:t>Borrowings under short-term finance</w:t>
      </w:r>
    </w:p>
    <w:p>
      <w:pPr>
        <w:ind w:left="100"/>
        <w:spacing w:after="0"/>
        <w:rPr>
          <w:sz w:val="20"/>
          <w:szCs w:val="20"/>
          <w:color w:val="auto"/>
        </w:rPr>
      </w:pPr>
      <w:r>
        <w:rPr>
          <w:rFonts w:ascii="Courier New" w:cs="Courier New" w:eastAsia="Courier New" w:hAnsi="Courier New"/>
          <w:sz w:val="18"/>
          <w:szCs w:val="18"/>
          <w:color w:val="auto"/>
        </w:rPr>
        <w:t>arrangements........... -- 301,933 306,161 Net proceeds</w:t>
      </w:r>
    </w:p>
    <w:p>
      <w:pPr>
        <w:ind w:left="60"/>
        <w:spacing w:after="0" w:line="237" w:lineRule="auto"/>
        <w:rPr>
          <w:sz w:val="20"/>
          <w:szCs w:val="20"/>
          <w:color w:val="auto"/>
        </w:rPr>
      </w:pPr>
      <w:r>
        <w:rPr>
          <w:rFonts w:ascii="Courier New" w:cs="Courier New" w:eastAsia="Courier New" w:hAnsi="Courier New"/>
          <w:sz w:val="18"/>
          <w:szCs w:val="18"/>
          <w:color w:val="auto"/>
        </w:rPr>
        <w:t>from issue of long-term convertible notes..... 488,000 -</w:t>
      </w:r>
    </w:p>
    <w:p>
      <w:pPr>
        <w:ind w:left="900"/>
        <w:spacing w:after="0"/>
        <w:rPr>
          <w:sz w:val="20"/>
          <w:szCs w:val="20"/>
          <w:color w:val="auto"/>
        </w:rPr>
      </w:pPr>
      <w:r>
        <w:rPr>
          <w:rFonts w:ascii="Courier New" w:cs="Courier New" w:eastAsia="Courier New" w:hAnsi="Courier New"/>
          <w:sz w:val="18"/>
          <w:szCs w:val="18"/>
          <w:color w:val="auto"/>
        </w:rPr>
        <w:t>- -- Principal payments on capital lease</w:t>
      </w:r>
    </w:p>
    <w:p>
      <w:pPr>
        <w:ind w:left="60"/>
        <w:spacing w:after="0" w:line="237" w:lineRule="auto"/>
        <w:rPr>
          <w:sz w:val="20"/>
          <w:szCs w:val="20"/>
          <w:color w:val="auto"/>
        </w:rPr>
      </w:pPr>
      <w:r>
        <w:rPr>
          <w:rFonts w:ascii="Courier New" w:cs="Courier New" w:eastAsia="Courier New" w:hAnsi="Courier New"/>
          <w:sz w:val="18"/>
          <w:szCs w:val="18"/>
          <w:color w:val="auto"/>
        </w:rPr>
        <w:t>obligations............ (10,067) (6,622) (4,150) -------</w:t>
      </w:r>
    </w:p>
    <w:p>
      <w:pPr>
        <w:ind w:left="220"/>
        <w:spacing w:after="0" w:line="238" w:lineRule="auto"/>
        <w:rPr>
          <w:sz w:val="20"/>
          <w:szCs w:val="20"/>
          <w:color w:val="auto"/>
        </w:rPr>
      </w:pPr>
      <w:r>
        <w:rPr>
          <w:rFonts w:ascii="Courier New" w:cs="Courier New" w:eastAsia="Courier New" w:hAnsi="Courier New"/>
          <w:sz w:val="18"/>
          <w:szCs w:val="18"/>
          <w:color w:val="auto"/>
        </w:rPr>
        <w:t>-- --------- --------- Net cash provided by (used in)</w:t>
      </w:r>
    </w:p>
    <w:p>
      <w:pPr>
        <w:ind w:left="60"/>
        <w:spacing w:after="0"/>
        <w:rPr>
          <w:sz w:val="20"/>
          <w:szCs w:val="20"/>
          <w:color w:val="auto"/>
        </w:rPr>
      </w:pPr>
      <w:r>
        <w:rPr>
          <w:rFonts w:ascii="Courier New" w:cs="Courier New" w:eastAsia="Courier New" w:hAnsi="Courier New"/>
          <w:sz w:val="18"/>
          <w:szCs w:val="18"/>
          <w:color w:val="auto"/>
        </w:rPr>
        <w:t>financing activities........ 471,900 32,207 (50,799) ---</w:t>
      </w:r>
    </w:p>
    <w:p>
      <w:pPr>
        <w:ind w:left="60"/>
        <w:spacing w:after="0" w:line="237" w:lineRule="auto"/>
        <w:rPr>
          <w:sz w:val="20"/>
          <w:szCs w:val="20"/>
          <w:color w:val="auto"/>
        </w:rPr>
      </w:pPr>
      <w:r>
        <w:rPr>
          <w:rFonts w:ascii="Courier New" w:cs="Courier New" w:eastAsia="Courier New" w:hAnsi="Courier New"/>
          <w:sz w:val="18"/>
          <w:szCs w:val="18"/>
          <w:color w:val="auto"/>
        </w:rPr>
        <w:t>------ --------- --------- Net increase in cash and cash</w:t>
      </w:r>
    </w:p>
    <w:p>
      <w:pPr>
        <w:ind w:left="260"/>
        <w:spacing w:after="0"/>
        <w:rPr>
          <w:sz w:val="20"/>
          <w:szCs w:val="20"/>
          <w:color w:val="auto"/>
        </w:rPr>
      </w:pPr>
      <w:r>
        <w:rPr>
          <w:rFonts w:ascii="Courier New" w:cs="Courier New" w:eastAsia="Courier New" w:hAnsi="Courier New"/>
          <w:sz w:val="18"/>
          <w:szCs w:val="18"/>
          <w:color w:val="auto"/>
        </w:rPr>
        <w:t>equivalents.................. 470,698 317,126 59,785</w:t>
      </w:r>
    </w:p>
    <w:p>
      <w:pPr>
        <w:ind w:left="840"/>
        <w:spacing w:after="0" w:line="237" w:lineRule="auto"/>
        <w:rPr>
          <w:sz w:val="20"/>
          <w:szCs w:val="20"/>
          <w:color w:val="auto"/>
        </w:rPr>
      </w:pPr>
      <w:r>
        <w:rPr>
          <w:rFonts w:ascii="Courier New" w:cs="Courier New" w:eastAsia="Courier New" w:hAnsi="Courier New"/>
          <w:sz w:val="18"/>
          <w:szCs w:val="18"/>
          <w:color w:val="auto"/>
        </w:rPr>
        <w:t>Cash and cash equivalents at beginning of</w:t>
      </w:r>
    </w:p>
    <w:p>
      <w:pPr>
        <w:ind w:left="60"/>
        <w:spacing w:after="0"/>
        <w:rPr>
          <w:sz w:val="20"/>
          <w:szCs w:val="20"/>
          <w:color w:val="auto"/>
        </w:rPr>
      </w:pPr>
      <w:r>
        <w:rPr>
          <w:rFonts w:ascii="Courier New" w:cs="Courier New" w:eastAsia="Courier New" w:hAnsi="Courier New"/>
          <w:sz w:val="18"/>
          <w:szCs w:val="18"/>
          <w:color w:val="auto"/>
        </w:rPr>
        <w:t>year............. 402,300 85,174 25,389 --------- ------</w:t>
      </w:r>
    </w:p>
    <w:p>
      <w:pPr>
        <w:ind w:left="420"/>
        <w:spacing w:after="0" w:line="237" w:lineRule="auto"/>
        <w:rPr>
          <w:sz w:val="20"/>
          <w:szCs w:val="20"/>
          <w:color w:val="auto"/>
        </w:rPr>
      </w:pPr>
      <w:r>
        <w:rPr>
          <w:rFonts w:ascii="Courier New" w:cs="Courier New" w:eastAsia="Courier New" w:hAnsi="Courier New"/>
          <w:sz w:val="18"/>
          <w:szCs w:val="18"/>
          <w:color w:val="auto"/>
        </w:rPr>
        <w:t>--- --------- Cash and cash equivalents at end of</w:t>
      </w:r>
    </w:p>
    <w:p>
      <w:pPr>
        <w:ind w:left="260"/>
        <w:spacing w:after="0" w:line="238" w:lineRule="auto"/>
        <w:rPr>
          <w:sz w:val="20"/>
          <w:szCs w:val="20"/>
          <w:color w:val="auto"/>
        </w:rPr>
      </w:pPr>
      <w:r>
        <w:rPr>
          <w:rFonts w:ascii="Courier New" w:cs="Courier New" w:eastAsia="Courier New" w:hAnsi="Courier New"/>
          <w:sz w:val="18"/>
          <w:szCs w:val="18"/>
          <w:color w:val="auto"/>
        </w:rPr>
        <w:t>year................... $ 872,998 $ 402,300 $ 85,174</w:t>
      </w:r>
    </w:p>
    <w:p>
      <w:pPr>
        <w:ind w:left="148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statements.</w:t>
      </w:r>
    </w:p>
    <w:p>
      <w:pPr>
        <w:ind w:left="4120"/>
        <w:spacing w:after="0" w:line="238" w:lineRule="auto"/>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0" w:gutter="0" w:footer="0" w:header="0"/>
        </w:sectPr>
      </w:pPr>
    </w:p>
    <w:bookmarkStart w:id="65" w:name="page66"/>
    <w:bookmarkEnd w:id="6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CASH FLOWS -- (CONTINUED)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w:t>
      </w:r>
    </w:p>
    <w:p>
      <w:pPr>
        <w:ind w:left="160"/>
        <w:spacing w:after="0" w:line="238" w:lineRule="auto"/>
        <w:rPr>
          <w:sz w:val="20"/>
          <w:szCs w:val="20"/>
          <w:color w:val="auto"/>
        </w:rPr>
      </w:pPr>
      <w:r>
        <w:rPr>
          <w:rFonts w:ascii="Courier New" w:cs="Courier New" w:eastAsia="Courier New" w:hAnsi="Courier New"/>
          <w:sz w:val="18"/>
          <w:szCs w:val="18"/>
          <w:color w:val="auto"/>
        </w:rPr>
        <w:t>2001 2000 1999 ------- ------- ------- SUPPLEMENTARY</w:t>
      </w:r>
    </w:p>
    <w:p>
      <w:pPr>
        <w:ind w:left="160"/>
        <w:spacing w:after="0"/>
        <w:rPr>
          <w:sz w:val="20"/>
          <w:szCs w:val="20"/>
          <w:color w:val="auto"/>
        </w:rPr>
      </w:pPr>
      <w:r>
        <w:rPr>
          <w:rFonts w:ascii="Courier New" w:cs="Courier New" w:eastAsia="Courier New" w:hAnsi="Courier New"/>
          <w:sz w:val="18"/>
          <w:szCs w:val="18"/>
          <w:color w:val="auto"/>
        </w:rPr>
        <w:t>CASH FLOW INFORMATION Interest and Income Taxes Paid</w:t>
      </w:r>
    </w:p>
    <w:tbl>
      <w:tblPr>
        <w:tblLayout w:type="fixed"/>
        <w:tblInd w:w="0" w:type="dxa"/>
        <w:tblCellMar>
          <w:top w:w="0" w:type="dxa"/>
          <w:left w:w="0" w:type="dxa"/>
          <w:bottom w:w="0" w:type="dxa"/>
          <w:right w:w="0" w:type="dxa"/>
        </w:tblCellMar>
      </w:tblPr>
      <w:tr>
        <w:trPr>
          <w:trHeight w:val="202"/>
        </w:trPr>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Cash paid for:</w:t>
            </w:r>
          </w:p>
        </w:tc>
        <w:tc>
          <w:tcPr>
            <w:tcW w:w="22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Income taxes, net of</w:t>
            </w:r>
          </w:p>
        </w:tc>
        <w:tc>
          <w:tcPr>
            <w:tcW w:w="760" w:type="dxa"/>
            <w:vAlign w:val="bottom"/>
          </w:tcPr>
          <w:p>
            <w:pPr>
              <w:spacing w:after="0"/>
              <w:rPr>
                <w:sz w:val="17"/>
                <w:szCs w:val="17"/>
                <w:color w:val="auto"/>
              </w:rPr>
            </w:pPr>
          </w:p>
        </w:tc>
      </w:tr>
      <w:tr>
        <w:trPr>
          <w:trHeight w:val="203"/>
        </w:trPr>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refunds...........................</w:t>
            </w:r>
          </w:p>
        </w:tc>
        <w:tc>
          <w:tcPr>
            <w:tcW w:w="1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$77,429</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$49,262</w:t>
            </w:r>
          </w:p>
        </w:tc>
      </w:tr>
      <w:tr>
        <w:trPr>
          <w:trHeight w:val="203"/>
        </w:trPr>
        <w:tc>
          <w:tcPr>
            <w:tcW w:w="2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$38,369</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Interest...............................................</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2,614</w:t>
            </w:r>
          </w:p>
        </w:tc>
        <w:tc>
          <w:tcPr>
            <w:tcW w:w="1500" w:type="dxa"/>
            <w:vAlign w:val="bottom"/>
          </w:tcPr>
          <w:p>
            <w:pPr>
              <w:jc w:val="right"/>
              <w:ind w:right="892"/>
              <w:spacing w:after="0" w:line="203" w:lineRule="exact"/>
              <w:rPr>
                <w:sz w:val="20"/>
                <w:szCs w:val="20"/>
                <w:color w:val="auto"/>
              </w:rPr>
            </w:pPr>
            <w:r>
              <w:rPr>
                <w:rFonts w:ascii="Courier New" w:cs="Courier New" w:eastAsia="Courier New" w:hAnsi="Courier New"/>
                <w:sz w:val="18"/>
                <w:szCs w:val="18"/>
                <w:color w:val="auto"/>
                <w:w w:val="92"/>
              </w:rPr>
              <w:t>6,393</w:t>
            </w:r>
          </w:p>
        </w:tc>
        <w:tc>
          <w:tcPr>
            <w:tcW w:w="7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INVESTING AND FINANCING ACTIVITIES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Capital lease obligations of $13,116, $15,732 and $14,853 were incurred during the years ended September 30, 2001, 2000 and 1999, respectively, when the Company (as defined below) entered into lease agreements for vehicles.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fiscal 2000, the Company issued 6,461 Ordinary Shares and options to acquire 1,103 Ordinary Shares in connection with the acquisition of ITDS (as defined below). The Company issued 13,846 exchangeable shares and options to acquire 1,654 Ordinary Shares in connection with the acquisition of Solect (as defined below). See Note 3.</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As of September 30, 1999, the Company incurred stock issuance costs of $1,153, which had not been paid as of that date. Such costs were paid during fiscal year 2000.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ind w:left="3700"/>
        <w:spacing w:after="0" w:line="238" w:lineRule="auto"/>
        <w:rPr>
          <w:sz w:val="20"/>
          <w:szCs w:val="20"/>
          <w:color w:val="auto"/>
        </w:rPr>
      </w:pPr>
      <w:r>
        <w:rPr>
          <w:rFonts w:ascii="Courier New" w:cs="Courier New" w:eastAsia="Courier New" w:hAnsi="Courier New"/>
          <w:sz w:val="18"/>
          <w:szCs w:val="18"/>
          <w:color w:val="auto"/>
        </w:rPr>
        <w:t>statements</w:t>
      </w: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514"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Amdocs Limited (the "Company") is a leading provider of software products and services to the communications industry. The Company and its subsidiaries operate in one business segment, providing business support systems and related services for the communications industry. The Company designs, develops, markets, supports and operates information system solutions for communications companies throughout the world.</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a Guernsey corporation, which directly or indirectly holds several wholly-owned subsidiaries in the Asia-Pacific region, Australia, Europe, Israel, Latin America and North America. The Company's customers are mainly in North America, Europe, Latin America and the Asia-Pacific region. During fiscal 2001, the Company derived approximately 54 percent of its revenue from North America. The Company's main production and operating facilities are located in Israel, the United States, Ireland, Canada and Cyprus.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consolidated financial statements are prepared in accordance with accounting principles generally accepted in the United States.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financial statements include the accounts of the Company and all its subsidiaries, which are wholly-owned. All significant intercompany transactions and balances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U.S. dollar is the functional currency for the Company and its subsidiaries, as the U.S. dollar is the predominant currency of the Company's revenue and expenses.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Cash and cash equivalents consist of cash and short-term interest-bearing investments with insignificant interest rate risk and original maturities of 90 days or less.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the Company invests in short-term interest-bearing investments. The Company classifies all of its short-term interest-bearing investments as available-for-sale securities. Such short-term interest-bearing investments consist primarily of federal agency securities and corporate bonds, which are stated at market value. Unrealized gains and losses are comprised of the difference between market value and amortized costs of such securities and are reflected, net of tax, as other comprehensive income (loss) in shareholders' equity. Realized gains and losses on short-term interest-bearing investments are included in earnings and are derived using the specific identification method for determining the cost of securities.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also has certain investments in non-publicly traded companies. These investments are included in other noncurrent assets in the Company's balance sheet and are generally carried at cost. The Company monitors these investments for impairment and makes appropriate reductions in carrying values if necessary.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17" w:right="1440" w:bottom="1440" w:gutter="0" w:footer="0" w:header="0"/>
        </w:sectPr>
      </w:pPr>
    </w:p>
    <w:bookmarkStart w:id="67" w:name="page68"/>
    <w:bookmarkEnd w:id="6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events or changes in circumstances indicate that the carrying amount of such assets may not be recoverable.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is amortized on a straight-line basis over its estimated useful life.</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Other intangible assets consist of purchased computer software, intellectual property rights, core technology, workforce-in-place and customer base.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Purchased computer software is reported at the lower of amortized cost or net realizable value, and is amortized over its estimated useful life based on the pro-rata amount of the future revenue expected to be realized from the software. This accounting policy results in amortization of purchased computer software on a basis faster than the straight-line method.</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Intellectual property rights, core technology, workforce-in-place and customer base acquired by the Company are amortized over their estimated useful lives on a straight-line basis.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Periodically, the Company considers whether there are indicators of impairment that would require the evaluation of the net realizable value of goodwill and other intangible assets in comparison to their carrying value. Any impairment would be recognized when the expected future operating cash flows derived from such intangible assets is less than their carrying value.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accounts for comprehensive income under the provisions of Statement of Financial Standards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514" w:right="1440" w:bottom="1440" w:gutter="0" w:footer="0" w:header="0"/>
        </w:sectPr>
      </w:pPr>
    </w:p>
    <w:bookmarkStart w:id="68" w:name="page69"/>
    <w:bookmarkEnd w:id="6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event that a valuation allowance relating to business acquisitions is subsequently reduced, the adjustment will reduce the original amount allocated to goodwill.</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usually sells its software as part of an overall solution offered to a customer, in which significant customization and modification to the Company's software generally is required. As a result, revenue generally is recognized over the course of these long-term projects in conformity with Accounting Research Bulletin (ARB) No. 45 "Long Term Construction Type Contracts", Statement of Position (SOP) 81-1 "Accounting for Performance of Construction Type and Certain Production Type Contracts" and SOP 97-2 "Software Revenue Recognition". Initial license fee for software revenue is recognized as work is performed, under the percentage of completion method of accounting. Subsequent license fee revenue is recognized upon completion of the specified conditions in each contract. Service revenue that involves significant ongoing obligations, including fees for customization, implementation and modification, is recognized as work is performed, under the percentage of completion method of accounting. Software revenue that does not require significant customization and modification, is recognized upon delivery, in accordance with the principles emphasized in Staff Accounting Bulletins (SAB) 101 "Revenue Recognition in Financial Statements" and SOP 97-2. In outsourcing contracts, revenue from operation and maintenance of customers' billing systems is recognized in the period in which the bills are produced. Revenue from ongoing support is recognized as work is performed. Revenue from third-party hardware and software sales is recognized upon delivery, and recorded at gross or net amount according to the criteria established in Emerging Issues Task Force (EITF) 99-19 "Recording Revenue Gross as a Principal versus Net as an Agent" and SAB 101. Maintenance revenue is recognized ratably over the term of the maintenance agreement, which in most cases is one year or less. Losses are recognized on contracts in the period in which the liability is identified. As a result of a substantial portion of our revenue being subject to the percentage of completion accounting policies, the Company's annual and quarterly operating results may be significantly affected by the size and timing of customer projects and the Company's progress in completing such projects.</w:t>
      </w:r>
    </w:p>
    <w:p>
      <w:pPr>
        <w:spacing w:after="0" w:line="200" w:lineRule="exact"/>
        <w:rPr>
          <w:sz w:val="20"/>
          <w:szCs w:val="20"/>
          <w:color w:val="auto"/>
        </w:rPr>
      </w:pPr>
    </w:p>
    <w:p>
      <w:pPr>
        <w:spacing w:after="0" w:line="39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Deferred revenue represents billings to customers for licenses, services and third-party products for which revenue has not been recognized. Unbilled accounts receivable include all amounts that had not been billed as of the balance sheet date due to their not being billable under contractual or other arrangements with customers.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percent of total revenue in each of fiscal 2001, 2000 and 1999.</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514" w:right="1440" w:bottom="1440" w:gutter="0" w:footer="0" w:header="0"/>
        </w:sectPr>
      </w:pPr>
    </w:p>
    <w:bookmarkStart w:id="69" w:name="page70"/>
    <w:bookmarkEnd w:id="6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cost of service are costs of third-party products associated with reselling third-party computer hardware and computer software products to customers, when revenue from third-party products is recognized at gross amount. Customers purchasing third-party products from the Company generally do so in conjunction with the purchase of services.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in conjunction with customer projects or as part of the Company's internal product development programs. Research and development costs, which are in conjunction with a customer project, are expensed as incurred.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accounts for stock-based compensation in accordance with Accounting Principles Board (APB)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See Note 19 for pro forma disclosures required in accordance with SFAS No. 123, "Accounting for Stock-Based Compensation".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instruments of the Company consist mainly of cash and cash equivalents, short-term interest-bearing investments, accounts receivable, short-term financing arrangements, forward exchange contracts, lease obligations and convertible notes. In view of their nature, the fair value of the financial instruments, excluding the convertible notes, included in the accounts of the Company does not significantly vary from their carrying amount. The fair values of the Company's foreign currency exchange contracts are estimated based on quoted market prices of comparable contracts.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 OF CREDIT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that potentially subject the Company to concentration of credit risk consist principally of trade receivables. The Company invests its excess cash primarily in highly liquid U.S. dollar-denominated securities with major U.S. and U.K. institutions. The Company does not expect any credit losses in respect of these items. The Company's revenue is generated primarily in North America and Europe and to a lesser extent in the Asia-Pacific region and Latin America. Most customers are among</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514" w:right="1440" w:bottom="1440" w:gutter="0" w:footer="0" w:header="0"/>
        </w:sectPr>
      </w:pPr>
    </w:p>
    <w:bookmarkStart w:id="70" w:name="page71"/>
    <w:bookmarkEnd w:id="7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largest communications and directory publishing companies in the world (or are owned by them). The Company performs ongoing credit analyses of its customer base and generally does not require collateral.</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is calculated using the weighted average number of shares outstanding during the period. Diluted earnings per share is computed on the basis of the weighted average number of shares outstanding and the effect of the dilutive outstanding stock options using the treasury stock method and the effect of the dilutive outstanding convertible notes using the if-converted method.</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DERIVATIVES AND HEDGING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SFAS No. 133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Certain amounts in prior years' financial statements have been reclassified to conform to the current year's presentation.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the percentage of completion method of accounting. Actual results could differ from those estimates.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ITDS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30, 1999, the Company completed a stock-for-stock acquisition of International Telecommunication Data Systems, Inc. ("ITDS"), a leading provider of solutions to communications companies for outsourcing of billing operations. The total purchase price of $189,034, based on a per share price of $28.25 for the Company's Ordinary Shares, included issuance of 6,461 Ordinary Shares, the grant of options to purchase 1,103 Ordinary Shares and transaction costs. The acquisition was accounted for using the purchase method of accounting. The fair market value of ITDS' assets and liabilities has been included in the Company's balance sheet and the results of ITDS' operations are included in the Company's consolidated statement of income, commencing on December 1, 1999. The value of acquired technology, which was independently determined, included both existing technology and in-process research and development. The valuation of these technologies was made by applying the income forecast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514" w:right="1440" w:bottom="1440" w:gutter="0" w:footer="0" w:header="0"/>
        </w:sectPr>
      </w:pPr>
    </w:p>
    <w:bookmarkStart w:id="71" w:name="page72"/>
    <w:bookmarkEnd w:id="7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 which considered the present value of cash flows by product lines.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of core technology was valued at $12,342 and is being amortized over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approximately two years commencing on December 1, 1999. Purchased in-process</w:t>
      </w:r>
    </w:p>
    <w:p>
      <w:pPr>
        <w:spacing w:after="0" w:line="238" w:lineRule="auto"/>
        <w:rPr>
          <w:sz w:val="20"/>
          <w:szCs w:val="20"/>
          <w:color w:val="auto"/>
        </w:rPr>
      </w:pPr>
      <w:r>
        <w:rPr>
          <w:rFonts w:ascii="Courier New" w:cs="Courier New" w:eastAsia="Courier New" w:hAnsi="Courier New"/>
          <w:sz w:val="18"/>
          <w:szCs w:val="18"/>
          <w:color w:val="auto"/>
        </w:rPr>
        <w:t>research and development, valued at $19,876, was charged as an expense</w:t>
      </w:r>
    </w:p>
    <w:p>
      <w:pPr>
        <w:spacing w:after="0"/>
        <w:rPr>
          <w:sz w:val="20"/>
          <w:szCs w:val="20"/>
          <w:color w:val="auto"/>
        </w:rPr>
      </w:pPr>
      <w:r>
        <w:rPr>
          <w:rFonts w:ascii="Courier New" w:cs="Courier New" w:eastAsia="Courier New" w:hAnsi="Courier New"/>
          <w:sz w:val="18"/>
          <w:szCs w:val="18"/>
          <w:color w:val="auto"/>
        </w:rPr>
        <w:t>immediately following the completion of the acquisition since this technology</w:t>
      </w:r>
    </w:p>
    <w:p>
      <w:pPr>
        <w:spacing w:after="0" w:line="237" w:lineRule="auto"/>
        <w:rPr>
          <w:sz w:val="20"/>
          <w:szCs w:val="20"/>
          <w:color w:val="auto"/>
        </w:rPr>
      </w:pPr>
      <w:r>
        <w:rPr>
          <w:rFonts w:ascii="Courier New" w:cs="Courier New" w:eastAsia="Courier New" w:hAnsi="Courier New"/>
          <w:sz w:val="18"/>
          <w:szCs w:val="18"/>
          <w:color w:val="auto"/>
        </w:rPr>
        <w:t>had not reached technological feasibility and had no alternative use. This</w:t>
      </w:r>
    </w:p>
    <w:p>
      <w:pPr>
        <w:spacing w:after="0" w:line="238" w:lineRule="auto"/>
        <w:rPr>
          <w:sz w:val="20"/>
          <w:szCs w:val="20"/>
          <w:color w:val="auto"/>
        </w:rPr>
      </w:pPr>
      <w:r>
        <w:rPr>
          <w:rFonts w:ascii="Courier New" w:cs="Courier New" w:eastAsia="Courier New" w:hAnsi="Courier New"/>
          <w:sz w:val="18"/>
          <w:szCs w:val="18"/>
          <w:color w:val="auto"/>
        </w:rPr>
        <w:t>technology required additional development, coding and testing efforts before</w:t>
      </w:r>
    </w:p>
    <w:p>
      <w:pPr>
        <w:spacing w:after="0"/>
        <w:rPr>
          <w:sz w:val="20"/>
          <w:szCs w:val="20"/>
          <w:color w:val="auto"/>
        </w:rPr>
      </w:pPr>
      <w:r>
        <w:rPr>
          <w:rFonts w:ascii="Courier New" w:cs="Courier New" w:eastAsia="Courier New" w:hAnsi="Courier New"/>
          <w:sz w:val="18"/>
          <w:szCs w:val="18"/>
          <w:color w:val="auto"/>
        </w:rPr>
        <w:t>technological feasibility could be determined. The fair value of customer base</w:t>
      </w:r>
    </w:p>
    <w:p>
      <w:pPr>
        <w:spacing w:after="0" w:line="237" w:lineRule="auto"/>
        <w:rPr>
          <w:sz w:val="20"/>
          <w:szCs w:val="20"/>
          <w:color w:val="auto"/>
        </w:rPr>
      </w:pPr>
      <w:r>
        <w:rPr>
          <w:rFonts w:ascii="Courier New" w:cs="Courier New" w:eastAsia="Courier New" w:hAnsi="Courier New"/>
          <w:sz w:val="18"/>
          <w:szCs w:val="18"/>
          <w:color w:val="auto"/>
        </w:rPr>
        <w:t>was valued at $647 and the fair value of workforce-in-place was valued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$5,407, each of which is being amortized over five years commencing on December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1999. The excess of the purchase price over the fair value of the net assets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or goodwill, of $71,154 is being amortized over 15 years commencing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 1999.</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SOLECT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April 5, 2000, the Company completed a stock-for-stock acquisition of Solect Technology Group Inc. ("Solect"), a leading provider of customer care and billing software to IP service providers. Under the terms of the combination agreement, all then outstanding Solect common shares were exchanged for shares of a newly issued class of exchangeable shares of Solect. The Solect exchangeable shares entitle holders to dividends and other rights economically equivalent to the Company's Ordinary Shares, including the right, through a voting trust, to vote at the Company's shareholder meetings, and are exchangeable at the option of holders into the Company's Ordinary Shares on a one-for-one basis. The total purchase price of $1,087,711, based on a per share price of $69.875 for the Company's Ordinary Shares, included both the issuance of 13,846 exchangeable shares, the grant of options to purchase 1,654 Ordinary Shares, as well as transaction costs. The acquisition was accounted for using the purchase method of accounting. The fair market value of Solect's assets and liabilities has been included in the Company's balance sheet and the results of Solect's operations are included in the Company's consolidated statement of income, commencing on April 6, 2000. The value of acquired technology,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$18,259 and is being amortized over two years commencing on April 6, 2000. Purchased in-process research and development, valued at $50,443, was charged as an expense immediately following the completion of the acquisition since this technology had not reached technological feasibility and had no alternative use. This technology required varying additional development, coding and testing efforts before technological feasibility could be determined. The fair value of customer base was valued at $1,211 and the fair value of workforce-in-place was valued at $3,259, each of which is being amortized over three years commencing on April 6, 2000. The excess of the purchase price over the fair value of net assets acquired, or goodwill, of $986,160 is being amortized over five years commencing on April 6, 2000.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Set forth below is the unaudited pro forma revenue, operating income (loss), net loss and loss per share figures for the years ended September 30, 1999 and 2000, as if ITDS and Solect had been acquired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514" w:right="1440" w:bottom="1440" w:gutter="0" w:footer="0" w:header="0"/>
        </w:sectPr>
      </w:pPr>
    </w:p>
    <w:bookmarkStart w:id="72" w:name="page73"/>
    <w:bookmarkEnd w:id="72"/>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October 1, 1998, excluding the write-off of purchased in-process research and development and other indirect acquisition-related costs: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jc w:val="center"/>
        <w:ind w:right="4519"/>
        <w:spacing w:after="0" w:line="276" w:lineRule="auto"/>
        <w:rPr>
          <w:sz w:val="20"/>
          <w:szCs w:val="20"/>
          <w:color w:val="auto"/>
        </w:rPr>
      </w:pPr>
      <w:r>
        <w:rPr>
          <w:rFonts w:ascii="Courier New" w:cs="Courier New" w:eastAsia="Courier New" w:hAnsi="Courier New"/>
          <w:sz w:val="16"/>
          <w:szCs w:val="16"/>
          <w:color w:val="auto"/>
        </w:rPr>
        <w:t>2000 1999 ------------ ---------- Revenue............................................... $1,152,783 $775,653 Operating income (loss)............................... 41,516 (43,744) Net</w:t>
      </w:r>
    </w:p>
    <w:p>
      <w:pPr>
        <w:spacing w:after="0" w:line="17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loss..............................................</w:t>
      </w:r>
    </w:p>
    <w:p>
      <w:pPr>
        <w:jc w:val="center"/>
        <w:ind w:right="4519"/>
        <w:spacing w:after="0" w:line="238" w:lineRule="auto"/>
        <w:rPr>
          <w:sz w:val="20"/>
          <w:szCs w:val="20"/>
          <w:color w:val="auto"/>
        </w:rPr>
      </w:pPr>
      <w:r>
        <w:rPr>
          <w:rFonts w:ascii="Courier New" w:cs="Courier New" w:eastAsia="Courier New" w:hAnsi="Courier New"/>
          <w:sz w:val="18"/>
          <w:szCs w:val="18"/>
          <w:color w:val="auto"/>
        </w:rPr>
        <w:t>(25,516) (97,933) Basic loss per</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share.................................. (0.12) (0.45)</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Diluted loss per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share................................ (0.12) (0.45)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RELATED PARTY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related party balances are included in the balance sheet: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- 2001 2000 --------- -------- Accounts</w:t>
      </w:r>
    </w:p>
    <w:p>
      <w:pPr>
        <w:jc w:val="center"/>
        <w:ind w:right="5999"/>
        <w:spacing w:after="0"/>
        <w:rPr>
          <w:sz w:val="20"/>
          <w:szCs w:val="20"/>
          <w:color w:val="auto"/>
        </w:rPr>
      </w:pPr>
      <w:r>
        <w:rPr>
          <w:rFonts w:ascii="Courier New" w:cs="Courier New" w:eastAsia="Courier New" w:hAnsi="Courier New"/>
          <w:sz w:val="18"/>
          <w:szCs w:val="18"/>
          <w:color w:val="auto"/>
        </w:rPr>
        <w:t>receivable, including unbilled of</w:t>
      </w:r>
    </w:p>
    <w:p>
      <w:pPr>
        <w:jc w:val="center"/>
        <w:ind w:right="5999"/>
        <w:spacing w:after="0" w:line="237" w:lineRule="auto"/>
        <w:rPr>
          <w:sz w:val="20"/>
          <w:szCs w:val="20"/>
          <w:color w:val="auto"/>
        </w:rPr>
      </w:pPr>
      <w:r>
        <w:rPr>
          <w:rFonts w:ascii="Courier New" w:cs="Courier New" w:eastAsia="Courier New" w:hAnsi="Courier New"/>
          <w:sz w:val="18"/>
          <w:szCs w:val="18"/>
          <w:color w:val="auto"/>
        </w:rPr>
        <w:t>$4,479 and $0 in 2001 and 2000,</w:t>
      </w:r>
    </w:p>
    <w:p>
      <w:pPr>
        <w:ind w:left="160"/>
        <w:spacing w:after="0" w:line="238" w:lineRule="auto"/>
        <w:rPr>
          <w:sz w:val="20"/>
          <w:szCs w:val="20"/>
          <w:color w:val="auto"/>
        </w:rPr>
      </w:pPr>
      <w:r>
        <w:rPr>
          <w:rFonts w:ascii="Courier New" w:cs="Courier New" w:eastAsia="Courier New" w:hAnsi="Courier New"/>
          <w:sz w:val="18"/>
          <w:szCs w:val="18"/>
          <w:color w:val="auto"/>
        </w:rPr>
        <w:t>respectively.........................</w:t>
      </w:r>
    </w:p>
    <w:p>
      <w:pPr>
        <w:jc w:val="center"/>
        <w:ind w:right="5999"/>
        <w:spacing w:after="0"/>
        <w:rPr>
          <w:sz w:val="20"/>
          <w:szCs w:val="20"/>
          <w:color w:val="auto"/>
        </w:rPr>
      </w:pPr>
      <w:r>
        <w:rPr>
          <w:rFonts w:ascii="Courier New" w:cs="Courier New" w:eastAsia="Courier New" w:hAnsi="Courier New"/>
          <w:sz w:val="18"/>
          <w:szCs w:val="18"/>
          <w:color w:val="auto"/>
        </w:rPr>
        <w:t>$104,096 $27,116 Other noncurrent</w:t>
      </w:r>
    </w:p>
    <w:p>
      <w:pPr>
        <w:spacing w:after="0" w:line="237" w:lineRule="auto"/>
        <w:rPr>
          <w:sz w:val="20"/>
          <w:szCs w:val="20"/>
          <w:color w:val="auto"/>
        </w:rPr>
      </w:pPr>
      <w:r>
        <w:rPr>
          <w:rFonts w:ascii="Courier New" w:cs="Courier New" w:eastAsia="Courier New" w:hAnsi="Courier New"/>
          <w:sz w:val="18"/>
          <w:szCs w:val="18"/>
          <w:color w:val="auto"/>
        </w:rPr>
        <w:t>assets(*)...............................</w:t>
      </w:r>
    </w:p>
    <w:p>
      <w:pPr>
        <w:ind w:left="1700"/>
        <w:spacing w:after="0"/>
        <w:rPr>
          <w:sz w:val="20"/>
          <w:szCs w:val="20"/>
          <w:color w:val="auto"/>
        </w:rPr>
      </w:pPr>
      <w:r>
        <w:rPr>
          <w:rFonts w:ascii="Courier New" w:cs="Courier New" w:eastAsia="Courier New" w:hAnsi="Courier New"/>
          <w:sz w:val="18"/>
          <w:szCs w:val="18"/>
          <w:color w:val="auto"/>
        </w:rPr>
        <w:t>7,827 --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Consists of convertible debentures issued to the Company. See Note 8.</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related party transactions are included in the statements of income: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---------- 2001 2000</w:t>
            </w:r>
          </w:p>
        </w:tc>
        <w:tc>
          <w:tcPr>
            <w:tcW w:w="840" w:type="dxa"/>
            <w:vAlign w:val="bottom"/>
          </w:tcPr>
          <w:p>
            <w:pPr>
              <w:ind w:left="100"/>
              <w:spacing w:after="0"/>
              <w:rPr>
                <w:sz w:val="20"/>
                <w:szCs w:val="20"/>
                <w:color w:val="auto"/>
              </w:rPr>
            </w:pPr>
            <w:r>
              <w:rPr>
                <w:rFonts w:ascii="Courier New" w:cs="Courier New" w:eastAsia="Courier New" w:hAnsi="Courier New"/>
                <w:sz w:val="13"/>
                <w:szCs w:val="13"/>
                <w:color w:val="auto"/>
                <w:w w:val="70"/>
              </w:rPr>
              <w:t>1999 --------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Revenue(1):</w:t>
            </w: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License......................................</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120" w:type="dxa"/>
            <w:vAlign w:val="bottom"/>
          </w:tcPr>
          <w:p>
            <w:pPr>
              <w:jc w:val="right"/>
              <w:ind w:right="45"/>
              <w:spacing w:after="0" w:line="203" w:lineRule="exact"/>
              <w:rPr>
                <w:sz w:val="20"/>
                <w:szCs w:val="20"/>
                <w:color w:val="auto"/>
              </w:rPr>
            </w:pPr>
            <w:r>
              <w:rPr>
                <w:rFonts w:ascii="Courier New" w:cs="Courier New" w:eastAsia="Courier New" w:hAnsi="Courier New"/>
                <w:sz w:val="18"/>
                <w:szCs w:val="18"/>
                <w:color w:val="auto"/>
              </w:rPr>
              <w:t>$ 37,356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15,888</w:t>
            </w:r>
          </w:p>
        </w:tc>
        <w:tc>
          <w:tcPr>
            <w:tcW w:w="15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$ 743</w:t>
            </w: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Service......................................</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jc w:val="center"/>
        <w:ind w:right="5459"/>
        <w:spacing w:after="0" w:line="238" w:lineRule="auto"/>
        <w:rPr>
          <w:sz w:val="20"/>
          <w:szCs w:val="20"/>
          <w:color w:val="auto"/>
        </w:rPr>
      </w:pPr>
      <w:r>
        <w:rPr>
          <w:rFonts w:ascii="Courier New" w:cs="Courier New" w:eastAsia="Courier New" w:hAnsi="Courier New"/>
          <w:sz w:val="18"/>
          <w:szCs w:val="18"/>
          <w:color w:val="auto"/>
        </w:rPr>
        <w:t>264,278 144,859 98,761 Operating</w:t>
      </w:r>
    </w:p>
    <w:p>
      <w:pPr>
        <w:jc w:val="center"/>
        <w:ind w:right="5459"/>
        <w:spacing w:after="0"/>
        <w:rPr>
          <w:sz w:val="20"/>
          <w:szCs w:val="20"/>
          <w:color w:val="auto"/>
        </w:rPr>
      </w:pPr>
      <w:r>
        <w:rPr>
          <w:rFonts w:ascii="Courier New" w:cs="Courier New" w:eastAsia="Courier New" w:hAnsi="Courier New"/>
          <w:sz w:val="18"/>
          <w:szCs w:val="18"/>
          <w:color w:val="auto"/>
        </w:rPr>
        <w:t>expenses(2): Cost of</w:t>
      </w:r>
    </w:p>
    <w:p>
      <w:pPr>
        <w:jc w:val="center"/>
        <w:ind w:right="5459"/>
        <w:spacing w:after="0" w:line="237" w:lineRule="auto"/>
        <w:rPr>
          <w:sz w:val="20"/>
          <w:szCs w:val="20"/>
          <w:color w:val="auto"/>
        </w:rPr>
      </w:pPr>
      <w:r>
        <w:rPr>
          <w:rFonts w:ascii="Courier New" w:cs="Courier New" w:eastAsia="Courier New" w:hAnsi="Courier New"/>
          <w:sz w:val="18"/>
          <w:szCs w:val="18"/>
          <w:color w:val="auto"/>
        </w:rPr>
        <w:t>service.............................. 3,232</w:t>
      </w:r>
    </w:p>
    <w:p>
      <w:pPr>
        <w:jc w:val="center"/>
        <w:ind w:right="5459"/>
        <w:spacing w:after="0" w:line="238" w:lineRule="auto"/>
        <w:rPr>
          <w:sz w:val="20"/>
          <w:szCs w:val="20"/>
          <w:color w:val="auto"/>
        </w:rPr>
      </w:pPr>
      <w:r>
        <w:rPr>
          <w:rFonts w:ascii="Courier New" w:cs="Courier New" w:eastAsia="Courier New" w:hAnsi="Courier New"/>
          <w:sz w:val="18"/>
          <w:szCs w:val="18"/>
          <w:color w:val="auto"/>
        </w:rPr>
        <w:t>2,814 2,656 Selling, general and</w:t>
      </w:r>
    </w:p>
    <w:p>
      <w:pPr>
        <w:jc w:val="center"/>
        <w:ind w:right="5459"/>
        <w:spacing w:after="0"/>
        <w:rPr>
          <w:sz w:val="20"/>
          <w:szCs w:val="20"/>
          <w:color w:val="auto"/>
        </w:rPr>
      </w:pPr>
      <w:r>
        <w:rPr>
          <w:rFonts w:ascii="Courier New" w:cs="Courier New" w:eastAsia="Courier New" w:hAnsi="Courier New"/>
          <w:sz w:val="18"/>
          <w:szCs w:val="18"/>
          <w:color w:val="auto"/>
        </w:rPr>
        <w:t>administrative.......... 663 700 570</w:t>
      </w:r>
    </w:p>
    <w:p>
      <w:pPr>
        <w:jc w:val="center"/>
        <w:ind w:right="5459"/>
        <w:spacing w:after="0" w:line="237" w:lineRule="auto"/>
        <w:rPr>
          <w:sz w:val="20"/>
          <w:szCs w:val="20"/>
          <w:color w:val="auto"/>
        </w:rPr>
      </w:pPr>
      <w:r>
        <w:rPr>
          <w:rFonts w:ascii="Courier New" w:cs="Courier New" w:eastAsia="Courier New" w:hAnsi="Courier New"/>
          <w:sz w:val="18"/>
          <w:szCs w:val="18"/>
          <w:color w:val="auto"/>
        </w:rPr>
        <w:t>Interest income and other,</w:t>
      </w:r>
    </w:p>
    <w:p>
      <w:pPr>
        <w:jc w:val="center"/>
        <w:ind w:right="5459"/>
        <w:spacing w:after="0"/>
        <w:rPr>
          <w:sz w:val="20"/>
          <w:szCs w:val="20"/>
          <w:color w:val="auto"/>
        </w:rPr>
      </w:pPr>
      <w:r>
        <w:rPr>
          <w:rFonts w:ascii="Courier New" w:cs="Courier New" w:eastAsia="Courier New" w:hAnsi="Courier New"/>
          <w:sz w:val="18"/>
          <w:szCs w:val="18"/>
          <w:color w:val="auto"/>
        </w:rPr>
        <w:t>net(3).............. 89 --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6"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licenses software and provides computer systems integration and related services to several affiliates of a significant shareholder of the Company.</w:t>
      </w:r>
    </w:p>
    <w:p>
      <w:pPr>
        <w:spacing w:after="0" w:line="208"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leases office space in Israel on a month-to-month basis and purchases other miscellaneous support services from affiliates of certain shareholders.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convertible debentures issued to the Company. See Note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COMPENSATING BALANCES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was required to maintain compensating cash balances of $4,818 and $4,777 as of September 30, 2001 and 2000, respectively, relating to letters of credit and bank guarantees.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514" w:right="1440" w:bottom="767"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 of the following as of</w:t>
      </w:r>
    </w:p>
    <w:p>
      <w:pPr>
        <w:spacing w:after="0" w:line="238" w:lineRule="auto"/>
        <w:rPr>
          <w:sz w:val="20"/>
          <w:szCs w:val="20"/>
          <w:color w:val="auto"/>
        </w:rPr>
      </w:pPr>
      <w:r>
        <w:rPr>
          <w:rFonts w:ascii="Courier New" w:cs="Courier New" w:eastAsia="Courier New" w:hAnsi="Courier New"/>
          <w:sz w:val="18"/>
          <w:szCs w:val="18"/>
          <w:color w:val="auto"/>
        </w:rPr>
        <w:t>September 30, 2001:</w:t>
      </w:r>
    </w:p>
    <w:p>
      <w:pPr>
        <w:spacing w:after="0" w:line="202"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AMORTIZED MARKET COST VALUE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Federal</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agency..........................................</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$192,095 $193,537 Corporate</w:t>
      </w:r>
    </w:p>
    <w:p>
      <w:pPr>
        <w:jc w:val="center"/>
        <w:ind w:right="5159"/>
        <w:spacing w:after="0" w:line="238" w:lineRule="auto"/>
        <w:rPr>
          <w:sz w:val="20"/>
          <w:szCs w:val="20"/>
          <w:color w:val="auto"/>
        </w:rPr>
      </w:pPr>
      <w:r>
        <w:rPr>
          <w:rFonts w:ascii="Courier New" w:cs="Courier New" w:eastAsia="Courier New" w:hAnsi="Courier New"/>
          <w:sz w:val="18"/>
          <w:szCs w:val="18"/>
          <w:color w:val="auto"/>
        </w:rPr>
        <w:t>bonds.........................................</w:t>
      </w:r>
    </w:p>
    <w:p>
      <w:pPr>
        <w:jc w:val="center"/>
        <w:ind w:right="5159"/>
        <w:spacing w:after="0"/>
        <w:rPr>
          <w:sz w:val="20"/>
          <w:szCs w:val="20"/>
          <w:color w:val="auto"/>
        </w:rPr>
      </w:pPr>
      <w:r>
        <w:rPr>
          <w:rFonts w:ascii="Courier New" w:cs="Courier New" w:eastAsia="Courier New" w:hAnsi="Courier New"/>
          <w:sz w:val="18"/>
          <w:szCs w:val="18"/>
          <w:color w:val="auto"/>
        </w:rPr>
        <w:t>29,692 30,468 Commercial</w:t>
      </w:r>
    </w:p>
    <w:p>
      <w:pPr>
        <w:jc w:val="center"/>
        <w:ind w:right="5159"/>
        <w:spacing w:after="0" w:line="237" w:lineRule="auto"/>
        <w:rPr>
          <w:sz w:val="20"/>
          <w:szCs w:val="20"/>
          <w:color w:val="auto"/>
        </w:rPr>
      </w:pPr>
      <w:r>
        <w:rPr>
          <w:rFonts w:ascii="Courier New" w:cs="Courier New" w:eastAsia="Courier New" w:hAnsi="Courier New"/>
          <w:sz w:val="18"/>
          <w:szCs w:val="18"/>
          <w:color w:val="auto"/>
        </w:rPr>
        <w:t>papers.......................................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13,053 13,064 -------- -------- 234,840 237,069</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Allowance for unrealized</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income......................... 2,229 --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w:t>
      </w:r>
    </w:p>
    <w:p>
      <w:pPr>
        <w:jc w:val="center"/>
        <w:ind w:right="515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5159"/>
        <w:spacing w:after="0"/>
        <w:rPr>
          <w:sz w:val="20"/>
          <w:szCs w:val="20"/>
          <w:color w:val="auto"/>
        </w:rPr>
      </w:pPr>
      <w:r>
        <w:rPr>
          <w:rFonts w:ascii="Courier New" w:cs="Courier New" w:eastAsia="Courier New" w:hAnsi="Courier New"/>
          <w:sz w:val="18"/>
          <w:szCs w:val="18"/>
          <w:color w:val="auto"/>
        </w:rPr>
        <w:t>$237,069 $237,069 ======== ========</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September 30, 2001, short-term interest-bearing investments had the following maturity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422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6"/>
              </w:rPr>
              <w:t>MARKET VALUE --------</w:t>
            </w:r>
          </w:p>
        </w:tc>
      </w:tr>
      <w:tr>
        <w:trPr>
          <w:trHeight w:val="203"/>
        </w:trPr>
        <w:tc>
          <w:tcPr>
            <w:tcW w:w="6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2002........................................................</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$181,602</w:t>
            </w:r>
          </w:p>
        </w:tc>
      </w:tr>
      <w:tr>
        <w:trPr>
          <w:trHeight w:val="203"/>
        </w:trPr>
        <w:tc>
          <w:tcPr>
            <w:tcW w:w="6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2003........................................................</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5"/>
              </w:rPr>
              <w:t>35,891</w:t>
            </w:r>
          </w:p>
        </w:tc>
      </w:tr>
      <w:tr>
        <w:trPr>
          <w:trHeight w:val="203"/>
        </w:trPr>
        <w:tc>
          <w:tcPr>
            <w:tcW w:w="6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2004........................................................</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5"/>
              </w:rPr>
              <w:t>18,447</w:t>
            </w:r>
          </w:p>
        </w:tc>
      </w:tr>
      <w:tr>
        <w:trPr>
          <w:trHeight w:val="203"/>
        </w:trPr>
        <w:tc>
          <w:tcPr>
            <w:tcW w:w="6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2005........................................................</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6"/>
              </w:rPr>
              <w:t>1,129 --------</w:t>
            </w:r>
          </w:p>
        </w:tc>
      </w:tr>
      <w:tr>
        <w:trPr>
          <w:trHeight w:val="203"/>
        </w:trPr>
        <w:tc>
          <w:tcPr>
            <w:tcW w:w="2060" w:type="dxa"/>
            <w:vAlign w:val="bottom"/>
          </w:tcPr>
          <w:p>
            <w:pPr>
              <w:ind w:left="60"/>
              <w:spacing w:after="0"/>
              <w:rPr>
                <w:sz w:val="20"/>
                <w:szCs w:val="20"/>
                <w:color w:val="auto"/>
              </w:rPr>
            </w:pPr>
            <w:r>
              <w:rPr>
                <w:rFonts w:ascii="Courier New" w:cs="Courier New" w:eastAsia="Courier New" w:hAnsi="Courier New"/>
                <w:sz w:val="9"/>
                <w:szCs w:val="9"/>
                <w:color w:val="auto"/>
                <w:w w:val="73"/>
              </w:rPr>
              <w:t>Total.............................................</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$237,069</w:t>
            </w:r>
          </w:p>
        </w:tc>
      </w:tr>
      <w:tr>
        <w:trPr>
          <w:trHeight w:val="203"/>
        </w:trPr>
        <w:tc>
          <w:tcPr>
            <w:tcW w:w="2060" w:type="dxa"/>
            <w:vAlign w:val="bottom"/>
          </w:tcPr>
          <w:p>
            <w:pPr>
              <w:spacing w:after="0"/>
              <w:rPr>
                <w:sz w:val="17"/>
                <w:szCs w:val="17"/>
                <w:color w:val="auto"/>
              </w:rPr>
            </w:pPr>
          </w:p>
        </w:tc>
        <w:tc>
          <w:tcPr>
            <w:tcW w:w="4220" w:type="dxa"/>
            <w:vAlign w:val="bottom"/>
          </w:tcPr>
          <w:p>
            <w:pPr>
              <w:jc w:val="center"/>
              <w:ind w:right="193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EQUIPMENT, VEHICLES AND LEASEHOLD IMPROVEMENTS,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equipment, vehicles and leasehold improvements, net are:</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------------------- 2001</w:t>
      </w:r>
    </w:p>
    <w:p>
      <w:pPr>
        <w:jc w:val="center"/>
        <w:ind w:right="5259"/>
        <w:spacing w:after="0" w:line="238" w:lineRule="auto"/>
        <w:rPr>
          <w:sz w:val="20"/>
          <w:szCs w:val="20"/>
          <w:color w:val="auto"/>
        </w:rPr>
      </w:pPr>
      <w:r>
        <w:rPr>
          <w:rFonts w:ascii="Courier New" w:cs="Courier New" w:eastAsia="Courier New" w:hAnsi="Courier New"/>
          <w:sz w:val="18"/>
          <w:szCs w:val="18"/>
          <w:color w:val="auto"/>
        </w:rPr>
        <w:t>2000 -------- -------- Computer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$171,155 $110,583 Vehicles furnished to</w:t>
      </w:r>
    </w:p>
    <w:p>
      <w:pPr>
        <w:jc w:val="center"/>
        <w:ind w:right="5259"/>
        <w:spacing w:after="0" w:line="238" w:lineRule="auto"/>
        <w:rPr>
          <w:sz w:val="20"/>
          <w:szCs w:val="20"/>
          <w:color w:val="auto"/>
        </w:rPr>
      </w:pPr>
      <w:r>
        <w:rPr>
          <w:rFonts w:ascii="Courier New" w:cs="Courier New" w:eastAsia="Courier New" w:hAnsi="Courier New"/>
          <w:sz w:val="18"/>
          <w:szCs w:val="18"/>
          <w:color w:val="auto"/>
        </w:rPr>
        <w:t>employees......................... 54,140</w:t>
      </w:r>
    </w:p>
    <w:p>
      <w:pPr>
        <w:jc w:val="center"/>
        <w:ind w:right="5259"/>
        <w:spacing w:after="0"/>
        <w:rPr>
          <w:sz w:val="20"/>
          <w:szCs w:val="20"/>
          <w:color w:val="auto"/>
        </w:rPr>
      </w:pPr>
      <w:r>
        <w:rPr>
          <w:rFonts w:ascii="Courier New" w:cs="Courier New" w:eastAsia="Courier New" w:hAnsi="Courier New"/>
          <w:sz w:val="18"/>
          <w:szCs w:val="18"/>
          <w:color w:val="auto"/>
        </w:rPr>
        <w:t>44,766 Leasehold</w:t>
      </w:r>
    </w:p>
    <w:p>
      <w:pPr>
        <w:ind w:left="60"/>
        <w:spacing w:after="0" w:line="237" w:lineRule="auto"/>
        <w:rPr>
          <w:sz w:val="20"/>
          <w:szCs w:val="20"/>
          <w:color w:val="auto"/>
        </w:rPr>
      </w:pPr>
      <w:r>
        <w:rPr>
          <w:rFonts w:ascii="Courier New" w:cs="Courier New" w:eastAsia="Courier New" w:hAnsi="Courier New"/>
          <w:sz w:val="18"/>
          <w:szCs w:val="18"/>
          <w:color w:val="auto"/>
        </w:rPr>
        <w:t>improvements..................................</w:t>
      </w:r>
    </w:p>
    <w:p>
      <w:pPr>
        <w:jc w:val="center"/>
        <w:ind w:right="5259"/>
        <w:spacing w:after="0" w:line="238" w:lineRule="auto"/>
        <w:rPr>
          <w:sz w:val="20"/>
          <w:szCs w:val="20"/>
          <w:color w:val="auto"/>
        </w:rPr>
      </w:pPr>
      <w:r>
        <w:rPr>
          <w:rFonts w:ascii="Courier New" w:cs="Courier New" w:eastAsia="Courier New" w:hAnsi="Courier New"/>
          <w:sz w:val="18"/>
          <w:szCs w:val="18"/>
          <w:color w:val="auto"/>
        </w:rPr>
        <w:t>49,137 30,593 Furniture and</w:t>
      </w:r>
    </w:p>
    <w:p>
      <w:pPr>
        <w:jc w:val="center"/>
        <w:ind w:right="5259"/>
        <w:spacing w:after="0"/>
        <w:rPr>
          <w:sz w:val="20"/>
          <w:szCs w:val="20"/>
          <w:color w:val="auto"/>
        </w:rPr>
      </w:pPr>
      <w:r>
        <w:rPr>
          <w:rFonts w:ascii="Courier New" w:cs="Courier New" w:eastAsia="Courier New" w:hAnsi="Courier New"/>
          <w:sz w:val="18"/>
          <w:szCs w:val="18"/>
          <w:color w:val="auto"/>
        </w:rPr>
        <w:t>fixtures..................................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31,434 24,297 -------- -------- 305,866</w:t>
      </w:r>
    </w:p>
    <w:p>
      <w:pPr>
        <w:jc w:val="center"/>
        <w:ind w:right="5259"/>
        <w:spacing w:after="0"/>
        <w:rPr>
          <w:sz w:val="20"/>
          <w:szCs w:val="20"/>
          <w:color w:val="auto"/>
        </w:rPr>
      </w:pPr>
      <w:r>
        <w:rPr>
          <w:rFonts w:ascii="Courier New" w:cs="Courier New" w:eastAsia="Courier New" w:hAnsi="Courier New"/>
          <w:sz w:val="18"/>
          <w:szCs w:val="18"/>
          <w:color w:val="auto"/>
        </w:rPr>
        <w:t>210,239 Less accumulated</w:t>
      </w:r>
    </w:p>
    <w:p>
      <w:pPr>
        <w:jc w:val="center"/>
        <w:ind w:right="5259"/>
        <w:spacing w:after="0" w:line="237" w:lineRule="auto"/>
        <w:rPr>
          <w:sz w:val="20"/>
          <w:szCs w:val="20"/>
          <w:color w:val="auto"/>
        </w:rPr>
      </w:pPr>
      <w:r>
        <w:rPr>
          <w:rFonts w:ascii="Courier New" w:cs="Courier New" w:eastAsia="Courier New" w:hAnsi="Courier New"/>
          <w:sz w:val="18"/>
          <w:szCs w:val="18"/>
          <w:color w:val="auto"/>
        </w:rPr>
        <w:t>depreciation...........................</w:t>
      </w:r>
    </w:p>
    <w:p>
      <w:pPr>
        <w:jc w:val="center"/>
        <w:ind w:right="5259"/>
        <w:spacing w:after="0"/>
        <w:rPr>
          <w:sz w:val="20"/>
          <w:szCs w:val="20"/>
          <w:color w:val="auto"/>
        </w:rPr>
      </w:pPr>
      <w:r>
        <w:rPr>
          <w:rFonts w:ascii="Courier New" w:cs="Courier New" w:eastAsia="Courier New" w:hAnsi="Courier New"/>
          <w:sz w:val="18"/>
          <w:szCs w:val="18"/>
          <w:color w:val="auto"/>
        </w:rPr>
        <w:t>132,171 82,158 -------- -------- $173,695</w:t>
      </w:r>
    </w:p>
    <w:p>
      <w:pPr>
        <w:jc w:val="center"/>
        <w:ind w:right="5259"/>
        <w:spacing w:after="0" w:line="237" w:lineRule="auto"/>
        <w:rPr>
          <w:sz w:val="20"/>
          <w:szCs w:val="20"/>
          <w:color w:val="auto"/>
        </w:rPr>
      </w:pPr>
      <w:r>
        <w:rPr>
          <w:rFonts w:ascii="Courier New" w:cs="Courier New" w:eastAsia="Courier New" w:hAnsi="Courier New"/>
          <w:sz w:val="18"/>
          <w:szCs w:val="18"/>
          <w:color w:val="auto"/>
        </w:rPr>
        <w:t>$128,081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entered into various arrangements for the leasing of vehicles for periods of five years, carrying interest rates of LIBOR plus an interest rate of 0.5 percent (3.1 percent as of September 30, 2001). The Company has accounted for these as capital leases and amortization costs have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514" w:right="1440" w:bottom="1440"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been included in depreciation expense. Capital lease payments, excluding interest, due over the next five years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2002.......................................</w:t>
      </w:r>
    </w:p>
    <w:p>
      <w:pPr>
        <w:jc w:val="center"/>
        <w:ind w:right="5679"/>
        <w:spacing w:after="0" w:line="237" w:lineRule="auto"/>
        <w:rPr>
          <w:sz w:val="20"/>
          <w:szCs w:val="20"/>
          <w:color w:val="auto"/>
        </w:rPr>
      </w:pPr>
      <w:r>
        <w:rPr>
          <w:rFonts w:ascii="Courier New" w:cs="Courier New" w:eastAsia="Courier New" w:hAnsi="Courier New"/>
          <w:sz w:val="18"/>
          <w:szCs w:val="18"/>
          <w:color w:val="auto"/>
        </w:rPr>
        <w:t>$10,400</w:t>
      </w:r>
    </w:p>
    <w:p>
      <w:pPr>
        <w:spacing w:after="0" w:line="238" w:lineRule="auto"/>
        <w:rPr>
          <w:sz w:val="20"/>
          <w:szCs w:val="20"/>
          <w:color w:val="auto"/>
        </w:rPr>
      </w:pPr>
      <w:r>
        <w:rPr>
          <w:rFonts w:ascii="Courier New" w:cs="Courier New" w:eastAsia="Courier New" w:hAnsi="Courier New"/>
          <w:sz w:val="18"/>
          <w:szCs w:val="18"/>
          <w:color w:val="auto"/>
        </w:rPr>
        <w:t>2003.......................................</w:t>
      </w:r>
    </w:p>
    <w:p>
      <w:pPr>
        <w:jc w:val="center"/>
        <w:ind w:right="5679"/>
        <w:spacing w:after="0"/>
        <w:rPr>
          <w:sz w:val="20"/>
          <w:szCs w:val="20"/>
          <w:color w:val="auto"/>
        </w:rPr>
      </w:pPr>
      <w:r>
        <w:rPr>
          <w:rFonts w:ascii="Courier New" w:cs="Courier New" w:eastAsia="Courier New" w:hAnsi="Courier New"/>
          <w:sz w:val="18"/>
          <w:szCs w:val="18"/>
          <w:color w:val="auto"/>
        </w:rPr>
        <w:t>9,478</w:t>
      </w:r>
    </w:p>
    <w:p>
      <w:pPr>
        <w:spacing w:after="0" w:line="237" w:lineRule="auto"/>
        <w:rPr>
          <w:sz w:val="20"/>
          <w:szCs w:val="20"/>
          <w:color w:val="auto"/>
        </w:rPr>
      </w:pPr>
      <w:r>
        <w:rPr>
          <w:rFonts w:ascii="Courier New" w:cs="Courier New" w:eastAsia="Courier New" w:hAnsi="Courier New"/>
          <w:sz w:val="18"/>
          <w:szCs w:val="18"/>
          <w:color w:val="auto"/>
        </w:rPr>
        <w:t>2004.......................................</w:t>
      </w:r>
    </w:p>
    <w:p>
      <w:pPr>
        <w:jc w:val="center"/>
        <w:ind w:right="5679"/>
        <w:spacing w:after="0"/>
        <w:rPr>
          <w:sz w:val="20"/>
          <w:szCs w:val="20"/>
          <w:color w:val="auto"/>
        </w:rPr>
      </w:pPr>
      <w:r>
        <w:rPr>
          <w:rFonts w:ascii="Courier New" w:cs="Courier New" w:eastAsia="Courier New" w:hAnsi="Courier New"/>
          <w:sz w:val="18"/>
          <w:szCs w:val="18"/>
          <w:color w:val="auto"/>
        </w:rPr>
        <w:t>7,712</w:t>
      </w:r>
    </w:p>
    <w:p>
      <w:pPr>
        <w:spacing w:after="0" w:line="237" w:lineRule="auto"/>
        <w:rPr>
          <w:sz w:val="20"/>
          <w:szCs w:val="20"/>
          <w:color w:val="auto"/>
        </w:rPr>
      </w:pPr>
      <w:r>
        <w:rPr>
          <w:rFonts w:ascii="Courier New" w:cs="Courier New" w:eastAsia="Courier New" w:hAnsi="Courier New"/>
          <w:sz w:val="18"/>
          <w:szCs w:val="18"/>
          <w:color w:val="auto"/>
        </w:rPr>
        <w:t>2005.......................................</w:t>
      </w:r>
    </w:p>
    <w:p>
      <w:pPr>
        <w:jc w:val="center"/>
        <w:ind w:right="5679"/>
        <w:spacing w:after="0"/>
        <w:rPr>
          <w:sz w:val="20"/>
          <w:szCs w:val="20"/>
          <w:color w:val="auto"/>
        </w:rPr>
      </w:pPr>
      <w:r>
        <w:rPr>
          <w:rFonts w:ascii="Courier New" w:cs="Courier New" w:eastAsia="Courier New" w:hAnsi="Courier New"/>
          <w:sz w:val="18"/>
          <w:szCs w:val="18"/>
          <w:color w:val="auto"/>
        </w:rPr>
        <w:t>5,979</w:t>
      </w:r>
    </w:p>
    <w:p>
      <w:pPr>
        <w:spacing w:after="0" w:line="237" w:lineRule="auto"/>
        <w:rPr>
          <w:sz w:val="20"/>
          <w:szCs w:val="20"/>
          <w:color w:val="auto"/>
        </w:rPr>
      </w:pPr>
      <w:r>
        <w:rPr>
          <w:rFonts w:ascii="Courier New" w:cs="Courier New" w:eastAsia="Courier New" w:hAnsi="Courier New"/>
          <w:sz w:val="18"/>
          <w:szCs w:val="18"/>
          <w:color w:val="auto"/>
        </w:rPr>
        <w:t>2006.......................................</w:t>
      </w:r>
    </w:p>
    <w:p>
      <w:pPr>
        <w:ind w:left="2000"/>
        <w:spacing w:after="0" w:line="238" w:lineRule="auto"/>
        <w:rPr>
          <w:sz w:val="20"/>
          <w:szCs w:val="20"/>
          <w:color w:val="auto"/>
        </w:rPr>
      </w:pPr>
      <w:r>
        <w:rPr>
          <w:rFonts w:ascii="Courier New" w:cs="Courier New" w:eastAsia="Courier New" w:hAnsi="Courier New"/>
          <w:sz w:val="18"/>
          <w:szCs w:val="18"/>
          <w:color w:val="auto"/>
        </w:rPr>
        <w:t>1,610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INVESTMENT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January 2001 the Company and Bell Canada formed Certen Inc. ("Certen") to provide customer care and billing solutions to Bell Canada and some of its affiliated companies. Certen is owned 90% by Bell Canada and 10% by the Company. Commencing on the 30-month anniversary of the transaction, convertible debentures issued by Certen to the Company will be convertible into an additional 35% ownership interest in Certen. The relative ownership interests of the shareholders might further be modified through the exercise of a series of contractual rights, commencing on the 30-month anniversary of the transaction. The Company will provide the customer care and billing software required by Certen, including customization, installation, maintenance and other services. The Company accounts for the investment in Certen under the cost method.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GOODWILL AND OTHER INTANGIBLE ASSETS,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Goodwill and other intangible assets, net are: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ESTIMATED USEFUL LIFE AS OF SEPTEMBER 30, (IN -----</w:t>
      </w:r>
    </w:p>
    <w:tbl>
      <w:tblPr>
        <w:tblLayout w:type="fixed"/>
        <w:tblInd w:w="0" w:type="dxa"/>
        <w:tblCellMar>
          <w:top w:w="0" w:type="dxa"/>
          <w:left w:w="0" w:type="dxa"/>
          <w:bottom w:w="0" w:type="dxa"/>
          <w:right w:w="0" w:type="dxa"/>
        </w:tblCellMar>
      </w:tblP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YEARS) 2001 2000</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r>
      <w:tr>
        <w:trPr>
          <w:trHeight w:val="203"/>
        </w:trPr>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Goodwill............................................</w:t>
            </w:r>
          </w:p>
        </w:tc>
        <w:tc>
          <w:tcPr>
            <w:tcW w:w="1580" w:type="dxa"/>
            <w:vAlign w:val="bottom"/>
          </w:tcPr>
          <w:p>
            <w:pPr>
              <w:spacing w:after="0"/>
              <w:rPr>
                <w:sz w:val="17"/>
                <w:szCs w:val="17"/>
                <w:color w:val="auto"/>
              </w:rPr>
            </w:pPr>
          </w:p>
        </w:tc>
      </w:tr>
      <w:tr>
        <w:trPr>
          <w:trHeight w:val="203"/>
        </w:trPr>
        <w:tc>
          <w:tcPr>
            <w:tcW w:w="19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5-15 $1,057,314</w:t>
            </w:r>
          </w:p>
        </w:tc>
        <w:tc>
          <w:tcPr>
            <w:tcW w:w="3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$1,057,466 Intellectual property</w:t>
            </w:r>
          </w:p>
        </w:tc>
      </w:tr>
      <w:tr>
        <w:trPr>
          <w:trHeight w:val="203"/>
        </w:trPr>
        <w:tc>
          <w:tcPr>
            <w:tcW w:w="5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rights and purchased computer</w:t>
            </w: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software..........................................</w:t>
            </w:r>
          </w:p>
        </w:tc>
        <w:tc>
          <w:tcPr>
            <w:tcW w:w="1580" w:type="dxa"/>
            <w:vAlign w:val="bottom"/>
          </w:tcPr>
          <w:p>
            <w:pPr>
              <w:spacing w:after="0"/>
              <w:rPr>
                <w:sz w:val="17"/>
                <w:szCs w:val="17"/>
                <w:color w:val="auto"/>
              </w:rPr>
            </w:pPr>
          </w:p>
        </w:tc>
      </w:tr>
      <w:tr>
        <w:trPr>
          <w:trHeight w:val="203"/>
        </w:trPr>
        <w:tc>
          <w:tcPr>
            <w:tcW w:w="5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2-10 77,358 74,107 Other intangible</w:t>
            </w: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 12,403</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12,403 ----------</w:t>
            </w:r>
          </w:p>
        </w:tc>
        <w:tc>
          <w:tcPr>
            <w:tcW w:w="3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---------- 1,147,075 1,143,976</w:t>
            </w:r>
          </w:p>
        </w:tc>
      </w:tr>
      <w:tr>
        <w:trPr>
          <w:trHeight w:val="203"/>
        </w:trPr>
        <w:tc>
          <w:tcPr>
            <w:tcW w:w="1900" w:type="dxa"/>
            <w:vAlign w:val="bottom"/>
          </w:tcPr>
          <w:p>
            <w:pPr>
              <w:spacing w:after="0"/>
              <w:rPr>
                <w:sz w:val="17"/>
                <w:szCs w:val="17"/>
                <w:color w:val="auto"/>
              </w:rPr>
            </w:pPr>
          </w:p>
        </w:tc>
        <w:tc>
          <w:tcPr>
            <w:tcW w:w="19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Less accumulated</w:t>
            </w:r>
          </w:p>
        </w:tc>
        <w:tc>
          <w:tcPr>
            <w:tcW w:w="1580" w:type="dxa"/>
            <w:vAlign w:val="bottom"/>
          </w:tcPr>
          <w:p>
            <w:pPr>
              <w:spacing w:after="0"/>
              <w:rPr>
                <w:sz w:val="17"/>
                <w:szCs w:val="17"/>
                <w:color w:val="auto"/>
              </w:rPr>
            </w:pPr>
          </w:p>
        </w:tc>
      </w:tr>
      <w:tr>
        <w:trPr>
          <w:trHeight w:val="203"/>
        </w:trPr>
        <w:tc>
          <w:tcPr>
            <w:tcW w:w="3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358,888 132,923</w:t>
            </w: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$ 788,187</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$1,011,053</w:t>
            </w: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r>
      <w:tr>
        <w:trPr>
          <w:trHeight w:val="608"/>
        </w:trPr>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F-16</w:t>
            </w:r>
          </w:p>
        </w:tc>
      </w:tr>
    </w:tbl>
    <w:p>
      <w:pPr>
        <w:sectPr>
          <w:pgSz w:w="11900" w:h="16838" w:orient="portrait"/>
          <w:cols w:equalWidth="0" w:num="1">
            <w:col w:w="10219"/>
          </w:cols>
          <w:pgMar w:left="240" w:top="514" w:right="1440" w:bottom="1440" w:gutter="0" w:footer="0" w:header="0"/>
        </w:sectPr>
      </w:pPr>
    </w:p>
    <w:bookmarkStart w:id="75" w:name="page76"/>
    <w:bookmarkEnd w:id="75"/>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SEPTEMBER 30, ------------------- 2001 2000 --------</w:t>
      </w:r>
    </w:p>
    <w:p>
      <w:pPr>
        <w:spacing w:after="0" w:line="4" w:lineRule="exact"/>
        <w:rPr>
          <w:sz w:val="20"/>
          <w:szCs w:val="20"/>
          <w:color w:val="auto"/>
        </w:rPr>
      </w:pPr>
    </w:p>
    <w:p>
      <w:pPr>
        <w:jc w:val="center"/>
        <w:ind w:right="3899"/>
        <w:spacing w:after="0" w:line="271" w:lineRule="auto"/>
        <w:rPr>
          <w:sz w:val="20"/>
          <w:szCs w:val="20"/>
          <w:color w:val="auto"/>
        </w:rPr>
      </w:pPr>
      <w:r>
        <w:rPr>
          <w:rFonts w:ascii="Courier New" w:cs="Courier New" w:eastAsia="Courier New" w:hAnsi="Courier New"/>
          <w:sz w:val="16"/>
          <w:szCs w:val="16"/>
          <w:color w:val="auto"/>
        </w:rPr>
        <w:t>-------- Funded personnel benefit costs.............................. $33,624 $25,913 Noncurrent investments, at cost (*)......................... 6,964 9,250 Noncurrent investment in convertible debentures............. 7,827 -- Convertible notes issuance cost, net........................ 10,667 -- Other....................................................... 11,871 11,982 ------- ------- $70,953 $47,145 ======= =======</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7"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2001, the Company recorded charges of $6,750 to adjust the carrying value of four investments it has made. The Company continues to monitor the economic and financial aspects of its remaining interests in these investments.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INCOME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2001 2000 1999 --------</w:t>
            </w:r>
          </w:p>
        </w:tc>
        <w:tc>
          <w:tcPr>
            <w:tcW w:w="3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Current.................................................</w:t>
            </w:r>
          </w:p>
        </w:tc>
        <w:tc>
          <w:tcPr>
            <w:tcW w:w="32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$110,163</w:t>
            </w:r>
          </w:p>
        </w:tc>
        <w:tc>
          <w:tcPr>
            <w:tcW w:w="320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6"/>
              </w:rPr>
              <w:t>$80,076 $46,258</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Deferred................................................</w:t>
            </w:r>
          </w:p>
        </w:tc>
        <w:tc>
          <w:tcPr>
            <w:tcW w:w="320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5,018 (1,196) (4,026) --------</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$115,181</w:t>
            </w:r>
          </w:p>
        </w:tc>
      </w:tr>
      <w:tr>
        <w:trPr>
          <w:trHeight w:val="203"/>
        </w:trPr>
        <w:tc>
          <w:tcPr>
            <w:tcW w:w="168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$78,880</w:t>
            </w:r>
          </w:p>
        </w:tc>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$42,232 ======== ======= =======</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------------------- 2001 2000 -----</w:t>
      </w:r>
    </w:p>
    <w:p>
      <w:pPr>
        <w:ind w:left="740"/>
        <w:spacing w:after="0" w:line="238" w:lineRule="auto"/>
        <w:rPr>
          <w:sz w:val="20"/>
          <w:szCs w:val="20"/>
          <w:color w:val="auto"/>
        </w:rPr>
      </w:pPr>
      <w:r>
        <w:rPr>
          <w:rFonts w:ascii="Courier New" w:cs="Courier New" w:eastAsia="Courier New" w:hAnsi="Courier New"/>
          <w:sz w:val="18"/>
          <w:szCs w:val="18"/>
          <w:color w:val="auto"/>
        </w:rPr>
        <w:t>--- -------- Deferred tax assets: Deferred</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revenue........................................ $18,033</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$19,560 Accrued personnel</w:t>
      </w:r>
    </w:p>
    <w:p>
      <w:pPr>
        <w:jc w:val="center"/>
        <w:ind w:right="4319"/>
        <w:spacing w:after="0" w:line="238" w:lineRule="auto"/>
        <w:rPr>
          <w:sz w:val="20"/>
          <w:szCs w:val="20"/>
          <w:color w:val="auto"/>
        </w:rPr>
      </w:pPr>
      <w:r>
        <w:rPr>
          <w:rFonts w:ascii="Courier New" w:cs="Courier New" w:eastAsia="Courier New" w:hAnsi="Courier New"/>
          <w:sz w:val="18"/>
          <w:szCs w:val="18"/>
          <w:color w:val="auto"/>
        </w:rPr>
        <w:t>costs................................. 20,589 15,733</w:t>
      </w:r>
    </w:p>
    <w:p>
      <w:pPr>
        <w:jc w:val="center"/>
        <w:ind w:right="4319"/>
        <w:spacing w:after="0"/>
        <w:rPr>
          <w:sz w:val="20"/>
          <w:szCs w:val="20"/>
          <w:color w:val="auto"/>
        </w:rPr>
      </w:pPr>
      <w:r>
        <w:rPr>
          <w:rFonts w:ascii="Courier New" w:cs="Courier New" w:eastAsia="Courier New" w:hAnsi="Courier New"/>
          <w:sz w:val="18"/>
          <w:szCs w:val="18"/>
          <w:color w:val="auto"/>
        </w:rPr>
        <w:t>Computer software and intellectual</w:t>
      </w:r>
    </w:p>
    <w:p>
      <w:pPr>
        <w:jc w:val="center"/>
        <w:ind w:right="4319"/>
        <w:spacing w:after="0" w:line="237" w:lineRule="auto"/>
        <w:rPr>
          <w:sz w:val="20"/>
          <w:szCs w:val="20"/>
          <w:color w:val="auto"/>
        </w:rPr>
      </w:pPr>
      <w:r>
        <w:rPr>
          <w:rFonts w:ascii="Courier New" w:cs="Courier New" w:eastAsia="Courier New" w:hAnsi="Courier New"/>
          <w:sz w:val="18"/>
          <w:szCs w:val="18"/>
          <w:color w:val="auto"/>
        </w:rPr>
        <w:t>property............. 6,553 3,496 Net operating loss</w:t>
      </w:r>
    </w:p>
    <w:p>
      <w:pPr>
        <w:jc w:val="center"/>
        <w:ind w:right="4319"/>
        <w:spacing w:after="0" w:line="238" w:lineRule="auto"/>
        <w:rPr>
          <w:sz w:val="20"/>
          <w:szCs w:val="20"/>
          <w:color w:val="auto"/>
        </w:rPr>
      </w:pPr>
      <w:r>
        <w:rPr>
          <w:rFonts w:ascii="Courier New" w:cs="Courier New" w:eastAsia="Courier New" w:hAnsi="Courier New"/>
          <w:sz w:val="18"/>
          <w:szCs w:val="18"/>
          <w:color w:val="auto"/>
        </w:rPr>
        <w:t>carry forwards....................... 30,358 19,139</w:t>
      </w:r>
    </w:p>
    <w:p>
      <w:pPr>
        <w:spacing w:after="0" w:line="5"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10,275 5,259 Valuation</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allowances.................................... (27,907)</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(16,743) ------- ------- Total deferred tax</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assets....................... 57,901 46,444 -------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514" w:right="1440" w:bottom="1440" w:gutter="0" w:footer="0" w:header="0"/>
        </w:sectPr>
      </w:pPr>
    </w:p>
    <w:bookmarkStart w:id="76" w:name="page77"/>
    <w:bookmarkEnd w:id="7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------------------- 2001 2000 -----</w:t>
      </w:r>
    </w:p>
    <w:p>
      <w:pPr>
        <w:ind w:left="320"/>
        <w:spacing w:after="0" w:line="238" w:lineRule="auto"/>
        <w:rPr>
          <w:sz w:val="20"/>
          <w:szCs w:val="20"/>
          <w:color w:val="auto"/>
        </w:rPr>
      </w:pPr>
      <w:r>
        <w:rPr>
          <w:rFonts w:ascii="Courier New" w:cs="Courier New" w:eastAsia="Courier New" w:hAnsi="Courier New"/>
          <w:sz w:val="18"/>
          <w:szCs w:val="18"/>
          <w:color w:val="auto"/>
        </w:rPr>
        <w:t>--- -------- Deferred tax liabilities: Anticipated</w:t>
      </w:r>
    </w:p>
    <w:tbl>
      <w:tblPr>
        <w:tblLayout w:type="fixed"/>
        <w:tblInd w:w="0" w:type="dxa"/>
        <w:tblCellMar>
          <w:top w:w="0" w:type="dxa"/>
          <w:left w:w="0" w:type="dxa"/>
          <w:bottom w:w="0" w:type="dxa"/>
          <w:right w:w="0" w:type="dxa"/>
        </w:tblCellMar>
      </w:tblPr>
      <w:tr>
        <w:trPr>
          <w:trHeight w:val="203"/>
        </w:trPr>
        <w:tc>
          <w:tcPr>
            <w:tcW w:w="48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withholdings on subsidiaries' earnings......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(32,730)</w:t>
            </w:r>
          </w:p>
        </w:tc>
      </w:tr>
      <w:tr>
        <w:trPr>
          <w:trHeight w:val="203"/>
        </w:trPr>
        <w:tc>
          <w:tcPr>
            <w:tcW w:w="58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(17,391) Intangible assets, computer software and</w:t>
            </w:r>
          </w:p>
        </w:tc>
      </w:tr>
      <w:tr>
        <w:trPr>
          <w:trHeight w:val="203"/>
        </w:trPr>
        <w:tc>
          <w:tcPr>
            <w:tcW w:w="2100" w:type="dxa"/>
            <w:vAlign w:val="bottom"/>
          </w:tcPr>
          <w:p>
            <w:pPr>
              <w:spacing w:after="0"/>
              <w:rPr>
                <w:sz w:val="17"/>
                <w:szCs w:val="17"/>
                <w:color w:val="auto"/>
              </w:rPr>
            </w:pPr>
          </w:p>
        </w:tc>
        <w:tc>
          <w:tcPr>
            <w:tcW w:w="270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intellectual</w:t>
            </w:r>
          </w:p>
        </w:tc>
        <w:tc>
          <w:tcPr>
            <w:tcW w:w="1040" w:type="dxa"/>
            <w:vAlign w:val="bottom"/>
          </w:tcPr>
          <w:p>
            <w:pPr>
              <w:spacing w:after="0"/>
              <w:rPr>
                <w:sz w:val="17"/>
                <w:szCs w:val="17"/>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property.............................................</w:t>
            </w:r>
          </w:p>
        </w:tc>
        <w:tc>
          <w:tcPr>
            <w:tcW w:w="19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(7,410)</w:t>
            </w:r>
          </w:p>
        </w:tc>
        <w:tc>
          <w:tcPr>
            <w:tcW w:w="19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(11,191)</w:t>
            </w:r>
          </w:p>
        </w:tc>
        <w:tc>
          <w:tcPr>
            <w:tcW w:w="1040" w:type="dxa"/>
            <w:vAlign w:val="bottom"/>
          </w:tcPr>
          <w:p>
            <w:pPr>
              <w:spacing w:after="0"/>
              <w:rPr>
                <w:sz w:val="17"/>
                <w:szCs w:val="17"/>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Other...................................................</w:t>
            </w:r>
          </w:p>
        </w:tc>
        <w:tc>
          <w:tcPr>
            <w:tcW w:w="19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(2,185) (500) -------</w:t>
            </w:r>
          </w:p>
        </w:tc>
        <w:tc>
          <w:tcPr>
            <w:tcW w:w="37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 Total deferred tax</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liabilities..................</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(42,325) (29,082) -------</w:t>
            </w:r>
          </w:p>
        </w:tc>
      </w:tr>
      <w:tr>
        <w:trPr>
          <w:trHeight w:val="203"/>
        </w:trPr>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Net deferred tax</w:t>
            </w:r>
          </w:p>
        </w:tc>
        <w:tc>
          <w:tcPr>
            <w:tcW w:w="1040" w:type="dxa"/>
            <w:vAlign w:val="bottom"/>
          </w:tcPr>
          <w:p>
            <w:pPr>
              <w:spacing w:after="0"/>
              <w:rPr>
                <w:sz w:val="17"/>
                <w:szCs w:val="17"/>
                <w:color w:val="auto"/>
              </w:rPr>
            </w:pP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assets...................................</w:t>
            </w:r>
          </w:p>
        </w:tc>
        <w:tc>
          <w:tcPr>
            <w:tcW w:w="190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$15,576</w:t>
            </w:r>
          </w:p>
        </w:tc>
      </w:tr>
      <w:tr>
        <w:trPr>
          <w:trHeight w:val="203"/>
        </w:trPr>
        <w:tc>
          <w:tcPr>
            <w:tcW w:w="4800" w:type="dxa"/>
            <w:vAlign w:val="bottom"/>
            <w:gridSpan w:val="3"/>
          </w:tcPr>
          <w:p>
            <w:pPr>
              <w:jc w:val="center"/>
              <w:ind w:left="1019"/>
              <w:spacing w:after="0" w:line="203" w:lineRule="exact"/>
              <w:rPr>
                <w:sz w:val="20"/>
                <w:szCs w:val="20"/>
                <w:color w:val="auto"/>
              </w:rPr>
            </w:pPr>
            <w:r>
              <w:rPr>
                <w:rFonts w:ascii="Courier New" w:cs="Courier New" w:eastAsia="Courier New" w:hAnsi="Courier New"/>
                <w:sz w:val="18"/>
                <w:szCs w:val="18"/>
                <w:color w:val="auto"/>
                <w:w w:val="97"/>
              </w:rPr>
              <w:t>$17,362 ======= =======</w:t>
            </w: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 ENDED SEPTEMBER 30, ------------------ 2001</w:t>
      </w:r>
    </w:p>
    <w:p>
      <w:pPr>
        <w:ind w:left="220"/>
        <w:spacing w:after="0" w:line="238" w:lineRule="auto"/>
        <w:rPr>
          <w:sz w:val="20"/>
          <w:szCs w:val="20"/>
          <w:color w:val="auto"/>
        </w:rPr>
      </w:pPr>
      <w:r>
        <w:rPr>
          <w:rFonts w:ascii="Courier New" w:cs="Courier New" w:eastAsia="Courier New" w:hAnsi="Courier New"/>
          <w:sz w:val="18"/>
          <w:szCs w:val="18"/>
          <w:color w:val="auto"/>
        </w:rPr>
        <w:t>2000 1999 ---- ---- ---- Statutory Guernsey tax</w:t>
      </w:r>
    </w:p>
    <w:p>
      <w:pPr>
        <w:jc w:val="center"/>
        <w:ind w:right="4839"/>
        <w:spacing w:after="0"/>
        <w:rPr>
          <w:sz w:val="20"/>
          <w:szCs w:val="20"/>
          <w:color w:val="auto"/>
        </w:rPr>
      </w:pPr>
      <w:r>
        <w:rPr>
          <w:rFonts w:ascii="Courier New" w:cs="Courier New" w:eastAsia="Courier New" w:hAnsi="Courier New"/>
          <w:sz w:val="18"/>
          <w:szCs w:val="18"/>
          <w:color w:val="auto"/>
        </w:rPr>
        <w:t>rate................................ 20% 20% 20%</w:t>
      </w:r>
    </w:p>
    <w:p>
      <w:pPr>
        <w:jc w:val="center"/>
        <w:ind w:right="4839"/>
        <w:spacing w:after="0" w:line="237" w:lineRule="auto"/>
        <w:rPr>
          <w:sz w:val="20"/>
          <w:szCs w:val="20"/>
          <w:color w:val="auto"/>
        </w:rPr>
      </w:pPr>
      <w:r>
        <w:rPr>
          <w:rFonts w:ascii="Courier New" w:cs="Courier New" w:eastAsia="Courier New" w:hAnsi="Courier New"/>
          <w:sz w:val="18"/>
          <w:szCs w:val="18"/>
          <w:color w:val="auto"/>
        </w:rPr>
        <w:t>Guernsey tax-exempt</w:t>
      </w:r>
    </w:p>
    <w:p>
      <w:pPr>
        <w:jc w:val="center"/>
        <w:ind w:right="4839"/>
        <w:spacing w:after="0" w:line="238" w:lineRule="auto"/>
        <w:rPr>
          <w:sz w:val="20"/>
          <w:szCs w:val="20"/>
          <w:color w:val="auto"/>
        </w:rPr>
      </w:pPr>
      <w:r>
        <w:rPr>
          <w:rFonts w:ascii="Courier New" w:cs="Courier New" w:eastAsia="Courier New" w:hAnsi="Courier New"/>
          <w:sz w:val="18"/>
          <w:szCs w:val="18"/>
          <w:color w:val="auto"/>
        </w:rPr>
        <w:t>status................................. (20) (20)</w:t>
      </w:r>
    </w:p>
    <w:p>
      <w:pPr>
        <w:jc w:val="center"/>
        <w:ind w:right="4839"/>
        <w:spacing w:after="0"/>
        <w:rPr>
          <w:sz w:val="20"/>
          <w:szCs w:val="20"/>
          <w:color w:val="auto"/>
        </w:rPr>
      </w:pPr>
      <w:r>
        <w:rPr>
          <w:rFonts w:ascii="Courier New" w:cs="Courier New" w:eastAsia="Courier New" w:hAnsi="Courier New"/>
          <w:sz w:val="18"/>
          <w:szCs w:val="18"/>
          <w:color w:val="auto"/>
        </w:rPr>
        <w:t>(20) Foreign</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30 30 30 Effect of acquisition-related</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costs........................ 33 19 -- --- --- ---</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Effective income tax</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rate.................................. 63% 49% 30%</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fiscal 2001, the Company incurred non-deductible goodwill amortization related to the acquisitions of ITDS and Solect, and in fiscal 2000 also certain non-tax deductible indirect acquisition-related costs. As a result, the Company's effective income tax rate in 2001 and 2000 (based on the ratio between income taxes and income before income taxes, excluding nonrecurring charges for write-offs of purchased in-process research and development and other indirect acquisition-related costs) is significantly higher than the 1999 effective income tax rate.</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As of September 30, 2001, the Company had approximately $60,000 of Canadian net operating loss carry-forwards, most of which were acquired in the Solect transaction. The net operating loss carry-forwards will expire within four to ten years. Given the uncertainty of the realization of these assets through future taxable earnings, a valuation allowance of $27,907 has been recorded.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SHORT-TERM FINANCING ARRANGEMENTS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Company had a revolving line of credit from several commercial banks of up to $100,000, which expired on June 30, 2001.</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According to agreements with several commercial banks, the Company may borrow up to $40,000 under short-term credit lines. The short-term credit lines bear a variable interest rate. For most of fiscal 2001 and as of September 30, 2001, there was no outstanding balance under any of these credit lines.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According to agreements with several commercial banks, the Company may use credit facilities up to $22,600 limited for the use of letters of credit and bank guarantees. As of September 30, 2001, the Company had utilized from these credit facilities and from compensating cash balances approximately $22,900 to support letters of credit and bank guarantees.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Subsequent to the balance sheet date, the Company entered into an additional credit facility limited for the use of bank guaranties and letters of credit totaling $20,000 from a commercial bank.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514" w:right="1440" w:bottom="565"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CONVERTIBLE NOTES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May 2001 the Company issued to qualified institutional buyers $500,000 aggregate principal amount of 2% Convertible Notes due June 1, 2008 (the "Notes"). On September 25, 2001, following a shelf registration on Form F-3, the Notes began trading in the public market. The Company is obligated to pay interest on the Notes semi-annually on June 1 and December 1 of each year. The Notes are senior unsecured obligations of the Company and rank equal in right of payment with all existing and future senior unsecured indebtedness of the Company. The Notes are convertible, at the option of the holders at any time before the maturity date, into Ordinary Shares at a conversion rate of 10.8587 shares per one thousand dollars principal amount, subject to adjustment in certain events. The Notes are subject to redemption at any time on or after June 1, 2006, all or in part, at the option of the Company, at a redemption price of 100% of the principal amount plus accrued and unpaid interest; and are subject to repurchase, at the holders' option, on June 1, 2004 and June 1, 2006, at a repurchase price equal to 100% of the principal amount plus accrued and unpaid interest, if any, on such repurchase date. The Company may choose to pay the repurchase price in cash, Ordinary Shares or a combination of cash and Ordinary Shares. As of September 30, 2001 all of the Notes were outstanding.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OTHER NONCURRENT LIABILITIES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liabilities consist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------------------- 2001 2000 -------</w:t>
      </w:r>
    </w:p>
    <w:p>
      <w:pPr>
        <w:ind w:left="1580"/>
        <w:spacing w:after="0" w:line="238" w:lineRule="auto"/>
        <w:rPr>
          <w:sz w:val="20"/>
          <w:szCs w:val="20"/>
          <w:color w:val="auto"/>
        </w:rPr>
      </w:pPr>
      <w:r>
        <w:rPr>
          <w:rFonts w:ascii="Courier New" w:cs="Courier New" w:eastAsia="Courier New" w:hAnsi="Courier New"/>
          <w:sz w:val="18"/>
          <w:szCs w:val="18"/>
          <w:color w:val="auto"/>
        </w:rPr>
        <w:t>- -------- Accrued personnel</w:t>
      </w:r>
    </w:p>
    <w:p>
      <w:pPr>
        <w:jc w:val="center"/>
        <w:ind w:right="4099"/>
        <w:spacing w:after="0"/>
        <w:rPr>
          <w:sz w:val="20"/>
          <w:szCs w:val="20"/>
          <w:color w:val="auto"/>
        </w:rPr>
      </w:pPr>
      <w:r>
        <w:rPr>
          <w:rFonts w:ascii="Courier New" w:cs="Courier New" w:eastAsia="Courier New" w:hAnsi="Courier New"/>
          <w:sz w:val="18"/>
          <w:szCs w:val="18"/>
          <w:color w:val="auto"/>
        </w:rPr>
        <w:t>costs................................... $62,663 $49,313</w:t>
      </w:r>
    </w:p>
    <w:p>
      <w:pPr>
        <w:jc w:val="center"/>
        <w:ind w:right="4099"/>
        <w:spacing w:after="0" w:line="237" w:lineRule="auto"/>
        <w:rPr>
          <w:sz w:val="20"/>
          <w:szCs w:val="20"/>
          <w:color w:val="auto"/>
        </w:rPr>
      </w:pPr>
      <w:r>
        <w:rPr>
          <w:rFonts w:ascii="Courier New" w:cs="Courier New" w:eastAsia="Courier New" w:hAnsi="Courier New"/>
          <w:sz w:val="18"/>
          <w:szCs w:val="18"/>
          <w:color w:val="auto"/>
        </w:rPr>
        <w:t>Long-term forward exchange</w:t>
      </w:r>
    </w:p>
    <w:p>
      <w:pPr>
        <w:jc w:val="center"/>
        <w:ind w:right="4099"/>
        <w:spacing w:after="0" w:line="238" w:lineRule="auto"/>
        <w:rPr>
          <w:sz w:val="20"/>
          <w:szCs w:val="20"/>
          <w:color w:val="auto"/>
        </w:rPr>
      </w:pPr>
      <w:r>
        <w:rPr>
          <w:rFonts w:ascii="Courier New" w:cs="Courier New" w:eastAsia="Courier New" w:hAnsi="Courier New"/>
          <w:sz w:val="18"/>
          <w:szCs w:val="18"/>
          <w:color w:val="auto"/>
        </w:rPr>
        <w:t>obligations.................... 2,265 2,987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3,252 1,504 ------- ------- $68,180 $53,804 =======</w:t>
      </w:r>
    </w:p>
    <w:p>
      <w:pPr>
        <w:jc w:val="center"/>
        <w:ind w:right="40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INTEREST INCOME (EXPENSE) AND OTHER,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income (expense) and other, net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Interest</w:t>
      </w:r>
    </w:p>
    <w:p>
      <w:pPr>
        <w:jc w:val="center"/>
        <w:ind w:right="579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5799"/>
        <w:spacing w:after="0"/>
        <w:rPr>
          <w:sz w:val="20"/>
          <w:szCs w:val="20"/>
          <w:color w:val="auto"/>
        </w:rPr>
      </w:pPr>
      <w:r>
        <w:rPr>
          <w:rFonts w:ascii="Courier New" w:cs="Courier New" w:eastAsia="Courier New" w:hAnsi="Courier New"/>
          <w:sz w:val="18"/>
          <w:szCs w:val="18"/>
          <w:color w:val="auto"/>
        </w:rPr>
        <w:t>$33,042 $14,274 $ 1,680 Interest</w:t>
      </w:r>
    </w:p>
    <w:p>
      <w:pPr>
        <w:jc w:val="center"/>
        <w:ind w:right="579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5799"/>
        <w:spacing w:after="0" w:line="238" w:lineRule="auto"/>
        <w:rPr>
          <w:sz w:val="20"/>
          <w:szCs w:val="20"/>
          <w:color w:val="auto"/>
        </w:rPr>
      </w:pPr>
      <w:r>
        <w:rPr>
          <w:rFonts w:ascii="Courier New" w:cs="Courier New" w:eastAsia="Courier New" w:hAnsi="Courier New"/>
          <w:sz w:val="18"/>
          <w:szCs w:val="18"/>
          <w:color w:val="auto"/>
        </w:rPr>
        <w:t>(8,678) (2,528) (5,654) Other,</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net.......................................</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(2,078) (1,012) (2,249)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$22,286 $10,734 $(6,223) =======</w:t>
      </w:r>
    </w:p>
    <w:p>
      <w:pPr>
        <w:ind w:left="142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514" w:right="1440" w:bottom="1440"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COMMITMENTS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Company leases office space under non-cancelable operating leases in various countries in which it does business. Future minimum lease payments required for the five-year period beginning October 1, 2001 are as follows: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SEPTEMBER 30, -------</w:t>
      </w:r>
    </w:p>
    <w:p>
      <w:pPr>
        <w:ind w:left="8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2002......................................</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$ 36,407</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2003......................................</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33,915</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2004......................................</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30,596</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2005......................................</w:t>
            </w:r>
          </w:p>
        </w:tc>
      </w:tr>
      <w:tr>
        <w:trPr>
          <w:trHeight w:val="203"/>
        </w:trPr>
        <w:tc>
          <w:tcPr>
            <w:tcW w:w="180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28,750</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2006......................................</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27,050 --------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$156,718 ========</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Rent expense was approximately $31,600, $20,400 and $12,600 for 2001, 2000 and 1999,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EMPLOYEE BENEFITS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other noncurrent liabilities, is partially funded by amounts on deposit with insurance companies, which are included in other noncurrent assets. Severance expenses were approximately $17,242, $17,614 and $9,200 for 2001, 2000 and 1999, respectively.</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sponsors defined contribution plans covering certain employees in the U.S., U.K. and Canada. The plans provide for Company matching contributions based upon a percentage of the employees' voluntary contributions. The Company's 2001, 2000 and 1999 plan contributions were not significant.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CAPITAL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details of the Ordinary Shares outstanding:</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w:t>
      </w:r>
    </w:p>
    <w:p>
      <w:pPr>
        <w:jc w:val="center"/>
        <w:ind w:right="5779"/>
        <w:spacing w:after="0" w:line="238" w:lineRule="auto"/>
        <w:rPr>
          <w:sz w:val="20"/>
          <w:szCs w:val="20"/>
          <w:color w:val="auto"/>
        </w:rPr>
      </w:pPr>
      <w:r>
        <w:rPr>
          <w:rFonts w:ascii="Courier New" w:cs="Courier New" w:eastAsia="Courier New" w:hAnsi="Courier New"/>
          <w:sz w:val="18"/>
          <w:szCs w:val="18"/>
          <w:color w:val="auto"/>
        </w:rPr>
        <w:t>2001 2000 -------- -------- Voting</w:t>
      </w:r>
    </w:p>
    <w:p>
      <w:pPr>
        <w:jc w:val="center"/>
        <w:ind w:right="5779"/>
        <w:spacing w:after="0"/>
        <w:rPr>
          <w:sz w:val="20"/>
          <w:szCs w:val="20"/>
          <w:color w:val="auto"/>
        </w:rPr>
      </w:pPr>
      <w:r>
        <w:rPr>
          <w:rFonts w:ascii="Courier New" w:cs="Courier New" w:eastAsia="Courier New" w:hAnsi="Courier New"/>
          <w:sz w:val="18"/>
          <w:szCs w:val="18"/>
          <w:color w:val="auto"/>
        </w:rPr>
        <w:t>Ordinary</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Shares....................................</w:t>
      </w:r>
    </w:p>
    <w:p>
      <w:pPr>
        <w:spacing w:after="0" w:line="16"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8"/>
          <w:szCs w:val="18"/>
          <w:color w:val="auto"/>
        </w:rPr>
        <w:t>211,849 198,029 Non-Voting Ordinary</w:t>
      </w:r>
    </w:p>
    <w:p>
      <w:pPr>
        <w:jc w:val="center"/>
        <w:ind w:right="57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5779"/>
        <w:spacing w:after="0"/>
        <w:rPr>
          <w:sz w:val="20"/>
          <w:szCs w:val="20"/>
          <w:color w:val="auto"/>
        </w:rPr>
      </w:pPr>
      <w:r>
        <w:rPr>
          <w:rFonts w:ascii="Courier New" w:cs="Courier New" w:eastAsia="Courier New" w:hAnsi="Courier New"/>
          <w:sz w:val="18"/>
          <w:szCs w:val="18"/>
          <w:color w:val="auto"/>
        </w:rPr>
        <w:t>10,779 23,136 ------- ------- 222,628</w:t>
      </w:r>
    </w:p>
    <w:p>
      <w:pPr>
        <w:jc w:val="center"/>
        <w:ind w:right="5779"/>
        <w:spacing w:after="0" w:line="237" w:lineRule="auto"/>
        <w:rPr>
          <w:sz w:val="20"/>
          <w:szCs w:val="20"/>
          <w:color w:val="auto"/>
        </w:rPr>
      </w:pPr>
      <w:r>
        <w:rPr>
          <w:rFonts w:ascii="Courier New" w:cs="Courier New" w:eastAsia="Courier New" w:hAnsi="Courier New"/>
          <w:sz w:val="18"/>
          <w:szCs w:val="18"/>
          <w:color w:val="auto"/>
        </w:rPr>
        <w:t>221,165 ======= =======</w:t>
      </w:r>
    </w:p>
    <w:p>
      <w:pPr>
        <w:spacing w:after="0" w:line="200" w:lineRule="exact"/>
        <w:rPr>
          <w:sz w:val="20"/>
          <w:szCs w:val="20"/>
          <w:color w:val="auto"/>
        </w:rPr>
      </w:pPr>
    </w:p>
    <w:p>
      <w:pPr>
        <w:spacing w:after="0" w:line="210"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All the Non-Voting Ordinary Shares are held by a single shareholder. Under the Company's Articles of Association, upon the transfer or sale of such shares to another party, the shares automatically convert to Voting Ordinary Shares.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capital transactions are described below:</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7, 1999, the Company and certain shareholders of the Company completed a public offering pursuant to which the Company sold 2,000 Ordinary Shares. The net proceeds to the Company, after deduction of underwriting discounts and offering expenses, amounted to $41,384.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514" w:right="1440" w:bottom="1440" w:gutter="0" w:footer="0" w:header="0"/>
        </w:sectPr>
      </w:pPr>
    </w:p>
    <w:bookmarkStart w:id="79" w:name="page80"/>
    <w:bookmarkEnd w:id="7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On November 30, 1999 the Company issued 6,461 Ordinary Shares in connection with the acquisition of ITDS. On April 5, 2000 the Company issued 13,846 exchangeable shares in connection with the acquisition of Solect. See Note 3.</w:t>
      </w:r>
    </w:p>
    <w:p>
      <w:pPr>
        <w:spacing w:after="0" w:line="17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Total proceeds from the exercise of employee stock options amounted to $13,967 and $21,360 in fiscal 2001 and 2000,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STOCK OPTION AND INCENTIVE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1998, the Company first adopted, and in each of January 1999, January 2000 and January 2001 the Company has amended, the Amdocs Limited 1998 Stock Option and Incentive Plan ("the Plan"). Under the provisions of the Plan, 32,300 Ordinary Shares are available to be granted to officers, directors, employees and consultants. Such options fully vest over one to nine years and have a term of ten years.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November 30, 1999, the Company issued additional options to purchase 1,103 Ordinary Shares in connection with the acquisition of ITDS to replace issued ITDS options. On April 5, 2000, the Company issued additional options to purchase 1,654 Ordinary Shares in connection with the acquisition of Solect to replace issued Solect options. See Note 3.</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share options, as well as changes during the years ended September 30, 2001, 2000 and 1999:</w:t>
      </w:r>
    </w:p>
    <w:p>
      <w:pPr>
        <w:spacing w:after="0" w:line="20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WEIGHTED NUMBER OF AVERAGE SHARE EXERCISE OPTIONS PRICE</w:t>
      </w:r>
    </w:p>
    <w:p>
      <w:pPr>
        <w:ind w:left="540"/>
        <w:spacing w:after="0" w:line="238" w:lineRule="auto"/>
        <w:rPr>
          <w:sz w:val="20"/>
          <w:szCs w:val="20"/>
          <w:color w:val="auto"/>
        </w:rPr>
      </w:pPr>
      <w:r>
        <w:rPr>
          <w:rFonts w:ascii="Courier New" w:cs="Courier New" w:eastAsia="Courier New" w:hAnsi="Courier New"/>
          <w:sz w:val="18"/>
          <w:szCs w:val="18"/>
          <w:color w:val="auto"/>
        </w:rPr>
        <w:t>--------- -------- Outstanding as of October 1,</w:t>
      </w:r>
    </w:p>
    <w:tbl>
      <w:tblPr>
        <w:tblLayout w:type="fixed"/>
        <w:tblInd w:w="0" w:type="dxa"/>
        <w:tblCellMar>
          <w:top w:w="0" w:type="dxa"/>
          <w:left w:w="0" w:type="dxa"/>
          <w:bottom w:w="0" w:type="dxa"/>
          <w:right w:w="0" w:type="dxa"/>
        </w:tblCellMar>
      </w:tblP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3,519.6</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$ 3.93</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2,752.6</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21.67</w:t>
            </w:r>
          </w:p>
        </w:tc>
        <w:tc>
          <w:tcPr>
            <w:tcW w:w="142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320" w:type="dxa"/>
            <w:vAlign w:val="bottom"/>
            <w:gridSpan w:val="2"/>
          </w:tcPr>
          <w:p>
            <w:pPr>
              <w:jc w:val="right"/>
              <w:ind w:right="1192"/>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Forfeited................................................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 6.23 --------</w:t>
            </w:r>
          </w:p>
        </w:tc>
        <w:tc>
          <w:tcPr>
            <w:tcW w:w="37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Outstanding as of September 30,</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6,236.9</w:t>
            </w:r>
          </w:p>
        </w:tc>
        <w:tc>
          <w:tcPr>
            <w:tcW w:w="14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11.75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960" w:type="dxa"/>
            <w:vAlign w:val="bottom"/>
            <w:gridSpan w:val="4"/>
          </w:tcPr>
          <w:p>
            <w:pPr>
              <w:jc w:val="right"/>
              <w:ind w:right="1072"/>
              <w:spacing w:after="0" w:line="203" w:lineRule="exact"/>
              <w:rPr>
                <w:sz w:val="20"/>
                <w:szCs w:val="20"/>
                <w:color w:val="auto"/>
              </w:rPr>
            </w:pPr>
            <w:r>
              <w:rPr>
                <w:rFonts w:ascii="Courier New" w:cs="Courier New" w:eastAsia="Courier New" w:hAnsi="Courier New"/>
                <w:sz w:val="18"/>
                <w:szCs w:val="18"/>
                <w:color w:val="auto"/>
              </w:rPr>
              <w:t>4,948.7 52.82 Options exchanged in</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acquisitions........................</w:t>
            </w:r>
          </w:p>
        </w:tc>
        <w:tc>
          <w:tcPr>
            <w:tcW w:w="2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2,756.7 18.24</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(2,057.5)</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10.38</w:t>
            </w:r>
          </w:p>
        </w:tc>
        <w:tc>
          <w:tcPr>
            <w:tcW w:w="142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Forfeited................................................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(656.7) 30.11 --------</w:t>
            </w:r>
          </w:p>
        </w:tc>
        <w:tc>
          <w:tcPr>
            <w:tcW w:w="3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 as of September 30,</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11,228.1</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30.62</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5,745.2</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50.15</w:t>
            </w:r>
          </w:p>
        </w:tc>
        <w:tc>
          <w:tcPr>
            <w:tcW w:w="142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3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w w:val="99"/>
              </w:rPr>
              <w:t>(1,462.8) 9.73</w:t>
            </w:r>
          </w:p>
        </w:tc>
        <w:tc>
          <w:tcPr>
            <w:tcW w:w="142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Forfeited................................................</w:t>
            </w: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(1,359.3) 49.59 --------</w:t>
            </w:r>
          </w:p>
        </w:tc>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Outstanding as of September 30,</w:t>
            </w:r>
          </w:p>
        </w:tc>
      </w:tr>
      <w:tr>
        <w:trPr>
          <w:trHeight w:val="203"/>
        </w:trPr>
        <w:tc>
          <w:tcPr>
            <w:tcW w:w="3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2001.....................</w:t>
            </w: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14,151.2 38.89 ========</w:t>
            </w:r>
          </w:p>
        </w:tc>
      </w:tr>
      <w:tr>
        <w:trPr>
          <w:trHeight w:val="608"/>
        </w:trPr>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F-21</w:t>
            </w:r>
          </w:p>
        </w:tc>
      </w:tr>
    </w:tbl>
    <w:p>
      <w:pPr>
        <w:sectPr>
          <w:pgSz w:w="11900" w:h="16838" w:orient="portrait"/>
          <w:cols w:equalWidth="0" w:num="1">
            <w:col w:w="10219"/>
          </w:cols>
          <w:pgMar w:left="240" w:top="514" w:right="1440" w:bottom="1440" w:gutter="0" w:footer="0" w:header="0"/>
        </w:sectPr>
      </w:pPr>
    </w:p>
    <w:bookmarkStart w:id="80" w:name="page81"/>
    <w:bookmarkEnd w:id="80"/>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share options outstanding as of September 30, 2001:</w:t>
      </w:r>
    </w:p>
    <w:p>
      <w:pPr>
        <w:spacing w:after="0" w:line="20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AS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9059"/>
        <w:spacing w:after="0"/>
        <w:rPr>
          <w:sz w:val="20"/>
          <w:szCs w:val="20"/>
          <w:color w:val="auto"/>
        </w:rPr>
      </w:pPr>
      <w:r>
        <w:rPr>
          <w:rFonts w:ascii="Courier New" w:cs="Courier New" w:eastAsia="Courier New" w:hAnsi="Courier New"/>
          <w:sz w:val="18"/>
          <w:szCs w:val="18"/>
          <w:color w:val="auto"/>
        </w:rPr>
        <w:t>30, 2001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EXERCISABLE</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AS OF</w:t>
      </w:r>
    </w:p>
    <w:p>
      <w:pPr>
        <w:ind w:left="100"/>
        <w:spacing w:after="0" w:line="238" w:lineRule="auto"/>
        <w:rPr>
          <w:sz w:val="20"/>
          <w:szCs w:val="20"/>
          <w:color w:val="auto"/>
        </w:rPr>
      </w:pPr>
      <w:r>
        <w:rPr>
          <w:rFonts w:ascii="Courier New" w:cs="Courier New" w:eastAsia="Courier New" w:hAnsi="Courier New"/>
          <w:sz w:val="18"/>
          <w:szCs w:val="18"/>
          <w:color w:val="auto"/>
        </w:rPr>
        <w:t>SEPTEMBER</w:t>
      </w:r>
    </w:p>
    <w:p>
      <w:pPr>
        <w:ind w:left="60"/>
        <w:spacing w:after="0"/>
        <w:rPr>
          <w:sz w:val="20"/>
          <w:szCs w:val="20"/>
          <w:color w:val="auto"/>
        </w:rPr>
      </w:pPr>
      <w:r>
        <w:rPr>
          <w:rFonts w:ascii="Courier New" w:cs="Courier New" w:eastAsia="Courier New" w:hAnsi="Courier New"/>
          <w:sz w:val="18"/>
          <w:szCs w:val="18"/>
          <w:color w:val="auto"/>
        </w:rPr>
        <w:t>30, 2001 -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hanging="525"/>
        <w:spacing w:after="0"/>
        <w:tabs>
          <w:tab w:leader="none" w:pos="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CONTRACTUAL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LIFE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4" w:lineRule="exact"/>
        <w:rPr>
          <w:rFonts w:ascii="Courier New" w:cs="Courier New" w:eastAsia="Courier New" w:hAnsi="Courier New"/>
          <w:sz w:val="18"/>
          <w:szCs w:val="18"/>
          <w:color w:val="auto"/>
        </w:rPr>
      </w:pPr>
    </w:p>
    <w:p>
      <w:pPr>
        <w:jc w:val="both"/>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(IN YEARS)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4" w:lineRule="exact"/>
        <w:rPr>
          <w:rFonts w:ascii="Courier New" w:cs="Courier New" w:eastAsia="Courier New" w:hAnsi="Courier New"/>
          <w:sz w:val="18"/>
          <w:szCs w:val="18"/>
          <w:color w:val="auto"/>
        </w:rPr>
      </w:pPr>
    </w:p>
    <w:p>
      <w:pPr>
        <w:jc w:val="center"/>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EXERCISABLE EXERCISE PRICE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$ 0 - 3.01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1,507.9</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6.77 $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2.01 553.4</w:t>
      </w:r>
    </w:p>
    <w:p>
      <w:pPr>
        <w:spacing w:after="0" w:line="4" w:lineRule="exact"/>
        <w:rPr>
          <w:rFonts w:ascii="Courier New" w:cs="Courier New" w:eastAsia="Courier New" w:hAnsi="Courier New"/>
          <w:sz w:val="18"/>
          <w:szCs w:val="18"/>
          <w:color w:val="auto"/>
        </w:rPr>
      </w:pPr>
    </w:p>
    <w:p>
      <w:pPr>
        <w:jc w:val="center"/>
        <w:ind w:left="220" w:right="9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$ 2.00 8.75 - 16.75 1,191.6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7.28 11.49</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437.4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20.85 -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27.82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2,068.3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8.15 24.08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272.0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23.05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30.94 -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1,781.5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8.69 34.82</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5.8 31.37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38.30 -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47.25</w:t>
      </w:r>
    </w:p>
    <w:p>
      <w:pPr>
        <w:sectPr>
          <w:pgSz w:w="11900" w:h="16838" w:orient="portrait"/>
          <w:cols w:equalWidth="0" w:num="1">
            <w:col w:w="10219"/>
          </w:cols>
          <w:pgMar w:left="240" w:top="514" w:right="1440" w:bottom="0" w:gutter="0" w:footer="0" w:header="0"/>
        </w:sectPr>
      </w:pPr>
    </w:p>
    <w:bookmarkStart w:id="81" w:name="page82"/>
    <w:bookmarkEnd w:id="81"/>
    <w:p>
      <w:pPr>
        <w:jc w:val="center"/>
        <w:ind w:right="9059"/>
        <w:spacing w:after="0"/>
        <w:rPr>
          <w:sz w:val="20"/>
          <w:szCs w:val="20"/>
          <w:color w:val="auto"/>
        </w:rPr>
      </w:pPr>
      <w:r>
        <w:rPr>
          <w:rFonts w:ascii="Courier New" w:cs="Courier New" w:eastAsia="Courier New" w:hAnsi="Courier New"/>
          <w:sz w:val="18"/>
          <w:szCs w:val="18"/>
          <w:color w:val="auto"/>
        </w:rPr>
        <w:t>2,322.1</w:t>
      </w:r>
    </w:p>
    <w:p>
      <w:pPr>
        <w:jc w:val="center"/>
        <w:ind w:right="9059"/>
        <w:spacing w:after="0" w:line="238" w:lineRule="auto"/>
        <w:rPr>
          <w:sz w:val="20"/>
          <w:szCs w:val="20"/>
          <w:color w:val="auto"/>
        </w:rPr>
      </w:pPr>
      <w:r>
        <w:rPr>
          <w:rFonts w:ascii="Courier New" w:cs="Courier New" w:eastAsia="Courier New" w:hAnsi="Courier New"/>
          <w:sz w:val="18"/>
          <w:szCs w:val="18"/>
          <w:color w:val="auto"/>
        </w:rPr>
        <w:t>9.43 43.61</w:t>
      </w:r>
    </w:p>
    <w:p>
      <w:pPr>
        <w:jc w:val="center"/>
        <w:ind w:right="9059"/>
        <w:spacing w:after="0"/>
        <w:rPr>
          <w:sz w:val="20"/>
          <w:szCs w:val="20"/>
          <w:color w:val="auto"/>
        </w:rPr>
      </w:pPr>
      <w:r>
        <w:rPr>
          <w:rFonts w:ascii="Courier New" w:cs="Courier New" w:eastAsia="Courier New" w:hAnsi="Courier New"/>
          <w:sz w:val="18"/>
          <w:szCs w:val="18"/>
          <w:color w:val="auto"/>
        </w:rPr>
        <w:t>101.0</w:t>
      </w:r>
    </w:p>
    <w:p>
      <w:pPr>
        <w:jc w:val="center"/>
        <w:ind w:right="9059"/>
        <w:spacing w:after="0" w:line="237" w:lineRule="auto"/>
        <w:rPr>
          <w:sz w:val="20"/>
          <w:szCs w:val="20"/>
          <w:color w:val="auto"/>
        </w:rPr>
      </w:pPr>
      <w:r>
        <w:rPr>
          <w:rFonts w:ascii="Courier New" w:cs="Courier New" w:eastAsia="Courier New" w:hAnsi="Courier New"/>
          <w:sz w:val="18"/>
          <w:szCs w:val="18"/>
          <w:color w:val="auto"/>
        </w:rPr>
        <w:t>41.05</w:t>
      </w:r>
    </w:p>
    <w:p>
      <w:pPr>
        <w:jc w:val="center"/>
        <w:ind w:right="9059"/>
        <w:spacing w:after="0" w:line="238" w:lineRule="auto"/>
        <w:rPr>
          <w:sz w:val="20"/>
          <w:szCs w:val="20"/>
          <w:color w:val="auto"/>
        </w:rPr>
      </w:pPr>
      <w:r>
        <w:rPr>
          <w:rFonts w:ascii="Courier New" w:cs="Courier New" w:eastAsia="Courier New" w:hAnsi="Courier New"/>
          <w:sz w:val="18"/>
          <w:szCs w:val="18"/>
          <w:color w:val="auto"/>
        </w:rPr>
        <w:t>47.90 -</w:t>
      </w:r>
    </w:p>
    <w:p>
      <w:pPr>
        <w:jc w:val="center"/>
        <w:ind w:right="9059"/>
        <w:spacing w:after="0"/>
        <w:rPr>
          <w:sz w:val="20"/>
          <w:szCs w:val="20"/>
          <w:color w:val="auto"/>
        </w:rPr>
      </w:pPr>
      <w:r>
        <w:rPr>
          <w:rFonts w:ascii="Courier New" w:cs="Courier New" w:eastAsia="Courier New" w:hAnsi="Courier New"/>
          <w:sz w:val="18"/>
          <w:szCs w:val="18"/>
          <w:color w:val="auto"/>
        </w:rPr>
        <w:t>65.01</w:t>
      </w:r>
    </w:p>
    <w:p>
      <w:pPr>
        <w:jc w:val="center"/>
        <w:ind w:right="9059"/>
        <w:spacing w:after="0" w:line="237" w:lineRule="auto"/>
        <w:rPr>
          <w:sz w:val="20"/>
          <w:szCs w:val="20"/>
          <w:color w:val="auto"/>
        </w:rPr>
      </w:pPr>
      <w:r>
        <w:rPr>
          <w:rFonts w:ascii="Courier New" w:cs="Courier New" w:eastAsia="Courier New" w:hAnsi="Courier New"/>
          <w:sz w:val="18"/>
          <w:szCs w:val="18"/>
          <w:color w:val="auto"/>
        </w:rPr>
        <w:t>4,356.4</w:t>
      </w:r>
    </w:p>
    <w:p>
      <w:pPr>
        <w:jc w:val="center"/>
        <w:ind w:right="9059"/>
        <w:spacing w:after="0"/>
        <w:rPr>
          <w:sz w:val="20"/>
          <w:szCs w:val="20"/>
          <w:color w:val="auto"/>
        </w:rPr>
      </w:pPr>
      <w:r>
        <w:rPr>
          <w:rFonts w:ascii="Courier New" w:cs="Courier New" w:eastAsia="Courier New" w:hAnsi="Courier New"/>
          <w:sz w:val="18"/>
          <w:szCs w:val="18"/>
          <w:color w:val="auto"/>
        </w:rPr>
        <w:t>8.94 59.11</w:t>
      </w:r>
    </w:p>
    <w:p>
      <w:pPr>
        <w:jc w:val="center"/>
        <w:ind w:right="9059"/>
        <w:spacing w:after="0" w:line="237" w:lineRule="auto"/>
        <w:rPr>
          <w:sz w:val="20"/>
          <w:szCs w:val="20"/>
          <w:color w:val="auto"/>
        </w:rPr>
      </w:pPr>
      <w:r>
        <w:rPr>
          <w:rFonts w:ascii="Courier New" w:cs="Courier New" w:eastAsia="Courier New" w:hAnsi="Courier New"/>
          <w:sz w:val="18"/>
          <w:szCs w:val="18"/>
          <w:color w:val="auto"/>
        </w:rPr>
        <w:t>190.7</w:t>
      </w:r>
    </w:p>
    <w:p>
      <w:pPr>
        <w:jc w:val="center"/>
        <w:ind w:right="9059"/>
        <w:spacing w:after="0"/>
        <w:rPr>
          <w:sz w:val="20"/>
          <w:szCs w:val="20"/>
          <w:color w:val="auto"/>
        </w:rPr>
      </w:pPr>
      <w:r>
        <w:rPr>
          <w:rFonts w:ascii="Courier New" w:cs="Courier New" w:eastAsia="Courier New" w:hAnsi="Courier New"/>
          <w:sz w:val="18"/>
          <w:szCs w:val="18"/>
          <w:color w:val="auto"/>
        </w:rPr>
        <w:t>62.95</w:t>
      </w:r>
    </w:p>
    <w:p>
      <w:pPr>
        <w:jc w:val="center"/>
        <w:ind w:right="9059"/>
        <w:spacing w:after="0" w:line="237" w:lineRule="auto"/>
        <w:rPr>
          <w:sz w:val="20"/>
          <w:szCs w:val="20"/>
          <w:color w:val="auto"/>
        </w:rPr>
      </w:pPr>
      <w:r>
        <w:rPr>
          <w:rFonts w:ascii="Courier New" w:cs="Courier New" w:eastAsia="Courier New" w:hAnsi="Courier New"/>
          <w:sz w:val="18"/>
          <w:szCs w:val="18"/>
          <w:color w:val="auto"/>
        </w:rPr>
        <w:t>65.25 -</w:t>
      </w:r>
    </w:p>
    <w:p>
      <w:pPr>
        <w:jc w:val="center"/>
        <w:ind w:right="9059"/>
        <w:spacing w:after="0" w:line="238" w:lineRule="auto"/>
        <w:rPr>
          <w:sz w:val="20"/>
          <w:szCs w:val="20"/>
          <w:color w:val="auto"/>
        </w:rPr>
      </w:pPr>
      <w:r>
        <w:rPr>
          <w:rFonts w:ascii="Courier New" w:cs="Courier New" w:eastAsia="Courier New" w:hAnsi="Courier New"/>
          <w:sz w:val="18"/>
          <w:szCs w:val="18"/>
          <w:color w:val="auto"/>
        </w:rPr>
        <w:t>93.49</w:t>
      </w:r>
    </w:p>
    <w:p>
      <w:pPr>
        <w:jc w:val="center"/>
        <w:ind w:right="9059"/>
        <w:spacing w:after="0"/>
        <w:rPr>
          <w:sz w:val="20"/>
          <w:szCs w:val="20"/>
          <w:color w:val="auto"/>
        </w:rPr>
      </w:pPr>
      <w:r>
        <w:rPr>
          <w:rFonts w:ascii="Courier New" w:cs="Courier New" w:eastAsia="Courier New" w:hAnsi="Courier New"/>
          <w:sz w:val="18"/>
          <w:szCs w:val="18"/>
          <w:color w:val="auto"/>
        </w:rPr>
        <w:t>923.4 8.81</w:t>
      </w:r>
    </w:p>
    <w:p>
      <w:pPr>
        <w:jc w:val="center"/>
        <w:ind w:right="9059"/>
        <w:spacing w:after="0" w:line="237" w:lineRule="auto"/>
        <w:rPr>
          <w:sz w:val="20"/>
          <w:szCs w:val="20"/>
          <w:color w:val="auto"/>
        </w:rPr>
      </w:pPr>
      <w:r>
        <w:rPr>
          <w:rFonts w:ascii="Courier New" w:cs="Courier New" w:eastAsia="Courier New" w:hAnsi="Courier New"/>
          <w:sz w:val="18"/>
          <w:szCs w:val="18"/>
          <w:color w:val="auto"/>
        </w:rPr>
        <w:t>71.34 37.9</w:t>
      </w:r>
    </w:p>
    <w:p>
      <w:pPr>
        <w:jc w:val="center"/>
        <w:ind w:right="9059"/>
        <w:spacing w:after="0"/>
        <w:rPr>
          <w:sz w:val="20"/>
          <w:szCs w:val="20"/>
          <w:color w:val="auto"/>
        </w:rPr>
      </w:pPr>
      <w:r>
        <w:rPr>
          <w:rFonts w:ascii="Courier New" w:cs="Courier New" w:eastAsia="Courier New" w:hAnsi="Courier New"/>
          <w:sz w:val="18"/>
          <w:szCs w:val="18"/>
          <w:color w:val="auto"/>
        </w:rPr>
        <w:t>71.96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share options outstanding as of September 30, 2000:</w:t>
      </w:r>
    </w:p>
    <w:p>
      <w:pPr>
        <w:spacing w:after="0" w:line="20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AS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9059"/>
        <w:spacing w:after="0"/>
        <w:rPr>
          <w:sz w:val="20"/>
          <w:szCs w:val="20"/>
          <w:color w:val="auto"/>
        </w:rPr>
      </w:pPr>
      <w:r>
        <w:rPr>
          <w:rFonts w:ascii="Courier New" w:cs="Courier New" w:eastAsia="Courier New" w:hAnsi="Courier New"/>
          <w:sz w:val="18"/>
          <w:szCs w:val="18"/>
          <w:color w:val="auto"/>
        </w:rPr>
        <w:t>30, 2000</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EXERCISABLE</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AS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9059"/>
        <w:spacing w:after="0"/>
        <w:rPr>
          <w:sz w:val="20"/>
          <w:szCs w:val="20"/>
          <w:color w:val="auto"/>
        </w:rPr>
      </w:pPr>
      <w:r>
        <w:rPr>
          <w:rFonts w:ascii="Courier New" w:cs="Courier New" w:eastAsia="Courier New" w:hAnsi="Courier New"/>
          <w:sz w:val="18"/>
          <w:szCs w:val="18"/>
          <w:color w:val="auto"/>
        </w:rPr>
        <w:t>30, 2000 -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hanging="525"/>
        <w:spacing w:after="0"/>
        <w:tabs>
          <w:tab w:leader="none" w:pos="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CONTRACTUAL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LIFE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4" w:lineRule="exact"/>
        <w:rPr>
          <w:rFonts w:ascii="Courier New" w:cs="Courier New" w:eastAsia="Courier New" w:hAnsi="Courier New"/>
          <w:sz w:val="18"/>
          <w:szCs w:val="18"/>
          <w:color w:val="auto"/>
        </w:rPr>
      </w:pPr>
    </w:p>
    <w:p>
      <w:pPr>
        <w:jc w:val="both"/>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(IN YEARS)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4" w:lineRule="exact"/>
        <w:rPr>
          <w:rFonts w:ascii="Courier New" w:cs="Courier New" w:eastAsia="Courier New" w:hAnsi="Courier New"/>
          <w:sz w:val="18"/>
          <w:szCs w:val="18"/>
          <w:color w:val="auto"/>
        </w:rPr>
      </w:pPr>
    </w:p>
    <w:p>
      <w:pPr>
        <w:jc w:val="center"/>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EXERCISABLE EXERCISE PRICE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$ 0 - 3.01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2,384.4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7.68 $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1.92 640.7</w:t>
      </w:r>
    </w:p>
    <w:p>
      <w:pPr>
        <w:spacing w:after="0" w:line="4" w:lineRule="exact"/>
        <w:rPr>
          <w:rFonts w:ascii="Courier New" w:cs="Courier New" w:eastAsia="Courier New" w:hAnsi="Courier New"/>
          <w:sz w:val="18"/>
          <w:szCs w:val="18"/>
          <w:color w:val="auto"/>
        </w:rPr>
      </w:pPr>
    </w:p>
    <w:p>
      <w:pPr>
        <w:jc w:val="center"/>
        <w:ind w:left="220" w:right="9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$ 1.85 8.75 - 16.75 1,659.3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8.22 11.39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261.5 9.27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18.70 -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28.05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1,990.5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8.72 23.56</w:t>
      </w:r>
    </w:p>
    <w:p>
      <w:pPr>
        <w:sectPr>
          <w:pgSz w:w="11900" w:h="16838" w:orient="portrait"/>
          <w:cols w:equalWidth="0" w:num="1">
            <w:col w:w="10219"/>
          </w:cols>
          <w:pgMar w:left="240" w:top="136" w:right="1440" w:bottom="0" w:gutter="0" w:footer="0" w:header="0"/>
        </w:sectPr>
      </w:pPr>
    </w:p>
    <w:bookmarkStart w:id="82" w:name="page83"/>
    <w:bookmarkEnd w:id="82"/>
    <w:p>
      <w:pPr>
        <w:jc w:val="center"/>
        <w:ind w:right="9059"/>
        <w:spacing w:after="0"/>
        <w:rPr>
          <w:sz w:val="20"/>
          <w:szCs w:val="20"/>
          <w:color w:val="auto"/>
        </w:rPr>
      </w:pPr>
      <w:r>
        <w:rPr>
          <w:rFonts w:ascii="Courier New" w:cs="Courier New" w:eastAsia="Courier New" w:hAnsi="Courier New"/>
          <w:sz w:val="18"/>
          <w:szCs w:val="18"/>
          <w:color w:val="auto"/>
        </w:rPr>
        <w:t>88.3 24.37</w:t>
      </w:r>
    </w:p>
    <w:p>
      <w:pPr>
        <w:jc w:val="center"/>
        <w:ind w:right="9059"/>
        <w:spacing w:after="0" w:line="238" w:lineRule="auto"/>
        <w:rPr>
          <w:sz w:val="20"/>
          <w:szCs w:val="20"/>
          <w:color w:val="auto"/>
        </w:rPr>
      </w:pPr>
      <w:r>
        <w:rPr>
          <w:rFonts w:ascii="Courier New" w:cs="Courier New" w:eastAsia="Courier New" w:hAnsi="Courier New"/>
          <w:sz w:val="18"/>
          <w:szCs w:val="18"/>
          <w:color w:val="auto"/>
        </w:rPr>
        <w:t>28.06 -</w:t>
      </w:r>
    </w:p>
    <w:p>
      <w:pPr>
        <w:jc w:val="center"/>
        <w:ind w:right="9059"/>
        <w:spacing w:after="0"/>
        <w:rPr>
          <w:sz w:val="20"/>
          <w:szCs w:val="20"/>
          <w:color w:val="auto"/>
        </w:rPr>
      </w:pPr>
      <w:r>
        <w:rPr>
          <w:rFonts w:ascii="Courier New" w:cs="Courier New" w:eastAsia="Courier New" w:hAnsi="Courier New"/>
          <w:sz w:val="18"/>
          <w:szCs w:val="18"/>
          <w:color w:val="auto"/>
        </w:rPr>
        <w:t>37.40</w:t>
      </w:r>
    </w:p>
    <w:p>
      <w:pPr>
        <w:jc w:val="center"/>
        <w:ind w:right="9059"/>
        <w:spacing w:after="0" w:line="237" w:lineRule="auto"/>
        <w:rPr>
          <w:sz w:val="20"/>
          <w:szCs w:val="20"/>
          <w:color w:val="auto"/>
        </w:rPr>
      </w:pPr>
      <w:r>
        <w:rPr>
          <w:rFonts w:ascii="Courier New" w:cs="Courier New" w:eastAsia="Courier New" w:hAnsi="Courier New"/>
          <w:sz w:val="18"/>
          <w:szCs w:val="18"/>
          <w:color w:val="auto"/>
        </w:rPr>
        <w:t>1,452.3</w:t>
      </w:r>
    </w:p>
    <w:p>
      <w:pPr>
        <w:jc w:val="center"/>
        <w:ind w:right="9059"/>
        <w:spacing w:after="0" w:line="238" w:lineRule="auto"/>
        <w:rPr>
          <w:sz w:val="20"/>
          <w:szCs w:val="20"/>
          <w:color w:val="auto"/>
        </w:rPr>
      </w:pPr>
      <w:r>
        <w:rPr>
          <w:rFonts w:ascii="Courier New" w:cs="Courier New" w:eastAsia="Courier New" w:hAnsi="Courier New"/>
          <w:sz w:val="18"/>
          <w:szCs w:val="18"/>
          <w:color w:val="auto"/>
        </w:rPr>
        <w:t>9.15 33.63</w:t>
      </w:r>
    </w:p>
    <w:p>
      <w:pPr>
        <w:jc w:val="center"/>
        <w:ind w:right="9059"/>
        <w:spacing w:after="0"/>
        <w:rPr>
          <w:sz w:val="20"/>
          <w:szCs w:val="20"/>
          <w:color w:val="auto"/>
        </w:rPr>
      </w:pPr>
      <w:r>
        <w:rPr>
          <w:rFonts w:ascii="Courier New" w:cs="Courier New" w:eastAsia="Courier New" w:hAnsi="Courier New"/>
          <w:sz w:val="18"/>
          <w:szCs w:val="18"/>
          <w:color w:val="auto"/>
        </w:rPr>
        <w:t>20.1 31.63</w:t>
      </w:r>
    </w:p>
    <w:p>
      <w:pPr>
        <w:jc w:val="center"/>
        <w:ind w:right="9059"/>
        <w:spacing w:after="0" w:line="237" w:lineRule="auto"/>
        <w:rPr>
          <w:sz w:val="20"/>
          <w:szCs w:val="20"/>
          <w:color w:val="auto"/>
        </w:rPr>
      </w:pPr>
      <w:r>
        <w:rPr>
          <w:rFonts w:ascii="Courier New" w:cs="Courier New" w:eastAsia="Courier New" w:hAnsi="Courier New"/>
          <w:sz w:val="18"/>
          <w:szCs w:val="18"/>
          <w:color w:val="auto"/>
        </w:rPr>
        <w:t>37.41 -</w:t>
      </w:r>
    </w:p>
    <w:p>
      <w:pPr>
        <w:jc w:val="center"/>
        <w:ind w:right="9059"/>
        <w:spacing w:after="0"/>
        <w:rPr>
          <w:sz w:val="20"/>
          <w:szCs w:val="20"/>
          <w:color w:val="auto"/>
        </w:rPr>
      </w:pPr>
      <w:r>
        <w:rPr>
          <w:rFonts w:ascii="Courier New" w:cs="Courier New" w:eastAsia="Courier New" w:hAnsi="Courier New"/>
          <w:sz w:val="18"/>
          <w:szCs w:val="18"/>
          <w:color w:val="auto"/>
        </w:rPr>
        <w:t>46.74</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205.9 7.10</w:t>
      </w:r>
    </w:p>
    <w:p>
      <w:pPr>
        <w:jc w:val="center"/>
        <w:ind w:right="9059"/>
        <w:spacing w:after="0"/>
        <w:rPr>
          <w:sz w:val="20"/>
          <w:szCs w:val="20"/>
          <w:color w:val="auto"/>
        </w:rPr>
      </w:pPr>
      <w:r>
        <w:rPr>
          <w:rFonts w:ascii="Courier New" w:cs="Courier New" w:eastAsia="Courier New" w:hAnsi="Courier New"/>
          <w:sz w:val="18"/>
          <w:szCs w:val="18"/>
          <w:color w:val="auto"/>
        </w:rPr>
        <w:t>41.39</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125.9</w:t>
      </w:r>
    </w:p>
    <w:p>
      <w:pPr>
        <w:jc w:val="center"/>
        <w:ind w:right="9059"/>
        <w:spacing w:after="0" w:line="238" w:lineRule="auto"/>
        <w:rPr>
          <w:sz w:val="20"/>
          <w:szCs w:val="20"/>
          <w:color w:val="auto"/>
        </w:rPr>
      </w:pPr>
      <w:r>
        <w:rPr>
          <w:rFonts w:ascii="Courier New" w:cs="Courier New" w:eastAsia="Courier New" w:hAnsi="Courier New"/>
          <w:sz w:val="18"/>
          <w:szCs w:val="18"/>
          <w:color w:val="auto"/>
        </w:rPr>
        <w:t>41.74</w:t>
      </w:r>
    </w:p>
    <w:p>
      <w:pPr>
        <w:jc w:val="center"/>
        <w:ind w:right="9059"/>
        <w:spacing w:after="0"/>
        <w:rPr>
          <w:sz w:val="20"/>
          <w:szCs w:val="20"/>
          <w:color w:val="auto"/>
        </w:rPr>
      </w:pPr>
      <w:r>
        <w:rPr>
          <w:rFonts w:ascii="Courier New" w:cs="Courier New" w:eastAsia="Courier New" w:hAnsi="Courier New"/>
          <w:sz w:val="18"/>
          <w:szCs w:val="18"/>
          <w:color w:val="auto"/>
        </w:rPr>
        <w:t>53.19 -</w:t>
      </w:r>
    </w:p>
    <w:p>
      <w:pPr>
        <w:jc w:val="center"/>
        <w:ind w:right="9059"/>
        <w:spacing w:after="0" w:line="237" w:lineRule="auto"/>
        <w:rPr>
          <w:sz w:val="20"/>
          <w:szCs w:val="20"/>
          <w:color w:val="auto"/>
        </w:rPr>
      </w:pPr>
      <w:r>
        <w:rPr>
          <w:rFonts w:ascii="Courier New" w:cs="Courier New" w:eastAsia="Courier New" w:hAnsi="Courier New"/>
          <w:sz w:val="18"/>
          <w:szCs w:val="18"/>
          <w:color w:val="auto"/>
        </w:rPr>
        <w:t>65.44</w:t>
      </w:r>
    </w:p>
    <w:p>
      <w:pPr>
        <w:jc w:val="center"/>
        <w:ind w:right="9059"/>
        <w:spacing w:after="0"/>
        <w:rPr>
          <w:sz w:val="20"/>
          <w:szCs w:val="20"/>
          <w:color w:val="auto"/>
        </w:rPr>
      </w:pPr>
      <w:r>
        <w:rPr>
          <w:rFonts w:ascii="Courier New" w:cs="Courier New" w:eastAsia="Courier New" w:hAnsi="Courier New"/>
          <w:sz w:val="18"/>
          <w:szCs w:val="18"/>
          <w:color w:val="auto"/>
        </w:rPr>
        <w:t>2,678.5</w:t>
      </w:r>
    </w:p>
    <w:p>
      <w:pPr>
        <w:jc w:val="center"/>
        <w:ind w:right="9059"/>
        <w:spacing w:after="0" w:line="237" w:lineRule="auto"/>
        <w:rPr>
          <w:sz w:val="20"/>
          <w:szCs w:val="20"/>
          <w:color w:val="auto"/>
        </w:rPr>
      </w:pPr>
      <w:r>
        <w:rPr>
          <w:rFonts w:ascii="Courier New" w:cs="Courier New" w:eastAsia="Courier New" w:hAnsi="Courier New"/>
          <w:sz w:val="18"/>
          <w:szCs w:val="18"/>
          <w:color w:val="auto"/>
        </w:rPr>
        <w:t>9.74 59.09</w:t>
      </w:r>
    </w:p>
    <w:p>
      <w:pPr>
        <w:jc w:val="center"/>
        <w:ind w:right="9059"/>
        <w:spacing w:after="0"/>
        <w:rPr>
          <w:sz w:val="20"/>
          <w:szCs w:val="20"/>
          <w:color w:val="auto"/>
        </w:rPr>
      </w:pPr>
      <w:r>
        <w:rPr>
          <w:rFonts w:ascii="Courier New" w:cs="Courier New" w:eastAsia="Courier New" w:hAnsi="Courier New"/>
          <w:sz w:val="18"/>
          <w:szCs w:val="18"/>
          <w:color w:val="auto"/>
        </w:rPr>
        <w:t>44.8 64.32</w:t>
      </w:r>
    </w:p>
    <w:p>
      <w:pPr>
        <w:jc w:val="center"/>
        <w:ind w:right="9059"/>
        <w:spacing w:after="0" w:line="237" w:lineRule="auto"/>
        <w:rPr>
          <w:sz w:val="20"/>
          <w:szCs w:val="20"/>
          <w:color w:val="auto"/>
        </w:rPr>
      </w:pPr>
      <w:r>
        <w:rPr>
          <w:rFonts w:ascii="Courier New" w:cs="Courier New" w:eastAsia="Courier New" w:hAnsi="Courier New"/>
          <w:sz w:val="18"/>
          <w:szCs w:val="18"/>
          <w:color w:val="auto"/>
        </w:rPr>
        <w:t>65.45 -</w:t>
      </w:r>
    </w:p>
    <w:p>
      <w:pPr>
        <w:jc w:val="center"/>
        <w:ind w:right="9059"/>
        <w:spacing w:after="0" w:line="238" w:lineRule="auto"/>
        <w:rPr>
          <w:sz w:val="20"/>
          <w:szCs w:val="20"/>
          <w:color w:val="auto"/>
        </w:rPr>
      </w:pPr>
      <w:r>
        <w:rPr>
          <w:rFonts w:ascii="Courier New" w:cs="Courier New" w:eastAsia="Courier New" w:hAnsi="Courier New"/>
          <w:sz w:val="18"/>
          <w:szCs w:val="18"/>
          <w:color w:val="auto"/>
        </w:rPr>
        <w:t>93.49</w:t>
      </w:r>
    </w:p>
    <w:p>
      <w:pPr>
        <w:jc w:val="center"/>
        <w:ind w:right="9059"/>
        <w:spacing w:after="0"/>
        <w:rPr>
          <w:sz w:val="20"/>
          <w:szCs w:val="20"/>
          <w:color w:val="auto"/>
        </w:rPr>
      </w:pPr>
      <w:r>
        <w:rPr>
          <w:rFonts w:ascii="Courier New" w:cs="Courier New" w:eastAsia="Courier New" w:hAnsi="Courier New"/>
          <w:sz w:val="18"/>
          <w:szCs w:val="18"/>
          <w:color w:val="auto"/>
        </w:rPr>
        <w:t>857.2 9.51</w:t>
      </w:r>
    </w:p>
    <w:p>
      <w:pPr>
        <w:jc w:val="center"/>
        <w:ind w:right="9059"/>
        <w:spacing w:after="0" w:line="237" w:lineRule="auto"/>
        <w:rPr>
          <w:sz w:val="20"/>
          <w:szCs w:val="20"/>
          <w:color w:val="auto"/>
        </w:rPr>
      </w:pPr>
      <w:r>
        <w:rPr>
          <w:rFonts w:ascii="Courier New" w:cs="Courier New" w:eastAsia="Courier New" w:hAnsi="Courier New"/>
          <w:sz w:val="18"/>
          <w:szCs w:val="18"/>
          <w:color w:val="auto"/>
        </w:rPr>
        <w:t>70.82</w:t>
      </w:r>
    </w:p>
    <w:p>
      <w:pPr>
        <w:jc w:val="center"/>
        <w:ind w:right="9059"/>
        <w:spacing w:after="0"/>
        <w:rPr>
          <w:sz w:val="20"/>
          <w:szCs w:val="20"/>
          <w:color w:val="auto"/>
        </w:rPr>
      </w:pPr>
      <w:r>
        <w:rPr>
          <w:rFonts w:ascii="Courier New" w:cs="Courier New" w:eastAsia="Courier New" w:hAnsi="Courier New"/>
          <w:sz w:val="18"/>
          <w:szCs w:val="18"/>
          <w:color w:val="auto"/>
        </w:rPr>
        <w:t>100.3</w:t>
      </w:r>
    </w:p>
    <w:p>
      <w:pPr>
        <w:jc w:val="center"/>
        <w:ind w:right="9059"/>
        <w:spacing w:after="0" w:line="237" w:lineRule="auto"/>
        <w:rPr>
          <w:sz w:val="20"/>
          <w:szCs w:val="20"/>
          <w:color w:val="auto"/>
        </w:rPr>
      </w:pPr>
      <w:r>
        <w:rPr>
          <w:rFonts w:ascii="Courier New" w:cs="Courier New" w:eastAsia="Courier New" w:hAnsi="Courier New"/>
          <w:sz w:val="18"/>
          <w:szCs w:val="18"/>
          <w:color w:val="auto"/>
        </w:rPr>
        <w:t>71.96</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weighted average grant-date fair value of the 5,754.2 and 4,948.7 options granted amounted to $23.07 and $35.71 for 2001 and 2000, respectively, per option. The Company utilized the Black-Scholes option-pricing model to estimate fair value, utilizing the following assumptions for the year (all in weighted averages):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160" w:right="6479" w:firstLine="107"/>
        <w:spacing w:after="0" w:line="268" w:lineRule="auto"/>
        <w:tabs>
          <w:tab w:leader="none" w:pos="47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Risk-free interest rate..............................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5.15% 5.75% 5.31% Expected life of</w:t>
      </w:r>
    </w:p>
    <w:p>
      <w:pPr>
        <w:ind w:left="60"/>
        <w:spacing w:after="0"/>
        <w:rPr>
          <w:sz w:val="20"/>
          <w:szCs w:val="20"/>
          <w:color w:val="auto"/>
        </w:rPr>
      </w:pPr>
      <w:r>
        <w:rPr>
          <w:rFonts w:ascii="Courier New" w:cs="Courier New" w:eastAsia="Courier New" w:hAnsi="Courier New"/>
          <w:sz w:val="18"/>
          <w:szCs w:val="18"/>
          <w:color w:val="auto"/>
        </w:rPr>
        <w:t>options.............................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9.52 9.51 7.3 Expected annual</w:t>
      </w:r>
    </w:p>
    <w:p>
      <w:pPr>
        <w:spacing w:after="0" w:line="238" w:lineRule="auto"/>
        <w:rPr>
          <w:sz w:val="20"/>
          <w:szCs w:val="20"/>
          <w:color w:val="auto"/>
        </w:rPr>
      </w:pPr>
      <w:r>
        <w:rPr>
          <w:rFonts w:ascii="Courier New" w:cs="Courier New" w:eastAsia="Courier New" w:hAnsi="Courier New"/>
          <w:sz w:val="18"/>
          <w:szCs w:val="18"/>
          <w:color w:val="auto"/>
        </w:rPr>
        <w:t>volatility...........................</w:t>
      </w:r>
    </w:p>
    <w:p>
      <w:pPr>
        <w:ind w:left="100"/>
        <w:spacing w:after="0"/>
        <w:rPr>
          <w:sz w:val="20"/>
          <w:szCs w:val="20"/>
          <w:color w:val="auto"/>
        </w:rPr>
      </w:pPr>
      <w:r>
        <w:rPr>
          <w:rFonts w:ascii="Courier New" w:cs="Courier New" w:eastAsia="Courier New" w:hAnsi="Courier New"/>
          <w:sz w:val="18"/>
          <w:szCs w:val="18"/>
          <w:color w:val="auto"/>
        </w:rPr>
        <w:t>0.660 1.086 0.550 Expected dividend</w:t>
      </w:r>
    </w:p>
    <w:p>
      <w:pPr>
        <w:ind w:left="100"/>
        <w:spacing w:after="0" w:line="237" w:lineRule="auto"/>
        <w:rPr>
          <w:sz w:val="20"/>
          <w:szCs w:val="20"/>
          <w:color w:val="auto"/>
        </w:rPr>
      </w:pPr>
      <w:r>
        <w:rPr>
          <w:rFonts w:ascii="Courier New" w:cs="Courier New" w:eastAsia="Courier New" w:hAnsi="Courier New"/>
          <w:sz w:val="18"/>
          <w:szCs w:val="18"/>
          <w:color w:val="auto"/>
        </w:rPr>
        <w:t>yield..............................</w:t>
      </w:r>
    </w:p>
    <w:p>
      <w:pPr>
        <w:ind w:left="1220"/>
        <w:spacing w:after="0"/>
        <w:rPr>
          <w:sz w:val="20"/>
          <w:szCs w:val="20"/>
          <w:color w:val="auto"/>
        </w:rPr>
      </w:pPr>
      <w:r>
        <w:rPr>
          <w:rFonts w:ascii="Courier New" w:cs="Courier New" w:eastAsia="Courier New" w:hAnsi="Courier New"/>
          <w:sz w:val="18"/>
          <w:szCs w:val="18"/>
          <w:color w:val="auto"/>
        </w:rPr>
        <w:t>None None None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136" w:right="1440" w:bottom="1440" w:gutter="0" w:footer="0" w:header="0"/>
        </w:sectPr>
      </w:pPr>
    </w:p>
    <w:bookmarkStart w:id="83" w:name="page84"/>
    <w:bookmarkEnd w:id="8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Had compensation cost for the Company's options been determined based on fair value at the grant dates for awards made in 2001, 2000 and 1999 in accordance with SFAS 123, the Company's pro forma net income (loss) and earnings (loss) per share would have been as follows: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- 2001 2000</w:t>
            </w:r>
          </w:p>
        </w:tc>
        <w:tc>
          <w:tcPr>
            <w:tcW w:w="800" w:type="dxa"/>
            <w:vAlign w:val="bottom"/>
          </w:tcPr>
          <w:p>
            <w:pPr>
              <w:ind w:left="60"/>
              <w:spacing w:after="0"/>
              <w:rPr>
                <w:sz w:val="20"/>
                <w:szCs w:val="20"/>
                <w:color w:val="auto"/>
              </w:rPr>
            </w:pPr>
            <w:r>
              <w:rPr>
                <w:rFonts w:ascii="Courier New" w:cs="Courier New" w:eastAsia="Courier New" w:hAnsi="Courier New"/>
                <w:sz w:val="14"/>
                <w:szCs w:val="14"/>
                <w:color w:val="auto"/>
                <w:w w:val="71"/>
              </w:rPr>
              <w:t>1999 -------</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Pro forma</w:t>
            </w:r>
          </w:p>
        </w:tc>
      </w:tr>
      <w:tr>
        <w:trPr>
          <w:trHeight w:val="203"/>
        </w:trPr>
        <w:tc>
          <w:tcPr>
            <w:tcW w:w="90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w:t>
            </w:r>
          </w:p>
        </w:tc>
        <w:tc>
          <w:tcPr>
            <w:tcW w:w="740" w:type="dxa"/>
            <w:vAlign w:val="bottom"/>
          </w:tcPr>
          <w:p>
            <w:pPr>
              <w:spacing w:after="0"/>
              <w:rPr>
                <w:sz w:val="17"/>
                <w:szCs w:val="17"/>
                <w:color w:val="auto"/>
              </w:rPr>
            </w:pPr>
          </w:p>
        </w:tc>
      </w:tr>
      <w:tr>
        <w:trPr>
          <w:trHeight w:val="203"/>
        </w:trPr>
        <w:tc>
          <w:tcPr>
            <w:tcW w:w="1260" w:type="dxa"/>
            <w:vAlign w:val="bottom"/>
            <w:gridSpan w:val="2"/>
          </w:tcPr>
          <w:p>
            <w:pPr>
              <w:spacing w:after="0"/>
              <w:rPr>
                <w:sz w:val="20"/>
                <w:szCs w:val="20"/>
                <w:color w:val="auto"/>
              </w:rPr>
            </w:pPr>
            <w:r>
              <w:rPr>
                <w:rFonts w:ascii="Courier New" w:cs="Courier New" w:eastAsia="Courier New" w:hAnsi="Courier New"/>
                <w:sz w:val="10"/>
                <w:szCs w:val="10"/>
                <w:color w:val="auto"/>
                <w:w w:val="76"/>
              </w:rPr>
              <w:t>(loss).....................</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$(3,502)</w:t>
            </w:r>
          </w:p>
        </w:tc>
        <w:tc>
          <w:tcPr>
            <w:tcW w:w="1160" w:type="dxa"/>
            <w:vAlign w:val="bottom"/>
            <w:gridSpan w:val="2"/>
          </w:tcPr>
          <w:p>
            <w:pPr>
              <w:jc w:val="right"/>
              <w:ind w:right="20"/>
              <w:spacing w:after="0" w:line="203" w:lineRule="exact"/>
              <w:rPr>
                <w:sz w:val="20"/>
                <w:szCs w:val="20"/>
                <w:color w:val="auto"/>
              </w:rPr>
            </w:pPr>
            <w:r>
              <w:rPr>
                <w:rFonts w:ascii="Courier New" w:cs="Courier New" w:eastAsia="Courier New" w:hAnsi="Courier New"/>
                <w:sz w:val="18"/>
                <w:szCs w:val="18"/>
                <w:color w:val="auto"/>
              </w:rPr>
              <w:t>$(23,022)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$92,624</w:t>
            </w:r>
          </w:p>
        </w:tc>
      </w:tr>
    </w:tbl>
    <w:p>
      <w:pPr>
        <w:jc w:val="center"/>
        <w:ind w:right="7359"/>
        <w:spacing w:after="0" w:line="238" w:lineRule="auto"/>
        <w:rPr>
          <w:sz w:val="20"/>
          <w:szCs w:val="20"/>
          <w:color w:val="auto"/>
        </w:rPr>
      </w:pPr>
      <w:r>
        <w:rPr>
          <w:rFonts w:ascii="Courier New" w:cs="Courier New" w:eastAsia="Courier New" w:hAnsi="Courier New"/>
          <w:sz w:val="18"/>
          <w:szCs w:val="18"/>
          <w:color w:val="auto"/>
        </w:rPr>
        <w:t>Pro forma diluted earnings</w:t>
      </w:r>
    </w:p>
    <w:p>
      <w:pPr>
        <w:ind w:left="320"/>
        <w:spacing w:after="0"/>
        <w:rPr>
          <w:sz w:val="20"/>
          <w:szCs w:val="20"/>
          <w:color w:val="auto"/>
        </w:rPr>
      </w:pPr>
      <w:r>
        <w:rPr>
          <w:rFonts w:ascii="Courier New" w:cs="Courier New" w:eastAsia="Courier New" w:hAnsi="Courier New"/>
          <w:sz w:val="18"/>
          <w:szCs w:val="18"/>
          <w:color w:val="auto"/>
        </w:rPr>
        <w:t>(loss) per share.....</w:t>
      </w:r>
    </w:p>
    <w:p>
      <w:pPr>
        <w:ind w:left="480"/>
        <w:spacing w:after="0" w:line="237" w:lineRule="auto"/>
        <w:rPr>
          <w:sz w:val="20"/>
          <w:szCs w:val="20"/>
          <w:color w:val="auto"/>
        </w:rPr>
      </w:pPr>
      <w:r>
        <w:rPr>
          <w:rFonts w:ascii="Courier New" w:cs="Courier New" w:eastAsia="Courier New" w:hAnsi="Courier New"/>
          <w:sz w:val="18"/>
          <w:szCs w:val="18"/>
          <w:color w:val="auto"/>
        </w:rPr>
        <w:t>(0.02) (0.11) 0.46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EARNINGS PER SHARE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right="5999" w:firstLine="324"/>
        <w:spacing w:after="0" w:line="268" w:lineRule="auto"/>
        <w:tabs>
          <w:tab w:leader="none" w:pos="52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Numerator: Net income..................................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$ 66,386 $ 5,978 $ 98,543 ========</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Denominator:</w:t>
      </w:r>
    </w:p>
    <w:p>
      <w:pPr>
        <w:spacing w:after="0" w:line="4" w:lineRule="exact"/>
        <w:rPr>
          <w:rFonts w:ascii="Courier New" w:cs="Courier New" w:eastAsia="Courier New" w:hAnsi="Courier New"/>
          <w:sz w:val="16"/>
          <w:szCs w:val="16"/>
          <w:color w:val="auto"/>
        </w:rPr>
      </w:pPr>
    </w:p>
    <w:p>
      <w:pPr>
        <w:jc w:val="center"/>
        <w:ind w:left="280" w:right="6259" w:firstLine="5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Denominator for basic earnings per share -- weighted average number of shares outstanding</w:t>
      </w:r>
    </w:p>
    <w:p>
      <w:pPr>
        <w:spacing w:after="0" w:line="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 222,002</w:t>
      </w:r>
    </w:p>
    <w:p>
      <w:pPr>
        <w:jc w:val="center"/>
        <w:ind w:right="5999"/>
        <w:spacing w:after="0" w:line="238" w:lineRule="auto"/>
        <w:rPr>
          <w:sz w:val="20"/>
          <w:szCs w:val="20"/>
          <w:color w:val="auto"/>
        </w:rPr>
      </w:pPr>
      <w:r>
        <w:rPr>
          <w:rFonts w:ascii="Courier New" w:cs="Courier New" w:eastAsia="Courier New" w:hAnsi="Courier New"/>
          <w:sz w:val="18"/>
          <w:szCs w:val="18"/>
          <w:color w:val="auto"/>
        </w:rPr>
        <w:t>212,005 197,436 Effect of dilutive</w:t>
      </w:r>
    </w:p>
    <w:p>
      <w:pPr>
        <w:jc w:val="center"/>
        <w:ind w:right="5999"/>
        <w:spacing w:after="0"/>
        <w:rPr>
          <w:sz w:val="20"/>
          <w:szCs w:val="20"/>
          <w:color w:val="auto"/>
        </w:rPr>
      </w:pPr>
      <w:r>
        <w:rPr>
          <w:rFonts w:ascii="Courier New" w:cs="Courier New" w:eastAsia="Courier New" w:hAnsi="Courier New"/>
          <w:sz w:val="18"/>
          <w:szCs w:val="18"/>
          <w:color w:val="auto"/>
        </w:rPr>
        <w:t>stock options granted.... 4,830 4,930</w:t>
      </w:r>
    </w:p>
    <w:p>
      <w:pPr>
        <w:jc w:val="center"/>
        <w:ind w:right="5999"/>
        <w:spacing w:after="0" w:line="237" w:lineRule="auto"/>
        <w:rPr>
          <w:sz w:val="20"/>
          <w:szCs w:val="20"/>
          <w:color w:val="auto"/>
        </w:rPr>
      </w:pPr>
      <w:r>
        <w:rPr>
          <w:rFonts w:ascii="Courier New" w:cs="Courier New" w:eastAsia="Courier New" w:hAnsi="Courier New"/>
          <w:sz w:val="18"/>
          <w:szCs w:val="18"/>
          <w:color w:val="auto"/>
        </w:rPr>
        <w:t>2,826 --------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Denominator for dilutive earnings per</w:t>
      </w:r>
    </w:p>
    <w:p>
      <w:pPr>
        <w:jc w:val="center"/>
        <w:ind w:right="5999"/>
        <w:spacing w:after="0"/>
        <w:rPr>
          <w:sz w:val="20"/>
          <w:szCs w:val="20"/>
          <w:color w:val="auto"/>
        </w:rPr>
      </w:pPr>
      <w:r>
        <w:rPr>
          <w:rFonts w:ascii="Courier New" w:cs="Courier New" w:eastAsia="Courier New" w:hAnsi="Courier New"/>
          <w:sz w:val="18"/>
          <w:szCs w:val="18"/>
          <w:color w:val="auto"/>
        </w:rPr>
        <w:t>share -- adjusted weighted average</w:t>
      </w:r>
    </w:p>
    <w:p>
      <w:pPr>
        <w:jc w:val="center"/>
        <w:ind w:right="5999"/>
        <w:spacing w:after="0" w:line="237" w:lineRule="auto"/>
        <w:rPr>
          <w:sz w:val="20"/>
          <w:szCs w:val="20"/>
          <w:color w:val="auto"/>
        </w:rPr>
      </w:pPr>
      <w:r>
        <w:rPr>
          <w:rFonts w:ascii="Courier New" w:cs="Courier New" w:eastAsia="Courier New" w:hAnsi="Courier New"/>
          <w:sz w:val="18"/>
          <w:szCs w:val="18"/>
          <w:color w:val="auto"/>
        </w:rPr>
        <w:t>shares and assumed</w:t>
      </w:r>
    </w:p>
    <w:p>
      <w:pPr>
        <w:jc w:val="center"/>
        <w:ind w:right="5999"/>
        <w:spacing w:after="0"/>
        <w:rPr>
          <w:sz w:val="20"/>
          <w:szCs w:val="20"/>
          <w:color w:val="auto"/>
        </w:rPr>
      </w:pPr>
      <w:r>
        <w:rPr>
          <w:rFonts w:ascii="Courier New" w:cs="Courier New" w:eastAsia="Courier New" w:hAnsi="Courier New"/>
          <w:sz w:val="18"/>
          <w:szCs w:val="18"/>
          <w:color w:val="auto"/>
        </w:rPr>
        <w:t>conversions(*)............... 226,832</w:t>
      </w:r>
    </w:p>
    <w:p>
      <w:pPr>
        <w:jc w:val="center"/>
        <w:ind w:right="5999"/>
        <w:spacing w:after="0" w:line="237" w:lineRule="auto"/>
        <w:rPr>
          <w:sz w:val="20"/>
          <w:szCs w:val="20"/>
          <w:color w:val="auto"/>
        </w:rPr>
      </w:pPr>
      <w:r>
        <w:rPr>
          <w:rFonts w:ascii="Courier New" w:cs="Courier New" w:eastAsia="Courier New" w:hAnsi="Courier New"/>
          <w:sz w:val="18"/>
          <w:szCs w:val="18"/>
          <w:color w:val="auto"/>
        </w:rPr>
        <w:t>216,935 200,262 ======== ========</w:t>
      </w:r>
    </w:p>
    <w:p>
      <w:pPr>
        <w:jc w:val="center"/>
        <w:ind w:right="5999"/>
        <w:spacing w:after="0"/>
        <w:rPr>
          <w:sz w:val="20"/>
          <w:szCs w:val="20"/>
          <w:color w:val="auto"/>
        </w:rPr>
      </w:pPr>
      <w:r>
        <w:rPr>
          <w:rFonts w:ascii="Courier New" w:cs="Courier New" w:eastAsia="Courier New" w:hAnsi="Courier New"/>
          <w:sz w:val="18"/>
          <w:szCs w:val="18"/>
          <w:color w:val="auto"/>
        </w:rPr>
        <w:t>======== Basic earnings per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share...................... $ 0.30 $</w:t>
      </w:r>
    </w:p>
    <w:p>
      <w:pPr>
        <w:jc w:val="center"/>
        <w:ind w:right="5999"/>
        <w:spacing w:after="0" w:line="238" w:lineRule="auto"/>
        <w:rPr>
          <w:sz w:val="20"/>
          <w:szCs w:val="20"/>
          <w:color w:val="auto"/>
        </w:rPr>
      </w:pPr>
      <w:r>
        <w:rPr>
          <w:rFonts w:ascii="Courier New" w:cs="Courier New" w:eastAsia="Courier New" w:hAnsi="Courier New"/>
          <w:sz w:val="18"/>
          <w:szCs w:val="18"/>
          <w:color w:val="auto"/>
        </w:rPr>
        <w:t>0.03 $ 0.50 ======== ======== ========</w:t>
      </w:r>
    </w:p>
    <w:p>
      <w:pPr>
        <w:jc w:val="center"/>
        <w:ind w:right="5999"/>
        <w:spacing w:after="0"/>
        <w:rPr>
          <w:sz w:val="20"/>
          <w:szCs w:val="20"/>
          <w:color w:val="auto"/>
        </w:rPr>
      </w:pPr>
      <w:r>
        <w:rPr>
          <w:rFonts w:ascii="Courier New" w:cs="Courier New" w:eastAsia="Courier New" w:hAnsi="Courier New"/>
          <w:sz w:val="18"/>
          <w:szCs w:val="18"/>
          <w:color w:val="auto"/>
        </w:rPr>
        <w:t>Diluted earnings per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share.................... $ 0.29 $ 0.03</w:t>
      </w:r>
    </w:p>
    <w:p>
      <w:pPr>
        <w:ind w:left="580" w:hanging="203"/>
        <w:spacing w:after="0"/>
        <w:tabs>
          <w:tab w:leader="none" w:pos="58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0.49 ======== ========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2419" w:hanging="427"/>
        <w:spacing w:after="0" w:line="235" w:lineRule="auto"/>
        <w:tabs>
          <w:tab w:leader="none" w:pos="54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number of shares outstanding includes the Solect exchangeable shares.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effect of the Notes on diluted earnings per share was anti-dilutive for the year ended September 30, 2001, and therefore was not included in the calculation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SEGMENT INFORMATION AND SALES TO SIGNIFICANT CUSTOMERS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Company and its subsidiaries operate in one business segment, providing business support systems and related services for the communications industry.</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514" w:right="1440" w:bottom="1440" w:gutter="0" w:footer="0" w:header="0"/>
        </w:sectPr>
      </w:pPr>
    </w:p>
    <w:bookmarkStart w:id="84" w:name="page85"/>
    <w:bookmarkEnd w:id="8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2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2000 1999 ---------</w:t>
            </w:r>
          </w:p>
        </w:tc>
      </w:tr>
      <w:tr>
        <w:trPr>
          <w:trHeight w:val="203"/>
        </w:trPr>
        <w:tc>
          <w:tcPr>
            <w:tcW w:w="44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 -------- REVENUE North</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America..............................</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825,309</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$ 510,129</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$226,387</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Europe.....................................</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549,106</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474,300</w:t>
            </w: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261,726</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Other......................................</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74"/>
              </w:rPr>
              <w:t>159,495 133,891 138,742 ----------</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2840" w:type="dxa"/>
            <w:vAlign w:val="bottom"/>
            <w:gridSpan w:val="4"/>
          </w:tcPr>
          <w:p>
            <w:pPr>
              <w:jc w:val="right"/>
              <w:ind w:right="1492"/>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Total......................................</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4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$1,533,910 $1,118,320</w:t>
            </w:r>
          </w:p>
        </w:tc>
        <w:tc>
          <w:tcPr>
            <w:tcW w:w="2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$626,855 ==========</w:t>
            </w:r>
          </w:p>
        </w:tc>
      </w:tr>
      <w:tr>
        <w:trPr>
          <w:trHeight w:val="203"/>
        </w:trPr>
        <w:tc>
          <w:tcPr>
            <w:tcW w:w="44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 LONG-LIVED ASSETS</w:t>
            </w:r>
          </w:p>
        </w:tc>
      </w:tr>
      <w:tr>
        <w:trPr>
          <w:trHeight w:val="203"/>
        </w:trPr>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North</w:t>
            </w:r>
          </w:p>
        </w:tc>
        <w:tc>
          <w:tcPr>
            <w:tcW w:w="1740" w:type="dxa"/>
            <w:vAlign w:val="bottom"/>
          </w:tcPr>
          <w:p>
            <w:pPr>
              <w:spacing w:after="0"/>
              <w:rPr>
                <w:sz w:val="17"/>
                <w:szCs w:val="17"/>
                <w:color w:val="auto"/>
              </w:rPr>
            </w:pP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America(*)...........................</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866,846</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$1,041,383</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$ 35,228</w:t>
            </w:r>
          </w:p>
        </w:tc>
      </w:tr>
    </w:tbl>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Israel(**).................................</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88,794 85,518 61,472</w:t>
      </w:r>
    </w:p>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43,571 33,466 18,772 ---------- ----------</w:t>
      </w:r>
    </w:p>
    <w:p>
      <w:pPr>
        <w:jc w:val="center"/>
        <w:ind w:right="567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ind w:left="380" w:hanging="217"/>
        <w:spacing w:after="0"/>
        <w:tabs>
          <w:tab w:leader="none" w:pos="3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999,211 $1,160,367 $115,472 ==========</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199" w:firstLine="8"/>
        <w:spacing w:after="0" w:line="235" w:lineRule="auto"/>
        <w:tabs>
          <w:tab w:leader="none" w:pos="52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computer software and intellectual property rights. (**) Primarily computers and vehicles.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AND CUSTOMER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Customer care and billing, customer relationship management or CRM, and order management systems (collectively, "CC&amp;B") include systems for wireline, wireless, broadband, electronic and mobile commerce and IP services. Directory includes directory sales and publishing systems for publishers of both traditional printed yellow pages and white pages directories and electronic Internet directories.</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74"/>
              </w:rPr>
              <w:t>-----------------</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2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2000 1999 ---------</w:t>
            </w:r>
          </w:p>
        </w:tc>
      </w:tr>
      <w:tr>
        <w:trPr>
          <w:trHeight w:val="203"/>
        </w:trPr>
        <w:tc>
          <w:tcPr>
            <w:tcW w:w="1160" w:type="dxa"/>
            <w:vAlign w:val="bottom"/>
          </w:tcPr>
          <w:p>
            <w:pPr>
              <w:spacing w:after="0"/>
              <w:rPr>
                <w:sz w:val="17"/>
                <w:szCs w:val="17"/>
                <w:color w:val="auto"/>
              </w:rPr>
            </w:pPr>
          </w:p>
        </w:tc>
        <w:tc>
          <w:tcPr>
            <w:tcW w:w="3380" w:type="dxa"/>
            <w:vAlign w:val="bottom"/>
            <w:gridSpan w:val="3"/>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203"/>
        </w:trPr>
        <w:tc>
          <w:tcPr>
            <w:tcW w:w="2400" w:type="dxa"/>
            <w:vAlign w:val="bottom"/>
            <w:gridSpan w:val="2"/>
          </w:tcPr>
          <w:p>
            <w:pPr>
              <w:spacing w:after="0"/>
              <w:rPr>
                <w:sz w:val="20"/>
                <w:szCs w:val="20"/>
                <w:color w:val="auto"/>
              </w:rPr>
            </w:pPr>
            <w:r>
              <w:rPr>
                <w:rFonts w:ascii="Courier New" w:cs="Courier New" w:eastAsia="Courier New" w:hAnsi="Courier New"/>
                <w:sz w:val="13"/>
                <w:szCs w:val="13"/>
                <w:color w:val="auto"/>
                <w:w w:val="70"/>
              </w:rPr>
              <w:t>CC&amp;B.......................................</w:t>
            </w: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$1,379,654 $ 986,553</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4"/>
              </w:rPr>
              <w:t>$468,216</w:t>
            </w:r>
          </w:p>
        </w:tc>
      </w:tr>
      <w:tr>
        <w:trPr>
          <w:trHeight w:val="203"/>
        </w:trPr>
        <w:tc>
          <w:tcPr>
            <w:tcW w:w="2400" w:type="dxa"/>
            <w:vAlign w:val="bottom"/>
            <w:gridSpan w:val="2"/>
          </w:tcPr>
          <w:p>
            <w:pPr>
              <w:spacing w:after="0"/>
              <w:rPr>
                <w:sz w:val="20"/>
                <w:szCs w:val="20"/>
                <w:color w:val="auto"/>
              </w:rPr>
            </w:pPr>
            <w:r>
              <w:rPr>
                <w:rFonts w:ascii="Courier New" w:cs="Courier New" w:eastAsia="Courier New" w:hAnsi="Courier New"/>
                <w:sz w:val="13"/>
                <w:szCs w:val="13"/>
                <w:color w:val="auto"/>
                <w:w w:val="70"/>
              </w:rPr>
              <w:t>Directory..................................</w:t>
            </w: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0"/>
              </w:rPr>
              <w:t>154,256 131,767 158,639 ----------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1800" w:type="dxa"/>
            <w:vAlign w:val="bottom"/>
            <w:gridSpan w:val="2"/>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 --------</w:t>
            </w:r>
          </w:p>
        </w:tc>
        <w:tc>
          <w:tcPr>
            <w:tcW w:w="1580" w:type="dxa"/>
            <w:vAlign w:val="bottom"/>
          </w:tcPr>
          <w:p>
            <w:pPr>
              <w:spacing w:after="0"/>
              <w:rPr>
                <w:sz w:val="17"/>
                <w:szCs w:val="17"/>
                <w:color w:val="auto"/>
              </w:rPr>
            </w:pPr>
          </w:p>
        </w:tc>
      </w:tr>
      <w:tr>
        <w:trPr>
          <w:trHeight w:val="203"/>
        </w:trPr>
        <w:tc>
          <w:tcPr>
            <w:tcW w:w="2400" w:type="dxa"/>
            <w:vAlign w:val="bottom"/>
            <w:gridSpan w:val="2"/>
          </w:tcPr>
          <w:p>
            <w:pPr>
              <w:spacing w:after="0"/>
              <w:rPr>
                <w:sz w:val="20"/>
                <w:szCs w:val="20"/>
                <w:color w:val="auto"/>
              </w:rPr>
            </w:pPr>
            <w:r>
              <w:rPr>
                <w:rFonts w:ascii="Courier New" w:cs="Courier New" w:eastAsia="Courier New" w:hAnsi="Courier New"/>
                <w:sz w:val="13"/>
                <w:szCs w:val="13"/>
                <w:color w:val="auto"/>
                <w:w w:val="70"/>
              </w:rPr>
              <w:t>Total......................................</w:t>
            </w: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$1,533,910</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$1,118,320</w:t>
            </w:r>
          </w:p>
        </w:tc>
        <w:tc>
          <w:tcPr>
            <w:tcW w:w="2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$626,855 ==========</w:t>
            </w:r>
          </w:p>
        </w:tc>
      </w:tr>
      <w:tr>
        <w:trPr>
          <w:trHeight w:val="203"/>
        </w:trPr>
        <w:tc>
          <w:tcPr>
            <w:tcW w:w="1160" w:type="dxa"/>
            <w:vAlign w:val="bottom"/>
          </w:tcPr>
          <w:p>
            <w:pPr>
              <w:spacing w:after="0"/>
              <w:rPr>
                <w:sz w:val="17"/>
                <w:szCs w:val="17"/>
                <w:color w:val="auto"/>
              </w:rPr>
            </w:pPr>
          </w:p>
        </w:tc>
        <w:tc>
          <w:tcPr>
            <w:tcW w:w="3380" w:type="dxa"/>
            <w:vAlign w:val="bottom"/>
            <w:gridSpan w:val="3"/>
          </w:tcPr>
          <w:p>
            <w:pPr>
              <w:jc w:val="center"/>
              <w:ind w:right="107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608"/>
        </w:trPr>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F-24</w:t>
            </w:r>
          </w:p>
        </w:tc>
      </w:tr>
    </w:tbl>
    <w:p>
      <w:pPr>
        <w:sectPr>
          <w:pgSz w:w="11900" w:h="16838" w:orient="portrait"/>
          <w:cols w:equalWidth="0" w:num="1">
            <w:col w:w="10219"/>
          </w:cols>
          <w:pgMar w:left="240" w:top="514"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SEPTEMBER 30, ------------------ 2001</w:t>
      </w:r>
    </w:p>
    <w:p>
      <w:pPr>
        <w:ind w:left="120"/>
        <w:spacing w:after="0" w:line="238" w:lineRule="auto"/>
        <w:rPr>
          <w:sz w:val="20"/>
          <w:szCs w:val="20"/>
          <w:color w:val="auto"/>
        </w:rPr>
      </w:pPr>
      <w:r>
        <w:rPr>
          <w:rFonts w:ascii="Courier New" w:cs="Courier New" w:eastAsia="Courier New" w:hAnsi="Courier New"/>
          <w:sz w:val="18"/>
          <w:szCs w:val="18"/>
          <w:color w:val="auto"/>
        </w:rPr>
        <w:t>2000 1999 ---- ---- ---- SBC Communications Inc.</w:t>
      </w:r>
    </w:p>
    <w:tbl>
      <w:tblPr>
        <w:tblLayout w:type="fixed"/>
        <w:tblInd w:w="0" w:type="dxa"/>
        <w:tblCellMar>
          <w:top w:w="0" w:type="dxa"/>
          <w:left w:w="0" w:type="dxa"/>
          <w:bottom w:w="0" w:type="dxa"/>
          <w:right w:w="0" w:type="dxa"/>
        </w:tblCellMar>
      </w:tblPr>
      <w:tr>
        <w:trPr>
          <w:trHeight w:val="203"/>
        </w:trPr>
        <w:tc>
          <w:tcPr>
            <w:tcW w:w="700" w:type="dxa"/>
            <w:vAlign w:val="bottom"/>
          </w:tcPr>
          <w:p>
            <w:pPr>
              <w:jc w:val="center"/>
              <w:ind w:left="96"/>
              <w:spacing w:after="0"/>
              <w:rPr>
                <w:sz w:val="20"/>
                <w:szCs w:val="20"/>
                <w:color w:val="auto"/>
              </w:rPr>
            </w:pPr>
            <w:r>
              <w:rPr>
                <w:rFonts w:ascii="Courier New" w:cs="Courier New" w:eastAsia="Courier New" w:hAnsi="Courier New"/>
                <w:sz w:val="18"/>
                <w:szCs w:val="18"/>
                <w:color w:val="auto"/>
                <w:w w:val="99"/>
              </w:rPr>
              <w:t>group</w:t>
            </w:r>
          </w:p>
        </w:tc>
        <w:tc>
          <w:tcPr>
            <w:tcW w:w="3620" w:type="dxa"/>
            <w:vAlign w:val="bottom"/>
          </w:tcPr>
          <w:p>
            <w:pPr>
              <w:jc w:val="right"/>
              <w:spacing w:after="0"/>
              <w:rPr>
                <w:sz w:val="20"/>
                <w:szCs w:val="20"/>
                <w:color w:val="auto"/>
              </w:rPr>
            </w:pPr>
            <w:r>
              <w:rPr>
                <w:rFonts w:ascii="Courier New" w:cs="Courier New" w:eastAsia="Courier New" w:hAnsi="Courier New"/>
                <w:sz w:val="18"/>
                <w:szCs w:val="18"/>
                <w:color w:val="auto"/>
                <w:w w:val="96"/>
              </w:rPr>
              <w:t>.............................. 13%</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13% 16%</w:t>
            </w:r>
          </w:p>
        </w:tc>
      </w:tr>
      <w:tr>
        <w:trPr>
          <w:trHeight w:val="203"/>
        </w:trPr>
        <w:tc>
          <w:tcPr>
            <w:tcW w:w="700" w:type="dxa"/>
            <w:vAlign w:val="bottom"/>
          </w:tcPr>
          <w:p>
            <w:pPr>
              <w:spacing w:after="0"/>
              <w:rPr>
                <w:sz w:val="17"/>
                <w:szCs w:val="17"/>
                <w:color w:val="auto"/>
              </w:rPr>
            </w:pPr>
          </w:p>
        </w:tc>
        <w:tc>
          <w:tcPr>
            <w:tcW w:w="36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Vodafone</w:t>
            </w:r>
          </w:p>
        </w:tc>
        <w:tc>
          <w:tcPr>
            <w:tcW w:w="860" w:type="dxa"/>
            <w:vAlign w:val="bottom"/>
          </w:tcPr>
          <w:p>
            <w:pPr>
              <w:spacing w:after="0"/>
              <w:rPr>
                <w:sz w:val="17"/>
                <w:szCs w:val="17"/>
                <w:color w:val="auto"/>
              </w:rPr>
            </w:pP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group.............................................</w:t>
            </w:r>
          </w:p>
        </w:tc>
        <w:tc>
          <w:tcPr>
            <w:tcW w:w="8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14 (*) Nextel Communications</w:t>
            </w:r>
          </w:p>
        </w:tc>
        <w:tc>
          <w:tcPr>
            <w:tcW w:w="860" w:type="dxa"/>
            <w:vAlign w:val="bottom"/>
          </w:tcPr>
          <w:p>
            <w:pPr>
              <w:spacing w:after="0"/>
              <w:rPr>
                <w:sz w:val="17"/>
                <w:szCs w:val="17"/>
                <w:color w:val="auto"/>
              </w:rPr>
            </w:pPr>
          </w:p>
        </w:tc>
      </w:tr>
      <w:tr>
        <w:trPr>
          <w:trHeight w:val="203"/>
        </w:trPr>
        <w:tc>
          <w:tcPr>
            <w:tcW w:w="700" w:type="dxa"/>
            <w:vAlign w:val="bottom"/>
          </w:tcPr>
          <w:p>
            <w:pPr>
              <w:jc w:val="center"/>
              <w:ind w:left="56"/>
              <w:spacing w:after="0"/>
              <w:rPr>
                <w:sz w:val="20"/>
                <w:szCs w:val="20"/>
                <w:color w:val="auto"/>
              </w:rPr>
            </w:pPr>
            <w:r>
              <w:rPr>
                <w:rFonts w:ascii="Courier New" w:cs="Courier New" w:eastAsia="Courier New" w:hAnsi="Courier New"/>
                <w:sz w:val="3"/>
                <w:szCs w:val="3"/>
                <w:color w:val="auto"/>
                <w:w w:val="87"/>
              </w:rPr>
              <w:t>group................................</w:t>
            </w:r>
          </w:p>
        </w:tc>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 (*)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line="238" w:lineRule="auto"/>
        <w:rPr>
          <w:sz w:val="20"/>
          <w:szCs w:val="20"/>
          <w:color w:val="auto"/>
        </w:rPr>
      </w:pPr>
      <w:r>
        <w:rPr>
          <w:rFonts w:ascii="Courier New" w:cs="Courier New" w:eastAsia="Courier New" w:hAnsi="Courier New"/>
          <w:sz w:val="18"/>
          <w:szCs w:val="18"/>
          <w:color w:val="auto"/>
        </w:rPr>
        <w:t>(*) Less than 10 percent of total revenue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FINANCIAL INSTRUMENTS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enters into forward contracts to sell foreign currency in order to hedge its exposure associated with most firm commitments from customers in non-U.S. dollar-based currencies and treats these for accounting purposes as fair value hedges. The Company also enters into forward contracts in foreign currency to reduce the exposure associated with estimated receipts from customers and with anticipated costs (primarily personnel costs), in non-U.S. dollar-based currencies and treats these as cash flow hedges. The derivative financial instruments are afforded hedge accounting because they are effective in managing foreign exchange risks and are appropriately assigned to the underlying exposures. The Company does not engage in currency speculation. Generally, the Company measures the differential between forward rates and spot rates on forward exchange contracts as the inherent ineffectiveness of a hedging arrangement. Accordingly, changes in the fair value of forward exchange contracts, which are classified as fair value hedges, offset the change in the fair value of the hedged item to the extent of the arrangement's effectiveness. The effective portion of the change in the fair value of forward exchange contracts, which are classified as cash flow hedges, is recorded as comprehensive income until the underlying transaction is recognized in earnings. Forward contracts, which are not designated as hedging instruments under SFAS No. 133, are used to hedge the impact of the variability in exchange rates on certain accounts receivables denominated in foreign currencies.</w:t>
      </w:r>
    </w:p>
    <w:p>
      <w:pPr>
        <w:spacing w:after="0" w:line="200" w:lineRule="exact"/>
        <w:rPr>
          <w:sz w:val="20"/>
          <w:szCs w:val="20"/>
          <w:color w:val="auto"/>
        </w:rPr>
      </w:pPr>
    </w:p>
    <w:p>
      <w:pPr>
        <w:spacing w:after="0" w:line="397" w:lineRule="exact"/>
        <w:rPr>
          <w:sz w:val="20"/>
          <w:szCs w:val="20"/>
          <w:color w:val="auto"/>
        </w:rPr>
      </w:pPr>
    </w:p>
    <w:p>
      <w:pPr>
        <w:jc w:val="both"/>
        <w:ind w:right="2199" w:firstLine="527"/>
        <w:spacing w:after="0" w:line="279" w:lineRule="auto"/>
        <w:rPr>
          <w:sz w:val="20"/>
          <w:szCs w:val="20"/>
          <w:color w:val="auto"/>
        </w:rPr>
      </w:pPr>
      <w:r>
        <w:rPr>
          <w:rFonts w:ascii="Courier New" w:cs="Courier New" w:eastAsia="Courier New" w:hAnsi="Courier New"/>
          <w:sz w:val="16"/>
          <w:szCs w:val="16"/>
          <w:color w:val="auto"/>
        </w:rPr>
        <w:t>The fair values of the forward derivatives were $(11,298) and $3,016 on September 30, 2001 and 2000, respectively. The Company currently enters into forward exchange contracts exclusively with major financial institutions.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2001, there were no significant gains or losses recognized in earnings for hedge ineffectiveness, and the Company did not recognize in earnings any significant gains or losses resulting from a hedged firm commitment that no longer qualified as a fair value hedge.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Derivatives gains and losses, that are included in other comprehensive income, are reclassified into earnings at the time the forecasted revenue or operation expenses are recognized. The Company estimates that a $10,258 derivative loss included in other comprehensive income will be reclassified into earnings within the next twelve months.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514" w:right="1440" w:bottom="1440" w:gutter="0" w:footer="0" w:header="0"/>
        </w:sectPr>
      </w:pPr>
    </w:p>
    <w:bookmarkStart w:id="86" w:name="page87"/>
    <w:bookmarkEnd w:id="8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23 -- SELECTED QUARTERLY RESULTS OF OPERATIONS (UNAUDITED)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JUNE 30, MARCH 31, DECEMBER 31,</w:t>
      </w:r>
    </w:p>
    <w:tbl>
      <w:tblPr>
        <w:tblLayout w:type="fixed"/>
        <w:tblInd w:w="0" w:type="dxa"/>
        <w:tblCellMar>
          <w:top w:w="0" w:type="dxa"/>
          <w:left w:w="0" w:type="dxa"/>
          <w:bottom w:w="0" w:type="dxa"/>
          <w:right w:w="0" w:type="dxa"/>
        </w:tblCellMar>
      </w:tblPr>
      <w:tr>
        <w:trPr>
          <w:trHeight w:val="203"/>
        </w:trPr>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73"/>
              </w:rPr>
              <w:t>-------------</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000" w:type="dxa"/>
            <w:vAlign w:val="bottom"/>
          </w:tcPr>
          <w:p>
            <w:pPr>
              <w:spacing w:after="0"/>
              <w:rPr>
                <w:sz w:val="17"/>
                <w:szCs w:val="17"/>
                <w:color w:val="auto"/>
              </w:rPr>
            </w:pPr>
          </w:p>
        </w:tc>
        <w:tc>
          <w:tcPr>
            <w:tcW w:w="38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2001</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Revenue.......................................</w:t>
            </w:r>
          </w:p>
        </w:tc>
      </w:tr>
      <w:tr>
        <w:trPr>
          <w:trHeight w:val="203"/>
        </w:trPr>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$415,447</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$404,007 $372,289 $342,167 Operating</w:t>
            </w:r>
          </w:p>
        </w:tc>
      </w:tr>
      <w:tr>
        <w:trPr>
          <w:trHeight w:val="203"/>
        </w:trPr>
        <w:tc>
          <w:tcPr>
            <w:tcW w:w="1000" w:type="dxa"/>
            <w:vAlign w:val="bottom"/>
          </w:tcPr>
          <w:p>
            <w:pPr>
              <w:ind w:left="160"/>
              <w:spacing w:after="0"/>
              <w:rPr>
                <w:sz w:val="20"/>
                <w:szCs w:val="20"/>
                <w:color w:val="auto"/>
              </w:rPr>
            </w:pPr>
            <w:r>
              <w:rPr>
                <w:rFonts w:ascii="Courier New" w:cs="Courier New" w:eastAsia="Courier New" w:hAnsi="Courier New"/>
                <w:sz w:val="5"/>
                <w:szCs w:val="5"/>
                <w:color w:val="auto"/>
                <w:w w:val="75"/>
              </w:rPr>
              <w:t>income..............................</w:t>
            </w:r>
          </w:p>
        </w:tc>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49,529</w:t>
            </w:r>
          </w:p>
        </w:tc>
      </w:tr>
      <w:tr>
        <w:trPr>
          <w:trHeight w:val="203"/>
        </w:trPr>
        <w:tc>
          <w:tcPr>
            <w:tcW w:w="1000" w:type="dxa"/>
            <w:vAlign w:val="bottom"/>
          </w:tcPr>
          <w:p>
            <w:pPr>
              <w:spacing w:after="0"/>
              <w:rPr>
                <w:sz w:val="17"/>
                <w:szCs w:val="17"/>
                <w:color w:val="auto"/>
              </w:rPr>
            </w:pPr>
          </w:p>
        </w:tc>
        <w:tc>
          <w:tcPr>
            <w:tcW w:w="3800" w:type="dxa"/>
            <w:vAlign w:val="bottom"/>
          </w:tcPr>
          <w:p>
            <w:pPr>
              <w:jc w:val="center"/>
              <w:ind w:right="872"/>
              <w:spacing w:after="0" w:line="203" w:lineRule="exact"/>
              <w:rPr>
                <w:sz w:val="20"/>
                <w:szCs w:val="20"/>
                <w:color w:val="auto"/>
              </w:rPr>
            </w:pPr>
            <w:r>
              <w:rPr>
                <w:rFonts w:ascii="Courier New" w:cs="Courier New" w:eastAsia="Courier New" w:hAnsi="Courier New"/>
                <w:sz w:val="18"/>
                <w:szCs w:val="18"/>
                <w:color w:val="auto"/>
                <w:w w:val="97"/>
              </w:rPr>
              <w:t>44,864 37,356 27,532 Net</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r>
    </w:tbl>
    <w:p>
      <w:pPr>
        <w:ind w:left="60"/>
        <w:spacing w:after="0" w:line="238" w:lineRule="auto"/>
        <w:rPr>
          <w:sz w:val="20"/>
          <w:szCs w:val="20"/>
          <w:color w:val="auto"/>
        </w:rPr>
      </w:pPr>
      <w:r>
        <w:rPr>
          <w:rFonts w:ascii="Courier New" w:cs="Courier New" w:eastAsia="Courier New" w:hAnsi="Courier New"/>
          <w:sz w:val="18"/>
          <w:szCs w:val="18"/>
          <w:color w:val="auto"/>
        </w:rPr>
        <w:t>19,905 18,492 15,413 12,576 Basic and diluted</w:t>
      </w:r>
    </w:p>
    <w:tbl>
      <w:tblPr>
        <w:tblLayout w:type="fixed"/>
        <w:tblInd w:w="0" w:type="dxa"/>
        <w:tblCellMar>
          <w:top w:w="0" w:type="dxa"/>
          <w:left w:w="0" w:type="dxa"/>
          <w:bottom w:w="0" w:type="dxa"/>
          <w:right w:w="0" w:type="dxa"/>
        </w:tblCellMar>
      </w:tblP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earnings per share..........</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0.09 0.08 0.07</w:t>
            </w:r>
          </w:p>
        </w:tc>
      </w:tr>
      <w:tr>
        <w:trPr>
          <w:trHeight w:val="203"/>
        </w:trPr>
        <w:tc>
          <w:tcPr>
            <w:tcW w:w="1640" w:type="dxa"/>
            <w:vAlign w:val="bottom"/>
          </w:tcPr>
          <w:p>
            <w:pPr>
              <w:spacing w:after="0"/>
              <w:rPr>
                <w:sz w:val="17"/>
                <w:szCs w:val="17"/>
                <w:color w:val="auto"/>
              </w:rPr>
            </w:pPr>
          </w:p>
        </w:tc>
        <w:tc>
          <w:tcPr>
            <w:tcW w:w="316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rPr>
              <w:t>0.06 2000 (*)</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Revenue.......................................</w:t>
            </w:r>
          </w:p>
        </w:tc>
        <w:tc>
          <w:tcPr>
            <w:tcW w:w="1900" w:type="dxa"/>
            <w:vAlign w:val="bottom"/>
          </w:tcPr>
          <w:p>
            <w:pPr>
              <w:spacing w:after="0"/>
              <w:rPr>
                <w:sz w:val="17"/>
                <w:szCs w:val="17"/>
                <w:color w:val="auto"/>
              </w:rPr>
            </w:pPr>
          </w:p>
        </w:tc>
      </w:tr>
      <w:tr>
        <w:trPr>
          <w:trHeight w:val="203"/>
        </w:trPr>
        <w:tc>
          <w:tcPr>
            <w:tcW w:w="2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$315,067 $297,002 $270,745</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$235,506 Operating</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income (loss).......................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20,955</w:t>
            </w:r>
          </w:p>
        </w:tc>
      </w:tr>
      <w:tr>
        <w:trPr>
          <w:trHeight w:val="203"/>
        </w:trPr>
        <w:tc>
          <w:tcPr>
            <w:tcW w:w="16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(39,806)</w:t>
            </w: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60,115 32,860 Net income</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(loss).............................</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12,993</w:t>
            </w:r>
          </w:p>
        </w:tc>
      </w:tr>
    </w:tbl>
    <w:p>
      <w:pPr>
        <w:ind w:left="100"/>
        <w:spacing w:after="0" w:line="238" w:lineRule="auto"/>
        <w:rPr>
          <w:sz w:val="20"/>
          <w:szCs w:val="20"/>
          <w:color w:val="auto"/>
        </w:rPr>
      </w:pPr>
      <w:r>
        <w:rPr>
          <w:rFonts w:ascii="Courier New" w:cs="Courier New" w:eastAsia="Courier New" w:hAnsi="Courier New"/>
          <w:sz w:val="18"/>
          <w:szCs w:val="18"/>
          <w:color w:val="auto"/>
        </w:rPr>
        <w:t>(67,159) 42,863 17,281 Basic earnings (loss)</w:t>
      </w:r>
    </w:p>
    <w:tbl>
      <w:tblPr>
        <w:tblLayout w:type="fixed"/>
        <w:tblInd w:w="0" w:type="dxa"/>
        <w:tblCellMar>
          <w:top w:w="0" w:type="dxa"/>
          <w:left w:w="0" w:type="dxa"/>
          <w:bottom w:w="0" w:type="dxa"/>
          <w:right w:w="0" w:type="dxa"/>
        </w:tblCellMar>
      </w:tblP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4"/>
              </w:rPr>
              <w:t>per share...............</w:t>
            </w:r>
          </w:p>
        </w:tc>
        <w:tc>
          <w:tcPr>
            <w:tcW w:w="2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0.06 (0.31) 0.21</w:t>
            </w:r>
          </w:p>
        </w:tc>
      </w:tr>
      <w:tr>
        <w:trPr>
          <w:trHeight w:val="203"/>
        </w:trPr>
        <w:tc>
          <w:tcPr>
            <w:tcW w:w="4800" w:type="dxa"/>
            <w:vAlign w:val="bottom"/>
            <w:gridSpan w:val="4"/>
          </w:tcPr>
          <w:p>
            <w:pPr>
              <w:jc w:val="right"/>
              <w:ind w:right="592"/>
              <w:spacing w:after="0" w:line="203" w:lineRule="exact"/>
              <w:rPr>
                <w:sz w:val="20"/>
                <w:szCs w:val="20"/>
                <w:color w:val="auto"/>
              </w:rPr>
            </w:pPr>
            <w:r>
              <w:rPr>
                <w:rFonts w:ascii="Courier New" w:cs="Courier New" w:eastAsia="Courier New" w:hAnsi="Courier New"/>
                <w:sz w:val="18"/>
                <w:szCs w:val="18"/>
                <w:color w:val="auto"/>
              </w:rPr>
              <w:t>0.09 Diluted earnings (loss) per</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share.............</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 (0.31) 0.20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0.08 1999</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Revenue.......................................</w:t>
            </w: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0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$182,716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$164,884</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$147,830 $131,425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income..............................</w:t>
            </w:r>
          </w:p>
        </w:tc>
        <w:tc>
          <w:tcPr>
            <w:tcW w:w="1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43,430</w:t>
            </w:r>
          </w:p>
        </w:tc>
      </w:tr>
      <w:tr>
        <w:trPr>
          <w:trHeight w:val="203"/>
        </w:trPr>
        <w:tc>
          <w:tcPr>
            <w:tcW w:w="1000" w:type="dxa"/>
            <w:vAlign w:val="bottom"/>
          </w:tcPr>
          <w:p>
            <w:pPr>
              <w:spacing w:after="0"/>
              <w:rPr>
                <w:sz w:val="17"/>
                <w:szCs w:val="17"/>
                <w:color w:val="auto"/>
              </w:rPr>
            </w:pPr>
          </w:p>
        </w:tc>
        <w:tc>
          <w:tcPr>
            <w:tcW w:w="2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37,782 35,625 30,161 Net</w:t>
            </w:r>
          </w:p>
        </w:tc>
        <w:tc>
          <w:tcPr>
            <w:tcW w:w="100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income....................................</w:t>
            </w: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29,839 25,421</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23,141 20,142 Basic and diluted</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earnings per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share</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0.15 0.13 0.12</w:t>
            </w:r>
          </w:p>
        </w:tc>
      </w:tr>
      <w:tr>
        <w:trPr>
          <w:trHeight w:val="203"/>
        </w:trPr>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0.10</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2099" w:hanging="427"/>
        <w:spacing w:after="0" w:line="279" w:lineRule="auto"/>
        <w:tabs>
          <w:tab w:leader="none" w:pos="54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2000, the fiscal quarters ended December 31, 1999 and June 30, 2000 included purchased in-process research and development and other indirect acquisition-related costs of $19,876 and $55,741,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24 -- NEW ACCOUNTING STANDARDS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 June 2001, the Financial Accounting Standards Board issued Statements of Financial Accounting Standards ("SFAS") No. 141, "Business Combinations" ("SFAS 141"), and No. 142, "Goodwill and Other Intangible Assets" ("SFAS 142").</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SFAS 141 requires that the purchase method of accounting be used for all business combinations initiated after June 30, 2001. The adoption of SFAS 141 will have no impact on the business, results of operations, or financial condition of the Company.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SFAS 142 is effective for fiscal years beginning after December 15, 2001. Under SFAS 142, goodwill and intangible assets deemed to have indefinite lives will no longer be amortized but will be subject to annual impairment tests in accordance with the Statement. Other intangible assets will continue to be amortized over their useful lives.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According to the adoption requirements of SFAS 142, the Company has the option of applying the new standard on accounting for goodwill and other intangible assets beginning either in the quarter ended on December 31, 2001 or December 31, 2002. The Company anticipates adopting this Statement in the quarter ended December 31, 2002. Subsequent to the adoption of the new rules, the Company will perform the first of the required impairment tests of goodwill and intangible assets recorded as of the date of adoption and has not yet determined what the effect of these tests will be on the Company's earnings and financial position. The Company recorded $202,399 and $102,824, of goodwill amortization during the years ended September 30, 2001 and 2000, and no goodwill amortization during the year ended September 30, 1999.</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514" w:right="1440" w:bottom="564" w:gutter="0" w:footer="0" w:header="0"/>
        </w:sectPr>
      </w:pPr>
    </w:p>
    <w:bookmarkStart w:id="87" w:name="page88"/>
    <w:bookmarkEnd w:id="87"/>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25 -- SUBSEQUENT EVENTS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On November 28, 2001, the Company completed its acquisition from Nortel Networks Corporation of substantially all of the assets of its Clarify business ("Clarify"), a leading provider of CRM software to communications companies and other enterprise sectors. This acquisition positions the Company as a leading provider of CRM to the communications industry and reinforces its leadership in delivering a comprehensive portfolio of business software applications.</w:t>
      </w:r>
    </w:p>
    <w:p>
      <w:pPr>
        <w:spacing w:after="0" w:line="18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acquired Clarify for approximately $200,000 in cash. The transaction will be accounted for by the purchase accounting method as required by SFAS 141.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expects to incur a nonrecurring acquisition-related charge in its first fiscal quarter ending December 31, 2001 to account for certain costs relating to the acquisition, primarily the write-off of purchased in-process research and development.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process of the purchase price allocation will soon be finalized. Total amounts assigned to the acquired intangible assets and goodwill will be determined in the purchase price allocation process.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 REPURCHASE PROGRAM</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November 6, 2001, the Company announced that its board of directors had approved a share repurchase program authorizing the repurchase of up to 11,000 Ordinary Shares, or approximately 5% of the Company's currently outstanding Ordinary Shares. According to the program, shares may be repurchased from time to time over the next twelve months on the open market, in privately negotiated transactions or otherwise, all in accordance with any applicable laws, and at prices per share as the Company deems appropriate. If any repurchases are made, the Company intends to fund the repurchases with available funds.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OPERATIONAL EFFICIENCY PLAN</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part of the Company's plan to achieve increased operational efficiency and to reduce costs, the Company has decided to combine the Stamford, Connecticut data center with one the Company operates in Champaign, Illinois, and thereupon to close its Stamford facility. As a direct result of this plan, the Company expects to incur a nonrecurring charge of between $10,000 to $15,000, primarily for the write-off of leasehold improvements and rent obligations, during the first quarter of 2002.</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514" w:right="1440" w:bottom="1440" w:gutter="0" w:footer="0" w:header="0"/>
        </w:sectPr>
      </w:pPr>
    </w:p>
    <w:bookmarkStart w:id="88" w:name="page89"/>
    <w:bookmarkEnd w:id="88"/>
    <w:p>
      <w:pPr>
        <w:ind w:left="4740"/>
        <w:spacing w:after="0"/>
        <w:rPr>
          <w:sz w:val="20"/>
          <w:szCs w:val="20"/>
          <w:color w:val="auto"/>
        </w:rPr>
      </w:pPr>
      <w:r>
        <w:rPr>
          <w:rFonts w:ascii="Courier New" w:cs="Courier New" w:eastAsia="Courier New" w:hAnsi="Courier New"/>
          <w:sz w:val="18"/>
          <w:szCs w:val="18"/>
          <w:color w:val="auto"/>
        </w:rPr>
        <w:t>AMDOCS LIMITED</w:t>
      </w:r>
    </w:p>
    <w:p>
      <w:pPr>
        <w:ind w:left="3480"/>
        <w:spacing w:after="0" w:line="238" w:lineRule="auto"/>
        <w:rPr>
          <w:sz w:val="20"/>
          <w:szCs w:val="20"/>
          <w:color w:val="auto"/>
        </w:rPr>
      </w:pPr>
      <w:r>
        <w:rPr>
          <w:rFonts w:ascii="Courier New" w:cs="Courier New" w:eastAsia="Courier New" w:hAnsi="Courier New"/>
          <w:sz w:val="18"/>
          <w:szCs w:val="18"/>
          <w:color w:val="auto"/>
        </w:rPr>
        <w:t>FINANCIAL STATEMENT SCHEDULE</w:t>
      </w:r>
    </w:p>
    <w:p>
      <w:pPr>
        <w:jc w:val="right"/>
        <w:ind w:right="3579"/>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ADDITIONS ---------------</w:t>
      </w:r>
    </w:p>
    <w:p>
      <w:pPr>
        <w:ind w:left="380"/>
        <w:spacing w:after="0" w:line="238" w:lineRule="auto"/>
        <w:rPr>
          <w:sz w:val="20"/>
          <w:szCs w:val="20"/>
          <w:color w:val="auto"/>
        </w:rPr>
      </w:pPr>
      <w:r>
        <w:rPr>
          <w:rFonts w:ascii="Courier New" w:cs="Courier New" w:eastAsia="Courier New" w:hAnsi="Courier New"/>
          <w:sz w:val="18"/>
          <w:szCs w:val="18"/>
          <w:color w:val="auto"/>
        </w:rPr>
        <w:t>-------- BALANCE AT</w:t>
      </w:r>
    </w:p>
    <w:p>
      <w:pPr>
        <w:jc w:val="center"/>
        <w:ind w:right="7479"/>
        <w:spacing w:after="0"/>
        <w:rPr>
          <w:sz w:val="20"/>
          <w:szCs w:val="20"/>
          <w:color w:val="auto"/>
        </w:rPr>
      </w:pPr>
      <w:r>
        <w:rPr>
          <w:rFonts w:ascii="Courier New" w:cs="Courier New" w:eastAsia="Courier New" w:hAnsi="Courier New"/>
          <w:sz w:val="18"/>
          <w:szCs w:val="18"/>
          <w:color w:val="auto"/>
        </w:rPr>
        <w:t>CHARGED TO CHARGED TO</w:t>
      </w:r>
    </w:p>
    <w:p>
      <w:pPr>
        <w:jc w:val="center"/>
        <w:ind w:right="7479"/>
        <w:spacing w:after="0" w:line="237" w:lineRule="auto"/>
        <w:rPr>
          <w:sz w:val="20"/>
          <w:szCs w:val="20"/>
          <w:color w:val="auto"/>
        </w:rPr>
      </w:pPr>
      <w:r>
        <w:rPr>
          <w:rFonts w:ascii="Courier New" w:cs="Courier New" w:eastAsia="Courier New" w:hAnsi="Courier New"/>
          <w:sz w:val="18"/>
          <w:szCs w:val="18"/>
          <w:color w:val="auto"/>
        </w:rPr>
        <w:t>BALANCE AT BEGINNING</w:t>
      </w:r>
    </w:p>
    <w:p>
      <w:pPr>
        <w:jc w:val="center"/>
        <w:ind w:right="7479"/>
        <w:spacing w:after="0" w:line="238" w:lineRule="auto"/>
        <w:rPr>
          <w:sz w:val="20"/>
          <w:szCs w:val="20"/>
          <w:color w:val="auto"/>
        </w:rPr>
      </w:pPr>
      <w:r>
        <w:rPr>
          <w:rFonts w:ascii="Courier New" w:cs="Courier New" w:eastAsia="Courier New" w:hAnsi="Courier New"/>
          <w:sz w:val="18"/>
          <w:szCs w:val="18"/>
          <w:color w:val="auto"/>
        </w:rPr>
        <w:t>COSTS AND OTHER END OF</w:t>
      </w:r>
    </w:p>
    <w:p>
      <w:pPr>
        <w:jc w:val="center"/>
        <w:ind w:right="7479"/>
        <w:spacing w:after="0"/>
        <w:rPr>
          <w:sz w:val="20"/>
          <w:szCs w:val="20"/>
          <w:color w:val="auto"/>
        </w:rPr>
      </w:pPr>
      <w:r>
        <w:rPr>
          <w:rFonts w:ascii="Courier New" w:cs="Courier New" w:eastAsia="Courier New" w:hAnsi="Courier New"/>
          <w:sz w:val="18"/>
          <w:szCs w:val="18"/>
          <w:color w:val="auto"/>
        </w:rPr>
        <w:t>DESCRIPTION AT PERIOD</w:t>
      </w:r>
    </w:p>
    <w:p>
      <w:pPr>
        <w:jc w:val="center"/>
        <w:ind w:right="7479"/>
        <w:spacing w:after="0" w:line="237" w:lineRule="auto"/>
        <w:rPr>
          <w:sz w:val="20"/>
          <w:szCs w:val="20"/>
          <w:color w:val="auto"/>
        </w:rPr>
      </w:pPr>
      <w:r>
        <w:rPr>
          <w:rFonts w:ascii="Courier New" w:cs="Courier New" w:eastAsia="Courier New" w:hAnsi="Courier New"/>
          <w:sz w:val="18"/>
          <w:szCs w:val="18"/>
          <w:color w:val="auto"/>
        </w:rPr>
        <w:t>EXPENSES ACCOUNTS</w:t>
      </w:r>
    </w:p>
    <w:p>
      <w:pPr>
        <w:jc w:val="center"/>
        <w:ind w:right="7479"/>
        <w:spacing w:after="0"/>
        <w:rPr>
          <w:sz w:val="20"/>
          <w:szCs w:val="20"/>
          <w:color w:val="auto"/>
        </w:rPr>
      </w:pPr>
      <w:r>
        <w:rPr>
          <w:rFonts w:ascii="Courier New" w:cs="Courier New" w:eastAsia="Courier New" w:hAnsi="Courier New"/>
          <w:sz w:val="18"/>
          <w:szCs w:val="18"/>
          <w:color w:val="auto"/>
        </w:rPr>
        <w:t>DEDUCTIONS PERIOD -------</w:t>
      </w:r>
    </w:p>
    <w:p>
      <w:pPr>
        <w:ind w:left="580" w:hanging="525"/>
        <w:spacing w:after="0" w:line="237" w:lineRule="auto"/>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Allowances for</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doubtful debts.......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6,868 -- -- (3,649) 3,219</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16,743 11,164 -- --</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27,907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17" w:right="1440" w:bottom="1440" w:gutter="0" w:footer="0" w:header="0"/>
        </w:sectPr>
      </w:pPr>
    </w:p>
    <w:bookmarkStart w:id="89" w:name="page90"/>
    <w:bookmarkEnd w:id="89"/>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EXHIBIT NO.</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DESCRIPTION - --</w:t>
      </w:r>
    </w:p>
    <w:p>
      <w:pPr>
        <w:ind w:left="680" w:hanging="623"/>
        <w:spacing w:after="0"/>
        <w:tabs>
          <w:tab w:leader="none" w:pos="6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center"/>
        <w:ind w:right="8419" w:firstLine="10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- 1. Memorandum and Articles of Association of Amdocs Limited (Exhibits 3.1 and 3.2 to Amdocs' Registration Statement on Form F-1 dated June 19, 1998; Registration No. 333-8826) 3. Voting and Exchange Trust Agreement dated as of April 5, 2000 among Amdocs Limited, Amdocs (Denmark) ApS., Amdocs Holdings ULC, Solect Technology Group Inc. and The Trust Company of Bank of Montreal (Exhibit 3 to Amdocs' Annual Report on Form 20-F for the fiscal year ended September 30, 2000) 4.a.1 Agreement and Plan of Merger dated as of September 3, 1999 among Amdocs Limited, Ivan Acquisition Corp. and International Telecommunication Data Systems, Inc. (Exhibit 2.1 to Amdocs' Current Report on Form 6-K dated September 10, 1999) 4.a.2 Combination Agreement dated as of February 28, 2000 among Amdocs Limited, Solect Technology Group Inc., Amdocs (Denmark) ApS. and Amdocs Holdings ULC (Exhibit 2.1 to Amdocs' Current Report on Form</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33" w:lineRule="exact"/>
        <w:rPr>
          <w:rFonts w:ascii="Courier New" w:cs="Courier New" w:eastAsia="Courier New" w:hAnsi="Courier New"/>
          <w:sz w:val="18"/>
          <w:szCs w:val="18"/>
          <w:color w:val="auto"/>
        </w:rPr>
      </w:pPr>
    </w:p>
    <w:p>
      <w:pPr>
        <w:jc w:val="center"/>
        <w:ind w:left="60" w:right="8479" w:firstLine="5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6-K dated March 3, 2000) 4.a.3 Acquisition Agreement dated as of October 1, 2001, between Amdocs Limited and Nortel</w:t>
      </w:r>
    </w:p>
    <w:p>
      <w:pPr>
        <w:sectPr>
          <w:pgSz w:w="11900" w:h="16838" w:orient="portrait"/>
          <w:cols w:equalWidth="0" w:num="1">
            <w:col w:w="10219"/>
          </w:cols>
          <w:pgMar w:left="240" w:top="717" w:right="1440" w:bottom="0" w:gutter="0" w:footer="0" w:header="0"/>
        </w:sectPr>
      </w:pPr>
    </w:p>
    <w:bookmarkStart w:id="90" w:name="page91"/>
    <w:bookmarkEnd w:id="90"/>
    <w:p>
      <w:pPr>
        <w:jc w:val="center"/>
        <w:ind w:right="8479"/>
        <w:spacing w:after="0"/>
        <w:rPr>
          <w:sz w:val="20"/>
          <w:szCs w:val="20"/>
          <w:color w:val="auto"/>
        </w:rPr>
      </w:pPr>
      <w:r>
        <w:rPr>
          <w:rFonts w:ascii="Courier New" w:cs="Courier New" w:eastAsia="Courier New" w:hAnsi="Courier New"/>
          <w:sz w:val="18"/>
          <w:szCs w:val="18"/>
          <w:color w:val="auto"/>
        </w:rPr>
        <w:t>Networks</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479"/>
        <w:spacing w:after="0"/>
        <w:rPr>
          <w:sz w:val="20"/>
          <w:szCs w:val="20"/>
          <w:color w:val="auto"/>
        </w:rPr>
      </w:pPr>
      <w:r>
        <w:rPr>
          <w:rFonts w:ascii="Courier New" w:cs="Courier New" w:eastAsia="Courier New" w:hAnsi="Courier New"/>
          <w:sz w:val="18"/>
          <w:szCs w:val="18"/>
          <w:color w:val="auto"/>
        </w:rPr>
        <w:t>(Exhibit 2.1 to</w:t>
      </w:r>
    </w:p>
    <w:p>
      <w:pPr>
        <w:jc w:val="center"/>
        <w:ind w:right="8479"/>
        <w:spacing w:after="0" w:line="237" w:lineRule="auto"/>
        <w:rPr>
          <w:sz w:val="20"/>
          <w:szCs w:val="20"/>
          <w:color w:val="auto"/>
        </w:rPr>
      </w:pPr>
      <w:r>
        <w:rPr>
          <w:rFonts w:ascii="Courier New" w:cs="Courier New" w:eastAsia="Courier New" w:hAnsi="Courier New"/>
          <w:sz w:val="18"/>
          <w:szCs w:val="18"/>
          <w:color w:val="auto"/>
        </w:rPr>
        <w:t>Amdocs' Current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Report on Form</w:t>
      </w:r>
    </w:p>
    <w:p>
      <w:pPr>
        <w:jc w:val="center"/>
        <w:ind w:right="8479"/>
        <w:spacing w:after="0"/>
        <w:rPr>
          <w:sz w:val="20"/>
          <w:szCs w:val="20"/>
          <w:color w:val="auto"/>
        </w:rPr>
      </w:pPr>
      <w:r>
        <w:rPr>
          <w:rFonts w:ascii="Courier New" w:cs="Courier New" w:eastAsia="Courier New" w:hAnsi="Courier New"/>
          <w:sz w:val="18"/>
          <w:szCs w:val="18"/>
          <w:color w:val="auto"/>
        </w:rPr>
        <w:t>6-K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October 10,</w:t>
      </w:r>
    </w:p>
    <w:p>
      <w:pPr>
        <w:jc w:val="center"/>
        <w:ind w:right="8479"/>
        <w:spacing w:after="0"/>
        <w:rPr>
          <w:sz w:val="20"/>
          <w:szCs w:val="20"/>
          <w:color w:val="auto"/>
        </w:rPr>
      </w:pPr>
      <w:r>
        <w:rPr>
          <w:rFonts w:ascii="Courier New" w:cs="Courier New" w:eastAsia="Courier New" w:hAnsi="Courier New"/>
          <w:sz w:val="18"/>
          <w:szCs w:val="18"/>
          <w:color w:val="auto"/>
        </w:rPr>
        <w:t>2001) 8.</w:t>
      </w:r>
    </w:p>
    <w:p>
      <w:pPr>
        <w:jc w:val="center"/>
        <w:ind w:right="8479"/>
        <w:spacing w:after="0" w:line="237" w:lineRule="auto"/>
        <w:rPr>
          <w:sz w:val="20"/>
          <w:szCs w:val="20"/>
          <w:color w:val="auto"/>
        </w:rPr>
      </w:pPr>
      <w:r>
        <w:rPr>
          <w:rFonts w:ascii="Courier New" w:cs="Courier New" w:eastAsia="Courier New" w:hAnsi="Courier New"/>
          <w:sz w:val="18"/>
          <w:szCs w:val="18"/>
          <w:color w:val="auto"/>
        </w:rPr>
        <w:t>Subsidiaries of</w:t>
      </w:r>
    </w:p>
    <w:p>
      <w:pPr>
        <w:jc w:val="center"/>
        <w:ind w:right="8479"/>
        <w:spacing w:after="0"/>
        <w:rPr>
          <w:sz w:val="20"/>
          <w:szCs w:val="20"/>
          <w:color w:val="auto"/>
        </w:rPr>
      </w:pPr>
      <w:r>
        <w:rPr>
          <w:rFonts w:ascii="Courier New" w:cs="Courier New" w:eastAsia="Courier New" w:hAnsi="Courier New"/>
          <w:sz w:val="18"/>
          <w:szCs w:val="18"/>
          <w:color w:val="auto"/>
        </w:rPr>
        <w:t>Amdocs Limited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10.a.1 Consent</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of Ernst &amp; Young</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LLP 10.a.2</w:t>
      </w:r>
    </w:p>
    <w:p>
      <w:pPr>
        <w:jc w:val="center"/>
        <w:ind w:right="8479"/>
        <w:spacing w:after="0" w:line="238" w:lineRule="auto"/>
        <w:rPr>
          <w:sz w:val="20"/>
          <w:szCs w:val="20"/>
          <w:color w:val="auto"/>
        </w:rPr>
      </w:pPr>
      <w:r>
        <w:rPr>
          <w:rFonts w:ascii="Courier New" w:cs="Courier New" w:eastAsia="Courier New" w:hAnsi="Courier New"/>
          <w:sz w:val="18"/>
          <w:szCs w:val="18"/>
          <w:color w:val="auto"/>
        </w:rPr>
        <w:t>Amdocs Limited</w:t>
      </w:r>
    </w:p>
    <w:p>
      <w:pPr>
        <w:jc w:val="center"/>
        <w:ind w:right="8479"/>
        <w:spacing w:after="0"/>
        <w:rPr>
          <w:sz w:val="20"/>
          <w:szCs w:val="20"/>
          <w:color w:val="auto"/>
        </w:rPr>
      </w:pPr>
      <w:r>
        <w:rPr>
          <w:rFonts w:ascii="Courier New" w:cs="Courier New" w:eastAsia="Courier New" w:hAnsi="Courier New"/>
          <w:sz w:val="18"/>
          <w:szCs w:val="18"/>
          <w:color w:val="auto"/>
        </w:rPr>
        <w:t>Press Release</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November</w:t>
      </w:r>
    </w:p>
    <w:p>
      <w:pPr>
        <w:jc w:val="center"/>
        <w:ind w:right="8479"/>
        <w:spacing w:after="0" w:line="238" w:lineRule="auto"/>
        <w:rPr>
          <w:sz w:val="20"/>
          <w:szCs w:val="20"/>
          <w:color w:val="auto"/>
        </w:rPr>
      </w:pPr>
      <w:r>
        <w:rPr>
          <w:rFonts w:ascii="Courier New" w:cs="Courier New" w:eastAsia="Courier New" w:hAnsi="Courier New"/>
          <w:sz w:val="18"/>
          <w:szCs w:val="18"/>
          <w:color w:val="auto"/>
        </w:rPr>
        <w:t>6, 2001</w:t>
      </w:r>
    </w:p>
    <w:p>
      <w:pPr>
        <w:sectPr>
          <w:pgSz w:w="11900" w:h="16838" w:orient="portrait"/>
          <w:cols w:equalWidth="0" w:num="1">
            <w:col w:w="10159"/>
          </w:cols>
          <w:pgMar w:left="300" w:top="136" w:right="1440" w:bottom="1440" w:gutter="0" w:footer="0" w:header="0"/>
        </w:sectPr>
      </w:pPr>
    </w:p>
    <w:bookmarkStart w:id="91" w:name="page92"/>
    <w:bookmarkEnd w:id="91"/>
    <w:p>
      <w:pPr>
        <w:ind w:left="7480"/>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SIGNIFICANT SUBSIDIARIES OF AMDOCS LIMITED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840"/>
        <w:spacing w:after="0"/>
        <w:tabs>
          <w:tab w:leader="none" w:pos="1460" w:val="left"/>
          <w:tab w:leader="none" w:pos="2100" w:val="left"/>
        </w:tabs>
        <w:rPr>
          <w:sz w:val="20"/>
          <w:szCs w:val="20"/>
          <w:color w:val="auto"/>
        </w:rPr>
      </w:pPr>
      <w:r>
        <w:rPr>
          <w:rFonts w:ascii="Courier New" w:cs="Courier New" w:eastAsia="Courier New" w:hAnsi="Courier New"/>
          <w:sz w:val="18"/>
          <w:szCs w:val="18"/>
          <w:color w:val="auto"/>
        </w:rPr>
        <w:t>LIST OF THE SUBSIDIARIES</w:t>
      </w:r>
      <w:r>
        <w:rPr>
          <w:sz w:val="20"/>
          <w:szCs w:val="20"/>
          <w:color w:val="auto"/>
        </w:rPr>
        <w:tab/>
      </w:r>
      <w:r>
        <w:rPr>
          <w:rFonts w:ascii="Courier New" w:cs="Courier New" w:eastAsia="Courier New" w:hAnsi="Courier New"/>
          <w:sz w:val="18"/>
          <w:szCs w:val="18"/>
          <w:color w:val="auto"/>
        </w:rPr>
        <w:t>JURISDICTION OF</w:t>
      </w:r>
      <w:r>
        <w:rPr>
          <w:sz w:val="20"/>
          <w:szCs w:val="20"/>
          <w:color w:val="auto"/>
        </w:rPr>
        <w:tab/>
      </w:r>
      <w:r>
        <w:rPr>
          <w:rFonts w:ascii="Courier New" w:cs="Courier New" w:eastAsia="Courier New" w:hAnsi="Courier New"/>
          <w:sz w:val="16"/>
          <w:szCs w:val="16"/>
          <w:color w:val="auto"/>
        </w:rPr>
        <w:t>BUSINESS NAME</w:t>
      </w:r>
    </w:p>
    <w:p>
      <w:pPr>
        <w:jc w:val="center"/>
        <w:ind w:right="220"/>
        <w:spacing w:after="0" w:line="238" w:lineRule="auto"/>
        <w:rPr>
          <w:sz w:val="20"/>
          <w:szCs w:val="20"/>
          <w:color w:val="auto"/>
        </w:rPr>
      </w:pPr>
      <w:r>
        <w:rPr>
          <w:rFonts w:ascii="Courier New" w:cs="Courier New" w:eastAsia="Courier New" w:hAnsi="Courier New"/>
          <w:sz w:val="18"/>
          <w:szCs w:val="18"/>
          <w:color w:val="auto"/>
        </w:rPr>
        <w:t>INCORPORATION OR</w:t>
      </w:r>
    </w:p>
    <w:p>
      <w:pPr>
        <w:jc w:val="center"/>
        <w:ind w:right="220"/>
        <w:spacing w:after="0"/>
        <w:rPr>
          <w:sz w:val="20"/>
          <w:szCs w:val="20"/>
          <w:color w:val="auto"/>
        </w:rPr>
      </w:pPr>
      <w:r>
        <w:rPr>
          <w:rFonts w:ascii="Courier New" w:cs="Courier New" w:eastAsia="Courier New" w:hAnsi="Courier New"/>
          <w:sz w:val="18"/>
          <w:szCs w:val="18"/>
          <w:color w:val="auto"/>
        </w:rPr>
        <w:t>ORGANIZATION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(Brazil) Limitada</w:t>
      </w:r>
      <w:r>
        <w:rPr>
          <w:sz w:val="20"/>
          <w:szCs w:val="20"/>
          <w:color w:val="auto"/>
        </w:rPr>
        <w:tab/>
      </w:r>
      <w:r>
        <w:rPr>
          <w:rFonts w:ascii="Courier New" w:cs="Courier New" w:eastAsia="Courier New" w:hAnsi="Courier New"/>
          <w:sz w:val="18"/>
          <w:szCs w:val="18"/>
          <w:color w:val="auto"/>
        </w:rPr>
        <w:t>Brazil</w:t>
      </w:r>
      <w:r>
        <w:rPr>
          <w:sz w:val="20"/>
          <w:szCs w:val="20"/>
          <w:color w:val="auto"/>
        </w:rPr>
        <w:tab/>
      </w:r>
      <w:r>
        <w:rPr>
          <w:rFonts w:ascii="Courier New" w:cs="Courier New" w:eastAsia="Courier New" w:hAnsi="Courier New"/>
          <w:sz w:val="16"/>
          <w:szCs w:val="16"/>
          <w:color w:val="auto"/>
        </w:rPr>
        <w:t>Amdocs (Brazil) Limitada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Canada, Inc.</w:t>
      </w:r>
      <w:r>
        <w:rPr>
          <w:sz w:val="20"/>
          <w:szCs w:val="20"/>
          <w:color w:val="auto"/>
        </w:rPr>
        <w:tab/>
      </w:r>
      <w:r>
        <w:rPr>
          <w:rFonts w:ascii="Courier New" w:cs="Courier New" w:eastAsia="Courier New" w:hAnsi="Courier New"/>
          <w:sz w:val="18"/>
          <w:szCs w:val="18"/>
          <w:color w:val="auto"/>
        </w:rPr>
        <w:t>Canada</w:t>
      </w:r>
      <w:r>
        <w:rPr>
          <w:sz w:val="20"/>
          <w:szCs w:val="20"/>
          <w:color w:val="auto"/>
        </w:rPr>
        <w:tab/>
      </w:r>
      <w:r>
        <w:rPr>
          <w:rFonts w:ascii="Courier New" w:cs="Courier New" w:eastAsia="Courier New" w:hAnsi="Courier New"/>
          <w:sz w:val="16"/>
          <w:szCs w:val="16"/>
          <w:color w:val="auto"/>
        </w:rPr>
        <w:t>Amdocs Canada, Inc. (formerly Solect</w:t>
      </w:r>
    </w:p>
    <w:p>
      <w:pPr>
        <w:ind w:left="7180"/>
        <w:spacing w:after="0" w:line="238" w:lineRule="auto"/>
        <w:rPr>
          <w:sz w:val="20"/>
          <w:szCs w:val="20"/>
          <w:color w:val="auto"/>
        </w:rPr>
      </w:pPr>
      <w:r>
        <w:rPr>
          <w:rFonts w:ascii="Courier New" w:cs="Courier New" w:eastAsia="Courier New" w:hAnsi="Courier New"/>
          <w:sz w:val="18"/>
          <w:szCs w:val="18"/>
          <w:color w:val="auto"/>
        </w:rPr>
        <w:t>Technology Group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Holdings ULC</w:t>
      </w:r>
      <w:r>
        <w:rPr>
          <w:sz w:val="20"/>
          <w:szCs w:val="20"/>
          <w:color w:val="auto"/>
        </w:rPr>
        <w:tab/>
      </w:r>
      <w:r>
        <w:rPr>
          <w:rFonts w:ascii="Courier New" w:cs="Courier New" w:eastAsia="Courier New" w:hAnsi="Courier New"/>
          <w:sz w:val="18"/>
          <w:szCs w:val="18"/>
          <w:color w:val="auto"/>
        </w:rPr>
        <w:t>Canada</w:t>
      </w:r>
      <w:r>
        <w:rPr>
          <w:sz w:val="20"/>
          <w:szCs w:val="20"/>
          <w:color w:val="auto"/>
        </w:rPr>
        <w:tab/>
      </w:r>
      <w:r>
        <w:rPr>
          <w:rFonts w:ascii="Courier New" w:cs="Courier New" w:eastAsia="Courier New" w:hAnsi="Courier New"/>
          <w:sz w:val="16"/>
          <w:szCs w:val="16"/>
          <w:color w:val="auto"/>
        </w:rPr>
        <w:t>Amdocs Holding ULC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(CR) S.R.O.</w:t>
      </w:r>
      <w:r>
        <w:rPr>
          <w:sz w:val="20"/>
          <w:szCs w:val="20"/>
          <w:color w:val="auto"/>
        </w:rPr>
        <w:tab/>
      </w:r>
      <w:r>
        <w:rPr>
          <w:rFonts w:ascii="Courier New" w:cs="Courier New" w:eastAsia="Courier New" w:hAnsi="Courier New"/>
          <w:sz w:val="18"/>
          <w:szCs w:val="18"/>
          <w:color w:val="auto"/>
        </w:rPr>
        <w:t>Czech Republic</w:t>
      </w:r>
      <w:r>
        <w:rPr>
          <w:sz w:val="20"/>
          <w:szCs w:val="20"/>
          <w:color w:val="auto"/>
        </w:rPr>
        <w:tab/>
      </w:r>
      <w:r>
        <w:rPr>
          <w:rFonts w:ascii="Courier New" w:cs="Courier New" w:eastAsia="Courier New" w:hAnsi="Courier New"/>
          <w:sz w:val="16"/>
          <w:szCs w:val="16"/>
          <w:color w:val="auto"/>
        </w:rPr>
        <w:t>Amdocs (CR) S.R.O.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(Denmark) ApS</w:t>
      </w:r>
      <w:r>
        <w:rPr>
          <w:sz w:val="20"/>
          <w:szCs w:val="20"/>
          <w:color w:val="auto"/>
        </w:rPr>
        <w:tab/>
      </w:r>
      <w:r>
        <w:rPr>
          <w:rFonts w:ascii="Courier New" w:cs="Courier New" w:eastAsia="Courier New" w:hAnsi="Courier New"/>
          <w:sz w:val="18"/>
          <w:szCs w:val="18"/>
          <w:color w:val="auto"/>
        </w:rPr>
        <w:t>Denmark</w:t>
      </w:r>
      <w:r>
        <w:rPr>
          <w:sz w:val="20"/>
          <w:szCs w:val="20"/>
          <w:color w:val="auto"/>
        </w:rPr>
        <w:tab/>
      </w:r>
      <w:r>
        <w:rPr>
          <w:rFonts w:ascii="Courier New" w:cs="Courier New" w:eastAsia="Courier New" w:hAnsi="Courier New"/>
          <w:sz w:val="16"/>
          <w:szCs w:val="16"/>
          <w:color w:val="auto"/>
        </w:rPr>
        <w:t>Amdocs (Denmark) ApS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GmbH</w:t>
      </w:r>
      <w:r>
        <w:rPr>
          <w:sz w:val="20"/>
          <w:szCs w:val="20"/>
          <w:color w:val="auto"/>
        </w:rPr>
        <w:tab/>
      </w:r>
      <w:r>
        <w:rPr>
          <w:rFonts w:ascii="Courier New" w:cs="Courier New" w:eastAsia="Courier New" w:hAnsi="Courier New"/>
          <w:sz w:val="18"/>
          <w:szCs w:val="18"/>
          <w:color w:val="auto"/>
        </w:rPr>
        <w:t>Germany</w:t>
      </w:r>
      <w:r>
        <w:rPr>
          <w:sz w:val="20"/>
          <w:szCs w:val="20"/>
          <w:color w:val="auto"/>
        </w:rPr>
        <w:tab/>
      </w:r>
      <w:r>
        <w:rPr>
          <w:rFonts w:ascii="Courier New" w:cs="Courier New" w:eastAsia="Courier New" w:hAnsi="Courier New"/>
          <w:sz w:val="16"/>
          <w:szCs w:val="16"/>
          <w:color w:val="auto"/>
        </w:rPr>
        <w:t>Amdocs Software GmbH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Solutions Kft</w:t>
      </w:r>
      <w:r>
        <w:rPr>
          <w:sz w:val="20"/>
          <w:szCs w:val="20"/>
          <w:color w:val="auto"/>
        </w:rPr>
        <w:tab/>
      </w:r>
      <w:r>
        <w:rPr>
          <w:rFonts w:ascii="Courier New" w:cs="Courier New" w:eastAsia="Courier New" w:hAnsi="Courier New"/>
          <w:sz w:val="18"/>
          <w:szCs w:val="18"/>
          <w:color w:val="auto"/>
        </w:rPr>
        <w:t>Hungary</w:t>
      </w:r>
      <w:r>
        <w:rPr>
          <w:sz w:val="20"/>
          <w:szCs w:val="20"/>
          <w:color w:val="auto"/>
        </w:rPr>
        <w:tab/>
      </w:r>
      <w:r>
        <w:rPr>
          <w:rFonts w:ascii="Courier New" w:cs="Courier New" w:eastAsia="Courier New" w:hAnsi="Courier New"/>
          <w:sz w:val="16"/>
          <w:szCs w:val="16"/>
          <w:color w:val="auto"/>
        </w:rPr>
        <w:t>Amdocs Software Solutions Kft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Software Systems Ltd.</w:t>
      </w:r>
      <w:r>
        <w:rPr>
          <w:sz w:val="20"/>
          <w:szCs w:val="20"/>
          <w:color w:val="auto"/>
        </w:rPr>
        <w:tab/>
      </w:r>
      <w:r>
        <w:rPr>
          <w:rFonts w:ascii="Courier New" w:cs="Courier New" w:eastAsia="Courier New" w:hAnsi="Courier New"/>
          <w:sz w:val="18"/>
          <w:szCs w:val="18"/>
          <w:color w:val="auto"/>
        </w:rPr>
        <w:t>Ireland</w:t>
      </w:r>
      <w:r>
        <w:rPr>
          <w:sz w:val="20"/>
          <w:szCs w:val="20"/>
          <w:color w:val="auto"/>
        </w:rPr>
        <w:tab/>
      </w:r>
      <w:r>
        <w:rPr>
          <w:rFonts w:ascii="Courier New" w:cs="Courier New" w:eastAsia="Courier New" w:hAnsi="Courier New"/>
          <w:sz w:val="16"/>
          <w:szCs w:val="16"/>
          <w:color w:val="auto"/>
        </w:rPr>
        <w:t>Amdocs Software Systems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European Software Marketing Ltd.</w:t>
      </w:r>
      <w:r>
        <w:rPr>
          <w:sz w:val="20"/>
          <w:szCs w:val="20"/>
          <w:color w:val="auto"/>
        </w:rPr>
        <w:tab/>
      </w:r>
      <w:r>
        <w:rPr>
          <w:rFonts w:ascii="Courier New" w:cs="Courier New" w:eastAsia="Courier New" w:hAnsi="Courier New"/>
          <w:sz w:val="18"/>
          <w:szCs w:val="18"/>
          <w:color w:val="auto"/>
        </w:rPr>
        <w:t>Island of Guernsey, Channel</w:t>
      </w:r>
      <w:r>
        <w:rPr>
          <w:sz w:val="20"/>
          <w:szCs w:val="20"/>
          <w:color w:val="auto"/>
        </w:rPr>
        <w:tab/>
      </w:r>
      <w:r>
        <w:rPr>
          <w:rFonts w:ascii="Courier New" w:cs="Courier New" w:eastAsia="Courier New" w:hAnsi="Courier New"/>
          <w:sz w:val="16"/>
          <w:szCs w:val="16"/>
          <w:color w:val="auto"/>
        </w:rPr>
        <w:t>European Software Marketing Ltd.</w:t>
      </w:r>
    </w:p>
    <w:p>
      <w:pPr>
        <w:ind w:left="4020"/>
        <w:spacing w:after="0" w:line="238" w:lineRule="auto"/>
        <w:rPr>
          <w:sz w:val="20"/>
          <w:szCs w:val="20"/>
          <w:color w:val="auto"/>
        </w:rPr>
      </w:pPr>
      <w:r>
        <w:rPr>
          <w:rFonts w:ascii="Courier New" w:cs="Courier New" w:eastAsia="Courier New" w:hAnsi="Courier New"/>
          <w:sz w:val="18"/>
          <w:szCs w:val="18"/>
          <w:color w:val="auto"/>
        </w:rPr>
        <w:t>Islands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(Israel) Limited</w:t>
      </w:r>
      <w:r>
        <w:rPr>
          <w:sz w:val="20"/>
          <w:szCs w:val="20"/>
          <w:color w:val="auto"/>
        </w:rPr>
        <w:tab/>
      </w:r>
      <w:r>
        <w:rPr>
          <w:rFonts w:ascii="Courier New" w:cs="Courier New" w:eastAsia="Courier New" w:hAnsi="Courier New"/>
          <w:sz w:val="18"/>
          <w:szCs w:val="18"/>
          <w:color w:val="auto"/>
        </w:rPr>
        <w:t>Israel</w:t>
      </w:r>
      <w:r>
        <w:rPr>
          <w:sz w:val="20"/>
          <w:szCs w:val="20"/>
          <w:color w:val="auto"/>
        </w:rPr>
        <w:tab/>
      </w:r>
      <w:r>
        <w:rPr>
          <w:rFonts w:ascii="Courier New" w:cs="Courier New" w:eastAsia="Courier New" w:hAnsi="Courier New"/>
          <w:sz w:val="16"/>
          <w:szCs w:val="16"/>
          <w:color w:val="auto"/>
        </w:rPr>
        <w:t>Amdocs (Israel)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Development Limited</w:t>
      </w:r>
      <w:r>
        <w:rPr>
          <w:sz w:val="20"/>
          <w:szCs w:val="20"/>
          <w:color w:val="auto"/>
        </w:rPr>
        <w:tab/>
      </w:r>
      <w:r>
        <w:rPr>
          <w:rFonts w:ascii="Courier New" w:cs="Courier New" w:eastAsia="Courier New" w:hAnsi="Courier New"/>
          <w:sz w:val="18"/>
          <w:szCs w:val="18"/>
          <w:color w:val="auto"/>
        </w:rPr>
        <w:t>Republic of Cyprus</w:t>
      </w:r>
      <w:r>
        <w:rPr>
          <w:sz w:val="20"/>
          <w:szCs w:val="20"/>
          <w:color w:val="auto"/>
        </w:rPr>
        <w:tab/>
      </w:r>
      <w:r>
        <w:rPr>
          <w:rFonts w:ascii="Courier New" w:cs="Courier New" w:eastAsia="Courier New" w:hAnsi="Courier New"/>
          <w:sz w:val="16"/>
          <w:szCs w:val="16"/>
          <w:color w:val="auto"/>
        </w:rPr>
        <w:t>Amdocs Development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Champaign,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Champaign, Inc. (formerly</w:t>
      </w:r>
    </w:p>
    <w:p>
      <w:pPr>
        <w:ind w:left="7180"/>
        <w:spacing w:after="0" w:line="238" w:lineRule="auto"/>
        <w:rPr>
          <w:sz w:val="20"/>
          <w:szCs w:val="20"/>
          <w:color w:val="auto"/>
        </w:rPr>
      </w:pPr>
      <w:r>
        <w:rPr>
          <w:rFonts w:ascii="Courier New" w:cs="Courier New" w:eastAsia="Courier New" w:hAnsi="Courier New"/>
          <w:sz w:val="18"/>
          <w:szCs w:val="18"/>
          <w:color w:val="auto"/>
        </w:rPr>
        <w:t>ITDS Intelicom Services,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Services,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Stamford,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Stamford, Inc. (formerly</w:t>
      </w:r>
    </w:p>
    <w:p>
      <w:pPr>
        <w:ind w:left="7180"/>
        <w:spacing w:after="0" w:line="238" w:lineRule="auto"/>
        <w:rPr>
          <w:sz w:val="20"/>
          <w:szCs w:val="20"/>
          <w:color w:val="auto"/>
        </w:rPr>
      </w:pPr>
      <w:r>
        <w:rPr>
          <w:rFonts w:ascii="Courier New" w:cs="Courier New" w:eastAsia="Courier New" w:hAnsi="Courier New"/>
          <w:sz w:val="18"/>
          <w:szCs w:val="18"/>
          <w:color w:val="auto"/>
        </w:rPr>
        <w:t>International Telecommunication Data</w:t>
      </w:r>
    </w:p>
    <w:p>
      <w:pPr>
        <w:ind w:left="7180"/>
        <w:spacing w:after="0"/>
        <w:rPr>
          <w:sz w:val="20"/>
          <w:szCs w:val="20"/>
          <w:color w:val="auto"/>
        </w:rPr>
      </w:pPr>
      <w:r>
        <w:rPr>
          <w:rFonts w:ascii="Courier New" w:cs="Courier New" w:eastAsia="Courier New" w:hAnsi="Courier New"/>
          <w:sz w:val="18"/>
          <w:szCs w:val="18"/>
          <w:color w:val="auto"/>
        </w:rPr>
        <w:t>Systems,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(USA),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Amdocs (USA),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Canadian Directory Technology Ltd.</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Canadian Directory Technology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Sypress, Inc.</w:t>
      </w:r>
      <w:r>
        <w:rPr>
          <w:sz w:val="20"/>
          <w:szCs w:val="20"/>
          <w:color w:val="auto"/>
        </w:rPr>
        <w:tab/>
      </w:r>
      <w:r>
        <w:rPr>
          <w:rFonts w:ascii="Courier New" w:cs="Courier New" w:eastAsia="Courier New" w:hAnsi="Courier New"/>
          <w:sz w:val="18"/>
          <w:szCs w:val="18"/>
          <w:color w:val="auto"/>
        </w:rPr>
        <w:t>State of Delaware</w:t>
      </w:r>
      <w:r>
        <w:rPr>
          <w:sz w:val="20"/>
          <w:szCs w:val="20"/>
          <w:color w:val="auto"/>
        </w:rPr>
        <w:tab/>
      </w:r>
      <w:r>
        <w:rPr>
          <w:rFonts w:ascii="Courier New" w:cs="Courier New" w:eastAsia="Courier New" w:hAnsi="Courier New"/>
          <w:sz w:val="16"/>
          <w:szCs w:val="16"/>
          <w:color w:val="auto"/>
        </w:rPr>
        <w:t>Sypress,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Management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Amdocs Management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Amdocs (UK)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Amdocs (UK)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European Support Limited</w:t>
      </w:r>
      <w:r>
        <w:rPr>
          <w:sz w:val="20"/>
          <w:szCs w:val="20"/>
          <w:color w:val="auto"/>
        </w:rPr>
        <w:tab/>
      </w:r>
      <w:r>
        <w:rPr>
          <w:rFonts w:ascii="Courier New" w:cs="Courier New" w:eastAsia="Courier New" w:hAnsi="Courier New"/>
          <w:sz w:val="18"/>
          <w:szCs w:val="18"/>
          <w:color w:val="auto"/>
        </w:rPr>
        <w:t>United Kingdom</w:t>
      </w:r>
      <w:r>
        <w:rPr>
          <w:sz w:val="20"/>
          <w:szCs w:val="20"/>
          <w:color w:val="auto"/>
        </w:rPr>
        <w:tab/>
      </w:r>
      <w:r>
        <w:rPr>
          <w:rFonts w:ascii="Courier New" w:cs="Courier New" w:eastAsia="Courier New" w:hAnsi="Courier New"/>
          <w:sz w:val="16"/>
          <w:szCs w:val="16"/>
          <w:color w:val="auto"/>
        </w:rPr>
        <w:t>European Support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0" w:val="left"/>
          <w:tab w:leader="none" w:pos="7160" w:val="left"/>
        </w:tabs>
        <w:rPr>
          <w:sz w:val="20"/>
          <w:szCs w:val="20"/>
          <w:color w:val="auto"/>
        </w:rPr>
      </w:pPr>
      <w:r>
        <w:rPr>
          <w:rFonts w:ascii="Courier New" w:cs="Courier New" w:eastAsia="Courier New" w:hAnsi="Courier New"/>
          <w:sz w:val="18"/>
          <w:szCs w:val="18"/>
          <w:color w:val="auto"/>
        </w:rPr>
        <w:t>Directory Technology (Pty) Limited</w:t>
      </w:r>
      <w:r>
        <w:rPr>
          <w:sz w:val="20"/>
          <w:szCs w:val="20"/>
          <w:color w:val="auto"/>
        </w:rPr>
        <w:tab/>
      </w:r>
      <w:r>
        <w:rPr>
          <w:rFonts w:ascii="Courier New" w:cs="Courier New" w:eastAsia="Courier New" w:hAnsi="Courier New"/>
          <w:sz w:val="18"/>
          <w:szCs w:val="18"/>
          <w:color w:val="auto"/>
        </w:rPr>
        <w:t>Victoria, Australia</w:t>
      </w:r>
      <w:r>
        <w:rPr>
          <w:sz w:val="20"/>
          <w:szCs w:val="20"/>
          <w:color w:val="auto"/>
        </w:rPr>
        <w:tab/>
      </w:r>
      <w:r>
        <w:rPr>
          <w:rFonts w:ascii="Courier New" w:cs="Courier New" w:eastAsia="Courier New" w:hAnsi="Courier New"/>
          <w:sz w:val="16"/>
          <w:szCs w:val="16"/>
          <w:color w:val="auto"/>
        </w:rPr>
        <w:t>Directory Technology (Pty)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180"/>
          </w:cols>
          <w:pgMar w:left="240" w:top="541" w:right="479" w:bottom="1440" w:gutter="0" w:footer="0" w:header="0"/>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EXHIBIT 10.a.1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ERNST &amp; YOUNG LLP</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consent to the use of our report dated November 1, 2001 with respect to the consolidated financial statements and financial statement schedule of Amdocs Limited included in this Annual Report on Form 20-F for the year ended September 30, 2001 and incorporated by reference in the following registration statements: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COMMISSION FILE NO.</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No. 333-91847</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333-92705</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333-31506</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333-34104</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333-58454</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333-39278</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333-44994</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Prospectus), No. 333-57036</w:t>
            </w:r>
          </w:p>
        </w:tc>
      </w:tr>
    </w:tbl>
    <w:p>
      <w:pPr>
        <w:spacing w:after="0" w:line="4" w:lineRule="exact"/>
        <w:rPr>
          <w:sz w:val="20"/>
          <w:szCs w:val="20"/>
          <w:color w:val="auto"/>
        </w:rPr>
      </w:pPr>
    </w:p>
    <w:p>
      <w:pPr>
        <w:ind w:left="6220" w:right="1779" w:hanging="6003"/>
        <w:spacing w:after="0" w:line="536" w:lineRule="auto"/>
        <w:rPr>
          <w:sz w:val="20"/>
          <w:szCs w:val="20"/>
          <w:color w:val="auto"/>
        </w:rPr>
      </w:pPr>
      <w:r>
        <w:rPr>
          <w:rFonts w:ascii="Courier New" w:cs="Courier New" w:eastAsia="Courier New" w:hAnsi="Courier New"/>
          <w:sz w:val="16"/>
          <w:szCs w:val="16"/>
          <w:color w:val="auto"/>
        </w:rPr>
        <w:t>Form F-3 (and related Prospectus and prospectus supplements), No. 333-67572 /s/ Ernst &amp; Young LLP</w:t>
      </w:r>
    </w:p>
    <w:p>
      <w:pPr>
        <w:spacing w:after="0" w:line="234" w:lineRule="auto"/>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27, 2001</w:t>
      </w:r>
    </w:p>
    <w:p>
      <w:pPr>
        <w:sectPr>
          <w:pgSz w:w="11900" w:h="16838" w:orient="portrait"/>
          <w:cols w:equalWidth="0" w:num="1">
            <w:col w:w="10219"/>
          </w:cols>
          <w:pgMar w:left="240" w:top="541" w:right="1440" w:bottom="1440" w:gutter="0" w:footer="0" w:header="0"/>
        </w:sectPr>
      </w:pPr>
    </w:p>
    <w:bookmarkStart w:id="93" w:name="page94"/>
    <w:bookmarkEnd w:id="93"/>
    <w:p>
      <w:pPr>
        <w:jc w:val="right"/>
        <w:ind w:right="1779"/>
        <w:spacing w:after="0"/>
        <w:rPr>
          <w:sz w:val="20"/>
          <w:szCs w:val="20"/>
          <w:color w:val="auto"/>
        </w:rPr>
      </w:pPr>
      <w:r>
        <w:rPr>
          <w:rFonts w:ascii="Courier New" w:cs="Courier New" w:eastAsia="Courier New" w:hAnsi="Courier New"/>
          <w:sz w:val="18"/>
          <w:szCs w:val="18"/>
          <w:color w:val="auto"/>
        </w:rPr>
        <w:t>EXHIBIT 10.a.2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LIMITED REPORTS INCREASE IN FOURTH QUARTER PRO</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FORMA EPS OF 40.0% TO $0.35</w:t>
      </w:r>
    </w:p>
    <w:p>
      <w:pPr>
        <w:spacing w:after="0" w:line="207" w:lineRule="exact"/>
        <w:rPr>
          <w:sz w:val="20"/>
          <w:szCs w:val="20"/>
          <w:color w:val="auto"/>
        </w:rPr>
      </w:pPr>
    </w:p>
    <w:p>
      <w:pPr>
        <w:jc w:val="center"/>
        <w:ind w:left="260" w:right="1260"/>
        <w:spacing w:after="0" w:line="236" w:lineRule="auto"/>
        <w:rPr>
          <w:sz w:val="20"/>
          <w:szCs w:val="20"/>
          <w:color w:val="auto"/>
        </w:rPr>
      </w:pPr>
      <w:r>
        <w:rPr>
          <w:rFonts w:ascii="Courier New" w:cs="Courier New" w:eastAsia="Courier New" w:hAnsi="Courier New"/>
          <w:sz w:val="18"/>
          <w:szCs w:val="18"/>
          <w:color w:val="auto"/>
        </w:rPr>
        <w:t>FOURTH QUARTER REVENUE INCREASES 31.9% TO $415.4 MILLION ANNUAL REVENUE TOPS $1.5 BILLION BOARD OF DIRECTORS AUTHORIZES STOCK REPURCHASE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 Louis, MO -- November 6, 2001 -- Amdocs Limited (NYSE: DOX) today reported that for the fourth quarter ended September 30, 2001, revenue reached $415.4 million, an increase of 31.9% over last year's fourth quarter. Excluding acquisition-related charges, net income increased 39.8% to $78.3 million, while earnings per share increased 40.0% to $0.35 per diluted share, compared to net income of $56.0 million, or $0.25 per diluted share, in the fourth quarter of fiscal 2000. The Company's as-reported net income, which includes acquisition-related charges for amortization of goodwill and purchased intangible assets and related tax effects, was $19.9 million, or $0.09 per diluted share, compared to a net income of $13.0 million, or $0.06 per diluted share, in the fourth quarter of fiscal 2000.</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Avi Naor, Chief Executive Officer of Amdocs Management Limited, noted, "We achieved strong revenue and operating results this quarter. Our ability to achieve stability and growth in the current business environment is based on our long-term relationships with the market leaders, which generate a solid, constantly expanding flow of recurring revenues. Our extensive portfolio of products and services, together with our global presence, adds stability by allowing us to adjust to shifting needs and opportunities within the evolving communications market. Moreover, in the current environment, Amdocs' reliability and stability have become decisive criteria in vendor selection. These factors are fueling continued growth through new sales in both the wireline and mobile sectors."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Naor continued, "We are focusing efforts on further strengthening our leadership position in the market. These initiatives encompass products, expanded customer base and operations. Through our strong R&amp;D program, together with the pending acquisition of Clarify, a leading CRM vendor, we are expanding our market coverage and enhancing our product line. This is helping us drive the expansion of our customer base. We believe these initiatives can significantly strengthen our leadership of the communications CRM and billing market and will facilitate continued growth moving forward."</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also announced a stock buyback program. Earlier today, Amdocs' Board of Directors authorized the repurchase of up to 11 million shares, or approximately 5% of the Company's outstanding common stock, on the open market, at times and prices considered appropriate by the Company. The Company intends to fund the repurchase with available funds.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Mr. Naor stated that the repurchase reflects management's confidence in the Company's future. Naor said, "The underlying fundamentals of our business are excellent. CRM and billing systems are mission-critical for our customers as they seek, for example, to improve customer retention, enhance productivity and support advanced data services. Even in today's environment, we are experiencing strong demand for our offerings. As the vendor of choice for the world's leading communications providers, we have a full, diverse pipeline and high visibility. While we have encountered longer sales cycles, the fundamentals of our business are compelling -- we are the foremost vendor in an outstanding market. Looking forward, we are very confident regarding our future business prospects."</w:t>
      </w:r>
    </w:p>
    <w:p>
      <w:pPr>
        <w:spacing w:after="0" w:line="18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Company also noted that for the fiscal year ended September 30, 2001, revenue grew by 37.2% to a record $1.53 billion. Excluding acquisition-related charges of amortization of goodwill and purchased intangible assets and related tax effects, and in fiscal 2000 also in-process research and development and other indirect acquisition costs, net income for fiscal 2001 increased 47.8% to $281.1 million, while diluted earnings per share increased 40.9% to $1.24.</w:t>
      </w:r>
    </w:p>
    <w:p>
      <w:pPr>
        <w:spacing w:after="0" w:line="186"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Amdocs is the world's leading provider of CRM, billing and order management systems for the communications industry. Amdocs has an unparalleled success record in project delivery of its mission-</w:t>
      </w:r>
    </w:p>
    <w:p>
      <w:pPr>
        <w:sectPr>
          <w:pgSz w:w="11900" w:h="16838" w:orient="portrait"/>
          <w:cols w:equalWidth="0" w:num="1">
            <w:col w:w="10219"/>
          </w:cols>
          <w:pgMar w:left="240" w:top="541" w:right="1440" w:bottom="1440" w:gutter="0" w:footer="0" w:header="0"/>
        </w:sectPr>
      </w:pPr>
    </w:p>
    <w:bookmarkStart w:id="94" w:name="page95"/>
    <w:bookmarkEnd w:id="94"/>
    <w:p>
      <w:pPr>
        <w:ind w:right="2319"/>
        <w:spacing w:after="0" w:line="236" w:lineRule="auto"/>
        <w:rPr>
          <w:sz w:val="20"/>
          <w:szCs w:val="20"/>
          <w:color w:val="auto"/>
        </w:rPr>
      </w:pPr>
      <w:r>
        <w:rPr>
          <w:rFonts w:ascii="Courier New" w:cs="Courier New" w:eastAsia="Courier New" w:hAnsi="Courier New"/>
          <w:sz w:val="18"/>
          <w:szCs w:val="18"/>
          <w:color w:val="auto"/>
        </w:rPr>
        <w:t>critical products. With human resources of over 8,600 information systems professionals, Amdocs supports a global customer base. For more information visit our Web site at www.amdocs.com.</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Amdocs will host a conference call on November 6 at 5 p.m. Eastern Standard Time to discuss the Company's fourth quarter results. The call will be carried live on the Internet via www.vcall.com and the Amdocs website, www.amdocs.com.</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 including in our Form 6-K filed on August 9, 2001 and in our Form 20-F/A filed on April 3,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Director of Investor Relations</w:t>
      </w:r>
    </w:p>
    <w:p>
      <w:pPr>
        <w:spacing w:after="0"/>
        <w:rPr>
          <w:sz w:val="20"/>
          <w:szCs w:val="20"/>
          <w:color w:val="auto"/>
        </w:rPr>
      </w:pPr>
      <w:r>
        <w:rPr>
          <w:rFonts w:ascii="Courier New" w:cs="Courier New" w:eastAsia="Courier New" w:hAnsi="Courier New"/>
          <w:sz w:val="18"/>
          <w:szCs w:val="18"/>
          <w:color w:val="auto"/>
        </w:rPr>
        <w:t>Amdocs Limited</w:t>
      </w:r>
    </w:p>
    <w:p>
      <w:pPr>
        <w:spacing w:after="0" w:line="237" w:lineRule="auto"/>
        <w:rPr>
          <w:sz w:val="20"/>
          <w:szCs w:val="20"/>
          <w:color w:val="auto"/>
        </w:rPr>
      </w:pPr>
      <w:r>
        <w:rPr>
          <w:rFonts w:ascii="Courier New" w:cs="Courier New" w:eastAsia="Courier New" w:hAnsi="Courier New"/>
          <w:sz w:val="18"/>
          <w:szCs w:val="18"/>
          <w:color w:val="auto"/>
        </w:rPr>
        <w:t>314/212-8328</w:t>
      </w:r>
    </w:p>
    <w:p>
      <w:pPr>
        <w:spacing w:after="0" w:line="238" w:lineRule="auto"/>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723" w:right="1440" w:bottom="1440" w:gutter="0" w:footer="0" w:header="0"/>
        </w:sectPr>
      </w:pPr>
    </w:p>
    <w:bookmarkStart w:id="95" w:name="page96"/>
    <w:bookmarkEnd w:id="95"/>
    <w:p>
      <w:pPr>
        <w:jc w:val="center"/>
        <w:ind w:right="1879"/>
        <w:spacing w:after="0"/>
        <w:rPr>
          <w:sz w:val="20"/>
          <w:szCs w:val="20"/>
          <w:color w:val="auto"/>
        </w:rPr>
      </w:pPr>
      <w:r>
        <w:rPr>
          <w:rFonts w:ascii="Courier New" w:cs="Courier New" w:eastAsia="Courier New" w:hAnsi="Courier New"/>
          <w:sz w:val="18"/>
          <w:szCs w:val="18"/>
          <w:color w:val="auto"/>
        </w:rPr>
        <w:t>PRO FORMA CONSOLIDATED STATEMENTS OF INCOME (UNAUDITED)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Excluding Purchased In-Process Research and Development, Acquisition Related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Costs,</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Amortization of Goodwill and Purchased Intangible Assets and Related Tax Effects</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w:t>
      </w:r>
    </w:p>
    <w:p>
      <w:pPr>
        <w:ind w:left="120"/>
        <w:spacing w:after="0" w:line="238" w:lineRule="auto"/>
        <w:rPr>
          <w:sz w:val="20"/>
          <w:szCs w:val="20"/>
          <w:color w:val="auto"/>
        </w:rPr>
      </w:pPr>
      <w:r>
        <w:rPr>
          <w:rFonts w:ascii="Courier New" w:cs="Courier New" w:eastAsia="Courier New" w:hAnsi="Courier New"/>
          <w:sz w:val="18"/>
          <w:szCs w:val="18"/>
          <w:color w:val="auto"/>
        </w:rPr>
        <w:t>ended Twelve</w:t>
      </w:r>
    </w:p>
    <w:p>
      <w:pPr>
        <w:ind w:left="120"/>
        <w:spacing w:after="0"/>
        <w:rPr>
          <w:sz w:val="20"/>
          <w:szCs w:val="20"/>
          <w:color w:val="auto"/>
        </w:rPr>
      </w:pPr>
      <w:r>
        <w:rPr>
          <w:rFonts w:ascii="Courier New" w:cs="Courier New" w:eastAsia="Courier New" w:hAnsi="Courier New"/>
          <w:sz w:val="18"/>
          <w:szCs w:val="18"/>
          <w:color w:val="auto"/>
        </w:rPr>
        <w:t>months ended</w:t>
      </w:r>
    </w:p>
    <w:p>
      <w:pPr>
        <w:ind w:left="60"/>
        <w:spacing w:after="0" w:line="237" w:lineRule="auto"/>
        <w:rPr>
          <w:sz w:val="20"/>
          <w:szCs w:val="20"/>
          <w:color w:val="auto"/>
        </w:rPr>
      </w:pPr>
      <w:r>
        <w:rPr>
          <w:rFonts w:ascii="Courier New" w:cs="Courier New" w:eastAsia="Courier New" w:hAnsi="Courier New"/>
          <w:sz w:val="18"/>
          <w:szCs w:val="18"/>
          <w:color w:val="auto"/>
        </w:rPr>
        <w:t>September 30,</w:t>
      </w:r>
    </w:p>
    <w:p>
      <w:pPr>
        <w:ind w:left="60"/>
        <w:spacing w:after="0" w:line="238" w:lineRule="auto"/>
        <w:rPr>
          <w:sz w:val="20"/>
          <w:szCs w:val="20"/>
          <w:color w:val="auto"/>
        </w:rPr>
      </w:pPr>
      <w:r>
        <w:rPr>
          <w:rFonts w:ascii="Courier New" w:cs="Courier New" w:eastAsia="Courier New" w:hAnsi="Courier New"/>
          <w:sz w:val="18"/>
          <w:szCs w:val="18"/>
          <w:color w:val="auto"/>
        </w:rPr>
        <w:t>September 30,</w:t>
      </w:r>
    </w:p>
    <w:p>
      <w:pPr>
        <w:ind w:left="60"/>
        <w:spacing w:after="0"/>
        <w:rPr>
          <w:sz w:val="20"/>
          <w:szCs w:val="20"/>
          <w:color w:val="auto"/>
        </w:rPr>
      </w:pPr>
      <w:r>
        <w:rPr>
          <w:rFonts w:ascii="Courier New" w:cs="Courier New" w:eastAsia="Courier New" w:hAnsi="Courier New"/>
          <w:sz w:val="18"/>
          <w:szCs w:val="18"/>
          <w:color w:val="auto"/>
        </w:rPr>
        <w:t>-------------</w:t>
      </w:r>
    </w:p>
    <w:p>
      <w:pPr>
        <w:ind w:left="700" w:hanging="641"/>
        <w:spacing w:after="0" w:line="237" w:lineRule="auto"/>
        <w:tabs>
          <w:tab w:leader="none" w:pos="7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---- 2001(1)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w:t>
      </w:r>
    </w:p>
    <w:p>
      <w:pPr>
        <w:spacing w:after="0" w:line="4" w:lineRule="exact"/>
        <w:rPr>
          <w:rFonts w:ascii="Courier New" w:cs="Courier New" w:eastAsia="Courier New" w:hAnsi="Courier New"/>
          <w:sz w:val="18"/>
          <w:szCs w:val="18"/>
          <w:color w:val="auto"/>
        </w:rPr>
      </w:pPr>
    </w:p>
    <w:p>
      <w:pPr>
        <w:jc w:val="center"/>
        <w:ind w:left="60" w:right="879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License $41,560 $35,216 $ 171,430 $ 124,822 Service 373,887 279,851 1,362,480 993,498 -----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415,447</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315,067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1,533,910</w:t>
      </w:r>
    </w:p>
    <w:p>
      <w:pPr>
        <w:spacing w:after="0" w:line="4" w:lineRule="exact"/>
        <w:rPr>
          <w:rFonts w:ascii="Courier New" w:cs="Courier New" w:eastAsia="Courier New" w:hAnsi="Courier New"/>
          <w:sz w:val="18"/>
          <w:szCs w:val="18"/>
          <w:color w:val="auto"/>
        </w:rPr>
      </w:pPr>
    </w:p>
    <w:p>
      <w:pPr>
        <w:jc w:val="both"/>
        <w:ind w:left="28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1,118,320 Operating 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spacing w:after="0" w:line="4" w:lineRule="exact"/>
        <w:rPr>
          <w:rFonts w:ascii="Courier New" w:cs="Courier New" w:eastAsia="Courier New" w:hAnsi="Courier New"/>
          <w:sz w:val="18"/>
          <w:szCs w:val="18"/>
          <w:color w:val="auto"/>
        </w:rPr>
      </w:pPr>
    </w:p>
    <w:p>
      <w:pPr>
        <w:jc w:val="center"/>
        <w:ind w:right="8739" w:firstLine="15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license 926 1,278 5,651 5,624 Cost of service 228,814 177,475 847,591 639,900 Research and development 29,073 21,894 105,807 74,852 Selling, general and administrative 51,248 39,136 195,592 137,004 -----</w:t>
      </w: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310,061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239,783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1,154,641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857,380 -----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105,386</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75,284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379,269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260,940</w:t>
      </w:r>
    </w:p>
    <w:p>
      <w:pPr>
        <w:sectPr>
          <w:pgSz w:w="11900" w:h="16838" w:orient="portrait"/>
          <w:cols w:equalWidth="0" w:num="1">
            <w:col w:w="10219"/>
          </w:cols>
          <w:pgMar w:left="240" w:top="717" w:right="1440" w:bottom="0" w:gutter="0" w:footer="0" w:header="0"/>
        </w:sectPr>
      </w:pPr>
    </w:p>
    <w:bookmarkStart w:id="96" w:name="page97"/>
    <w:bookmarkEnd w:id="96"/>
    <w:p>
      <w:pPr>
        <w:jc w:val="center"/>
        <w:ind w:right="8739"/>
        <w:spacing w:after="0"/>
        <w:rPr>
          <w:sz w:val="20"/>
          <w:szCs w:val="20"/>
          <w:color w:val="auto"/>
        </w:rPr>
      </w:pPr>
      <w:r>
        <w:rPr>
          <w:rFonts w:ascii="Courier New" w:cs="Courier New" w:eastAsia="Courier New" w:hAnsi="Courier New"/>
          <w:sz w:val="18"/>
          <w:szCs w:val="18"/>
          <w:color w:val="auto"/>
        </w:rPr>
        <w:t>Interest</w:t>
      </w:r>
    </w:p>
    <w:p>
      <w:pPr>
        <w:ind w:left="220"/>
        <w:spacing w:after="0" w:line="238" w:lineRule="auto"/>
        <w:rPr>
          <w:sz w:val="20"/>
          <w:szCs w:val="20"/>
          <w:color w:val="auto"/>
        </w:rPr>
      </w:pPr>
      <w:r>
        <w:rPr>
          <w:rFonts w:ascii="Courier New" w:cs="Courier New" w:eastAsia="Courier New" w:hAnsi="Courier New"/>
          <w:sz w:val="18"/>
          <w:szCs w:val="18"/>
          <w:color w:val="auto"/>
        </w:rPr>
        <w:t>income and</w:t>
      </w:r>
    </w:p>
    <w:p>
      <w:pPr>
        <w:ind w:left="220"/>
        <w:spacing w:after="0"/>
        <w:rPr>
          <w:sz w:val="20"/>
          <w:szCs w:val="20"/>
          <w:color w:val="auto"/>
        </w:rPr>
      </w:pPr>
      <w:r>
        <w:rPr>
          <w:rFonts w:ascii="Courier New" w:cs="Courier New" w:eastAsia="Courier New" w:hAnsi="Courier New"/>
          <w:sz w:val="18"/>
          <w:szCs w:val="18"/>
          <w:color w:val="auto"/>
        </w:rPr>
        <w:t>other, net</w:t>
      </w:r>
    </w:p>
    <w:tbl>
      <w:tblPr>
        <w:tblLayout w:type="fixed"/>
        <w:tblInd w:w="60" w:type="dxa"/>
        <w:tblCellMar>
          <w:top w:w="0" w:type="dxa"/>
          <w:left w:w="0" w:type="dxa"/>
          <w:bottom w:w="0" w:type="dxa"/>
          <w:right w:w="0" w:type="dxa"/>
        </w:tblCellMar>
      </w:tblPr>
      <w:tr>
        <w:trPr>
          <w:trHeight w:val="202"/>
        </w:trPr>
        <w:tc>
          <w:tcPr>
            <w:tcW w:w="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6,400</w:t>
            </w:r>
          </w:p>
        </w:tc>
        <w:tc>
          <w:tcPr>
            <w:tcW w:w="6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2"/>
              </w:rPr>
              <w:t>4,716</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22,286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10,734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80" w:hanging="321"/>
        <w:spacing w:after="0" w:line="238" w:lineRule="auto"/>
        <w:tabs>
          <w:tab w:leader="none" w:pos="3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Income before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111,786</w:t>
      </w:r>
    </w:p>
    <w:p>
      <w:pPr>
        <w:jc w:val="center"/>
        <w:ind w:right="8739"/>
        <w:spacing w:after="0"/>
        <w:rPr>
          <w:sz w:val="20"/>
          <w:szCs w:val="20"/>
          <w:color w:val="auto"/>
        </w:rPr>
      </w:pPr>
      <w:r>
        <w:rPr>
          <w:rFonts w:ascii="Courier New" w:cs="Courier New" w:eastAsia="Courier New" w:hAnsi="Courier New"/>
          <w:sz w:val="18"/>
          <w:szCs w:val="18"/>
          <w:color w:val="auto"/>
        </w:rPr>
        <w:t>80,000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401,555</w:t>
      </w:r>
    </w:p>
    <w:p>
      <w:pPr>
        <w:jc w:val="center"/>
        <w:ind w:right="8739"/>
        <w:spacing w:after="0"/>
        <w:rPr>
          <w:sz w:val="20"/>
          <w:szCs w:val="20"/>
          <w:color w:val="auto"/>
        </w:rPr>
      </w:pPr>
      <w:r>
        <w:rPr>
          <w:rFonts w:ascii="Courier New" w:cs="Courier New" w:eastAsia="Courier New" w:hAnsi="Courier New"/>
          <w:sz w:val="18"/>
          <w:szCs w:val="18"/>
          <w:color w:val="auto"/>
        </w:rPr>
        <w:t>271,674</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8739"/>
        <w:spacing w:after="0"/>
        <w:rPr>
          <w:sz w:val="20"/>
          <w:szCs w:val="20"/>
          <w:color w:val="auto"/>
        </w:rPr>
      </w:pPr>
      <w:r>
        <w:rPr>
          <w:rFonts w:ascii="Courier New" w:cs="Courier New" w:eastAsia="Courier New" w:hAnsi="Courier New"/>
          <w:sz w:val="18"/>
          <w:szCs w:val="18"/>
          <w:color w:val="auto"/>
        </w:rPr>
        <w:t>33,536 24,026</w:t>
      </w:r>
    </w:p>
    <w:p>
      <w:pPr>
        <w:jc w:val="center"/>
        <w:ind w:right="8739"/>
        <w:spacing w:after="0" w:line="237" w:lineRule="auto"/>
        <w:rPr>
          <w:sz w:val="20"/>
          <w:szCs w:val="20"/>
          <w:color w:val="auto"/>
        </w:rPr>
      </w:pPr>
      <w:r>
        <w:rPr>
          <w:rFonts w:ascii="Courier New" w:cs="Courier New" w:eastAsia="Courier New" w:hAnsi="Courier New"/>
          <w:sz w:val="18"/>
          <w:szCs w:val="18"/>
          <w:color w:val="auto"/>
        </w:rPr>
        <w:t>120,467</w:t>
      </w:r>
    </w:p>
    <w:p>
      <w:pPr>
        <w:jc w:val="center"/>
        <w:ind w:right="8739"/>
        <w:spacing w:after="0" w:line="238" w:lineRule="auto"/>
        <w:rPr>
          <w:sz w:val="20"/>
          <w:szCs w:val="20"/>
          <w:color w:val="auto"/>
        </w:rPr>
      </w:pPr>
      <w:r>
        <w:rPr>
          <w:rFonts w:ascii="Courier New" w:cs="Courier New" w:eastAsia="Courier New" w:hAnsi="Courier New"/>
          <w:sz w:val="18"/>
          <w:szCs w:val="18"/>
          <w:color w:val="auto"/>
        </w:rPr>
        <w:t>81,528 ------</w:t>
      </w:r>
    </w:p>
    <w:p>
      <w:pPr>
        <w:ind w:left="280" w:hanging="221"/>
        <w:spacing w:after="0"/>
        <w:tabs>
          <w:tab w:leader="none" w:pos="2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900" w:hanging="630"/>
        <w:spacing w:after="0" w:line="238" w:lineRule="auto"/>
        <w:tabs>
          <w:tab w:leader="none" w:pos="90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$78,250</w:t>
      </w:r>
    </w:p>
    <w:p>
      <w:pPr>
        <w:jc w:val="center"/>
        <w:ind w:right="8739"/>
        <w:spacing w:after="0"/>
        <w:rPr>
          <w:sz w:val="20"/>
          <w:szCs w:val="20"/>
          <w:color w:val="auto"/>
        </w:rPr>
      </w:pPr>
      <w:r>
        <w:rPr>
          <w:rFonts w:ascii="Courier New" w:cs="Courier New" w:eastAsia="Courier New" w:hAnsi="Courier New"/>
          <w:sz w:val="18"/>
          <w:szCs w:val="18"/>
          <w:color w:val="auto"/>
        </w:rPr>
        <w:t>$55,974 $</w:t>
      </w:r>
    </w:p>
    <w:p>
      <w:pPr>
        <w:jc w:val="center"/>
        <w:ind w:right="8739"/>
        <w:spacing w:after="0" w:line="237" w:lineRule="auto"/>
        <w:rPr>
          <w:sz w:val="20"/>
          <w:szCs w:val="20"/>
          <w:color w:val="auto"/>
        </w:rPr>
      </w:pPr>
      <w:r>
        <w:rPr>
          <w:rFonts w:ascii="Courier New" w:cs="Courier New" w:eastAsia="Courier New" w:hAnsi="Courier New"/>
          <w:sz w:val="18"/>
          <w:szCs w:val="18"/>
          <w:color w:val="auto"/>
        </w:rPr>
        <w:t>281,088 $</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190,146</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Diluted</w:t>
      </w:r>
    </w:p>
    <w:p>
      <w:pPr>
        <w:ind w:left="120"/>
        <w:spacing w:after="0" w:line="237" w:lineRule="auto"/>
        <w:rPr>
          <w:sz w:val="20"/>
          <w:szCs w:val="20"/>
          <w:color w:val="auto"/>
        </w:rPr>
      </w:pPr>
      <w:r>
        <w:rPr>
          <w:rFonts w:ascii="Courier New" w:cs="Courier New" w:eastAsia="Courier New" w:hAnsi="Courier New"/>
          <w:sz w:val="18"/>
          <w:szCs w:val="18"/>
          <w:color w:val="auto"/>
        </w:rPr>
        <w:t>earnings per</w:t>
      </w:r>
    </w:p>
    <w:p>
      <w:pPr>
        <w:ind w:left="120"/>
        <w:spacing w:after="0" w:line="238" w:lineRule="auto"/>
        <w:rPr>
          <w:sz w:val="20"/>
          <w:szCs w:val="20"/>
          <w:color w:val="auto"/>
        </w:rPr>
      </w:pPr>
      <w:r>
        <w:rPr>
          <w:rFonts w:ascii="Courier New" w:cs="Courier New" w:eastAsia="Courier New" w:hAnsi="Courier New"/>
          <w:sz w:val="18"/>
          <w:szCs w:val="18"/>
          <w:color w:val="auto"/>
        </w:rPr>
        <w:t>share $ 0.35</w:t>
      </w:r>
    </w:p>
    <w:p>
      <w:pPr>
        <w:spacing w:after="0" w:line="5" w:lineRule="exact"/>
        <w:rPr>
          <w:sz w:val="20"/>
          <w:szCs w:val="20"/>
          <w:color w:val="auto"/>
        </w:rPr>
      </w:pPr>
    </w:p>
    <w:p>
      <w:pPr>
        <w:ind w:left="420" w:right="8799" w:hanging="361"/>
        <w:spacing w:after="0" w:line="268" w:lineRule="auto"/>
        <w:tabs>
          <w:tab w:leader="none" w:pos="26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0.25 $ 1.24 $ 0.88</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Diluted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225,716</w:t>
      </w:r>
    </w:p>
    <w:p>
      <w:pPr>
        <w:jc w:val="center"/>
        <w:ind w:right="8739"/>
        <w:spacing w:after="0"/>
        <w:rPr>
          <w:sz w:val="20"/>
          <w:szCs w:val="20"/>
          <w:color w:val="auto"/>
        </w:rPr>
      </w:pPr>
      <w:r>
        <w:rPr>
          <w:rFonts w:ascii="Courier New" w:cs="Courier New" w:eastAsia="Courier New" w:hAnsi="Courier New"/>
          <w:sz w:val="18"/>
          <w:szCs w:val="18"/>
          <w:color w:val="auto"/>
        </w:rPr>
        <w:t>227,227</w:t>
      </w:r>
    </w:p>
    <w:p>
      <w:pPr>
        <w:jc w:val="center"/>
        <w:ind w:right="8739"/>
        <w:spacing w:after="0" w:line="237" w:lineRule="auto"/>
        <w:rPr>
          <w:sz w:val="20"/>
          <w:szCs w:val="20"/>
          <w:color w:val="auto"/>
        </w:rPr>
      </w:pPr>
      <w:r>
        <w:rPr>
          <w:rFonts w:ascii="Courier New" w:cs="Courier New" w:eastAsia="Courier New" w:hAnsi="Courier New"/>
          <w:sz w:val="18"/>
          <w:szCs w:val="18"/>
          <w:color w:val="auto"/>
        </w:rPr>
        <w:t>226,832</w:t>
      </w:r>
    </w:p>
    <w:p>
      <w:pPr>
        <w:jc w:val="center"/>
        <w:ind w:right="8739"/>
        <w:spacing w:after="0"/>
        <w:rPr>
          <w:sz w:val="20"/>
          <w:szCs w:val="20"/>
          <w:color w:val="auto"/>
        </w:rPr>
      </w:pPr>
      <w:r>
        <w:rPr>
          <w:rFonts w:ascii="Courier New" w:cs="Courier New" w:eastAsia="Courier New" w:hAnsi="Courier New"/>
          <w:sz w:val="18"/>
          <w:szCs w:val="18"/>
          <w:color w:val="auto"/>
        </w:rPr>
        <w:t>216,935</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1999" w:hanging="521"/>
        <w:spacing w:after="0" w:line="272" w:lineRule="auto"/>
        <w:tabs>
          <w:tab w:leader="none" w:pos="74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$55,857 and $54,329 of amortization of goodwill and purchased intangible assets, and tax effects related to the above of $(2,488) and $11,348 for the three months ended September 30, 2001 and 2000, respectively. Including the above items, income before income taxes was $55,929 and $25,671 and diluted earnings per share were $0.09 and $0.06 for the three months ended September 30, 2001 and 2000, respectively.</w:t>
      </w:r>
    </w:p>
    <w:p>
      <w:pPr>
        <w:spacing w:after="0" w:line="185" w:lineRule="exact"/>
        <w:rPr>
          <w:rFonts w:ascii="Courier New" w:cs="Courier New" w:eastAsia="Courier New" w:hAnsi="Courier New"/>
          <w:sz w:val="16"/>
          <w:szCs w:val="16"/>
          <w:color w:val="auto"/>
        </w:rPr>
      </w:pPr>
    </w:p>
    <w:p>
      <w:pPr>
        <w:ind w:left="740" w:right="1779" w:hanging="521"/>
        <w:spacing w:after="0" w:line="237" w:lineRule="auto"/>
        <w:tabs>
          <w:tab w:leader="none" w:pos="74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$219,988 and $111,199 of amortization of goodwill and purchased intangible assets, $0 and $70,319 write-off of purchased in-process research and development, $0 and $5,298 of acquisition-related costs, and tax effects related to the above of $5,286 and $2,648 for the twelve months ended September 30, 2001 and 2000, respectively. Including the above items, income before income taxes was $181,567 and $84,858 and diluted earnings per share were $0.29 and $0.03 for the twelve months ended September 30, 2001 and 2000, respectively.</w:t>
      </w:r>
    </w:p>
    <w:p>
      <w:pPr>
        <w:sectPr>
          <w:pgSz w:w="11900" w:h="16838" w:orient="portrait"/>
          <w:cols w:equalWidth="0" w:num="1">
            <w:col w:w="10219"/>
          </w:cols>
          <w:pgMar w:left="240" w:top="136" w:right="1440" w:bottom="1440" w:gutter="0" w:footer="0" w:header="0"/>
        </w:sectPr>
      </w:pPr>
    </w:p>
    <w:bookmarkStart w:id="97" w:name="page98"/>
    <w:bookmarkEnd w:id="97"/>
    <w:p>
      <w:pPr>
        <w:jc w:val="center"/>
        <w:ind w:right="1879"/>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w:t>
      </w:r>
    </w:p>
    <w:p>
      <w:pPr>
        <w:ind w:left="120"/>
        <w:spacing w:after="0" w:line="238" w:lineRule="auto"/>
        <w:rPr>
          <w:sz w:val="20"/>
          <w:szCs w:val="20"/>
          <w:color w:val="auto"/>
        </w:rPr>
      </w:pPr>
      <w:r>
        <w:rPr>
          <w:rFonts w:ascii="Courier New" w:cs="Courier New" w:eastAsia="Courier New" w:hAnsi="Courier New"/>
          <w:sz w:val="18"/>
          <w:szCs w:val="18"/>
          <w:color w:val="auto"/>
        </w:rPr>
        <w:t>ended Twelve</w:t>
      </w:r>
    </w:p>
    <w:p>
      <w:pPr>
        <w:ind w:left="120"/>
        <w:spacing w:after="0"/>
        <w:rPr>
          <w:sz w:val="20"/>
          <w:szCs w:val="20"/>
          <w:color w:val="auto"/>
        </w:rPr>
      </w:pPr>
      <w:r>
        <w:rPr>
          <w:rFonts w:ascii="Courier New" w:cs="Courier New" w:eastAsia="Courier New" w:hAnsi="Courier New"/>
          <w:sz w:val="18"/>
          <w:szCs w:val="18"/>
          <w:color w:val="auto"/>
        </w:rPr>
        <w:t>months ended</w:t>
      </w:r>
    </w:p>
    <w:p>
      <w:pPr>
        <w:ind w:left="60"/>
        <w:spacing w:after="0" w:line="237" w:lineRule="auto"/>
        <w:rPr>
          <w:sz w:val="20"/>
          <w:szCs w:val="20"/>
          <w:color w:val="auto"/>
        </w:rPr>
      </w:pPr>
      <w:r>
        <w:rPr>
          <w:rFonts w:ascii="Courier New" w:cs="Courier New" w:eastAsia="Courier New" w:hAnsi="Courier New"/>
          <w:sz w:val="18"/>
          <w:szCs w:val="18"/>
          <w:color w:val="auto"/>
        </w:rPr>
        <w:t>September 30,</w:t>
      </w:r>
    </w:p>
    <w:p>
      <w:pPr>
        <w:ind w:left="60"/>
        <w:spacing w:after="0" w:line="238" w:lineRule="auto"/>
        <w:rPr>
          <w:sz w:val="20"/>
          <w:szCs w:val="20"/>
          <w:color w:val="auto"/>
        </w:rPr>
      </w:pPr>
      <w:r>
        <w:rPr>
          <w:rFonts w:ascii="Courier New" w:cs="Courier New" w:eastAsia="Courier New" w:hAnsi="Courier New"/>
          <w:sz w:val="18"/>
          <w:szCs w:val="18"/>
          <w:color w:val="auto"/>
        </w:rPr>
        <w:t>September 30,</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800" w:hanging="530"/>
        <w:spacing w:after="0" w:line="237" w:lineRule="auto"/>
        <w:tabs>
          <w:tab w:leader="none" w:pos="8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2000 2001</w:t>
      </w:r>
    </w:p>
    <w:p>
      <w:pPr>
        <w:ind w:left="60"/>
        <w:spacing w:after="0"/>
        <w:rPr>
          <w:sz w:val="20"/>
          <w:szCs w:val="20"/>
          <w:color w:val="auto"/>
        </w:rPr>
      </w:pPr>
      <w:r>
        <w:rPr>
          <w:rFonts w:ascii="Courier New" w:cs="Courier New" w:eastAsia="Courier New" w:hAnsi="Courier New"/>
          <w:sz w:val="18"/>
          <w:szCs w:val="18"/>
          <w:color w:val="auto"/>
        </w:rPr>
        <w:t>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280" w:right="8799" w:hanging="221"/>
        <w:spacing w:after="0" w:line="268" w:lineRule="auto"/>
        <w:tabs>
          <w:tab w:leader="none" w:pos="59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License $ 41,560 $ 35,216 $ 171,430 $</w:t>
      </w:r>
    </w:p>
    <w:p>
      <w:pPr>
        <w:jc w:val="center"/>
        <w:ind w:left="280" w:right="89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124,822 Service 373,887 279,851 1,362,480</w:t>
      </w:r>
    </w:p>
    <w:p>
      <w:pPr>
        <w:ind w:left="60"/>
        <w:spacing w:after="0" w:line="234" w:lineRule="auto"/>
        <w:rPr>
          <w:sz w:val="20"/>
          <w:szCs w:val="20"/>
          <w:color w:val="auto"/>
        </w:rPr>
      </w:pPr>
      <w:r>
        <w:rPr>
          <w:rFonts w:ascii="Courier New" w:cs="Courier New" w:eastAsia="Courier New" w:hAnsi="Courier New"/>
          <w:sz w:val="18"/>
          <w:szCs w:val="18"/>
          <w:color w:val="auto"/>
        </w:rPr>
        <w:t>993,498 -----</w:t>
      </w:r>
    </w:p>
    <w:p>
      <w:pPr>
        <w:ind w:left="540" w:hanging="428"/>
        <w:spacing w:after="0"/>
        <w:tabs>
          <w:tab w:leader="none" w:pos="5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415,447</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315,067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1,533,910</w:t>
      </w:r>
    </w:p>
    <w:p>
      <w:pPr>
        <w:spacing w:after="0" w:line="4" w:lineRule="exact"/>
        <w:rPr>
          <w:rFonts w:ascii="Courier New" w:cs="Courier New" w:eastAsia="Courier New" w:hAnsi="Courier New"/>
          <w:sz w:val="18"/>
          <w:szCs w:val="18"/>
          <w:color w:val="auto"/>
        </w:rPr>
      </w:pPr>
    </w:p>
    <w:p>
      <w:pPr>
        <w:jc w:val="both"/>
        <w:ind w:left="28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1,118,320 Operating 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spacing w:after="0" w:line="4" w:lineRule="exact"/>
        <w:rPr>
          <w:rFonts w:ascii="Courier New" w:cs="Courier New" w:eastAsia="Courier New" w:hAnsi="Courier New"/>
          <w:sz w:val="18"/>
          <w:szCs w:val="18"/>
          <w:color w:val="auto"/>
        </w:rPr>
      </w:pPr>
    </w:p>
    <w:p>
      <w:pPr>
        <w:jc w:val="center"/>
        <w:ind w:right="8739" w:firstLine="15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license 926 1,278 5,651 5,624 Cost of service 228,814 177,475 847,591 639,900 Research and development 29,073 21,894 105,807 74,852 Selling, general and administrative 51,248 39,136 195,592 137,004 Amortization of goodwill and purchased intangible assets 55,857 54,329 219,988 111,199 In-process research and development and other indirect acquisition-related costs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left="640" w:hanging="317"/>
        <w:spacing w:after="0" w:line="238" w:lineRule="auto"/>
        <w:tabs>
          <w:tab w:leader="none" w:pos="640"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75,617 ------</w:t>
      </w:r>
    </w:p>
    <w:p>
      <w:pPr>
        <w:ind w:left="380" w:hanging="321"/>
        <w:spacing w:after="0" w:line="238" w:lineRule="auto"/>
        <w:tabs>
          <w:tab w:leader="none" w:pos="3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365,918</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294,112</w:t>
      </w:r>
    </w:p>
    <w:p>
      <w:pPr>
        <w:sectPr>
          <w:pgSz w:w="11900" w:h="16838" w:orient="portrait"/>
          <w:cols w:equalWidth="0" w:num="1">
            <w:col w:w="10219"/>
          </w:cols>
          <w:pgMar w:left="240" w:top="717" w:right="1440" w:bottom="0" w:gutter="0" w:footer="0" w:header="0"/>
        </w:sectPr>
      </w:pPr>
    </w:p>
    <w:bookmarkStart w:id="98" w:name="page99"/>
    <w:bookmarkEnd w:id="98"/>
    <w:p>
      <w:pPr>
        <w:jc w:val="center"/>
        <w:ind w:right="8799"/>
        <w:spacing w:after="0"/>
        <w:rPr>
          <w:sz w:val="20"/>
          <w:szCs w:val="20"/>
          <w:color w:val="auto"/>
        </w:rPr>
      </w:pPr>
      <w:r>
        <w:rPr>
          <w:rFonts w:ascii="Courier New" w:cs="Courier New" w:eastAsia="Courier New" w:hAnsi="Courier New"/>
          <w:sz w:val="18"/>
          <w:szCs w:val="18"/>
          <w:color w:val="auto"/>
        </w:rPr>
        <w:t>1,374,629</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1,044,196 ---</w:t>
      </w:r>
    </w:p>
    <w:p>
      <w:pPr>
        <w:spacing w:after="0" w:line="21" w:lineRule="exact"/>
        <w:rPr>
          <w:sz w:val="20"/>
          <w:szCs w:val="20"/>
          <w:color w:val="auto"/>
        </w:rPr>
      </w:pPr>
    </w:p>
    <w:p>
      <w:pPr>
        <w:ind w:left="641" w:hanging="641"/>
        <w:spacing w:after="0"/>
        <w:tabs>
          <w:tab w:leader="none" w:pos="64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49,529</w:t>
      </w:r>
    </w:p>
    <w:p>
      <w:pPr>
        <w:spacing w:after="0" w:line="16" w:lineRule="exact"/>
        <w:rPr>
          <w:rFonts w:ascii="Courier New" w:cs="Courier New" w:eastAsia="Courier New" w:hAnsi="Courier New"/>
          <w:sz w:val="16"/>
          <w:szCs w:val="16"/>
          <w:color w:val="auto"/>
        </w:rPr>
      </w:pPr>
    </w:p>
    <w:p>
      <w:pPr>
        <w:ind w:left="3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20,955</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159,281</w:t>
      </w:r>
    </w:p>
    <w:p>
      <w:pPr>
        <w:ind w:left="3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74,124</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Interest</w:t>
      </w:r>
    </w:p>
    <w:p>
      <w:pPr>
        <w:spacing w:after="0" w:line="4" w:lineRule="exact"/>
        <w:rPr>
          <w:rFonts w:ascii="Courier New" w:cs="Courier New" w:eastAsia="Courier New" w:hAnsi="Courier New"/>
          <w:sz w:val="16"/>
          <w:szCs w:val="16"/>
          <w:color w:val="auto"/>
        </w:rPr>
      </w:pPr>
    </w:p>
    <w:p>
      <w:pPr>
        <w:jc w:val="center"/>
        <w:ind w:left="1" w:right="87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and other, net 6,400 4,716 22,286 10,734</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center"/>
        <w:ind w:left="1" w:right="87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income taxes 55,929 25,671 181,567 84,858 Income taxes 36,024 12,678 115,181 78,880 ------</w:t>
      </w:r>
    </w:p>
    <w:p>
      <w:pPr>
        <w:spacing w:after="0" w:line="18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Net</w:t>
      </w:r>
    </w:p>
    <w:p>
      <w:pPr>
        <w:spacing w:after="0" w:line="4" w:lineRule="exact"/>
        <w:rPr>
          <w:rFonts w:ascii="Courier New" w:cs="Courier New" w:eastAsia="Courier New" w:hAnsi="Courier New"/>
          <w:sz w:val="16"/>
          <w:szCs w:val="16"/>
          <w:color w:val="auto"/>
        </w:rPr>
      </w:pPr>
    </w:p>
    <w:p>
      <w:pPr>
        <w:jc w:val="center"/>
        <w:ind w:left="261"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$ 19,905 $ 12,993 $ 66,386 $ 5,978</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w:t>
      </w:r>
    </w:p>
    <w:p>
      <w:pPr>
        <w:spacing w:after="0" w:line="4" w:lineRule="exact"/>
        <w:rPr>
          <w:rFonts w:ascii="Courier New" w:cs="Courier New" w:eastAsia="Courier New" w:hAnsi="Courier New"/>
          <w:sz w:val="16"/>
          <w:szCs w:val="16"/>
          <w:color w:val="auto"/>
        </w:rPr>
      </w:pPr>
    </w:p>
    <w:p>
      <w:pPr>
        <w:jc w:val="center"/>
        <w:ind w:left="1" w:right="8799" w:firstLine="52"/>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 per share $ 0.09 $ 0.06 $ 0.30 $ 0.03</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w:t>
      </w:r>
    </w:p>
    <w:p>
      <w:pPr>
        <w:spacing w:after="0" w:line="4" w:lineRule="exact"/>
        <w:rPr>
          <w:rFonts w:ascii="Courier New" w:cs="Courier New" w:eastAsia="Courier New" w:hAnsi="Courier New"/>
          <w:sz w:val="16"/>
          <w:szCs w:val="16"/>
          <w:color w:val="auto"/>
        </w:rPr>
      </w:pPr>
    </w:p>
    <w:p>
      <w:pPr>
        <w:jc w:val="center"/>
        <w:ind w:left="1" w:right="8799" w:firstLine="52"/>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 per share $ 0.09 $ 0.06 $ 0.29 $ 0.03</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weighted</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average</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w:t>
      </w:r>
    </w:p>
    <w:p>
      <w:pPr>
        <w:ind w:left="3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222,560</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221,105</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222,002</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212,005</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weighted</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average</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w:t>
      </w:r>
    </w:p>
    <w:p>
      <w:pPr>
        <w:ind w:left="3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225,716</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227,227</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226,832</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216,935</w:t>
      </w:r>
    </w:p>
    <w:p>
      <w:pPr>
        <w:sectPr>
          <w:pgSz w:w="11900" w:h="16838" w:orient="portrait"/>
          <w:cols w:equalWidth="0" w:num="1">
            <w:col w:w="10160"/>
          </w:cols>
          <w:pgMar w:left="299" w:top="136" w:right="1440" w:bottom="0" w:gutter="0" w:footer="0" w:header="0"/>
        </w:sectPr>
      </w:pPr>
    </w:p>
    <w:bookmarkStart w:id="99" w:name="page100"/>
    <w:bookmarkEnd w:id="99"/>
    <w:p>
      <w:pPr>
        <w:jc w:val="center"/>
        <w:ind w:right="8939"/>
        <w:spacing w:after="0"/>
        <w:rPr>
          <w:sz w:val="20"/>
          <w:szCs w:val="20"/>
          <w:color w:val="auto"/>
        </w:rPr>
      </w:pPr>
      <w:r>
        <w:rPr>
          <w:rFonts w:ascii="Courier New" w:cs="Courier New" w:eastAsia="Courier New" w:hAnsi="Courier New"/>
          <w:sz w:val="18"/>
          <w:szCs w:val="18"/>
          <w:color w:val="auto"/>
        </w:rPr>
        <w:t>========</w:t>
      </w:r>
    </w:p>
    <w:p>
      <w:pPr>
        <w:jc w:val="center"/>
        <w:ind w:right="893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99"/>
          </w:cols>
          <w:pgMar w:left="460" w:top="136" w:right="1440" w:bottom="1440" w:gutter="0" w:footer="0" w:header="0"/>
        </w:sectPr>
      </w:pPr>
    </w:p>
    <w:bookmarkStart w:id="100" w:name="page101"/>
    <w:bookmarkEnd w:id="100"/>
    <w:p>
      <w:pPr>
        <w:jc w:val="center"/>
        <w:ind w:right="187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540" w:right="8899" w:hanging="482"/>
        <w:spacing w:after="0" w:line="268" w:lineRule="auto"/>
        <w:tabs>
          <w:tab w:leader="none" w:pos="3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30,</w:t>
      </w:r>
    </w:p>
    <w:p>
      <w:pPr>
        <w:ind w:left="220"/>
        <w:spacing w:after="0" w:line="233" w:lineRule="auto"/>
        <w:rPr>
          <w:sz w:val="20"/>
          <w:szCs w:val="20"/>
          <w:color w:val="auto"/>
        </w:rPr>
      </w:pPr>
      <w:r>
        <w:rPr>
          <w:rFonts w:ascii="Courier New" w:cs="Courier New" w:eastAsia="Courier New" w:hAnsi="Courier New"/>
          <w:sz w:val="18"/>
          <w:szCs w:val="18"/>
          <w:color w:val="auto"/>
        </w:rPr>
        <w:t>September</w:t>
      </w:r>
    </w:p>
    <w:p>
      <w:pPr>
        <w:ind w:left="260"/>
        <w:spacing w:after="0"/>
        <w:rPr>
          <w:sz w:val="20"/>
          <w:szCs w:val="20"/>
          <w:color w:val="auto"/>
        </w:rPr>
      </w:pPr>
      <w:r>
        <w:rPr>
          <w:rFonts w:ascii="Courier New" w:cs="Courier New" w:eastAsia="Courier New" w:hAnsi="Courier New"/>
          <w:sz w:val="18"/>
          <w:szCs w:val="18"/>
          <w:color w:val="auto"/>
        </w:rPr>
        <w:t>30, 2001</w:t>
      </w:r>
    </w:p>
    <w:p>
      <w:pPr>
        <w:ind w:left="60"/>
        <w:spacing w:after="0" w:line="237" w:lineRule="auto"/>
        <w:rPr>
          <w:sz w:val="20"/>
          <w:szCs w:val="20"/>
          <w:color w:val="auto"/>
        </w:rPr>
      </w:pPr>
      <w:r>
        <w:rPr>
          <w:rFonts w:ascii="Courier New" w:cs="Courier New" w:eastAsia="Courier New" w:hAnsi="Courier New"/>
          <w:sz w:val="18"/>
          <w:szCs w:val="18"/>
          <w:color w:val="auto"/>
        </w:rPr>
        <w:t>2000 -------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 Cash,</w:t>
      </w:r>
    </w:p>
    <w:p>
      <w:pPr>
        <w:jc w:val="center"/>
        <w:ind w:right="8839"/>
        <w:spacing w:after="0"/>
        <w:rPr>
          <w:sz w:val="20"/>
          <w:szCs w:val="20"/>
          <w:color w:val="auto"/>
        </w:rPr>
      </w:pPr>
      <w:r>
        <w:rPr>
          <w:rFonts w:ascii="Courier New" w:cs="Courier New" w:eastAsia="Courier New" w:hAnsi="Courier New"/>
          <w:sz w:val="18"/>
          <w:szCs w:val="18"/>
          <w:color w:val="auto"/>
        </w:rPr>
        <w:t>cash</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equivalents</w:t>
      </w:r>
    </w:p>
    <w:p>
      <w:pPr>
        <w:jc w:val="center"/>
        <w:ind w:right="8839"/>
        <w:spacing w:after="0"/>
        <w:rPr>
          <w:sz w:val="20"/>
          <w:szCs w:val="20"/>
          <w:color w:val="auto"/>
        </w:rPr>
      </w:pPr>
      <w:r>
        <w:rPr>
          <w:rFonts w:ascii="Courier New" w:cs="Courier New" w:eastAsia="Courier New" w:hAnsi="Courier New"/>
          <w:sz w:val="18"/>
          <w:szCs w:val="18"/>
          <w:color w:val="auto"/>
        </w:rPr>
        <w:t>and short-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term</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bearing</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$1,110,067 $</w:t>
      </w:r>
    </w:p>
    <w:p>
      <w:pPr>
        <w:jc w:val="center"/>
        <w:ind w:right="8839"/>
        <w:spacing w:after="0" w:line="238" w:lineRule="auto"/>
        <w:rPr>
          <w:sz w:val="20"/>
          <w:szCs w:val="20"/>
          <w:color w:val="auto"/>
        </w:rPr>
      </w:pPr>
      <w:r>
        <w:rPr>
          <w:rFonts w:ascii="Courier New" w:cs="Courier New" w:eastAsia="Courier New" w:hAnsi="Courier New"/>
          <w:sz w:val="18"/>
          <w:szCs w:val="18"/>
          <w:color w:val="auto"/>
        </w:rPr>
        <w:t>402,300</w:t>
      </w:r>
    </w:p>
    <w:p>
      <w:pPr>
        <w:jc w:val="center"/>
        <w:ind w:right="8839"/>
        <w:spacing w:after="0"/>
        <w:rPr>
          <w:sz w:val="20"/>
          <w:szCs w:val="20"/>
          <w:color w:val="auto"/>
        </w:rPr>
      </w:pPr>
      <w:r>
        <w:rPr>
          <w:rFonts w:ascii="Courier New" w:cs="Courier New" w:eastAsia="Courier New" w:hAnsi="Courier New"/>
          <w:sz w:val="18"/>
          <w:szCs w:val="18"/>
          <w:color w:val="auto"/>
        </w:rPr>
        <w:t>Accounts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including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unbilled of</w:t>
      </w:r>
    </w:p>
    <w:p>
      <w:pPr>
        <w:jc w:val="center"/>
        <w:ind w:right="8839"/>
        <w:spacing w:after="0"/>
        <w:rPr>
          <w:sz w:val="20"/>
          <w:szCs w:val="20"/>
          <w:color w:val="auto"/>
        </w:rPr>
      </w:pPr>
      <w:r>
        <w:rPr>
          <w:rFonts w:ascii="Courier New" w:cs="Courier New" w:eastAsia="Courier New" w:hAnsi="Courier New"/>
          <w:sz w:val="18"/>
          <w:szCs w:val="18"/>
          <w:color w:val="auto"/>
        </w:rPr>
        <w:t>$23,272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$4,203,</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respectively</w:t>
      </w:r>
    </w:p>
    <w:p>
      <w:pPr>
        <w:jc w:val="center"/>
        <w:ind w:right="8839"/>
        <w:spacing w:after="0"/>
        <w:rPr>
          <w:sz w:val="20"/>
          <w:szCs w:val="20"/>
          <w:color w:val="auto"/>
        </w:rPr>
      </w:pPr>
      <w:r>
        <w:rPr>
          <w:rFonts w:ascii="Courier New" w:cs="Courier New" w:eastAsia="Courier New" w:hAnsi="Courier New"/>
          <w:sz w:val="18"/>
          <w:szCs w:val="18"/>
          <w:color w:val="auto"/>
        </w:rPr>
        <w:t>384,851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263,100</w:t>
      </w:r>
    </w:p>
    <w:p>
      <w:pPr>
        <w:jc w:val="center"/>
        <w:ind w:right="8839"/>
        <w:spacing w:after="0"/>
        <w:rPr>
          <w:sz w:val="20"/>
          <w:szCs w:val="20"/>
          <w:color w:val="auto"/>
        </w:rPr>
      </w:pPr>
      <w:r>
        <w:rPr>
          <w:rFonts w:ascii="Courier New" w:cs="Courier New" w:eastAsia="Courier New" w:hAnsi="Courier New"/>
          <w:sz w:val="18"/>
          <w:szCs w:val="18"/>
          <w:color w:val="auto"/>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8839"/>
        <w:spacing w:after="0"/>
        <w:rPr>
          <w:sz w:val="20"/>
          <w:szCs w:val="20"/>
          <w:color w:val="auto"/>
        </w:rPr>
      </w:pPr>
      <w:r>
        <w:rPr>
          <w:rFonts w:ascii="Courier New" w:cs="Courier New" w:eastAsia="Courier New" w:hAnsi="Courier New"/>
          <w:sz w:val="18"/>
          <w:szCs w:val="18"/>
          <w:color w:val="auto"/>
        </w:rPr>
        <w:t>and 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38,916</w:t>
      </w:r>
    </w:p>
    <w:p>
      <w:pPr>
        <w:jc w:val="center"/>
        <w:ind w:right="8839"/>
        <w:spacing w:after="0"/>
        <w:rPr>
          <w:sz w:val="20"/>
          <w:szCs w:val="20"/>
          <w:color w:val="auto"/>
        </w:rPr>
      </w:pPr>
      <w:r>
        <w:rPr>
          <w:rFonts w:ascii="Courier New" w:cs="Courier New" w:eastAsia="Courier New" w:hAnsi="Courier New"/>
          <w:sz w:val="18"/>
          <w:szCs w:val="18"/>
          <w:color w:val="auto"/>
        </w:rPr>
        <w:t>35,719</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Prepaid</w:t>
      </w:r>
    </w:p>
    <w:p>
      <w:pPr>
        <w:jc w:val="center"/>
        <w:ind w:right="8839"/>
        <w:spacing w:after="0"/>
        <w:rPr>
          <w:sz w:val="20"/>
          <w:szCs w:val="20"/>
          <w:color w:val="auto"/>
        </w:rPr>
      </w:pPr>
      <w:r>
        <w:rPr>
          <w:rFonts w:ascii="Courier New" w:cs="Courier New" w:eastAsia="Courier New" w:hAnsi="Courier New"/>
          <w:sz w:val="18"/>
          <w:szCs w:val="18"/>
          <w:color w:val="auto"/>
        </w:rPr>
        <w:t>expenses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38,045</w:t>
      </w:r>
    </w:p>
    <w:p>
      <w:pPr>
        <w:jc w:val="center"/>
        <w:ind w:right="8839"/>
        <w:spacing w:after="0" w:line="237" w:lineRule="auto"/>
        <w:rPr>
          <w:sz w:val="20"/>
          <w:szCs w:val="20"/>
          <w:color w:val="auto"/>
        </w:rPr>
      </w:pPr>
      <w:r>
        <w:rPr>
          <w:rFonts w:ascii="Courier New" w:cs="Courier New" w:eastAsia="Courier New" w:hAnsi="Courier New"/>
          <w:sz w:val="18"/>
          <w:szCs w:val="18"/>
          <w:color w:val="auto"/>
        </w:rPr>
        <w:t>34,327 -----</w:t>
      </w:r>
    </w:p>
    <w:p>
      <w:pPr>
        <w:ind w:left="700" w:hanging="642"/>
        <w:spacing w:after="0" w:line="238" w:lineRule="auto"/>
        <w:tabs>
          <w:tab w:leader="none" w:pos="7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1,571,879</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734,906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vehicles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leasehold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net 173,695</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128,081</w:t>
      </w:r>
    </w:p>
    <w:p>
      <w:pPr>
        <w:jc w:val="center"/>
        <w:ind w:right="8839"/>
        <w:spacing w:after="0"/>
        <w:rPr>
          <w:sz w:val="20"/>
          <w:szCs w:val="20"/>
          <w:color w:val="auto"/>
        </w:rPr>
      </w:pPr>
      <w:r>
        <w:rPr>
          <w:rFonts w:ascii="Courier New" w:cs="Courier New" w:eastAsia="Courier New" w:hAnsi="Courier New"/>
          <w:sz w:val="18"/>
          <w:szCs w:val="18"/>
          <w:color w:val="auto"/>
        </w:rPr>
        <w:t>Goodwill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intangible</w:t>
      </w:r>
    </w:p>
    <w:p>
      <w:pPr>
        <w:jc w:val="center"/>
        <w:ind w:right="8839"/>
        <w:spacing w:after="0"/>
        <w:rPr>
          <w:sz w:val="20"/>
          <w:szCs w:val="20"/>
          <w:color w:val="auto"/>
        </w:rPr>
      </w:pPr>
      <w:r>
        <w:rPr>
          <w:rFonts w:ascii="Courier New" w:cs="Courier New" w:eastAsia="Courier New" w:hAnsi="Courier New"/>
          <w:sz w:val="18"/>
          <w:szCs w:val="18"/>
          <w:color w:val="auto"/>
        </w:rPr>
        <w:t>assets,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788,187</w:t>
      </w:r>
    </w:p>
    <w:p>
      <w:pPr>
        <w:jc w:val="center"/>
        <w:ind w:right="8839"/>
        <w:spacing w:after="0"/>
        <w:rPr>
          <w:sz w:val="20"/>
          <w:szCs w:val="20"/>
          <w:color w:val="auto"/>
        </w:rPr>
      </w:pPr>
      <w:r>
        <w:rPr>
          <w:rFonts w:ascii="Courier New" w:cs="Courier New" w:eastAsia="Courier New" w:hAnsi="Courier New"/>
          <w:sz w:val="18"/>
          <w:szCs w:val="18"/>
          <w:color w:val="auto"/>
        </w:rPr>
        <w:t>1,011,053</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noncurrent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90,675</w:t>
      </w:r>
    </w:p>
    <w:p>
      <w:pPr>
        <w:jc w:val="center"/>
        <w:ind w:right="8839"/>
        <w:spacing w:after="0"/>
        <w:rPr>
          <w:sz w:val="20"/>
          <w:szCs w:val="20"/>
          <w:color w:val="auto"/>
        </w:rPr>
      </w:pPr>
      <w:r>
        <w:rPr>
          <w:rFonts w:ascii="Courier New" w:cs="Courier New" w:eastAsia="Courier New" w:hAnsi="Courier New"/>
          <w:sz w:val="18"/>
          <w:szCs w:val="18"/>
          <w:color w:val="auto"/>
        </w:rPr>
        <w:t>61,045 -----</w:t>
      </w:r>
    </w:p>
    <w:p>
      <w:pPr>
        <w:ind w:left="700" w:hanging="642"/>
        <w:spacing w:after="0" w:line="237" w:lineRule="auto"/>
        <w:tabs>
          <w:tab w:leader="none" w:pos="70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spacing w:after="0" w:line="4" w:lineRule="exact"/>
        <w:rPr>
          <w:rFonts w:ascii="Courier New" w:cs="Courier New" w:eastAsia="Courier New" w:hAnsi="Courier New"/>
          <w:sz w:val="18"/>
          <w:szCs w:val="18"/>
          <w:color w:val="auto"/>
        </w:rPr>
      </w:pPr>
    </w:p>
    <w:p>
      <w:pPr>
        <w:jc w:val="both"/>
        <w:ind w:left="1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$2,624,436 $1,935,085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LIABILITIES</w:t>
      </w:r>
    </w:p>
    <w:p>
      <w:pPr>
        <w:sectPr>
          <w:pgSz w:w="11900" w:h="16838" w:orient="portrait"/>
          <w:cols w:equalWidth="0" w:num="1">
            <w:col w:w="10219"/>
          </w:cols>
          <w:pgMar w:left="240" w:top="723" w:right="1440" w:bottom="0" w:gutter="0" w:footer="0" w:header="0"/>
        </w:sectPr>
      </w:pPr>
    </w:p>
    <w:bookmarkStart w:id="101" w:name="page102"/>
    <w:bookmarkEnd w:id="101"/>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payable and</w:t>
      </w:r>
    </w:p>
    <w:p>
      <w:pPr>
        <w:jc w:val="center"/>
        <w:ind w:right="8839"/>
        <w:spacing w:after="0"/>
        <w:rPr>
          <w:sz w:val="20"/>
          <w:szCs w:val="20"/>
          <w:color w:val="auto"/>
        </w:rPr>
      </w:pPr>
      <w:r>
        <w:rPr>
          <w:rFonts w:ascii="Courier New" w:cs="Courier New" w:eastAsia="Courier New" w:hAnsi="Courier New"/>
          <w:sz w:val="18"/>
          <w:szCs w:val="18"/>
          <w:color w:val="auto"/>
        </w:rPr>
        <w:t>accruals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270,517 $</w:t>
      </w:r>
    </w:p>
    <w:p>
      <w:pPr>
        <w:jc w:val="center"/>
        <w:ind w:right="8839"/>
        <w:spacing w:after="0"/>
        <w:rPr>
          <w:sz w:val="20"/>
          <w:szCs w:val="20"/>
          <w:color w:val="auto"/>
        </w:rPr>
      </w:pPr>
      <w:r>
        <w:rPr>
          <w:rFonts w:ascii="Courier New" w:cs="Courier New" w:eastAsia="Courier New" w:hAnsi="Courier New"/>
          <w:sz w:val="18"/>
          <w:szCs w:val="18"/>
          <w:color w:val="auto"/>
        </w:rPr>
        <w:t>198,445</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Short-term</w:t>
      </w:r>
    </w:p>
    <w:p>
      <w:pPr>
        <w:jc w:val="center"/>
        <w:ind w:right="8839"/>
        <w:spacing w:after="0"/>
        <w:rPr>
          <w:sz w:val="20"/>
          <w:szCs w:val="20"/>
          <w:color w:val="auto"/>
        </w:rPr>
      </w:pPr>
      <w:r>
        <w:rPr>
          <w:rFonts w:ascii="Courier New" w:cs="Courier New" w:eastAsia="Courier New" w:hAnsi="Courier New"/>
          <w:sz w:val="18"/>
          <w:szCs w:val="18"/>
          <w:color w:val="auto"/>
        </w:rPr>
        <w:t>financing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10,400</w:t>
      </w:r>
    </w:p>
    <w:p>
      <w:pPr>
        <w:jc w:val="center"/>
        <w:ind w:right="8839"/>
        <w:spacing w:after="0"/>
        <w:rPr>
          <w:sz w:val="20"/>
          <w:szCs w:val="20"/>
          <w:color w:val="auto"/>
        </w:rPr>
      </w:pPr>
      <w:r>
        <w:rPr>
          <w:rFonts w:ascii="Courier New" w:cs="Courier New" w:eastAsia="Courier New" w:hAnsi="Courier New"/>
          <w:sz w:val="18"/>
          <w:szCs w:val="18"/>
          <w:color w:val="auto"/>
        </w:rPr>
        <w:t>28,713</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rPr>
          <w:sz w:val="20"/>
          <w:szCs w:val="20"/>
          <w:color w:val="auto"/>
        </w:rPr>
      </w:pPr>
      <w:r>
        <w:rPr>
          <w:rFonts w:ascii="Courier New" w:cs="Courier New" w:eastAsia="Courier New" w:hAnsi="Courier New"/>
          <w:sz w:val="18"/>
          <w:szCs w:val="18"/>
          <w:color w:val="auto"/>
        </w:rPr>
        <w:t>revenue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140,033</w:t>
      </w:r>
    </w:p>
    <w:p>
      <w:pPr>
        <w:jc w:val="center"/>
        <w:ind w:right="8839"/>
        <w:spacing w:after="0"/>
        <w:rPr>
          <w:sz w:val="20"/>
          <w:szCs w:val="20"/>
          <w:color w:val="auto"/>
        </w:rPr>
      </w:pPr>
      <w:r>
        <w:rPr>
          <w:rFonts w:ascii="Courier New" w:cs="Courier New" w:eastAsia="Courier New" w:hAnsi="Courier New"/>
          <w:sz w:val="18"/>
          <w:szCs w:val="18"/>
          <w:color w:val="auto"/>
        </w:rPr>
        <w:t>133,546</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income taxes</w:t>
      </w:r>
    </w:p>
    <w:p>
      <w:pPr>
        <w:jc w:val="center"/>
        <w:ind w:right="8839"/>
        <w:spacing w:after="0"/>
        <w:rPr>
          <w:sz w:val="20"/>
          <w:szCs w:val="20"/>
          <w:color w:val="auto"/>
        </w:rPr>
      </w:pPr>
      <w:r>
        <w:rPr>
          <w:rFonts w:ascii="Courier New" w:cs="Courier New" w:eastAsia="Courier New" w:hAnsi="Courier New"/>
          <w:sz w:val="18"/>
          <w:szCs w:val="18"/>
          <w:color w:val="auto"/>
        </w:rPr>
        <w:t>and 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8839"/>
        <w:spacing w:after="0"/>
        <w:rPr>
          <w:sz w:val="20"/>
          <w:szCs w:val="20"/>
          <w:color w:val="auto"/>
        </w:rPr>
      </w:pPr>
      <w:r>
        <w:rPr>
          <w:rFonts w:ascii="Courier New" w:cs="Courier New" w:eastAsia="Courier New" w:hAnsi="Courier New"/>
          <w:sz w:val="18"/>
          <w:szCs w:val="18"/>
          <w:color w:val="auto"/>
        </w:rPr>
        <w:t>payable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91,026</w:t>
      </w:r>
    </w:p>
    <w:p>
      <w:pPr>
        <w:jc w:val="center"/>
        <w:ind w:right="8839"/>
        <w:spacing w:after="0"/>
        <w:rPr>
          <w:sz w:val="20"/>
          <w:szCs w:val="20"/>
          <w:color w:val="auto"/>
        </w:rPr>
      </w:pPr>
      <w:r>
        <w:rPr>
          <w:rFonts w:ascii="Courier New" w:cs="Courier New" w:eastAsia="Courier New" w:hAnsi="Courier New"/>
          <w:sz w:val="18"/>
          <w:szCs w:val="18"/>
          <w:color w:val="auto"/>
        </w:rPr>
        <w:t>55,197 -----</w:t>
      </w:r>
    </w:p>
    <w:p>
      <w:pPr>
        <w:ind w:left="700" w:hanging="642"/>
        <w:spacing w:after="0" w:line="237" w:lineRule="auto"/>
        <w:tabs>
          <w:tab w:leader="none" w:pos="7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511,976</w:t>
      </w:r>
    </w:p>
    <w:p>
      <w:pPr>
        <w:jc w:val="center"/>
        <w:ind w:right="8839"/>
        <w:spacing w:after="0" w:line="238" w:lineRule="auto"/>
        <w:rPr>
          <w:sz w:val="20"/>
          <w:szCs w:val="20"/>
          <w:color w:val="auto"/>
        </w:rPr>
      </w:pPr>
      <w:r>
        <w:rPr>
          <w:rFonts w:ascii="Courier New" w:cs="Courier New" w:eastAsia="Courier New" w:hAnsi="Courier New"/>
          <w:sz w:val="18"/>
          <w:szCs w:val="18"/>
          <w:color w:val="auto"/>
        </w:rPr>
        <w:t>415,901</w:t>
      </w:r>
    </w:p>
    <w:p>
      <w:pPr>
        <w:jc w:val="center"/>
        <w:ind w:right="8839"/>
        <w:spacing w:after="0"/>
        <w:rPr>
          <w:sz w:val="20"/>
          <w:szCs w:val="20"/>
          <w:color w:val="auto"/>
        </w:rPr>
      </w:pPr>
      <w:r>
        <w:rPr>
          <w:rFonts w:ascii="Courier New" w:cs="Courier New" w:eastAsia="Courier New" w:hAnsi="Courier New"/>
          <w:sz w:val="18"/>
          <w:szCs w:val="18"/>
          <w:color w:val="auto"/>
        </w:rPr>
        <w:t>Convertible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notes and</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noncurrent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600,369</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88,412</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1,512,091</w:t>
      </w:r>
    </w:p>
    <w:p>
      <w:pPr>
        <w:jc w:val="center"/>
        <w:ind w:right="8839"/>
        <w:spacing w:after="0"/>
        <w:rPr>
          <w:sz w:val="20"/>
          <w:szCs w:val="20"/>
          <w:color w:val="auto"/>
        </w:rPr>
      </w:pPr>
      <w:r>
        <w:rPr>
          <w:rFonts w:ascii="Courier New" w:cs="Courier New" w:eastAsia="Courier New" w:hAnsi="Courier New"/>
          <w:sz w:val="18"/>
          <w:szCs w:val="18"/>
          <w:color w:val="auto"/>
        </w:rPr>
        <w:t>1,430,772 --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ind w:left="160"/>
        <w:spacing w:after="0" w:line="238" w:lineRule="auto"/>
        <w:rPr>
          <w:sz w:val="20"/>
          <w:szCs w:val="20"/>
          <w:color w:val="auto"/>
        </w:rPr>
      </w:pPr>
      <w:r>
        <w:rPr>
          <w:rFonts w:ascii="Courier New" w:cs="Courier New" w:eastAsia="Courier New" w:hAnsi="Courier New"/>
          <w:sz w:val="18"/>
          <w:szCs w:val="18"/>
          <w:color w:val="auto"/>
        </w:rPr>
        <w:t>$2,624,436</w:t>
      </w:r>
    </w:p>
    <w:p>
      <w:pPr>
        <w:ind w:left="160"/>
        <w:spacing w:after="0"/>
        <w:rPr>
          <w:sz w:val="20"/>
          <w:szCs w:val="20"/>
          <w:color w:val="auto"/>
        </w:rPr>
      </w:pPr>
      <w:r>
        <w:rPr>
          <w:rFonts w:ascii="Courier New" w:cs="Courier New" w:eastAsia="Courier New" w:hAnsi="Courier New"/>
          <w:sz w:val="18"/>
          <w:szCs w:val="18"/>
          <w:color w:val="auto"/>
        </w:rPr>
        <w:t>$1,935,085</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upperLetter"/>
      <w:start w:val="24"/>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lvl w:ilvl="1">
      <w:lvlJc w:val="left"/>
      <w:lvlText w:val="%2"/>
      <w:numFmt w:val="decimal"/>
      <w:start w:val="1"/>
    </w:lvl>
    <w:lvl w:ilvl="2">
      <w:lvlJc w:val="left"/>
      <w:lvlText w:val="%3"/>
      <w:numFmt w:val="decimal"/>
      <w:start w:val="44"/>
    </w:lvl>
  </w:abstractNum>
  <w:abstractNum w:abstractNumId="29">
    <w:nsid w:val="1CF10FD8"/>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37"/>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lowerRoman"/>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3"/>
    </w:lvl>
  </w:abstractNum>
  <w:abstractNum w:abstractNumId="41">
    <w:nsid w:val="77AE35EB"/>
    <w:multiLevelType w:val="hybridMultilevel"/>
    <w:lvl w:ilvl="0">
      <w:lvlJc w:val="left"/>
      <w:lvlText w:val="%1."/>
      <w:numFmt w:val="decimal"/>
      <w:start w:val="8"/>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lvl w:ilvl="1">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lvl w:ilvl="1">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lvl w:ilvl="1">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51D9C564"/>
    <w:multiLevelType w:val="hybridMultilevel"/>
    <w:lvl w:ilvl="0">
      <w:lvlJc w:val="left"/>
      <w:lvlText w:val="-"/>
      <w:numFmt w:val="bullet"/>
      <w:start w:val="1"/>
    </w:lvl>
    <w:lvl w:ilvl="1">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lvl w:ilvl="1">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lvl w:ilvl="1">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lvl w:ilvl="1">
      <w:lvlJc w:val="left"/>
      <w:lvlText w:val="(%2)"/>
      <w:numFmt w:val="decimal"/>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2019-12-14T21:18:24Z</dcterms:created>
  <dcterms:modified xsi:type="dcterms:W3CDTF">2019-12-14T21:18:24Z</dcterms:modified>
</cp:coreProperties>
</file>