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PURSUANT TO RULE 13a-16 OR 15d-16 OF</w:t>
      </w:r>
    </w:p>
    <w:p>
      <w:pPr>
        <w:ind w:left="3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Quarter Ended December 31, 2021</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6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625 Maryville Centre Drive, Suite 200 Saint Louis, Missouri 63141</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16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780"/>
        <w:spacing w:after="0" w:line="207" w:lineRule="exact"/>
        <w:tabs>
          <w:tab w:leader="none" w:pos="5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-10160</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6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4"/>
          </w:tcPr>
          <w:p>
            <w:pPr>
              <w:jc w:val="center"/>
              <w:ind w:right="2560"/>
              <w:spacing w:after="0"/>
              <w:rPr>
                <w:sz w:val="20"/>
                <w:szCs w:val="20"/>
                <w:color w:val="auto"/>
              </w:rPr>
            </w:pPr>
            <w:r>
              <w:rPr>
                <w:rFonts w:ascii="Arial" w:cs="Arial" w:eastAsia="Arial" w:hAnsi="Arial"/>
                <w:sz w:val="18"/>
                <w:szCs w:val="18"/>
                <w:color w:val="auto"/>
              </w:rPr>
              <w:t>AMDOCS LIMITED</w:t>
            </w:r>
          </w:p>
        </w:tc>
        <w:tc>
          <w:tcPr>
            <w:tcW w:w="182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2"/>
          </w:tcPr>
          <w:p>
            <w:pPr>
              <w:jc w:val="center"/>
              <w:ind w:right="3160"/>
              <w:spacing w:after="0"/>
              <w:rPr>
                <w:sz w:val="20"/>
                <w:szCs w:val="20"/>
                <w:color w:val="auto"/>
              </w:rPr>
            </w:pPr>
            <w:r>
              <w:rPr>
                <w:rFonts w:ascii="Arial" w:cs="Arial" w:eastAsia="Arial" w:hAnsi="Arial"/>
                <w:sz w:val="18"/>
                <w:szCs w:val="18"/>
                <w:color w:val="auto"/>
                <w:w w:val="97"/>
              </w:rPr>
              <w:t>FORM 6-K</w:t>
            </w:r>
          </w:p>
        </w:tc>
        <w:tc>
          <w:tcPr>
            <w:tcW w:w="182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00" w:type="dxa"/>
            <w:vAlign w:val="bottom"/>
            <w:gridSpan w:val="7"/>
          </w:tcPr>
          <w:p>
            <w:pPr>
              <w:jc w:val="center"/>
              <w:ind w:right="1780"/>
              <w:spacing w:after="0"/>
              <w:rPr>
                <w:sz w:val="20"/>
                <w:szCs w:val="20"/>
                <w:color w:val="auto"/>
              </w:rPr>
            </w:pPr>
            <w:r>
              <w:rPr>
                <w:rFonts w:ascii="Arial" w:cs="Arial" w:eastAsia="Arial" w:hAnsi="Arial"/>
                <w:sz w:val="18"/>
                <w:szCs w:val="18"/>
                <w:color w:val="auto"/>
                <w:w w:val="92"/>
              </w:rPr>
              <w:t>REPORT OF FOREIGN PRIVATE ISSUER</w:t>
            </w:r>
          </w:p>
        </w:tc>
        <w:tc>
          <w:tcPr>
            <w:tcW w:w="182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8"/>
          </w:tcPr>
          <w:p>
            <w:pPr>
              <w:jc w:val="center"/>
              <w:ind w:right="1280"/>
              <w:spacing w:after="0"/>
              <w:rPr>
                <w:sz w:val="20"/>
                <w:szCs w:val="20"/>
                <w:color w:val="auto"/>
              </w:rPr>
            </w:pPr>
            <w:r>
              <w:rPr>
                <w:rFonts w:ascii="Arial" w:cs="Arial" w:eastAsia="Arial" w:hAnsi="Arial"/>
                <w:sz w:val="18"/>
                <w:szCs w:val="18"/>
                <w:color w:val="auto"/>
                <w:w w:val="94"/>
              </w:rPr>
              <w:t>FOR THE QUARTER ENDED DECEMBER 31, 2021</w:t>
            </w:r>
          </w:p>
        </w:tc>
        <w:tc>
          <w:tcPr>
            <w:tcW w:w="182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gridSpan w:val="2"/>
          </w:tcPr>
          <w:p>
            <w:pPr>
              <w:jc w:val="center"/>
              <w:ind w:right="3160"/>
              <w:spacing w:after="0"/>
              <w:rPr>
                <w:sz w:val="20"/>
                <w:szCs w:val="20"/>
                <w:color w:val="auto"/>
              </w:rPr>
            </w:pPr>
            <w:r>
              <w:rPr>
                <w:rFonts w:ascii="Arial" w:cs="Arial" w:eastAsia="Arial" w:hAnsi="Arial"/>
                <w:sz w:val="18"/>
                <w:szCs w:val="18"/>
                <w:color w:val="auto"/>
              </w:rPr>
              <w:t>INDEX</w:t>
            </w:r>
          </w:p>
        </w:tc>
        <w:tc>
          <w:tcPr>
            <w:tcW w:w="182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84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6300" w:type="dxa"/>
            <w:vAlign w:val="bottom"/>
            <w:gridSpan w:val="9"/>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72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2"/>
        </w:trPr>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80" w:type="dxa"/>
            <w:vAlign w:val="bottom"/>
            <w:gridSpan w:val="14"/>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82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40" w:type="dxa"/>
            <w:vAlign w:val="bottom"/>
            <w:gridSpan w:val="1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w:t>
              </w:r>
            </w:hyperlink>
          </w:p>
        </w:tc>
        <w:tc>
          <w:tcPr>
            <w:tcW w:w="550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w:t>
              </w:r>
            </w:hyperlink>
          </w:p>
        </w:tc>
        <w:tc>
          <w:tcPr>
            <w:tcW w:w="432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4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7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412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8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Operating and Financial Review and Prospects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4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8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 Changes in Securities, Use of Proceeds and Issuer Purchases of Equity Securities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2. Reports on Form 6-K</w:t>
              </w:r>
            </w:hyperlink>
          </w:p>
        </w:tc>
        <w:tc>
          <w:tcPr>
            <w:tcW w:w="4220" w:type="dxa"/>
            <w:vAlign w:val="bottom"/>
            <w:tcBorders>
              <w:top w:val="single" w:sz="8" w:color="0000EE"/>
            </w:tcBorders>
            <w:gridSpan w:val="9"/>
          </w:tcPr>
          <w:p>
            <w:pPr>
              <w:spacing w:after="0"/>
              <w:rPr>
                <w:sz w:val="17"/>
                <w:szCs w:val="17"/>
                <w:color w:val="auto"/>
              </w:rPr>
            </w:pPr>
          </w:p>
        </w:tc>
        <w:tc>
          <w:tcPr>
            <w:tcW w:w="240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SIGNATURES</w:t>
              </w:r>
            </w:hyperlink>
          </w:p>
        </w:tc>
        <w:tc>
          <w:tcPr>
            <w:tcW w:w="804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80" w:type="dxa"/>
            <w:vAlign w:val="bottom"/>
          </w:tcPr>
          <w:p>
            <w:pPr>
              <w:spacing w:after="0"/>
              <w:rPr>
                <w:sz w:val="10"/>
                <w:szCs w:val="10"/>
                <w:color w:val="auto"/>
              </w:rPr>
            </w:pPr>
          </w:p>
        </w:tc>
        <w:tc>
          <w:tcPr>
            <w:tcW w:w="94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586,490</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709,064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282,347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256,527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953,970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866,819</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2,078,791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2,067,499</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708,834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698,768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228,960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233,162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2,670,522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2,622,644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255,466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259,032</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6,555,477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6,511,774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109,461</w:t>
            </w:r>
          </w:p>
        </w:tc>
        <w:tc>
          <w:tcPr>
            <w:tcW w:w="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121,199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583,131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612,303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302,389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274,275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59,333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58,714</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334,687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1,389,001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1,303,865</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317,696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304,538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175,093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177,906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644,694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644,553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452,187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445,728</w:t>
            </w:r>
          </w:p>
        </w:tc>
        <w:tc>
          <w:tcPr>
            <w:tcW w:w="0" w:type="dxa"/>
            <w:vAlign w:val="bottom"/>
          </w:tcPr>
          <w:p>
            <w:pPr>
              <w:spacing w:after="0"/>
              <w:rPr>
                <w:sz w:val="1"/>
                <w:szCs w:val="1"/>
                <w:color w:val="auto"/>
              </w:rPr>
            </w:pPr>
          </w:p>
        </w:tc>
      </w:tr>
      <w:tr>
        <w:trPr>
          <w:trHeight w:val="230"/>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2,978,671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2,876,590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360"/>
              <w:spacing w:after="0" w:line="201" w:lineRule="exact"/>
              <w:rPr>
                <w:sz w:val="20"/>
                <w:szCs w:val="20"/>
                <w:color w:val="auto"/>
              </w:rPr>
            </w:pPr>
            <w:r>
              <w:rPr>
                <w:rFonts w:ascii="Arial" w:cs="Arial" w:eastAsia="Arial" w:hAnsi="Arial"/>
                <w:sz w:val="18"/>
                <w:szCs w:val="18"/>
                <w:color w:val="auto"/>
                <w:w w:val="93"/>
              </w:rPr>
              <w:t>Ordinary Shares — Authorized 700,000 shares; £0.01 par value; 282,747 and 281,945 issued and 123,354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540"/>
              <w:spacing w:after="0"/>
              <w:rPr>
                <w:sz w:val="20"/>
                <w:szCs w:val="20"/>
                <w:color w:val="auto"/>
              </w:rPr>
            </w:pPr>
            <w:r>
              <w:rPr>
                <w:rFonts w:ascii="Arial" w:cs="Arial" w:eastAsia="Arial" w:hAnsi="Arial"/>
                <w:sz w:val="18"/>
                <w:szCs w:val="18"/>
                <w:color w:val="auto"/>
              </w:rPr>
              <w:t>124,866 outstanding,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4,526</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3,974,056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3,951,201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Treasury stock, at cost 159,393 and 157,079 ordinary shares, respectively</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89"/>
              </w:rPr>
              <w:t>(6,394,221)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(6,223,317)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5,940,129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5,850,937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3,534,297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3,592,675</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3,576,806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3,635,184</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6,555,477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6,511,774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1,104,632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1,086,343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716,718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728,716</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81,945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75,669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121,888</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17,747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944,486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946,143</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360,120</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299,632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$299,632</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3,035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11,028</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(2,566)</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2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11,302</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134,071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310,934</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$121 and $1,221 for the three months ended December 31, 2021 and 2020, respectively.</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tax (expense) benefit for the three months ended December 31, 2021 and 2020.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Treasury</w:t>
            </w:r>
          </w:p>
        </w:tc>
        <w:tc>
          <w:tcPr>
            <w:tcW w:w="10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Limited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Paid-in</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Shareholders’</w:t>
            </w: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7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Shares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Capital</w:t>
            </w:r>
          </w:p>
        </w:tc>
        <w:tc>
          <w:tcPr>
            <w:tcW w:w="9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58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2021</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124,866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4,516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$3,951,201</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 (6,223,317)</w:t>
            </w:r>
          </w:p>
        </w:tc>
        <w:tc>
          <w:tcPr>
            <w:tcW w:w="260" w:type="dxa"/>
            <w:vAlign w:val="bottom"/>
            <w:tcBorders>
              <w:top w:val="single" w:sz="8" w:color="CCEEFF"/>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9,338</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$5,850,937</w:t>
            </w:r>
          </w:p>
        </w:tc>
        <w:tc>
          <w:tcPr>
            <w:tcW w:w="180" w:type="dxa"/>
            <w:vAlign w:val="bottom"/>
            <w:tcBorders>
              <w:top w:val="single" w:sz="8" w:color="CCEEFF"/>
              <w:lef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3,592,675</w:t>
            </w:r>
          </w:p>
        </w:tc>
        <w:tc>
          <w:tcPr>
            <w:tcW w:w="28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w w:val="83"/>
              </w:rPr>
              <w:t>42,509</w:t>
            </w:r>
          </w:p>
        </w:tc>
        <w:tc>
          <w:tcPr>
            <w:tcW w:w="220" w:type="dxa"/>
            <w:vAlign w:val="bottom"/>
            <w:tcBorders>
              <w:top w:val="single" w:sz="8" w:color="CCEEFF"/>
              <w:lef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$3,635,184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1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9"/>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133,602</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133,602</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133,602</w:t>
            </w:r>
          </w:p>
        </w:tc>
        <w:tc>
          <w:tcPr>
            <w:tcW w:w="0" w:type="dxa"/>
            <w:vAlign w:val="bottom"/>
          </w:tcPr>
          <w:p>
            <w:pPr>
              <w:spacing w:after="0"/>
              <w:rPr>
                <w:sz w:val="1"/>
                <w:szCs w:val="1"/>
                <w:color w:val="auto"/>
              </w:rPr>
            </w:pPr>
          </w:p>
        </w:tc>
      </w:tr>
      <w:tr>
        <w:trPr>
          <w:trHeight w:val="148"/>
        </w:trPr>
        <w:tc>
          <w:tcPr>
            <w:tcW w:w="280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2"/>
                <w:szCs w:val="12"/>
                <w:color w:val="auto"/>
              </w:rPr>
            </w:pPr>
          </w:p>
        </w:tc>
        <w:tc>
          <w:tcPr>
            <w:tcW w:w="6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134,071</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134,071</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2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6,114</w:t>
            </w:r>
          </w:p>
        </w:tc>
        <w:tc>
          <w:tcPr>
            <w:tcW w:w="2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left="34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6,115</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(170,904)</w:t>
            </w:r>
          </w:p>
        </w:tc>
        <w:tc>
          <w:tcPr>
            <w:tcW w:w="26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(170,904)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(170,904)</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Cash dividends declared ($0.36 per ordinary</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40"/>
              <w:spacing w:after="0"/>
              <w:rPr>
                <w:sz w:val="20"/>
                <w:szCs w:val="20"/>
                <w:color w:val="auto"/>
              </w:rPr>
            </w:pPr>
            <w:r>
              <w:rPr>
                <w:rFonts w:ascii="Arial" w:cs="Arial" w:eastAsia="Arial" w:hAnsi="Arial"/>
                <w:sz w:val="14"/>
                <w:szCs w:val="14"/>
                <w:color w:val="auto"/>
              </w:rPr>
              <w:t>share)</w:t>
            </w:r>
          </w:p>
        </w:tc>
        <w:tc>
          <w:tcPr>
            <w:tcW w:w="120" w:type="dxa"/>
            <w:vAlign w:val="bottom"/>
          </w:tcPr>
          <w:p>
            <w:pPr>
              <w:spacing w:after="0"/>
              <w:rPr>
                <w:sz w:val="14"/>
                <w:szCs w:val="14"/>
                <w:color w:val="auto"/>
              </w:rPr>
            </w:pPr>
          </w:p>
        </w:tc>
        <w:tc>
          <w:tcPr>
            <w:tcW w:w="6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(44,410)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(44,410)</w:t>
            </w:r>
          </w:p>
        </w:tc>
        <w:tc>
          <w:tcPr>
            <w:tcW w:w="8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(44,410)</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restricted stock, net of forfeitures</w:t>
            </w:r>
          </w:p>
        </w:tc>
        <w:tc>
          <w:tcPr>
            <w:tcW w:w="62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Equity-based compensation expense related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40"/>
              <w:spacing w:after="0"/>
              <w:rPr>
                <w:sz w:val="20"/>
                <w:szCs w:val="20"/>
                <w:color w:val="auto"/>
              </w:rPr>
            </w:pPr>
            <w:r>
              <w:rPr>
                <w:rFonts w:ascii="Arial" w:cs="Arial" w:eastAsia="Arial" w:hAnsi="Arial"/>
                <w:sz w:val="14"/>
                <w:szCs w:val="14"/>
                <w:color w:val="auto"/>
              </w:rPr>
              <w:t>to employees</w:t>
            </w:r>
          </w:p>
        </w:tc>
        <w:tc>
          <w:tcPr>
            <w:tcW w:w="1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16,741</w:t>
            </w:r>
          </w:p>
        </w:tc>
        <w:tc>
          <w:tcPr>
            <w:tcW w:w="2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left="34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16,741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16,741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2021</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123,354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5"/>
              </w:rPr>
              <w:t>4,526</w:t>
            </w: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3,974,056</w:t>
            </w: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(6,394,221)</w:t>
            </w:r>
          </w:p>
        </w:tc>
        <w:tc>
          <w:tcPr>
            <w:tcW w:w="260" w:type="dxa"/>
            <w:vAlign w:val="bottom"/>
            <w:tcBorders>
              <w:left w:val="single" w:sz="8" w:color="CCEEFF"/>
            </w:tcBorders>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9,807</w:t>
            </w:r>
          </w:p>
        </w:tc>
        <w:tc>
          <w:tcPr>
            <w:tcW w:w="120" w:type="dxa"/>
            <w:vAlign w:val="bottom"/>
            <w:tcBorders>
              <w:lef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5,940,129</w:t>
            </w:r>
          </w:p>
        </w:tc>
        <w:tc>
          <w:tcPr>
            <w:tcW w:w="180" w:type="dxa"/>
            <w:vAlign w:val="bottom"/>
            <w:tcBorders>
              <w:left w:val="single" w:sz="8" w:color="CCEEFF"/>
            </w:tcBorders>
            <w:shd w:val="clear" w:color="auto" w:fill="CCEEFF"/>
          </w:tcPr>
          <w:p>
            <w:pPr>
              <w:spacing w:after="0"/>
              <w:rPr>
                <w:sz w:val="12"/>
                <w:szCs w:val="12"/>
                <w:color w:val="auto"/>
              </w:rPr>
            </w:pPr>
          </w:p>
        </w:tc>
        <w:tc>
          <w:tcPr>
            <w:tcW w:w="220" w:type="dxa"/>
            <w:vAlign w:val="bottom"/>
            <w:gridSpan w:val="2"/>
            <w:shd w:val="clear" w:color="auto" w:fill="CCEEFF"/>
          </w:tcPr>
          <w:p>
            <w:pPr>
              <w:jc w:val="right"/>
              <w:ind w:right="5"/>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3,534,297</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42,509</w:t>
            </w:r>
          </w:p>
        </w:tc>
        <w:tc>
          <w:tcPr>
            <w:tcW w:w="220" w:type="dxa"/>
            <w:vAlign w:val="bottom"/>
            <w:tcBorders>
              <w:lef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3,576,806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Limited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Interests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5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2"/>
                <w:szCs w:val="12"/>
                <w:color w:val="auto"/>
              </w:rPr>
            </w:pPr>
          </w:p>
        </w:tc>
        <w:tc>
          <w:tcPr>
            <w:tcW w:w="7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2020</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131,535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4,483</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$3,807,915</w:t>
            </w: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(5,543,321)</w:t>
            </w:r>
          </w:p>
        </w:tc>
        <w:tc>
          <w:tcPr>
            <w:tcW w:w="260" w:type="dxa"/>
            <w:vAlign w:val="bottom"/>
            <w:tcBorders>
              <w:top w:val="single" w:sz="8" w:color="CCEEFF"/>
              <w:lef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center"/>
              <w:ind w:left="388"/>
              <w:spacing w:after="0" w:line="142" w:lineRule="exact"/>
              <w:rPr>
                <w:sz w:val="20"/>
                <w:szCs w:val="20"/>
                <w:color w:val="auto"/>
              </w:rPr>
            </w:pPr>
            <w:r>
              <w:rPr>
                <w:rFonts w:ascii="Arial" w:cs="Arial" w:eastAsia="Arial" w:hAnsi="Arial"/>
                <w:sz w:val="14"/>
                <w:szCs w:val="14"/>
                <w:color w:val="auto"/>
                <w:w w:val="88"/>
              </w:rPr>
              <w:t>11,662</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2"/>
              </w:rPr>
              <w:t>$5,341,907</w:t>
            </w:r>
          </w:p>
        </w:tc>
        <w:tc>
          <w:tcPr>
            <w:tcW w:w="180" w:type="dxa"/>
            <w:vAlign w:val="bottom"/>
            <w:tcBorders>
              <w:top w:val="single" w:sz="8" w:color="CCEEFF"/>
              <w:lef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3,622,646</w:t>
            </w:r>
          </w:p>
        </w:tc>
        <w:tc>
          <w:tcPr>
            <w:tcW w:w="280" w:type="dxa"/>
            <w:vAlign w:val="bottom"/>
            <w:tcBorders>
              <w:top w:val="single" w:sz="8" w:color="CCEEFF"/>
              <w:left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w w:val="79"/>
              </w:rPr>
              <w:t>42,509</w:t>
            </w:r>
          </w:p>
        </w:tc>
        <w:tc>
          <w:tcPr>
            <w:tcW w:w="220" w:type="dxa"/>
            <w:vAlign w:val="bottom"/>
            <w:tcBorders>
              <w:top w:val="single" w:sz="8" w:color="CCEEFF"/>
              <w:lef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$3,665,155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(2)</w:t>
            </w:r>
          </w:p>
        </w:tc>
        <w:tc>
          <w:tcPr>
            <w:tcW w:w="1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299,632</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299,632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299,632</w:t>
            </w:r>
          </w:p>
        </w:tc>
        <w:tc>
          <w:tcPr>
            <w:tcW w:w="0" w:type="dxa"/>
            <w:vAlign w:val="bottom"/>
          </w:tcPr>
          <w:p>
            <w:pPr>
              <w:spacing w:after="0"/>
              <w:rPr>
                <w:sz w:val="1"/>
                <w:szCs w:val="1"/>
                <w:color w:val="auto"/>
              </w:rPr>
            </w:pPr>
          </w:p>
        </w:tc>
      </w:tr>
      <w:tr>
        <w:trPr>
          <w:trHeight w:val="155"/>
        </w:trPr>
        <w:tc>
          <w:tcPr>
            <w:tcW w:w="280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3"/>
                <w:szCs w:val="13"/>
                <w:color w:val="auto"/>
              </w:rPr>
            </w:pPr>
          </w:p>
        </w:tc>
        <w:tc>
          <w:tcPr>
            <w:tcW w:w="6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left="348"/>
              <w:spacing w:after="0" w:line="149" w:lineRule="exact"/>
              <w:rPr>
                <w:sz w:val="20"/>
                <w:szCs w:val="20"/>
                <w:color w:val="auto"/>
              </w:rPr>
            </w:pPr>
            <w:r>
              <w:rPr>
                <w:rFonts w:ascii="Arial" w:cs="Arial" w:eastAsia="Arial" w:hAnsi="Arial"/>
                <w:sz w:val="14"/>
                <w:szCs w:val="14"/>
                <w:color w:val="auto"/>
                <w:w w:val="88"/>
              </w:rPr>
              <w:t>11,302</w:t>
            </w:r>
          </w:p>
        </w:tc>
        <w:tc>
          <w:tcPr>
            <w:tcW w:w="120" w:type="dxa"/>
            <w:vAlign w:val="bottom"/>
          </w:tcPr>
          <w:p>
            <w:pPr>
              <w:spacing w:after="0"/>
              <w:rPr>
                <w:sz w:val="13"/>
                <w:szCs w:val="13"/>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11,302</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310,934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310,934</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720" w:type="dxa"/>
            <w:vAlign w:val="bottom"/>
            <w:gridSpan w:val="4"/>
          </w:tcPr>
          <w:p>
            <w:pPr>
              <w:ind w:left="400"/>
              <w:spacing w:after="0" w:line="149" w:lineRule="exact"/>
              <w:rPr>
                <w:sz w:val="20"/>
                <w:szCs w:val="20"/>
                <w:color w:val="auto"/>
              </w:rPr>
            </w:pPr>
            <w:r>
              <w:rPr>
                <w:rFonts w:ascii="Arial" w:cs="Arial" w:eastAsia="Arial" w:hAnsi="Arial"/>
                <w:sz w:val="14"/>
                <w:szCs w:val="14"/>
                <w:color w:val="auto"/>
              </w:rPr>
              <w:t>238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1000" w:type="dxa"/>
            <w:vAlign w:val="bottom"/>
            <w:gridSpan w:val="5"/>
          </w:tcPr>
          <w:p>
            <w:pPr>
              <w:jc w:val="right"/>
              <w:ind w:right="200"/>
              <w:spacing w:after="0" w:line="149" w:lineRule="exact"/>
              <w:rPr>
                <w:sz w:val="20"/>
                <w:szCs w:val="20"/>
                <w:color w:val="auto"/>
              </w:rPr>
            </w:pPr>
            <w:r>
              <w:rPr>
                <w:rFonts w:ascii="Arial" w:cs="Arial" w:eastAsia="Arial" w:hAnsi="Arial"/>
                <w:sz w:val="14"/>
                <w:szCs w:val="14"/>
                <w:color w:val="auto"/>
              </w:rPr>
              <w:t>12,701</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12,704</w:t>
            </w:r>
          </w:p>
        </w:tc>
        <w:tc>
          <w:tcPr>
            <w:tcW w:w="8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12,704</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(90,022)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(90,022)</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w w:val="95"/>
              </w:rPr>
              <w:t>Cash dividends declared ($0.3275 per ordinary</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40"/>
              <w:spacing w:after="0"/>
              <w:rPr>
                <w:sz w:val="20"/>
                <w:szCs w:val="20"/>
                <w:color w:val="auto"/>
              </w:rPr>
            </w:pPr>
            <w:r>
              <w:rPr>
                <w:rFonts w:ascii="Arial" w:cs="Arial" w:eastAsia="Arial" w:hAnsi="Arial"/>
                <w:sz w:val="14"/>
                <w:szCs w:val="14"/>
                <w:color w:val="auto"/>
              </w:rPr>
              <w:t>share)</w:t>
            </w:r>
          </w:p>
        </w:tc>
        <w:tc>
          <w:tcPr>
            <w:tcW w:w="120" w:type="dxa"/>
            <w:vAlign w:val="bottom"/>
          </w:tcPr>
          <w:p>
            <w:pPr>
              <w:spacing w:after="0"/>
              <w:rPr>
                <w:sz w:val="14"/>
                <w:szCs w:val="14"/>
                <w:color w:val="auto"/>
              </w:rPr>
            </w:pP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(42,850)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(42,850)</w:t>
            </w:r>
          </w:p>
        </w:tc>
        <w:tc>
          <w:tcPr>
            <w:tcW w:w="8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(42,850)</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restricted stock, net of forfeitures</w:t>
            </w:r>
          </w:p>
        </w:tc>
        <w:tc>
          <w:tcPr>
            <w:tcW w:w="720" w:type="dxa"/>
            <w:vAlign w:val="bottom"/>
            <w:gridSpan w:val="4"/>
            <w:shd w:val="clear" w:color="auto" w:fill="CCEEFF"/>
          </w:tcPr>
          <w:p>
            <w:pPr>
              <w:ind w:left="400"/>
              <w:spacing w:after="0" w:line="149" w:lineRule="exact"/>
              <w:rPr>
                <w:sz w:val="20"/>
                <w:szCs w:val="20"/>
                <w:color w:val="auto"/>
              </w:rPr>
            </w:pPr>
            <w:r>
              <w:rPr>
                <w:rFonts w:ascii="Arial" w:cs="Arial" w:eastAsia="Arial" w:hAnsi="Arial"/>
                <w:sz w:val="14"/>
                <w:szCs w:val="14"/>
                <w:color w:val="auto"/>
              </w:rPr>
              <w:t>488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w w:val="95"/>
              </w:rPr>
              <w:t>Equity-based compensation expense related to</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40"/>
              <w:spacing w:after="0"/>
              <w:rPr>
                <w:sz w:val="20"/>
                <w:szCs w:val="20"/>
                <w:color w:val="auto"/>
              </w:rPr>
            </w:pPr>
            <w:r>
              <w:rPr>
                <w:rFonts w:ascii="Arial" w:cs="Arial" w:eastAsia="Arial" w:hAnsi="Arial"/>
                <w:sz w:val="14"/>
                <w:szCs w:val="14"/>
                <w:color w:val="auto"/>
              </w:rPr>
              <w:t>employees</w:t>
            </w:r>
          </w:p>
        </w:tc>
        <w:tc>
          <w:tcPr>
            <w:tcW w:w="120" w:type="dxa"/>
            <w:vAlign w:val="bottom"/>
          </w:tcPr>
          <w:p>
            <w:pPr>
              <w:spacing w:after="0"/>
              <w:rPr>
                <w:sz w:val="14"/>
                <w:szCs w:val="14"/>
                <w:color w:val="auto"/>
              </w:rPr>
            </w:pPr>
          </w:p>
        </w:tc>
        <w:tc>
          <w:tcPr>
            <w:tcW w:w="5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12,577</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12,577</w:t>
            </w:r>
          </w:p>
        </w:tc>
        <w:tc>
          <w:tcPr>
            <w:tcW w:w="80" w:type="dxa"/>
            <w:vAlign w:val="bottom"/>
          </w:tcPr>
          <w:p>
            <w:pPr>
              <w:spacing w:after="0"/>
              <w:rPr>
                <w:sz w:val="14"/>
                <w:szCs w:val="14"/>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12,577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2020</w:t>
            </w:r>
          </w:p>
        </w:tc>
        <w:tc>
          <w:tcPr>
            <w:tcW w:w="1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130,825</w:t>
            </w:r>
          </w:p>
        </w:tc>
        <w:tc>
          <w:tcPr>
            <w:tcW w:w="2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4,493</w:t>
            </w:r>
          </w:p>
        </w:tc>
        <w:tc>
          <w:tcPr>
            <w:tcW w:w="1000" w:type="dxa"/>
            <w:vAlign w:val="bottom"/>
            <w:tcBorders>
              <w:right w:val="single" w:sz="8" w:color="CCEEFF"/>
            </w:tcBorders>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3,833,193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 (5,633,343)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3"/>
              </w:rPr>
              <w:t>22,964</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5,598,689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3,825,996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42,509</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3,868,505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of December 31, 2021 and 2020, accumulated other comprehensive income is comprised of unrealized gain on derivatives, net of tax, of</w:t>
      </w:r>
    </w:p>
    <w:p>
      <w:pPr>
        <w:spacing w:after="0" w:line="34" w:lineRule="exact"/>
        <w:rPr>
          <w:rFonts w:ascii="Arial" w:cs="Arial" w:eastAsia="Arial" w:hAnsi="Arial"/>
          <w:sz w:val="17"/>
          <w:szCs w:val="17"/>
          <w:color w:val="auto"/>
        </w:rPr>
      </w:pPr>
    </w:p>
    <w:p>
      <w:pPr>
        <w:ind w:left="540" w:right="260"/>
        <w:spacing w:after="0" w:line="250" w:lineRule="auto"/>
        <w:rPr>
          <w:rFonts w:ascii="Arial" w:cs="Arial" w:eastAsia="Arial" w:hAnsi="Arial"/>
          <w:sz w:val="17"/>
          <w:szCs w:val="17"/>
          <w:color w:val="auto"/>
        </w:rPr>
      </w:pPr>
      <w:r>
        <w:rPr>
          <w:rFonts w:ascii="Arial" w:cs="Arial" w:eastAsia="Arial" w:hAnsi="Arial"/>
          <w:sz w:val="18"/>
          <w:szCs w:val="18"/>
          <w:color w:val="auto"/>
        </w:rPr>
        <w:t>$16,808 and $29,864, unrealized (loss) gain on short-term interest-bearing investments, net of tax, of $(3,840) and $272, and unrealized loss on defined benefit plan, net of tax, of $(3,161) and $(7,172).</w:t>
      </w:r>
    </w:p>
    <w:p>
      <w:pPr>
        <w:ind w:left="540" w:right="520" w:hanging="424"/>
        <w:spacing w:after="0" w:line="26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months ended December 31, 2021, and 2020, all of the Company’s net income is attributable to Amdocs Limited as the net income attributable to the Non-controlling interests is negligible.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133,602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299,632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50,876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51,706</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12,577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(226,410)</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(25,892)</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from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(140,817)</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911</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(13,984)</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11,225</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155,891</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219,057</w:t>
            </w: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61,318</w:t>
            </w: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11,503</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204,118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416,485</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(50,065)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(176,234)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(23,885)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(9,897)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290,789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1,407</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(110,691)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57,291</w:t>
            </w:r>
          </w:p>
        </w:tc>
      </w:tr>
      <w:tr>
        <w:trPr>
          <w:trHeight w:val="223"/>
        </w:trPr>
        <w:tc>
          <w:tcPr>
            <w:tcW w:w="912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(170,904)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(90,022)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12,711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(43,084)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(216,001)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(120,395)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(122,574)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353,381</w:t>
            </w: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709,064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983,188</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586,490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1,336,569</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20,484</w:t>
            </w:r>
          </w:p>
        </w:tc>
      </w:tr>
      <w:tr>
        <w:trPr>
          <w:trHeight w:val="230"/>
        </w:trPr>
        <w:tc>
          <w:tcPr>
            <w:tcW w:w="9120" w:type="dxa"/>
            <w:vAlign w:val="bottom"/>
          </w:tcPr>
          <w:p>
            <w:pPr>
              <w:ind w:left="360"/>
              <w:spacing w:after="0"/>
              <w:rPr>
                <w:sz w:val="20"/>
                <w:szCs w:val="20"/>
                <w:color w:val="auto"/>
              </w:rPr>
            </w:pPr>
            <w:r>
              <w:rPr>
                <w:rFonts w:ascii="Arial" w:cs="Arial" w:eastAsia="Arial" w:hAnsi="Arial"/>
                <w:sz w:val="18"/>
                <w:szCs w:val="18"/>
                <w:color w:val="auto"/>
              </w:rPr>
              <w:t>Interest (2)</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360" w:hanging="424"/>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$269 and $53 for the three months ended December 31, 2021 and 2020,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7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2021, set forth in the Company’s Annual Report on Form 20-F filed on December 9, 2021 with the U.S. Securities and Exchange Commission, or the SEC. There have been no material changes to the company’s significant accounting policies from its Annual Report on Form 20-F for the fiscal year ended September 30, 2021.</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2021, the Financial Accounting Standards Board, or FASB, issued Accounting Standard Update, or ASU No.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(Topic 805): Accounting for Contract Assets and Contract Liabilities from Contracts with Customers”. </w:t>
      </w:r>
      <w:r>
        <w:rPr>
          <w:rFonts w:ascii="Arial" w:cs="Arial" w:eastAsia="Arial" w:hAnsi="Arial"/>
          <w:sz w:val="18"/>
          <w:szCs w:val="18"/>
          <w:color w:val="auto"/>
        </w:rPr>
        <w:t>The ASU requires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ASC 606 to recognize and measure contract assets and contract liabilities from contracts with customers acquired in a business combination. This ASU will be effective for the Company on October 1, 2023 and early adoption is permitted. The Company is currently evaluating the impact of adoption of this ASU on its consolidated financial statements.</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March 2020, the FASB, issued ASU No. 2020-04, “</w:t>
      </w:r>
      <w:r>
        <w:rPr>
          <w:rFonts w:ascii="Arial" w:cs="Arial" w:eastAsia="Arial" w:hAnsi="Arial"/>
          <w:sz w:val="18"/>
          <w:szCs w:val="18"/>
          <w:i w:val="1"/>
          <w:iCs w:val="1"/>
          <w:color w:val="auto"/>
        </w:rPr>
        <w:t>Reference Rate Reform: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ASU provides temporary optional expedients and exceptions on certain contract modifications, hedge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London Inter-Bank Offered Rate (“LIBOR”) or other reference rates expected to be discontinued due to the reference rate reform. This ASU is effective as of March 12, 2020 through December 31, 2022. The Company expects that the adoption of this ASU will not have a material impact on its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Divestiture of a Subsidiary</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December 31, 2020, the Company completed the divestiture. Based on the total consideration, the Company recorded pre-tax gain of $226,410, (net of immaterial transaction costs) in the Consolidated Statements of Income during the three months ended December 31, 2020. In connection with this divestiture, $9,194 of net assets and $61,396 of goodwill, were disposed. During the three months ended December 31, 2021 the Company recorded additional pre-tax gain of $10,000, in the Consolidated Statements of Income as a result of achievement of certain performance metrics and received such additional consideration during the second quarter ended March 31, 2022. The divestiture does not represent a strategic shift that will have a major effect on operations and financial results and, therefore, did not qualify for presentation as a discontinued operation, see also Note 9.</w:t>
      </w:r>
    </w:p>
    <w:p>
      <w:pPr>
        <w:spacing w:after="0" w:line="299" w:lineRule="exact"/>
        <w:rPr>
          <w:sz w:val="20"/>
          <w:szCs w:val="20"/>
          <w:color w:val="auto"/>
        </w:rPr>
      </w:pPr>
    </w:p>
    <w:p>
      <w:pPr>
        <w:jc w:val="right"/>
        <w:ind w:left="560" w:right="9120" w:hanging="444"/>
        <w:spacing w:after="0" w:line="488" w:lineRule="auto"/>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Contract Balances</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12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82"/>
        </w:trPr>
        <w:tc>
          <w:tcPr>
            <w:tcW w:w="612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Accounts receivable—billed (net of allowances for credit losses of</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$16,583 and $20,065 as of December 31, 2021 and September 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2021, respectively)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806,976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704,541</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Accounts receivable – unbilled (current)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146,994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162,278</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 unbilled (non-current)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39,704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38,252</w:t>
            </w: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Total Accounts receivable—unbilled</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200,530</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(334,687)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(237,374)</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(97,411)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(108,675)</w:t>
            </w:r>
          </w:p>
        </w:tc>
      </w:tr>
      <w:tr>
        <w:trPr>
          <w:trHeight w:val="27"/>
        </w:trPr>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(432,098)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(346,049)</w:t>
            </w:r>
          </w:p>
        </w:tc>
      </w:tr>
      <w:tr>
        <w:trPr>
          <w:trHeight w:val="364"/>
        </w:trPr>
        <w:tc>
          <w:tcPr>
            <w:tcW w:w="6120" w:type="dxa"/>
            <w:vAlign w:val="bottom"/>
          </w:tcPr>
          <w:p>
            <w:pPr>
              <w:ind w:left="4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recognized during the three months ended December 31, 2021, which was included in deferred revenue (current) as of September 30,</w:t>
      </w:r>
    </w:p>
    <w:p>
      <w:pPr>
        <w:spacing w:after="0" w:line="46"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2021 was $147,539. Revenue recognized during the three months ended December 31, 2020, which was included in deferred revenue (current) as of September 30, 2020, was $89,192.</w:t>
      </w:r>
    </w:p>
    <w:p>
      <w:pPr>
        <w:spacing w:after="0" w:line="185"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As of December 31, 2021, the aggregate amount of the transaction price allocated to remaining performance obligations that are unsatisfied or partially unsatisfied was approximately $6.6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4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Three months ended</w:t>
      </w:r>
    </w:p>
    <w:p>
      <w:pPr>
        <w:jc w:val="center"/>
        <w:ind w:left="6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2021_</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659,688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444,944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1,104,632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1,086,343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2021_</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2020_</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745,493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142,541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171,559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216,598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211,350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1,104,632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1,086,343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880" w:right="8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ectPr>
          <w:pgSz w:w="11900" w:h="16838" w:orient="portrait"/>
          <w:cols w:equalWidth="0" w:num="1">
            <w:col w:w="10960"/>
          </w:cols>
          <w:pgMar w:left="320" w:top="459" w:right="619" w:bottom="1440" w:gutter="0" w:footer="0" w:header="0"/>
        </w:sectPr>
      </w:pP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60"/>
          </w:cols>
          <w:pgMar w:left="320" w:top="459" w:right="6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2021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321"/>
              <w:spacing w:after="0"/>
              <w:rPr>
                <w:sz w:val="20"/>
                <w:szCs w:val="20"/>
                <w:color w:val="auto"/>
              </w:rPr>
            </w:pPr>
            <w:r>
              <w:rPr>
                <w:rFonts w:ascii="Arial" w:cs="Arial" w:eastAsia="Arial" w:hAnsi="Arial"/>
                <w:sz w:val="14"/>
                <w:szCs w:val="14"/>
                <w:b w:val="1"/>
                <w:bCs w:val="1"/>
                <w:color w:val="auto"/>
                <w:w w:val="94"/>
              </w:rPr>
              <w:t>As of December 31, 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12"/>
                <w:szCs w:val="12"/>
                <w:color w:val="auto"/>
              </w:rPr>
            </w:pPr>
          </w:p>
        </w:tc>
        <w:tc>
          <w:tcPr>
            <w:tcW w:w="860" w:type="dxa"/>
            <w:vAlign w:val="bottom"/>
            <w:gridSpan w:val="2"/>
          </w:tcPr>
          <w:p>
            <w:pPr>
              <w:jc w:val="right"/>
              <w:ind w:right="321"/>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$169,021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191,435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53,941</w:t>
            </w: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11,017</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bonds</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222,962</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228,406</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8"/>
              </w:rPr>
              <w:t>41,185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15,375</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9"/>
              </w:rPr>
              <w:t>(44,125)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(44,125)</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222,962</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243,781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463,803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301"/>
              <w:spacing w:after="0"/>
              <w:rPr>
                <w:sz w:val="20"/>
                <w:szCs w:val="20"/>
                <w:color w:val="auto"/>
              </w:rPr>
            </w:pPr>
            <w:r>
              <w:rPr>
                <w:rFonts w:ascii="Arial" w:cs="Arial" w:eastAsia="Arial" w:hAnsi="Arial"/>
                <w:sz w:val="14"/>
                <w:szCs w:val="14"/>
                <w:b w:val="1"/>
                <w:bCs w:val="1"/>
                <w:color w:val="auto"/>
                <w:w w:val="93"/>
              </w:rPr>
              <w:t>As of September 30, 2021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12"/>
                <w:szCs w:val="12"/>
                <w:color w:val="auto"/>
              </w:rPr>
            </w:pPr>
          </w:p>
        </w:tc>
        <w:tc>
          <w:tcPr>
            <w:tcW w:w="860" w:type="dxa"/>
            <w:vAlign w:val="bottom"/>
            <w:gridSpan w:val="2"/>
          </w:tcPr>
          <w:p>
            <w:pPr>
              <w:jc w:val="right"/>
              <w:ind w:right="321"/>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$209,026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$209,026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190,437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54,752</w:t>
            </w:r>
          </w:p>
        </w:tc>
        <w:tc>
          <w:tcPr>
            <w:tcW w:w="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263,778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201,775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465,553</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37,581</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1"/>
              <w:spacing w:after="0"/>
              <w:rPr>
                <w:sz w:val="20"/>
                <w:szCs w:val="20"/>
                <w:color w:val="auto"/>
              </w:rPr>
            </w:pPr>
            <w:r>
              <w:rPr>
                <w:rFonts w:ascii="Arial" w:cs="Arial" w:eastAsia="Arial" w:hAnsi="Arial"/>
                <w:sz w:val="18"/>
                <w:szCs w:val="18"/>
                <w:color w:val="auto"/>
                <w:w w:val="89"/>
              </w:rPr>
              <w:t>(51,590)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263,778</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9"/>
              </w:rPr>
              <w:t>(14,009)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462,523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2021. Level 3 liabilities relate to certain acquisition-related liabilities, which were generally valued using a Monte-Carlo simulation model and based on estimates of potential pay-out scenarios, periodically valued every quarter. These liabilities were included in both accrued expenses and other current liabilities and other noncurrent liabilities as of December 31, 2021 and September 30, 2021. The decrease in Level 3 liabilities was primarily attributable to payments of certain acquisition-related liabilities, changes in the fair value recorded in the consolidated statement of income during the three months ended December 31, 2021, partially offset by changes recorded against goodwill in connection with acquisitions made during the period. Level 3 assets relate to equity investments, which were valued based on price changes in orderly transactions for similar private investments of the same issuer. The increase in Level 3 assets is primarily as changes in the fair value which was recorded during the three months ended December 31, 2021 in the consolidated statement of income.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12.</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$169,021</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$169,021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194,235</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2,801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191,435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54,664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16,837</w:t>
            </w:r>
          </w:p>
        </w:tc>
        <w:tc>
          <w:tcPr>
            <w:tcW w:w="12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209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700" w:type="dxa"/>
            <w:vAlign w:val="bottom"/>
          </w:tcPr>
          <w:p>
            <w:pPr>
              <w:jc w:val="right"/>
              <w:spacing w:after="0"/>
              <w:rPr>
                <w:sz w:val="20"/>
                <w:szCs w:val="20"/>
                <w:color w:val="auto"/>
              </w:rPr>
            </w:pPr>
            <w:r>
              <w:rPr>
                <w:rFonts w:ascii="Arial" w:cs="Arial" w:eastAsia="Arial" w:hAnsi="Arial"/>
                <w:sz w:val="18"/>
                <w:szCs w:val="18"/>
                <w:color w:val="auto"/>
              </w:rPr>
              <w:t>9,350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455,208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451,368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80" w:hanging="424"/>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2021, $282,347 of securities were classified as short-term interest-bearing investments and $169,021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0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$209,026</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$209,026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191,445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1,084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7,479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466,827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w w:val="73"/>
              </w:rPr>
              <w:t>80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465,553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40" w:hanging="424"/>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2021, $256,527 of securities were classified as short-term interest-bearing investments and $209,026 of securities were classified as cash and cash equivalents.</w:t>
      </w:r>
    </w:p>
    <w:p>
      <w:pPr>
        <w:spacing w:after="0" w:line="17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of December 31, 2021,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three months ended December 31, 2021 and 2020. Realized gains and losses on short-term interest-bearing investments are included in earnings and are determined based on specific identification method.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186,717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25,054</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67,893</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110,528</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61,176</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451,368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$15,820 as of December 31, 2021. The Company has limited its credit risk by entering into derivative transactions exclusively with investment-grade rated financial institutions and monitors the creditworthiness of these financial institutions on an ongoing basis.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2021. Notional values are in U.S. dollars and are translated and calculated based on forward rates as of December 31, 2021 for forward contracts, and based on spot rates as of December 31, 2021 for options.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1,512,441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40" w:right="20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December 31, 2021 and September 30, 2021,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12,431</w:t>
            </w:r>
          </w:p>
        </w:tc>
        <w:tc>
          <w:tcPr>
            <w:tcW w:w="80" w:type="dxa"/>
            <w:vAlign w:val="bottom"/>
          </w:tcPr>
          <w:p>
            <w:pPr>
              <w:spacing w:after="0"/>
              <w:rPr>
                <w:sz w:val="18"/>
                <w:szCs w:val="18"/>
                <w:color w:val="auto"/>
              </w:rPr>
            </w:pP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(2,690)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(3,211)</w:t>
            </w:r>
          </w:p>
        </w:tc>
      </w:tr>
      <w:tr>
        <w:trPr>
          <w:trHeight w:val="27"/>
        </w:trPr>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fair value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320" w:lineRule="auto"/>
        <w:rPr>
          <w:sz w:val="20"/>
          <w:szCs w:val="20"/>
          <w:color w:val="auto"/>
        </w:rPr>
      </w:pPr>
      <w:r>
        <w:rPr>
          <w:rFonts w:ascii="Arial" w:cs="Arial" w:eastAsia="Arial" w:hAnsi="Arial"/>
          <w:sz w:val="15"/>
          <w:szCs w:val="15"/>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2021 is scheduled to mature within the next 12 months.</w:t>
      </w:r>
    </w:p>
    <w:p>
      <w:pPr>
        <w:spacing w:after="0" w:line="146"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spacing w:after="0" w:line="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months ended December 31, 2021 and 2020, respectively, which partially offsets the foreign currency impact from the underlying exposures, is summarized as follows:</w:t>
      </w:r>
    </w:p>
    <w:p>
      <w:pPr>
        <w:spacing w:after="0" w:line="142"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Gains (Losses) Reclassified from</w:t>
      </w:r>
    </w:p>
    <w:p>
      <w:pPr>
        <w:jc w:val="center"/>
        <w:ind w:left="8280"/>
        <w:spacing w:after="0" w:line="226" w:lineRule="auto"/>
        <w:rPr>
          <w:sz w:val="20"/>
          <w:szCs w:val="20"/>
          <w:color w:val="auto"/>
        </w:rPr>
      </w:pPr>
      <w:r>
        <w:rPr>
          <w:rFonts w:ascii="Arial" w:cs="Arial" w:eastAsia="Arial" w:hAnsi="Arial"/>
          <w:sz w:val="14"/>
          <w:szCs w:val="14"/>
          <w:b w:val="1"/>
          <w:bCs w:val="1"/>
          <w:color w:val="auto"/>
        </w:rPr>
        <w:t>accumulated Other Comprehensive</w:t>
      </w:r>
    </w:p>
    <w:p>
      <w:pPr>
        <w:jc w:val="center"/>
        <w:ind w:left="8280"/>
        <w:spacing w:after="0" w:line="221" w:lineRule="auto"/>
        <w:rPr>
          <w:sz w:val="20"/>
          <w:szCs w:val="20"/>
          <w:color w:val="auto"/>
        </w:rPr>
      </w:pPr>
      <w:r>
        <w:rPr>
          <w:rFonts w:ascii="Arial" w:cs="Arial" w:eastAsia="Arial" w:hAnsi="Arial"/>
          <w:sz w:val="14"/>
          <w:szCs w:val="14"/>
          <w:b w:val="1"/>
          <w:bCs w:val="1"/>
          <w:color w:val="auto"/>
        </w:rPr>
        <w:t>Income (Effective Portion)</w:t>
      </w:r>
    </w:p>
    <w:p>
      <w:pPr>
        <w:jc w:val="center"/>
        <w:ind w:left="8280"/>
        <w:spacing w:after="0" w:line="222" w:lineRule="auto"/>
        <w:rPr>
          <w:sz w:val="20"/>
          <w:szCs w:val="20"/>
          <w:color w:val="auto"/>
        </w:rPr>
      </w:pPr>
      <w:r>
        <w:rPr>
          <w:rFonts w:ascii="Arial" w:cs="Arial" w:eastAsia="Arial" w:hAnsi="Arial"/>
          <w:sz w:val="14"/>
          <w:szCs w:val="14"/>
          <w:b w:val="1"/>
          <w:bCs w:val="1"/>
          <w:color w:val="auto"/>
        </w:rPr>
        <w:t>Three months ended</w:t>
      </w:r>
    </w:p>
    <w:p>
      <w:pPr>
        <w:jc w:val="center"/>
        <w:ind w:left="8280"/>
        <w:spacing w:after="0" w:line="231"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4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1,236</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1,652</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income, net of tax, is as follows:</w:t>
      </w:r>
    </w:p>
    <w:p>
      <w:pPr>
        <w:spacing w:after="0" w:line="189" w:lineRule="exact"/>
        <w:rPr>
          <w:sz w:val="20"/>
          <w:szCs w:val="20"/>
          <w:color w:val="auto"/>
        </w:rPr>
      </w:pPr>
    </w:p>
    <w:p>
      <w:pPr>
        <w:jc w:val="center"/>
        <w:ind w:left="9300"/>
        <w:spacing w:after="0"/>
        <w:rPr>
          <w:sz w:val="20"/>
          <w:szCs w:val="20"/>
          <w:color w:val="auto"/>
        </w:rPr>
      </w:pPr>
      <w:r>
        <w:rPr>
          <w:rFonts w:ascii="Arial" w:cs="Arial" w:eastAsia="Arial" w:hAnsi="Arial"/>
          <w:sz w:val="14"/>
          <w:szCs w:val="14"/>
          <w:b w:val="1"/>
          <w:bCs w:val="1"/>
          <w:color w:val="auto"/>
        </w:rPr>
        <w:t>Three months ended</w:t>
      </w:r>
    </w:p>
    <w:p>
      <w:pPr>
        <w:jc w:val="center"/>
        <w:ind w:left="9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420" w:type="dxa"/>
            <w:vAlign w:val="bottom"/>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9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$ 13,773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$ 18,836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18,597</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(7,569)</w:t>
            </w: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$ 16,808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$ 29,864</w:t>
            </w:r>
          </w:p>
        </w:tc>
        <w:tc>
          <w:tcPr>
            <w:tcW w:w="120" w:type="dxa"/>
            <w:vAlign w:val="bottom"/>
          </w:tcPr>
          <w:p>
            <w:pPr>
              <w:spacing w:after="0"/>
              <w:rPr>
                <w:sz w:val="19"/>
                <w:szCs w:val="19"/>
                <w:color w:val="auto"/>
              </w:rPr>
            </w:pPr>
          </w:p>
        </w:tc>
      </w:tr>
      <w:tr>
        <w:trPr>
          <w:trHeight w:val="20"/>
        </w:trPr>
        <w:tc>
          <w:tcPr>
            <w:tcW w:w="9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(loss) were $4,608 and $21,439, or $4,485 and $18,597 net of taxes, during the three months ended December 31, 2021 and 2020, respectively.</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Of the net unrealized gains related to derivatives designated as cash flow hedges and recorded in accumulated other comprehensive income as of December 31, 2021, a net gain of $7,618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months ended December 31, 2021 and 2020, was not material.</w:t>
      </w:r>
    </w:p>
    <w:p>
      <w:pPr>
        <w:spacing w:after="0" w:line="170"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months ended December 31, 2021 and 2020, respectively, which partially offsets the foreign currency impact from the underlying exposure, is summarized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9"/>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gridSpan w:val="9"/>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$ 1,830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4,252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$ 6,760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3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195,991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center"/>
              <w:ind w:right="2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206,905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160" w:type="dxa"/>
            <w:vAlign w:val="bottom"/>
          </w:tcPr>
          <w:p>
            <w:pPr>
              <w:spacing w:after="0"/>
              <w:rPr>
                <w:sz w:val="18"/>
                <w:szCs w:val="18"/>
                <w:color w:val="auto"/>
              </w:rPr>
            </w:pPr>
          </w:p>
        </w:tc>
        <w:tc>
          <w:tcPr>
            <w:tcW w:w="1040" w:type="dxa"/>
            <w:vAlign w:val="bottom"/>
            <w:gridSpan w:val="3"/>
          </w:tcPr>
          <w:p>
            <w:pPr>
              <w:jc w:val="right"/>
              <w:ind w:right="288"/>
              <w:spacing w:after="0"/>
              <w:rPr>
                <w:sz w:val="20"/>
                <w:szCs w:val="20"/>
                <w:color w:val="auto"/>
              </w:rPr>
            </w:pPr>
            <w:r>
              <w:rPr>
                <w:rFonts w:ascii="Arial" w:cs="Arial" w:eastAsia="Arial" w:hAnsi="Arial"/>
                <w:sz w:val="18"/>
                <w:szCs w:val="18"/>
                <w:color w:val="auto"/>
              </w:rPr>
              <w:t>128,185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125,612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34,393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34,717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1040" w:type="dxa"/>
            <w:vAlign w:val="bottom"/>
            <w:gridSpan w:val="3"/>
          </w:tcPr>
          <w:p>
            <w:pPr>
              <w:jc w:val="right"/>
              <w:ind w:right="288"/>
              <w:spacing w:after="0"/>
              <w:rPr>
                <w:sz w:val="20"/>
                <w:szCs w:val="20"/>
                <w:color w:val="auto"/>
              </w:rPr>
            </w:pPr>
            <w:r>
              <w:rPr>
                <w:rFonts w:ascii="Arial" w:cs="Arial" w:eastAsia="Arial" w:hAnsi="Arial"/>
                <w:sz w:val="18"/>
                <w:szCs w:val="18"/>
                <w:color w:val="auto"/>
              </w:rPr>
              <w:t>44,410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44,956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3,513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176,639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196,832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583,131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612,303</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Three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25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$29,839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$ 86,380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Deferred</w:t>
            </w:r>
          </w:p>
        </w:tc>
        <w:tc>
          <w:tcPr>
            <w:tcW w:w="4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4,143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(25,892)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33,982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$ 60,488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100" w:type="dxa"/>
            <w:vAlign w:val="bottom"/>
            <w:vMerge w:val="restart"/>
          </w:tcPr>
          <w:p>
            <w:pPr>
              <w:jc w:val="right"/>
              <w:ind w:right="2250"/>
              <w:spacing w:after="0"/>
              <w:rPr>
                <w:sz w:val="20"/>
                <w:szCs w:val="20"/>
                <w:color w:val="auto"/>
              </w:rPr>
            </w:pPr>
            <w:r>
              <w:rPr>
                <w:rFonts w:ascii="Arial" w:cs="Arial" w:eastAsia="Arial" w:hAnsi="Arial"/>
                <w:sz w:val="18"/>
                <w:szCs w:val="18"/>
                <w:color w:val="auto"/>
              </w:rPr>
              <w:t>16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Three months ended</w:t>
      </w:r>
    </w:p>
    <w:p>
      <w:pPr>
        <w:jc w:val="center"/>
        <w:ind w:left="6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Foreign taxes (1)</w:t>
            </w: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6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r>
      <w:tr>
        <w:trPr>
          <w:trHeight w:val="27"/>
        </w:trPr>
        <w:tc>
          <w:tcPr>
            <w:tcW w:w="6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0"/>
        </w:trPr>
        <w:tc>
          <w:tcPr>
            <w:tcW w:w="6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20" w:hanging="264"/>
        <w:spacing w:after="0"/>
        <w:tabs>
          <w:tab w:leader="none" w:pos="8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three months ended December 31, 2021:</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Foreign taxes in the three months ended December 31, 2021 included an expense of $3,193 for the estimated additional tax charge as a result of the gain from sale of a business, see also Note 3.</w:t>
      </w:r>
    </w:p>
    <w:p>
      <w:pPr>
        <w:spacing w:after="0" w:line="62" w:lineRule="exact"/>
        <w:rPr>
          <w:sz w:val="20"/>
          <w:szCs w:val="20"/>
          <w:color w:val="auto"/>
        </w:rPr>
      </w:pPr>
    </w:p>
    <w:p>
      <w:pPr>
        <w:ind w:left="560" w:right="180" w:firstLine="423"/>
        <w:spacing w:after="0" w:line="342" w:lineRule="auto"/>
        <w:rPr>
          <w:sz w:val="20"/>
          <w:szCs w:val="20"/>
          <w:color w:val="auto"/>
        </w:rPr>
      </w:pPr>
      <w:r>
        <w:rPr>
          <w:rFonts w:ascii="Arial" w:cs="Arial" w:eastAsia="Arial" w:hAnsi="Arial"/>
          <w:sz w:val="16"/>
          <w:szCs w:val="16"/>
          <w:color w:val="auto"/>
        </w:rPr>
        <w:t>Foreign taxes in the three months ended December 31, 2021 also included a benefit of $3,263 relating to release of gross unrecognized tax benefits due to settlements of tax audits and expiration of the periods set forth in statutes of limitations in certain jurisdictions.</w:t>
      </w:r>
    </w:p>
    <w:p>
      <w:pPr>
        <w:spacing w:after="0" w:line="232" w:lineRule="exact"/>
        <w:rPr>
          <w:sz w:val="20"/>
          <w:szCs w:val="20"/>
          <w:color w:val="auto"/>
        </w:rPr>
      </w:pPr>
    </w:p>
    <w:p>
      <w:pPr>
        <w:ind w:left="820" w:hanging="264"/>
        <w:spacing w:after="0"/>
        <w:tabs>
          <w:tab w:leader="none" w:pos="8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three months ended December 31, 2020:</w:t>
      </w:r>
    </w:p>
    <w:p>
      <w:pPr>
        <w:spacing w:after="0" w:line="117" w:lineRule="exact"/>
        <w:rPr>
          <w:sz w:val="20"/>
          <w:szCs w:val="20"/>
          <w:color w:val="auto"/>
        </w:rPr>
      </w:pPr>
    </w:p>
    <w:p>
      <w:pPr>
        <w:ind w:left="560" w:right="360" w:firstLine="423"/>
        <w:spacing w:after="0" w:line="277" w:lineRule="auto"/>
        <w:rPr>
          <w:sz w:val="20"/>
          <w:szCs w:val="20"/>
          <w:color w:val="auto"/>
        </w:rPr>
      </w:pPr>
      <w:r>
        <w:rPr>
          <w:rFonts w:ascii="Arial" w:cs="Arial" w:eastAsia="Arial" w:hAnsi="Arial"/>
          <w:sz w:val="18"/>
          <w:szCs w:val="18"/>
          <w:color w:val="auto"/>
        </w:rPr>
        <w:t>Foreign taxes in the three months ended December 31, 2020 included an expense of $39,596 for the estimated additional tax charge as a result of the gain from sale of a business, see also Note 3.</w:t>
      </w:r>
    </w:p>
    <w:p>
      <w:pPr>
        <w:spacing w:after="0" w:line="62" w:lineRule="exact"/>
        <w:rPr>
          <w:sz w:val="20"/>
          <w:szCs w:val="20"/>
          <w:color w:val="auto"/>
        </w:rPr>
      </w:pPr>
    </w:p>
    <w:p>
      <w:pPr>
        <w:ind w:left="560" w:right="40" w:firstLine="423"/>
        <w:spacing w:after="0" w:line="263" w:lineRule="auto"/>
        <w:rPr>
          <w:sz w:val="20"/>
          <w:szCs w:val="20"/>
          <w:color w:val="auto"/>
        </w:rPr>
      </w:pPr>
      <w:r>
        <w:rPr>
          <w:rFonts w:ascii="Arial" w:cs="Arial" w:eastAsia="Arial" w:hAnsi="Arial"/>
          <w:sz w:val="18"/>
          <w:szCs w:val="18"/>
          <w:color w:val="auto"/>
        </w:rPr>
        <w:t>Foreign taxes in the three months ended December 31, 2020 also included a benefit of $4,772 relating to release of gross unrecognized tax benefits due to expiration of the periods set forth in statutes of limitations in certain jurisdictions, and changes in facts and circumstances resulting in a change in measurement of certain positions.</w:t>
      </w:r>
    </w:p>
    <w:p>
      <w:pPr>
        <w:spacing w:after="0" w:line="18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As of December 31, 2021, deferred tax assets of $64,929,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$202,038 as of December 31, 2021, all of which would affect the effective tax rate if realized.</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of December 31, 2021, the Company had accrued $26,521 in income taxes payable for interest and penalties relating to unrecognized tax benefits.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133,602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299,632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131,867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131,874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297,058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outstanding—basic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124,502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131,125</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Less-weighted average number of participating restricted shares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shares—basic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122,885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129,995</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shares—diluted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123,687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130,453</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For the three months ended December 31, 2021 and 2020, 26 and 2,954 shares, respectively, on a weighted average basis, were attributable to antidilutive outstanding stock options. Shares attributable to antidilutive outstanding stock options were not included in the calculation of diluted earnings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$1.0 billion of the Company’s outstanding ordinary shares with no expiration date. The May 2021 plan permits the Company to purchase our ordinary shares in the open market or through privately negotiated transactions at times and prices that the Company considers appropriate. In the three months ended December 31, 2021, the Company repurchased 2,314 ordinary shares at an average price of $73.85 per share (excluding broker and transaction fees). As of December 31, 2021, the Company had remaining authority to repurchase up to $827,614 of its outstanding ordinary shares under the May 2021 plan.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December 31, 2021, the Company was in compliance with the financial covenants and had no outstanding borrowings under the Revolving Credit Facility.</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total interest expense recognized in connection with the Senior Notes for the three months ended December 31, 2021 was $4,305. The accrued interest on the Senior Notes is included in accrued expenses and other current liabilities and was immaterial as of December 31, 2021. As of December 31, 2021, the noncurrent outstanding principal portion was $650,000.</w:t>
      </w:r>
    </w:p>
    <w:p>
      <w:pPr>
        <w:spacing w:after="0" w:line="184"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total estimated fair value of the Senior Notes as of December 31, 2021 was $648,317. The fair value was determined based on the closing trading price of Senior Notes as of December 31, 2021 and is deemed a Level 2 liability within the fair value measurement framework.</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December 31, 2021, the Company had additional uncommitted lines of credit available for general corporate and other specific purposes and had outstanding letters of credit and bank guarantees from various banks totaling $76,824.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are issued at or above the market price at the time of grant.</w:t>
      </w:r>
    </w:p>
    <w:p>
      <w:pPr>
        <w:spacing w:after="0" w:line="17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three months ended December 31, 2021, the Company granted 798 restricted shares. The weighted average fair values associated with these grants were $72.60 per restricted share.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equity-based compensation pre-tax expense for the three months ended December 31, 2021 and 2020 was as follows:</w:t>
      </w:r>
    </w:p>
    <w:p>
      <w:pPr>
        <w:spacing w:after="0" w:line="24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832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6,804</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16,741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12,577</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December 31, 2021, there was $79,803 of unrecognized compensation expense related to unvested stock options and unvested restricted shares which is expected to be recognized over a weighted average period of approximately one year, based on the vesting periods of the grants.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780" w:type="dxa"/>
            <w:vAlign w:val="bottom"/>
            <w:vMerge w:val="restart"/>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6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Record Date</w:t>
            </w:r>
          </w:p>
        </w:tc>
        <w:tc>
          <w:tcPr>
            <w:tcW w:w="20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1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2, 2021</w:t>
            </w:r>
          </w:p>
        </w:tc>
        <w:tc>
          <w:tcPr>
            <w:tcW w:w="14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4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December 31, 2021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44,410</w:t>
            </w:r>
          </w:p>
        </w:tc>
        <w:tc>
          <w:tcPr>
            <w:tcW w:w="4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January 28, 2022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November 10, 2020</w:t>
            </w:r>
          </w:p>
        </w:tc>
        <w:tc>
          <w:tcPr>
            <w:tcW w:w="17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0.3275</w:t>
            </w: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December 31, 2020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42,850</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22, 2021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440" w:firstLine="440"/>
        <w:spacing w:after="0" w:line="277" w:lineRule="auto"/>
        <w:rPr>
          <w:sz w:val="20"/>
          <w:szCs w:val="20"/>
          <w:color w:val="auto"/>
        </w:rPr>
      </w:pPr>
      <w:r>
        <w:rPr>
          <w:rFonts w:ascii="Arial" w:cs="Arial" w:eastAsia="Arial" w:hAnsi="Arial"/>
          <w:sz w:val="18"/>
          <w:szCs w:val="18"/>
          <w:color w:val="auto"/>
        </w:rPr>
        <w:t>The amounts payable as a result of the November 2, 2021 and November 10, 2020 declarations were included in accrued expenses and other current liabilities as of December 31, 2021 and 2020, respectively.</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1, 2022 the Company’s Board of Directors approved the next quarterly dividend payment and set March 31, 2022 as the record date for determining the shareholders entitled to receive the dividend, which is payable on April 29, 2022. On January 28, 2022, at the annual general meeting of shareholders, the Company’s shareholders approved an increase in the rate of the quarterly cash dividend from $0.36 per share to $0.395 per share. As a result, the April 29, 2022 cash dividend will be paid at the increased rate of $0.395 per share.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our ability to derive revenues in the future from our current research and development efforts;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and other risks including the COVID-19 risk, please read the information set forth under the caption “Risk Factors” in our Annual Report on Form 20-F for fiscal year 2021, filed on December 9, 2021 with the U.S. Securities and Exchange Commission.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and help them modernize, automate and digitize their business in the cloud.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offerings, grouped by technology capabilities such as commerce and care, catalog management, monetization, subscription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consulting, delivery, quality engineering, operations, systems integration, mobile network services, experience design and content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three months ended December 31, 2021, customers in North America accounted for 67.5% of our revenue, while customers in Europe and the rest of the world accounted for 12.9% and 19.6%,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Our results of operations are affected by general economic conditions and the level of economic activity in the industries and markets that we serve. The current COVID-19 pandemic, including its novel strains, has increased that level of volatility and uncertainty globally and has created economic disruption. While the extent of the impact of the COVID-19 pandemic on our business remains uncertain and the rate and pace of recovery has differed by geography and industry, we are currently performing on our obligations while implementing some modifications, including, among others, travel restrictions and moving our employees to work from home or hybrid home-office arrangements where permissible, while prioritizing the well-being of our employees. Despite operating under the pandemic global restrictions, we are able to continue to seamlessly operate our customers’ mission-critical systems without interruption.</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as a result of the business disruption caused by the COVID-19 pandemic, we cannot predict all possible scenarios and our outlook maybe impacted materially as our customers continue to evaluate their strategic business priorities and future pace of investments. We are actively monitoring the pandemic and managing our business to respond to the impact of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$659.7 million and $623.7 million in the three months ended December 31, 2021 and 2020,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for the three months ended December 31, 2021 and 2020, certain items in our consolidated statements of income reflected as a percentage of revenue (figures may not sum because of rounding):</w:t>
      </w:r>
    </w:p>
    <w:p>
      <w:pPr>
        <w:spacing w:after="0" w:line="189"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Three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5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64.9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7.4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7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Income taxes</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100"/>
              <w:spacing w:after="0"/>
              <w:rPr>
                <w:sz w:val="20"/>
                <w:szCs w:val="20"/>
                <w:color w:val="auto"/>
              </w:rPr>
            </w:pPr>
            <w:r>
              <w:rPr>
                <w:rFonts w:ascii="Arial" w:cs="Arial" w:eastAsia="Arial" w:hAnsi="Arial"/>
                <w:sz w:val="18"/>
                <w:szCs w:val="18"/>
                <w:color w:val="auto"/>
              </w:rPr>
              <w:t>24</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59" w:right="7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December 31, 2021 and 2020</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2021 compared to the three months ended December 31, 2020. Following the table is a discussion and analysis of our business and results of operations for such periods.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6"/>
              </w:rPr>
              <w:t>(Decrease) Increase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2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1,104,632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1,086,343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18,289</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716,718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728,716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(11,998)</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81,945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75,669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6,276</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6,188</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19,870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(2,123)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4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3,928</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226,410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(216,410)</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360,120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(192,536)</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taxes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60,488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(26,506)</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299,632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(166,031)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increased by $18.3 million, or 1.7%, to $1,104.6 million in the three months ended December 31, 2021, from $1,086.3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three months ended December 31, 2020. The increase in revenue was attributable to an increase in managed services arrangements and transformation activities in North America and was partially offset by a decrease in revenue as a result of the divestiture of OpenMarket completed during the three months ended December 31, 2020. Revenue for the three months ended December 31, 2021, increased by 2.0% compared to the three months ended December 31, 2020, excluding approximately 0.3% negative foreign exchange fluctuations impact.</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the three months ended December 31, 2021, revenue from customers in North America, Europe and the rest of the world accounted for 67.5%, 12.9% and 19.6%, respectively, of total revenue, compared to 64.8%, 15.8% and 19.4%, respectively, the three months ended December 31, 2020. The increase in revenue from customers in North America was primarily attributable to higher revenue from managed services arrangements from key customers in North America which was partially offset by the divestiture of OpenMarket completed on December 31, 2020.</w:t>
      </w:r>
    </w:p>
    <w:p>
      <w:pPr>
        <w:spacing w:after="0" w:line="15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Revenue from customers in Europe decreased during the three months ended December 31, 2021, primarily as a result of the divestiture of OpenMarket completed on December 31, 2020, as well as the impact of negative foreign exchange fluctuation.</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Revenue from customers in the rest of the world in Asia-Pacific increased in the three months ended December 31, 2021. The increase was attributable to wide number of existing and new customers and activities within this region partially offset by the activities in other regions within the rest of the world.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decreased by $12.0 million, or 1.6%,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$716.7 million in the three months ended December 31, 2021, from $728.7 million in the three months ended December 31, 2020. The Cost of revenue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a percentage of revenue, decreased to 64.9% in the three months ended December 31, 2021, from 67.1% in in the three months ended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This decrease in cost of revenue as a percentage of revenue was attributable to operational excellence initiatives through automation and new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methodologies, the divestiture of OpenMarket completed on December 31, 2020, as OpenMarket’s cost of revenue as a percentage of revenue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higher than the Company average and the impact of changes of certain acquisition-related liabilities measured at fair value recognized in the three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months ended December 31, 2021 and December 31, 2020. Our Cost of Revenue decrease was partially offset by negative foreign exchange impacts.</w:t>
      </w:r>
    </w:p>
    <w:p>
      <w:pPr>
        <w:spacing w:after="0" w:line="23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is primarily comprised of compensation expense. Research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increased by $6.3 million, or 8.3%, to $81.9 million in the three months ended December 31, 2021, from $75.7 million in the three months ended December 31, 2020. Research and development expense increased as a percentage of revenue from 7.0% in the three months ended December 31, 2020, to 7.4% in the three months ended December 31, 2021, as we accelerated our investment in our cloud offerings, 5G and network related innovation and further developing our digital offerings. Our research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84" w:lineRule="exact"/>
        <w:rPr>
          <w:sz w:val="20"/>
          <w:szCs w:val="20"/>
          <w:color w:val="auto"/>
        </w:rPr>
      </w:pPr>
    </w:p>
    <w:p>
      <w:pPr>
        <w:ind w:left="120" w:right="280" w:firstLine="440"/>
        <w:spacing w:after="0" w:line="254"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$6.2 million, or 5.1%, to $128.1 million in the three months ended December 31, 2021, from $121.9 million in the three months ended December 31, 2020. Selling, general and administrative expense increased as a percentage of revenue from 11.2% in the three months ended December 31, 2020, to 11.6% in the three months ended December 31, 2021. The increase was primarily attributable to sales and marketing efforts, which were partially offset by decrease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95"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purchased intangible assets and other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2021, decreased by $2.1 million, or 10.7% to $17.7 million from $19.9 million in the three months ended December 31, 2020. The decrease in amortization of purchased intangible assets and other was primarily attributable to a completion of amortization of previously purchased intangible assets, partially offset by an increase in amortization of intangible assets due to recently completed acquisitions.</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$19.9 million, or 14.2%, in the three months ended December 31, 2021, to $160.1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14.5% of revenue, from $140.2 million, or 12.9% of revenue, in the three months ended December 31, 2020. The increase in operating income was attributable primarily to the increase in operational excellence initiatives, the divestiture of OpenMarket completed on December 31, 2020 as well as to changes in certain acquisition-related liabilities measured at fair value, partially offset by increase in research and development expense and increase in selling, general and administrative expense. Our operating income was negatively affected by foreign exchange impacts.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expense of $6.5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to a net expense of $2.6 million in the three months ended December 31, 2021. The decrease in interest and other expense, net, was primarily attributable to changes of minority equity investments measured at fair value in the three months ended in December 2021, partially offset by foreign exchange impacts.</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Gain from sale of a business. </w:t>
      </w:r>
      <w:r>
        <w:rPr>
          <w:rFonts w:ascii="Arial" w:cs="Arial" w:eastAsia="Arial" w:hAnsi="Arial"/>
          <w:sz w:val="16"/>
          <w:szCs w:val="16"/>
          <w:color w:val="auto"/>
        </w:rPr>
        <w:t>Gain from sale of a business, in the three months ended December 31, 2021, decreased by $216.4 million, or 95.6%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$10.0 million from $226.4 million in the three months ended December 31, 2020. Please see Note 3 to our consolidated financial statements.</w:t>
      </w:r>
    </w:p>
    <w:p>
      <w:pPr>
        <w:spacing w:after="0" w:line="124"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three months ended December 31, 2021 were $34.0 million on pre-tax income of $167.6 million, resulting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effective tax rate of 20.3%, compared to 16.8% in the three months ended December 31, 2020. Our effective tax rate may fluctuate between periods as a result of discrete items that may affect a particular period. Please see Note 9 to our consolidated financial statements.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 Net income decreased by $166.0 million, or 55.4%, to $133.6 million in the three months ended December 31, 2021, from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$299.6 million in the three months ended December 31, 2020. The decrease in net income was primarily attributable to the gain from sale of a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of tax, which was recorded in the three months ended December 31, 2020.</w:t>
      </w:r>
    </w:p>
    <w:p>
      <w:pPr>
        <w:spacing w:after="0" w:line="21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Diluted Earnings Per Share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Diluted earnings per share decreased by $1.21, or 53.1%, to $1.07 in the three months ended December 31,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$2.28 in the three months ended December 31, 2020. The decrease in diluted earnings per share was primarily attributable to the gain from sale of a business, net of tax, which increased the diluted earnings per share by $0.06 and $1.42 for the three months ended December 31, 2021 and 2020, respectively. The decrease was partially offset by the decrease in the diluted weighted average number of shares outstanding, which resulted from share repurchases. Please see also Note 10 to our consolidated financial statements.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$868.8 million as of December 31, 2021, compared to $965.6 million as of September 30, 2021. The decrease was mainly attributable to $170.9 million repurchase of our ordinary shares pursuant to our repurchase program, $57.2 million for capital expenditures, net, $45.0 million of cash dividend payment, $23.9 million payments for business acquisitions, partially offset by $204.1 million positive cash flow from operating activities, reflecting healthy cash collections, and $6.0 million of proceeds from stock option exercises. Net cash provided by operating activities amounted to $204.1 million and $416.5 million in the three months ended December 31, 2021 and 2020, respectively.</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free cash flow for the three months ended December 31, 2021 was $146.9 million and is calculated as net cash provided by operating activities of $204.1 million for the period less $57.2 million for capital expenditures, net (which included capital expenditures of $29.3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twelve months.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and U.S government securities, which are stated at market value. We believe we have conservative investment policy guidelines. Our interest-bearing investments are stated at fair value with the unrealized gains or losses reported as a separate component of accumulated other comprehensive income,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2021 and 2020, we did not recognize any credit losses. Please see Notes 5 and 6 to the consolidated financial statements.</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December 31, 2021, we were in compliance with the financial covenants and had no outstanding borrowing under the Revolving Credit Facility.</w:t>
      </w:r>
    </w:p>
    <w:p>
      <w:pPr>
        <w:spacing w:after="0" w:line="15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December 31, 2021, the noncurrent outstanding principal portion was $650.0 million, please see Note 12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December 31, 2021, we had additional uncommitted lines of credit available for general corporate and other specific purposes and had outstanding letters of credit and bank guarantees from various banks totaling $76.8 million. These were supported by a combination of the uncommitted lines of credit that we maintain with various banks.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contractual obligations for Long-term and Short-term debt and accrued interests,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2021, filed on December 9, 2021 with the SEC. Since September 30, 2021, there have been no material changes in our aggregate contractual obligations mentioned above.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(excluding the investment in our new campus in Israel) consist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purchases of computer equipment, and the remainder is attributable mainly to leasehold improvements. Our capital expenditures were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$57.2 million in the three months ended December 31, 2021 and were mainly attributable to investments in our operating facilities and our development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centers around the world (including the investment in our new campus in Israel).</w:t>
      </w:r>
    </w:p>
    <w:p>
      <w:pPr>
        <w:spacing w:after="0" w:line="21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total net investment we expect to make in connection with the construction of the new campus is estimated to be up to $350 million over a period of five years, starting with fiscal year 2018, out of which approximately $96 million was incurred in fiscal year 2018 by both us and our partner Union at equal portions (i.e. our net investment was approximately $48 million), $7 million was incurred by us in fiscal year 2019 (which is net of proceed of $9.7 million relating to the refund of betterment levy), $63 million was incurred by us in fiscal year 2020 and $101 million was incurred by us in fiscal year 2021. We expect to incur approximately $131 million in fiscal year 2022 and complete and start occupying our campus during the later part of fiscal year 2022.</w:t>
      </w:r>
    </w:p>
    <w:p>
      <w:pPr>
        <w:spacing w:after="0" w:line="19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May 12, 2021, our Board of Directors adopted a share repurchase plan authorizing the repurchase of up to $1.0 billion of our outstanding ordinary shares with no expiration date. During the three months ended December 31, 2021, we repurchased approximately 2.3 million ordinary shares at an average price of $73.85 per share (excluding broker and transaction fees). The May 2021 plan permits us to purchase our ordinary shares in the open market or through privately negotiated transactions at times and prices that we consider appropriate. As of December 31, 2021, we had remaining authority to repurchase up to $827.6 million of our outstanding ordinary shares under the May 2021 plan.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68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Dividends Per</w:t>
            </w:r>
          </w:p>
        </w:tc>
        <w:tc>
          <w:tcPr>
            <w:tcW w:w="17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2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Ordinary Share</w:t>
            </w:r>
          </w:p>
        </w:tc>
        <w:tc>
          <w:tcPr>
            <w:tcW w:w="1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89"/>
              </w:rPr>
              <w:t>in millions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2, 2021</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4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December 31, 2021</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44.4</w:t>
            </w:r>
          </w:p>
        </w:tc>
        <w:tc>
          <w:tcPr>
            <w:tcW w:w="4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January 28, 2022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November 10, 2020</w:t>
            </w:r>
          </w:p>
        </w:tc>
        <w:tc>
          <w:tcPr>
            <w:tcW w:w="1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0.3275</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December 31, 2020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42.9</w:t>
            </w: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0"/>
              </w:rPr>
              <w:t>January 22, 2021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1, 2022, our Board of Directors approved the next quarterly dividend payment and set March 31, 2022 as the record date for determining the shareholders entitled to receive the dividend, which is payable on April 29, 2022. On January 28, 2022, at the annual general meeting of shareholders, our shareholders approved an increase in the rate of the quarterly cash dividend from $0.36 per share to $0.395 per share. As a result, the April 29, 2022 cash dividend will be paid at the increased rate of $0.395.</w:t>
      </w:r>
    </w:p>
    <w:p>
      <w:pPr>
        <w:spacing w:after="0" w:line="18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the three months ended December 31, 2021 and 2020,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2021 of equity securities that are registered by us pursuant to Section 12 of the Exchange Act: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28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2"/>
              </w:rPr>
              <w:t>Average Price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460" w:type="dxa"/>
            <w:vAlign w:val="bottom"/>
            <w:gridSpan w:val="2"/>
            <w:vMerge w:val="restart"/>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104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Purchased</w:t>
            </w:r>
          </w:p>
        </w:tc>
        <w:tc>
          <w:tcPr>
            <w:tcW w:w="560" w:type="dxa"/>
            <w:vAlign w:val="bottom"/>
          </w:tcPr>
          <w:p>
            <w:pPr>
              <w:spacing w:after="0"/>
              <w:rPr>
                <w:sz w:val="15"/>
                <w:szCs w:val="15"/>
                <w:color w:val="auto"/>
              </w:rPr>
            </w:pPr>
          </w:p>
        </w:tc>
        <w:tc>
          <w:tcPr>
            <w:tcW w:w="17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Paid per Share (1)</w:t>
            </w:r>
          </w:p>
        </w:tc>
        <w:tc>
          <w:tcPr>
            <w:tcW w:w="14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or Programs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10/01/20-10/31/21</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253,895</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78.76</w:t>
            </w:r>
          </w:p>
        </w:tc>
        <w:tc>
          <w:tcPr>
            <w:tcW w:w="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253,895</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978,487,277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11/01/20-11/30/21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696,974</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74.39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696,974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926,641,991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12/01/20-12/31/21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1,362,930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72.66</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1,362,930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827,614,145</w:t>
            </w:r>
          </w:p>
        </w:tc>
        <w:tc>
          <w:tcPr>
            <w:tcW w:w="0" w:type="dxa"/>
            <w:vAlign w:val="bottom"/>
          </w:tcPr>
          <w:p>
            <w:pPr>
              <w:spacing w:after="0"/>
              <w:rPr>
                <w:sz w:val="1"/>
                <w:szCs w:val="1"/>
                <w:color w:val="auto"/>
              </w:rPr>
            </w:pPr>
          </w:p>
        </w:tc>
      </w:tr>
      <w:tr>
        <w:trPr>
          <w:trHeight w:val="223"/>
        </w:trPr>
        <w:tc>
          <w:tcPr>
            <w:tcW w:w="432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2,313,799</w:t>
            </w:r>
          </w:p>
        </w:tc>
        <w:tc>
          <w:tcPr>
            <w:tcW w:w="20" w:type="dxa"/>
            <w:vAlign w:val="bottom"/>
            <w:tcBorders>
              <w:bottom w:val="single" w:sz="8" w:color="auto"/>
            </w:tcBorders>
          </w:tcPr>
          <w:p>
            <w:pPr>
              <w:spacing w:after="0"/>
              <w:rPr>
                <w:sz w:val="19"/>
                <w:szCs w:val="19"/>
                <w:color w:val="auto"/>
              </w:rPr>
            </w:pP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73.85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2,313,799</w:t>
            </w:r>
          </w:p>
        </w:tc>
        <w:tc>
          <w:tcPr>
            <w:tcW w:w="30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827,614,145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right="240" w:hanging="424"/>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12, 2021, our Board of Directors adopted a share repurchase plan for the repurchase of up to $1.0 billion of our outstanding ordinary shares. The authorizations have no expiration date and permit us to purchase our ordinary shares in open market or privately negotiated transactions at times and prices we consider appropriate.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2021:</w:t>
      </w:r>
    </w:p>
    <w:p>
      <w:pPr>
        <w:spacing w:after="0" w:line="117" w:lineRule="exact"/>
        <w:rPr>
          <w:sz w:val="20"/>
          <w:szCs w:val="20"/>
          <w:color w:val="auto"/>
        </w:rPr>
      </w:pPr>
    </w:p>
    <w:p>
      <w:pPr>
        <w:ind w:left="820" w:hanging="2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6-K dated November 3, 2021</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6-K dated November 5, 2021</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6-K dated December 22, 2021</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320" w:top="459" w:right="6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February 14, 2022</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sectPr>
      <w:pgSz w:w="11900" w:h="16838" w:orient="portrait"/>
      <w:cols w:equalWidth="0" w:num="1">
        <w:col w:w="10820"/>
      </w:cols>
      <w:pgMar w:left="320" w:top="45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2022-02-14T15:14:34Z</dcterms:created>
  <dcterms:modified xsi:type="dcterms:W3CDTF">2022-02-14T15:14:34Z</dcterms:modified>
</cp:coreProperties>
</file>