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7</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3915410</wp:posOffset>
            </wp:positionH>
            <wp:positionV relativeFrom="paragraph">
              <wp:posOffset>-12065</wp:posOffset>
            </wp:positionV>
            <wp:extent cx="342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Amdocs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G02602103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-123825</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25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THORNBURG INVESTMENT MANAGEMENT INC</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85-0301299</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ind w:left="240"/>
        <w:spacing w:after="0" w:line="217" w:lineRule="auto"/>
        <w:tabs>
          <w:tab w:leader="none" w:pos="740" w:val="left"/>
        </w:tabs>
        <w:rPr>
          <w:sz w:val="20"/>
          <w:szCs w:val="20"/>
          <w:color w:val="auto"/>
        </w:rPr>
      </w:pPr>
      <w:r>
        <w:rPr>
          <w:rFonts w:ascii="Arial" w:cs="Arial" w:eastAsia="Arial" w:hAnsi="Arial"/>
          <w:sz w:val="32"/>
          <w:szCs w:val="32"/>
          <w:b w:val="1"/>
          <w:bCs w:val="1"/>
          <w:color w:val="auto"/>
        </w:rPr>
        <w:t>4</w:t>
      </w:r>
      <w:r>
        <w:rPr>
          <w:sz w:val="20"/>
          <w:szCs w:val="20"/>
          <w:color w:val="auto"/>
        </w:rPr>
        <w:tab/>
      </w:r>
      <w:r>
        <w:rPr>
          <w:rFonts w:ascii="Arial" w:cs="Arial" w:eastAsia="Arial" w:hAnsi="Arial"/>
          <w:sz w:val="18"/>
          <w:szCs w:val="18"/>
          <w:color w:val="auto"/>
        </w:rPr>
        <w:t>USA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5,668,812</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5,668,812</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5,668,812</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3.29%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right="8800" w:hanging="644"/>
        <w:spacing w:after="0" w:line="34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Amdocs Ltd</w:t>
      </w:r>
    </w:p>
    <w:p>
      <w:pPr>
        <w:spacing w:after="0" w:line="150" w:lineRule="exact"/>
        <w:rPr>
          <w:rFonts w:ascii="Arial" w:cs="Arial" w:eastAsia="Arial" w:hAnsi="Arial"/>
          <w:sz w:val="16"/>
          <w:szCs w:val="16"/>
          <w:color w:val="auto"/>
        </w:rPr>
      </w:pPr>
    </w:p>
    <w:p>
      <w:pPr>
        <w:ind w:left="1300" w:right="6480" w:hanging="644"/>
        <w:spacing w:after="0" w:line="291"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Suite 5, Tower Hill House Le Bordage</w:t>
      </w:r>
    </w:p>
    <w:p>
      <w:pPr>
        <w:ind w:left="1300" w:right="8520"/>
        <w:spacing w:after="0" w:line="323" w:lineRule="auto"/>
        <w:rPr>
          <w:rFonts w:ascii="Arial" w:cs="Arial" w:eastAsia="Arial" w:hAnsi="Arial"/>
          <w:sz w:val="16"/>
          <w:szCs w:val="16"/>
          <w:color w:val="auto"/>
        </w:rPr>
      </w:pPr>
      <w:r>
        <w:rPr>
          <w:rFonts w:ascii="Arial" w:cs="Arial" w:eastAsia="Arial" w:hAnsi="Arial"/>
          <w:sz w:val="16"/>
          <w:szCs w:val="16"/>
          <w:color w:val="auto"/>
        </w:rPr>
        <w:t>St Peter Port Island of Guernsey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Thornburg Investment Management Inc</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2300 North Ridgetop Road</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Santa Fe New Mexico 87506</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5,668,812</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3.29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5,668,812</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5,668,812</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Thornburg Investment Management Inc.</w:t>
      </w:r>
    </w:p>
    <w:p>
      <w:pPr>
        <w:sectPr>
          <w:pgSz w:w="11900" w:h="16838" w:orient="portrait"/>
          <w:cols w:equalWidth="0" w:num="1">
            <w:col w:w="11260"/>
          </w:cols>
          <w:pgMar w:left="240" w:top="756" w:right="3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03, 2012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Sophia Franco-Marquez</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Sophia Franco-Marquez</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Compliance Specialist</w:t>
      </w:r>
    </w:p>
    <w:p>
      <w:pPr>
        <w:spacing w:after="0" w:line="200" w:lineRule="exact"/>
        <w:rPr>
          <w:sz w:val="20"/>
          <w:szCs w:val="20"/>
          <w:color w:val="auto"/>
        </w:rPr>
      </w:pPr>
    </w:p>
    <w:p>
      <w:pPr>
        <w:sectPr>
          <w:pgSz w:w="11900" w:h="16838" w:orient="portrait"/>
          <w:cols w:equalWidth="0" w:num="2">
            <w:col w:w="5000" w:space="720"/>
            <w:col w:w="5540"/>
          </w:cols>
          <w:pgMar w:left="24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260"/>
      </w:cols>
      <w:pgMar w:left="24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x"/>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9"/>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2019-12-09T12:36:25Z</dcterms:created>
  <dcterms:modified xsi:type="dcterms:W3CDTF">2019-12-09T12:36:25Z</dcterms:modified>
</cp:coreProperties>
</file>