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INFORMATION TO BE INCLUDED IN STATEMENTS FILES PURSUANT TO RULES 13d-1(b)(c), AND (d) AND AMENDMENTS THERETO FILED PURSUANT TO RULE 13d-2(b)</w:t>
      </w: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3)1</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160" w:hanging="204"/>
        <w:spacing w:after="0"/>
        <w:tabs>
          <w:tab w:leader="none" w:pos="11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4" w:lineRule="exact"/>
        <w:rPr>
          <w:rFonts w:ascii="Courier New" w:cs="Courier New" w:eastAsia="Courier New" w:hAnsi="Courier New"/>
          <w:sz w:val="18"/>
          <w:szCs w:val="18"/>
          <w:color w:val="auto"/>
        </w:rPr>
      </w:pPr>
    </w:p>
    <w:p>
      <w:pPr>
        <w:jc w:val="both"/>
        <w:ind w:left="960" w:right="7479" w:hanging="4"/>
        <w:spacing w:after="0" w:line="290" w:lineRule="auto"/>
        <w:tabs>
          <w:tab w:leader="none" w:pos="117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2 of 7 Pages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3779" w:hanging="539"/>
        <w:spacing w:after="0" w:line="236" w:lineRule="auto"/>
        <w:tabs>
          <w:tab w:leader="none" w:pos="5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 Welsh, Carson, I.R.S. Identification Anderson &amp; Stowe No. of Above Person VII, L.P.</w:t>
      </w:r>
    </w:p>
    <w:p>
      <w:pPr>
        <w:spacing w:after="0" w:line="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(Entities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jc w:val="both"/>
        <w:ind w:left="540" w:right="4199" w:hanging="53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540" w:right="461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ind w:left="900"/>
              <w:spacing w:after="0"/>
              <w:rPr>
                <w:sz w:val="20"/>
                <w:szCs w:val="20"/>
                <w:color w:val="auto"/>
              </w:rPr>
            </w:pPr>
            <w:r>
              <w:rPr>
                <w:rFonts w:ascii="Courier New" w:cs="Courier New" w:eastAsia="Courier New" w:hAnsi="Courier New"/>
                <w:sz w:val="18"/>
                <w:szCs w:val="18"/>
                <w:color w:val="auto"/>
              </w:rPr>
              <w:t>5)</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Sole Voting</w:t>
            </w:r>
          </w:p>
        </w:tc>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5,527,054 Ordinary</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260" w:type="dxa"/>
            <w:vAlign w:val="bottom"/>
          </w:tcPr>
          <w:p>
            <w:pPr>
              <w:spacing w:after="0"/>
              <w:rPr>
                <w:sz w:val="17"/>
                <w:szCs w:val="17"/>
                <w:color w:val="auto"/>
              </w:rPr>
            </w:pP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Power</w:t>
            </w:r>
          </w:p>
        </w:tc>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5540" w:type="dxa"/>
            <w:vAlign w:val="bottom"/>
            <w:gridSpan w:val="3"/>
          </w:tcPr>
          <w:p>
            <w:pPr>
              <w:ind w:left="9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900" w:type="dxa"/>
            <w:vAlign w:val="bottom"/>
          </w:tcPr>
          <w:p>
            <w:pPr>
              <w:spacing w:after="0"/>
              <w:rPr>
                <w:sz w:val="17"/>
                <w:szCs w:val="17"/>
                <w:color w:val="auto"/>
              </w:rPr>
            </w:pPr>
          </w:p>
        </w:tc>
        <w:tc>
          <w:tcPr>
            <w:tcW w:w="1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w:t>
            </w:r>
          </w:p>
        </w:tc>
        <w:tc>
          <w:tcPr>
            <w:tcW w:w="25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Power</w:t>
            </w:r>
          </w:p>
        </w:tc>
        <w:tc>
          <w:tcPr>
            <w:tcW w:w="2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rPr>
                <w:sz w:val="17"/>
                <w:szCs w:val="17"/>
                <w:color w:val="auto"/>
              </w:rPr>
            </w:pPr>
          </w:p>
        </w:tc>
        <w:tc>
          <w:tcPr>
            <w:tcW w:w="5540" w:type="dxa"/>
            <w:vAlign w:val="bottom"/>
            <w:gridSpan w:val="3"/>
          </w:tcPr>
          <w:p>
            <w:pPr>
              <w:ind w:left="9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900" w:type="dxa"/>
            <w:vAlign w:val="bottom"/>
          </w:tcPr>
          <w:p>
            <w:pPr>
              <w:spacing w:after="0"/>
              <w:rPr>
                <w:sz w:val="17"/>
                <w:szCs w:val="17"/>
                <w:color w:val="auto"/>
              </w:rPr>
            </w:pPr>
          </w:p>
        </w:tc>
        <w:tc>
          <w:tcPr>
            <w:tcW w:w="1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7)</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w:t>
            </w:r>
          </w:p>
        </w:tc>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5,527,054 Ordinary</w:t>
            </w:r>
          </w:p>
        </w:tc>
      </w:tr>
      <w:tr>
        <w:trPr>
          <w:trHeight w:val="203"/>
        </w:trPr>
        <w:tc>
          <w:tcPr>
            <w:tcW w:w="2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tive Power</w:t>
            </w:r>
          </w:p>
        </w:tc>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900" w:type="dxa"/>
            <w:vAlign w:val="bottom"/>
          </w:tcPr>
          <w:p>
            <w:pPr>
              <w:spacing w:after="0"/>
              <w:rPr>
                <w:sz w:val="17"/>
                <w:szCs w:val="17"/>
                <w:color w:val="auto"/>
              </w:rPr>
            </w:pPr>
          </w:p>
        </w:tc>
        <w:tc>
          <w:tcPr>
            <w:tcW w:w="5540" w:type="dxa"/>
            <w:vAlign w:val="bottom"/>
            <w:gridSpan w:val="3"/>
          </w:tcPr>
          <w:p>
            <w:pPr>
              <w:ind w:left="9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900" w:type="dxa"/>
            <w:vAlign w:val="bottom"/>
          </w:tcPr>
          <w:p>
            <w:pPr>
              <w:spacing w:after="0"/>
              <w:rPr>
                <w:sz w:val="17"/>
                <w:szCs w:val="17"/>
                <w:color w:val="auto"/>
              </w:rPr>
            </w:pPr>
          </w:p>
        </w:tc>
        <w:tc>
          <w:tcPr>
            <w:tcW w:w="1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8)</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w:t>
            </w:r>
          </w:p>
        </w:tc>
        <w:tc>
          <w:tcPr>
            <w:tcW w:w="2540" w:type="dxa"/>
            <w:vAlign w:val="bottom"/>
          </w:tcPr>
          <w:p>
            <w:pPr>
              <w:spacing w:after="0"/>
              <w:rPr>
                <w:sz w:val="17"/>
                <w:szCs w:val="17"/>
                <w:color w:val="auto"/>
              </w:rPr>
            </w:pPr>
          </w:p>
        </w:tc>
      </w:tr>
    </w:tbl>
    <w:p>
      <w:pPr>
        <w:sectPr>
          <w:pgSz w:w="11900" w:h="16838" w:orient="portrait"/>
          <w:cols w:equalWidth="0" w:num="1">
            <w:col w:w="10219"/>
          </w:cols>
          <w:pgMar w:left="240" w:top="244" w:right="1440" w:bottom="0" w:gutter="0" w:footer="0" w:header="0"/>
        </w:sectPr>
      </w:pPr>
    </w:p>
    <w:bookmarkStart w:id="1" w:name="page2"/>
    <w:bookmarkEnd w:id="1"/>
    <w:p>
      <w:pPr>
        <w:ind w:left="4320"/>
        <w:spacing w:after="0"/>
        <w:tabs>
          <w:tab w:leader="none" w:pos="6520" w:val="left"/>
        </w:tabs>
        <w:rPr>
          <w:sz w:val="20"/>
          <w:szCs w:val="20"/>
          <w:color w:val="auto"/>
        </w:rPr>
      </w:pPr>
      <w:r>
        <w:rPr>
          <w:rFonts w:ascii="Courier New" w:cs="Courier New" w:eastAsia="Courier New" w:hAnsi="Courier New"/>
          <w:sz w:val="18"/>
          <w:szCs w:val="18"/>
          <w:color w:val="auto"/>
        </w:rPr>
        <w:t>positive Power</w:t>
      </w:r>
      <w:r>
        <w:rPr>
          <w:sz w:val="20"/>
          <w:szCs w:val="20"/>
          <w:color w:val="auto"/>
        </w:rPr>
        <w:tab/>
      </w:r>
      <w:r>
        <w:rPr>
          <w:rFonts w:ascii="Courier New" w:cs="Courier New" w:eastAsia="Courier New" w:hAnsi="Courier New"/>
          <w:sz w:val="16"/>
          <w:szCs w:val="16"/>
          <w:color w:val="auto"/>
        </w:rPr>
        <w:t>-0-</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520" w:val="left"/>
          <w:tab w:leader="none" w:pos="61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Aggregate Amount Beneficially</w:t>
      </w:r>
      <w:r>
        <w:rPr>
          <w:sz w:val="20"/>
          <w:szCs w:val="20"/>
          <w:color w:val="auto"/>
        </w:rPr>
        <w:tab/>
      </w:r>
      <w:r>
        <w:rPr>
          <w:rFonts w:ascii="Courier New" w:cs="Courier New" w:eastAsia="Courier New" w:hAnsi="Courier New"/>
          <w:sz w:val="16"/>
          <w:szCs w:val="16"/>
          <w:color w:val="auto"/>
        </w:rPr>
        <w:t>5,527,054 Ordinary</w:t>
      </w:r>
    </w:p>
    <w:p>
      <w:pPr>
        <w:ind w:left="540"/>
        <w:spacing w:after="0"/>
        <w:tabs>
          <w:tab w:leader="none" w:pos="610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rPr>
          <w:sz w:val="20"/>
          <w:szCs w:val="20"/>
          <w:color w:val="auto"/>
        </w:rPr>
      </w:pPr>
      <w:r>
        <w:rPr>
          <w:rFonts w:ascii="Courier New" w:cs="Courier New" w:eastAsia="Courier New" w:hAnsi="Courier New"/>
          <w:sz w:val="18"/>
          <w:szCs w:val="18"/>
          <w:color w:val="auto"/>
        </w:rPr>
        <w:t>Excludes Certain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2520" w:type="dxa"/>
            <w:vAlign w:val="bottom"/>
          </w:tcPr>
          <w:p>
            <w:pPr>
              <w:spacing w:after="0"/>
              <w:rPr>
                <w:sz w:val="17"/>
                <w:szCs w:val="17"/>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25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Type of Reporting</w:t>
      </w:r>
    </w:p>
    <w:p>
      <w:pPr>
        <w:ind w:left="540"/>
        <w:spacing w:after="0" w:line="238" w:lineRule="auto"/>
        <w:tabs>
          <w:tab w:leader="none" w:pos="61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419" w:hanging="539"/>
        <w:spacing w:after="0"/>
        <w:tabs>
          <w:tab w:leader="none" w:pos="5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 Welsh, Carson, I.R.S. Identification Anderson &amp; Stowe No. of Above Person VI, L.P. (Entities Only)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jc w:val="both"/>
        <w:ind w:left="540" w:right="2519" w:hanging="53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325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1800" w:type="dxa"/>
            <w:vAlign w:val="bottom"/>
          </w:tcPr>
          <w:p>
            <w:pPr>
              <w:ind w:left="160"/>
              <w:spacing w:after="0"/>
              <w:rPr>
                <w:sz w:val="20"/>
                <w:szCs w:val="20"/>
                <w:color w:val="auto"/>
              </w:rPr>
            </w:pPr>
            <w:r>
              <w:rPr>
                <w:rFonts w:ascii="Courier New" w:cs="Courier New" w:eastAsia="Courier New" w:hAnsi="Courier New"/>
                <w:sz w:val="18"/>
                <w:szCs w:val="18"/>
                <w:color w:val="auto"/>
              </w:rPr>
              <w:t>Sole Voting</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w w:val="94"/>
              </w:rPr>
              <w:t>1,614,792</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Ordinary</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420" w:type="dxa"/>
            <w:vAlign w:val="bottom"/>
          </w:tcPr>
          <w:p>
            <w:pPr>
              <w:spacing w:after="0"/>
              <w:rPr>
                <w:sz w:val="17"/>
                <w:szCs w:val="17"/>
                <w:color w:val="auto"/>
              </w:rPr>
            </w:pP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4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4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spacing w:after="0"/>
              <w:rPr>
                <w:sz w:val="17"/>
                <w:szCs w:val="17"/>
                <w:color w:val="auto"/>
              </w:rPr>
            </w:pPr>
          </w:p>
        </w:tc>
        <w:tc>
          <w:tcPr>
            <w:tcW w:w="1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3740" w:type="dxa"/>
            <w:vAlign w:val="bottom"/>
          </w:tcPr>
          <w:p>
            <w:pPr>
              <w:spacing w:after="0"/>
              <w:rPr>
                <w:sz w:val="17"/>
                <w:szCs w:val="17"/>
                <w:color w:val="auto"/>
              </w:rPr>
            </w:pPr>
          </w:p>
        </w:tc>
        <w:tc>
          <w:tcPr>
            <w:tcW w:w="4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4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1,614,792</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Ordinary</w:t>
            </w:r>
          </w:p>
        </w:tc>
      </w:tr>
      <w:tr>
        <w:trPr>
          <w:trHeight w:val="203"/>
        </w:trPr>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tive Power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4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4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positive Power</w:t>
            </w:r>
          </w:p>
        </w:tc>
        <w:tc>
          <w:tcPr>
            <w:tcW w:w="1100" w:type="dxa"/>
            <w:vAlign w:val="bottom"/>
          </w:tcPr>
          <w:p>
            <w:pPr>
              <w:spacing w:after="0"/>
              <w:rPr>
                <w:sz w:val="17"/>
                <w:szCs w:val="17"/>
                <w:color w:val="auto"/>
              </w:rPr>
            </w:pPr>
          </w:p>
        </w:tc>
        <w:tc>
          <w:tcPr>
            <w:tcW w:w="1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3740" w:type="dxa"/>
            <w:vAlign w:val="bottom"/>
          </w:tcPr>
          <w:p>
            <w:pPr>
              <w:spacing w:after="0"/>
              <w:rPr>
                <w:sz w:val="17"/>
                <w:szCs w:val="17"/>
                <w:color w:val="auto"/>
              </w:rPr>
            </w:pPr>
          </w:p>
        </w:tc>
        <w:tc>
          <w:tcPr>
            <w:tcW w:w="47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9)   Aggregate Amount Beneficially</w:t>
            </w: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1,614,792</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Ordinary</w:t>
            </w: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Owned by Each Reporting Person</w:t>
            </w: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rPr>
          <w:sz w:val="20"/>
          <w:szCs w:val="20"/>
          <w:color w:val="auto"/>
        </w:rPr>
      </w:pPr>
      <w:r>
        <w:rPr>
          <w:rFonts w:ascii="Courier New" w:cs="Courier New" w:eastAsia="Courier New" w:hAnsi="Courier New"/>
          <w:sz w:val="18"/>
          <w:szCs w:val="18"/>
          <w:color w:val="auto"/>
        </w:rPr>
        <w:t>Excludes Certain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274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r>
    </w:tbl>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Type of Reporting</w:t>
      </w:r>
    </w:p>
    <w:p>
      <w:pPr>
        <w:ind w:left="540"/>
        <w:spacing w:after="0" w:line="238" w:lineRule="auto"/>
        <w:tabs>
          <w:tab w:leader="none" w:pos="61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61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WCAS Capital</w:t>
      </w:r>
    </w:p>
    <w:p>
      <w:pPr>
        <w:ind w:left="540"/>
        <w:spacing w:after="0"/>
        <w:tabs>
          <w:tab w:leader="none" w:pos="6100" w:val="left"/>
        </w:tabs>
        <w:rPr>
          <w:sz w:val="20"/>
          <w:szCs w:val="20"/>
          <w:color w:val="auto"/>
        </w:rPr>
      </w:pPr>
      <w:r>
        <w:rPr>
          <w:rFonts w:ascii="Courier New" w:cs="Courier New" w:eastAsia="Courier New" w:hAnsi="Courier New"/>
          <w:sz w:val="18"/>
          <w:szCs w:val="18"/>
          <w:color w:val="auto"/>
        </w:rPr>
        <w:t>I.R.S. Identification</w:t>
      </w:r>
      <w:r>
        <w:rPr>
          <w:sz w:val="20"/>
          <w:szCs w:val="20"/>
          <w:color w:val="auto"/>
        </w:rPr>
        <w:tab/>
      </w:r>
      <w:r>
        <w:rPr>
          <w:rFonts w:ascii="Courier New" w:cs="Courier New" w:eastAsia="Courier New" w:hAnsi="Courier New"/>
          <w:sz w:val="16"/>
          <w:szCs w:val="16"/>
          <w:color w:val="auto"/>
        </w:rPr>
        <w:t>Partners III, L.P.</w:t>
      </w:r>
    </w:p>
    <w:p>
      <w:pPr>
        <w:ind w:left="540"/>
        <w:spacing w:after="0"/>
        <w:rPr>
          <w:sz w:val="20"/>
          <w:szCs w:val="20"/>
          <w:color w:val="auto"/>
        </w:rPr>
      </w:pPr>
      <w:r>
        <w:rPr>
          <w:rFonts w:ascii="Courier New" w:cs="Courier New" w:eastAsia="Courier New" w:hAnsi="Courier New"/>
          <w:sz w:val="18"/>
          <w:szCs w:val="18"/>
          <w:color w:val="auto"/>
        </w:rPr>
        <w:t>No. of Above Person</w:t>
      </w:r>
    </w:p>
    <w:p>
      <w:pPr>
        <w:ind w:left="540"/>
        <w:spacing w:after="0" w:line="237" w:lineRule="auto"/>
        <w:rPr>
          <w:sz w:val="20"/>
          <w:szCs w:val="20"/>
          <w:color w:val="auto"/>
        </w:rPr>
      </w:pPr>
      <w:r>
        <w:rPr>
          <w:rFonts w:ascii="Courier New" w:cs="Courier New" w:eastAsia="Courier New" w:hAnsi="Courier New"/>
          <w:sz w:val="18"/>
          <w:szCs w:val="18"/>
          <w:color w:val="auto"/>
        </w:rPr>
        <w:t>(Entities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jc w:val="both"/>
        <w:ind w:left="540" w:right="2519" w:hanging="53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(a) [ X ] if a Member of a Group                                     (b) [   ]</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3259" w:hanging="539"/>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Delaware of 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620" w:type="dxa"/>
            <w:vAlign w:val="bottom"/>
          </w:tcPr>
          <w:p>
            <w:pPr>
              <w:ind w:left="140"/>
              <w:spacing w:after="0"/>
              <w:rPr>
                <w:sz w:val="20"/>
                <w:szCs w:val="20"/>
                <w:color w:val="auto"/>
              </w:rPr>
            </w:pPr>
            <w:r>
              <w:rPr>
                <w:rFonts w:ascii="Courier New" w:cs="Courier New" w:eastAsia="Courier New" w:hAnsi="Courier New"/>
                <w:sz w:val="18"/>
                <w:szCs w:val="18"/>
                <w:color w:val="auto"/>
              </w:rPr>
              <w:t>Sole Voting</w:t>
            </w:r>
          </w:p>
        </w:tc>
        <w:tc>
          <w:tcPr>
            <w:tcW w:w="1100" w:type="dxa"/>
            <w:vAlign w:val="bottom"/>
          </w:tcPr>
          <w:p>
            <w:pPr>
              <w:spacing w:after="0"/>
              <w:rPr>
                <w:sz w:val="20"/>
                <w:szCs w:val="20"/>
                <w:color w:val="auto"/>
              </w:rPr>
            </w:pPr>
            <w:r>
              <w:rPr>
                <w:rFonts w:ascii="Courier New" w:cs="Courier New" w:eastAsia="Courier New" w:hAnsi="Courier New"/>
                <w:sz w:val="18"/>
                <w:szCs w:val="18"/>
                <w:color w:val="auto"/>
              </w:rPr>
              <w:t>1,443,494</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Ordinary</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00" w:type="dxa"/>
            <w:vAlign w:val="bottom"/>
          </w:tcPr>
          <w:p>
            <w:pPr>
              <w:spacing w:after="0"/>
              <w:rPr>
                <w:sz w:val="17"/>
                <w:szCs w:val="17"/>
                <w:color w:val="auto"/>
              </w:rPr>
            </w:pP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7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6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20" w:type="dxa"/>
            <w:vAlign w:val="bottom"/>
          </w:tcPr>
          <w:p>
            <w:pPr>
              <w:spacing w:after="0"/>
              <w:rPr>
                <w:sz w:val="17"/>
                <w:szCs w:val="17"/>
                <w:color w:val="auto"/>
              </w:rPr>
            </w:pPr>
          </w:p>
        </w:tc>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w:t>
            </w:r>
          </w:p>
        </w:tc>
        <w:tc>
          <w:tcPr>
            <w:tcW w:w="11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-0-</w:t>
            </w:r>
          </w:p>
        </w:tc>
        <w:tc>
          <w:tcPr>
            <w:tcW w:w="27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6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20" w:type="dxa"/>
            <w:vAlign w:val="bottom"/>
          </w:tcPr>
          <w:p>
            <w:pPr>
              <w:spacing w:after="0"/>
              <w:rPr>
                <w:sz w:val="17"/>
                <w:szCs w:val="17"/>
                <w:color w:val="auto"/>
              </w:rPr>
            </w:pPr>
          </w:p>
        </w:tc>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Sole Disposi-</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1,443,494</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Ordinary</w:t>
            </w:r>
          </w:p>
        </w:tc>
      </w:tr>
      <w:tr>
        <w:trPr>
          <w:trHeight w:val="203"/>
        </w:trPr>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tive Power</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7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6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20" w:type="dxa"/>
            <w:vAlign w:val="bottom"/>
          </w:tcPr>
          <w:p>
            <w:pPr>
              <w:spacing w:after="0"/>
              <w:rPr>
                <w:sz w:val="17"/>
                <w:szCs w:val="17"/>
                <w:color w:val="auto"/>
              </w:rPr>
            </w:pPr>
          </w:p>
        </w:tc>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Dis-</w:t>
            </w:r>
          </w:p>
        </w:tc>
        <w:tc>
          <w:tcPr>
            <w:tcW w:w="11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6"/>
              </w:rPr>
              <w:t>positive Power</w:t>
            </w: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-0-</w:t>
            </w:r>
          </w:p>
        </w:tc>
        <w:tc>
          <w:tcPr>
            <w:tcW w:w="27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6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64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1100" w:type="dxa"/>
            <w:vAlign w:val="bottom"/>
          </w:tcPr>
          <w:p>
            <w:pPr>
              <w:spacing w:after="0"/>
              <w:rPr>
                <w:sz w:val="20"/>
                <w:szCs w:val="20"/>
                <w:color w:val="auto"/>
              </w:rPr>
            </w:pPr>
            <w:r>
              <w:rPr>
                <w:rFonts w:ascii="Courier New" w:cs="Courier New" w:eastAsia="Courier New" w:hAnsi="Courier New"/>
                <w:sz w:val="18"/>
                <w:szCs w:val="18"/>
                <w:color w:val="auto"/>
              </w:rPr>
              <w:t>1,443,494</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Ordinary</w:t>
            </w:r>
          </w:p>
        </w:tc>
      </w:tr>
      <w:tr>
        <w:trPr>
          <w:trHeight w:val="203"/>
        </w:trPr>
        <w:tc>
          <w:tcPr>
            <w:tcW w:w="46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7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Check if the Aggregate</w:t>
      </w:r>
    </w:p>
    <w:p>
      <w:pPr>
        <w:ind w:left="540"/>
        <w:spacing w:after="0" w:line="238" w:lineRule="auto"/>
        <w:rPr>
          <w:sz w:val="20"/>
          <w:szCs w:val="20"/>
          <w:color w:val="auto"/>
        </w:rPr>
      </w:pPr>
      <w:r>
        <w:rPr>
          <w:rFonts w:ascii="Courier New" w:cs="Courier New" w:eastAsia="Courier New" w:hAnsi="Courier New"/>
          <w:sz w:val="18"/>
          <w:szCs w:val="18"/>
          <w:color w:val="auto"/>
        </w:rPr>
        <w:t>Amount in Row (9)</w:t>
      </w:r>
    </w:p>
    <w:p>
      <w:pPr>
        <w:ind w:left="540"/>
        <w:spacing w:after="0"/>
        <w:rPr>
          <w:sz w:val="20"/>
          <w:szCs w:val="20"/>
          <w:color w:val="auto"/>
        </w:rPr>
      </w:pPr>
      <w:r>
        <w:rPr>
          <w:rFonts w:ascii="Courier New" w:cs="Courier New" w:eastAsia="Courier New" w:hAnsi="Courier New"/>
          <w:sz w:val="18"/>
          <w:szCs w:val="18"/>
          <w:color w:val="auto"/>
        </w:rPr>
        <w:t>Excludes Certain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11)  Percent of Class</w:t>
            </w:r>
          </w:p>
        </w:tc>
        <w:tc>
          <w:tcPr>
            <w:tcW w:w="2060" w:type="dxa"/>
            <w:vAlign w:val="bottom"/>
          </w:tcPr>
          <w:p>
            <w:pPr>
              <w:spacing w:after="0"/>
              <w:rPr>
                <w:sz w:val="17"/>
                <w:szCs w:val="17"/>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Represented by</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 in Row (9)</w:t>
            </w:r>
          </w:p>
        </w:tc>
        <w:tc>
          <w:tcPr>
            <w:tcW w:w="206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tab/>
        <w:t>Type of Reporting</w:t>
      </w:r>
    </w:p>
    <w:p>
      <w:pPr>
        <w:ind w:left="540"/>
        <w:spacing w:after="0" w:line="238" w:lineRule="auto"/>
        <w:tabs>
          <w:tab w:leader="none" w:pos="46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PN</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5 of 7 Pages</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Amendment No. 3 to Schedule 13G (Final Amendment)</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Reference is hereby made to the statement on Schedule 13G originally filed on January 29, 1999, Amendment No. 1 thereto filed on January 10, 2000 and Amendment No. 2 thereto filed on January 31, 2001 (as so amended, the "Schedule 13G"). Terms used in the Schedule 13G are used herein as so defined.</w:t>
      </w:r>
    </w:p>
    <w:p>
      <w:pPr>
        <w:spacing w:after="0" w:line="207"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The following Items of the Schedule 13G are hereby amended and restated to read in their entirety as follows:</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4 -</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120" w:hanging="532"/>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5,527,054 Ordinary Shares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1,614,792 Ordinary Shares</w:t>
      </w:r>
    </w:p>
    <w:p>
      <w:pPr>
        <w:ind w:left="1580"/>
        <w:spacing w:after="0"/>
        <w:rPr>
          <w:sz w:val="20"/>
          <w:szCs w:val="20"/>
          <w:color w:val="auto"/>
        </w:rPr>
      </w:pPr>
      <w:r>
        <w:rPr>
          <w:rFonts w:ascii="Courier New" w:cs="Courier New" w:eastAsia="Courier New" w:hAnsi="Courier New"/>
          <w:sz w:val="18"/>
          <w:szCs w:val="18"/>
          <w:color w:val="auto"/>
        </w:rPr>
        <w:t>WCAS CP III: 1,443,494 Ordinary Shares</w:t>
      </w:r>
    </w:p>
    <w:p>
      <w:pPr>
        <w:spacing w:after="0" w:line="200" w:lineRule="exact"/>
        <w:rPr>
          <w:sz w:val="20"/>
          <w:szCs w:val="20"/>
          <w:color w:val="auto"/>
        </w:rPr>
      </w:pPr>
    </w:p>
    <w:p>
      <w:pPr>
        <w:ind w:left="2220" w:hanging="632"/>
        <w:spacing w:after="0"/>
        <w:tabs>
          <w:tab w:leader="none" w:pos="2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WCAS VII: 2.5%</w:t>
      </w:r>
    </w:p>
    <w:p>
      <w:pPr>
        <w:ind w:left="1580"/>
        <w:spacing w:after="0" w:line="238" w:lineRule="auto"/>
        <w:rPr>
          <w:sz w:val="20"/>
          <w:szCs w:val="20"/>
          <w:color w:val="auto"/>
        </w:rPr>
      </w:pPr>
      <w:r>
        <w:rPr>
          <w:rFonts w:ascii="Courier New" w:cs="Courier New" w:eastAsia="Courier New" w:hAnsi="Courier New"/>
          <w:sz w:val="18"/>
          <w:szCs w:val="18"/>
          <w:color w:val="auto"/>
        </w:rPr>
        <w:t>WCAS VI: 0.7%</w:t>
      </w:r>
    </w:p>
    <w:p>
      <w:pPr>
        <w:ind w:left="1580"/>
        <w:spacing w:after="0"/>
        <w:rPr>
          <w:sz w:val="20"/>
          <w:szCs w:val="20"/>
          <w:color w:val="auto"/>
        </w:rPr>
      </w:pPr>
      <w:r>
        <w:rPr>
          <w:rFonts w:ascii="Courier New" w:cs="Courier New" w:eastAsia="Courier New" w:hAnsi="Courier New"/>
          <w:sz w:val="18"/>
          <w:szCs w:val="18"/>
          <w:color w:val="auto"/>
        </w:rPr>
        <w:t>WCAS CP III: 0.7%</w:t>
      </w:r>
    </w:p>
    <w:p>
      <w:pPr>
        <w:spacing w:after="0" w:line="200" w:lineRule="exact"/>
        <w:rPr>
          <w:sz w:val="20"/>
          <w:szCs w:val="20"/>
          <w:color w:val="auto"/>
        </w:rPr>
      </w:pPr>
    </w:p>
    <w:p>
      <w:pPr>
        <w:spacing w:after="0" w:line="203" w:lineRule="exact"/>
        <w:rPr>
          <w:sz w:val="20"/>
          <w:szCs w:val="20"/>
          <w:color w:val="auto"/>
        </w:rPr>
      </w:pPr>
    </w:p>
    <w:p>
      <w:pPr>
        <w:ind w:left="2220" w:hanging="632"/>
        <w:spacing w:after="0"/>
        <w:tabs>
          <w:tab w:leader="none" w:pos="2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220" w:hanging="632"/>
        <w:spacing w:after="0"/>
        <w:tabs>
          <w:tab w:leader="none" w:pos="2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5,527,054 Ordinary Shares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1,614,792 Ordinary Shares</w:t>
      </w:r>
    </w:p>
    <w:p>
      <w:pPr>
        <w:ind w:left="1580"/>
        <w:spacing w:after="0"/>
        <w:rPr>
          <w:sz w:val="20"/>
          <w:szCs w:val="20"/>
          <w:color w:val="auto"/>
        </w:rPr>
      </w:pPr>
      <w:r>
        <w:rPr>
          <w:rFonts w:ascii="Courier New" w:cs="Courier New" w:eastAsia="Courier New" w:hAnsi="Courier New"/>
          <w:sz w:val="18"/>
          <w:szCs w:val="18"/>
          <w:color w:val="auto"/>
        </w:rPr>
        <w:t>WCAS CP III: 1,443,494 Ordinary Shares</w:t>
      </w:r>
    </w:p>
    <w:p>
      <w:pPr>
        <w:spacing w:after="0" w:line="200" w:lineRule="exact"/>
        <w:rPr>
          <w:sz w:val="20"/>
          <w:szCs w:val="20"/>
          <w:color w:val="auto"/>
        </w:rPr>
      </w:pPr>
    </w:p>
    <w:p>
      <w:pPr>
        <w:ind w:left="2220" w:hanging="632"/>
        <w:spacing w:after="0"/>
        <w:tabs>
          <w:tab w:leader="none" w:pos="2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left="1580" w:right="3999" w:firstLine="8"/>
        <w:spacing w:after="0" w:line="235" w:lineRule="auto"/>
        <w:tabs>
          <w:tab w:leader="none" w:pos="221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3"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5,527,054 Ordinary Shares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1,614,792 Ordinary Shares</w:t>
      </w:r>
    </w:p>
    <w:p>
      <w:pPr>
        <w:ind w:left="1580"/>
        <w:spacing w:after="0"/>
        <w:rPr>
          <w:sz w:val="20"/>
          <w:szCs w:val="20"/>
          <w:color w:val="auto"/>
        </w:rPr>
      </w:pPr>
      <w:r>
        <w:rPr>
          <w:rFonts w:ascii="Courier New" w:cs="Courier New" w:eastAsia="Courier New" w:hAnsi="Courier New"/>
          <w:sz w:val="18"/>
          <w:szCs w:val="18"/>
          <w:color w:val="auto"/>
        </w:rPr>
        <w:t>WCAS CP III: 1,443,494 Ordinary Shares</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6 of 7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80" w:right="3899" w:firstLine="8"/>
        <w:spacing w:after="0" w:line="235"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 Ownership of Five Percent or Less of a Class.</w:t>
      </w:r>
    </w:p>
    <w:p>
      <w:pPr>
        <w:spacing w:after="0" w:line="207" w:lineRule="exact"/>
        <w:rPr>
          <w:sz w:val="20"/>
          <w:szCs w:val="20"/>
          <w:color w:val="auto"/>
        </w:rPr>
      </w:pPr>
    </w:p>
    <w:p>
      <w:pPr>
        <w:jc w:val="both"/>
        <w:ind w:right="2199" w:firstLine="1053"/>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Persons have ceased to be the beneficial owners of more than five percent of the Common Stock, check the following [X].</w:t>
      </w:r>
    </w:p>
    <w:p>
      <w:pPr>
        <w:sectPr>
          <w:pgSz w:w="11900" w:h="16838" w:orient="portrait"/>
          <w:cols w:equalWidth="0" w:num="1">
            <w:col w:w="10219"/>
          </w:cols>
          <w:pgMar w:left="240" w:top="514" w:right="1440" w:bottom="1440" w:gutter="0" w:footer="0" w:header="0"/>
        </w:sectPr>
      </w:pPr>
    </w:p>
    <w:bookmarkStart w:id="6" w:name="page7"/>
    <w:bookmarkEnd w:id="6"/>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WELSH, CARSON, ANDERSON &amp; STOWE VII, L.P.</w:t>
      </w: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VII Partners, L.P., General Partner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Jonathan M. Rather</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WELSH, CARSON, ANDERSON &amp; STOWE VI, L.P.</w:t>
      </w: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VI Partners, L.P., General Partner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Jonathan M. Rather</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WCAS CAPITAL PARTNERS III, L.P.</w:t>
      </w: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CP III Associates, L.L.C.,</w:t>
      </w:r>
    </w:p>
    <w:p>
      <w:pPr>
        <w:ind w:left="316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Jonathan M. Rather</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9, 2002</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2019-12-14T21:18:29Z</dcterms:created>
  <dcterms:modified xsi:type="dcterms:W3CDTF">2019-12-14T21:18:29Z</dcterms:modified>
</cp:coreProperties>
</file>