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4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For the month of December 2019</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540"/>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Chesterfield, Missouri 63017</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3" w:lineRule="exact"/>
        <w:rPr>
          <w:sz w:val="24"/>
          <w:szCs w:val="24"/>
          <w:color w:val="auto"/>
        </w:rPr>
      </w:pPr>
    </w:p>
    <w:p>
      <w:pPr>
        <w:jc w:val="center"/>
        <w:ind w:right="-45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3" w:lineRule="exact"/>
        <w:rPr>
          <w:sz w:val="24"/>
          <w:szCs w:val="24"/>
          <w:color w:val="auto"/>
        </w:rPr>
      </w:pPr>
    </w:p>
    <w:p>
      <w:pPr>
        <w:jc w:val="center"/>
        <w:ind w:right="-45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5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580"/>
          </w:cols>
          <w:pgMar w:left="440" w:top="368" w:right="8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THURSDAY, JANUARY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general meeting of shareholders of Amdocs Limited will be held at 4:00 p.m., local time, on Friday, January 31, 2020, at the offices of Davis Polk &amp; Wardwell LLP, 450 Lexington Avenue, New York, New York, for the following purposes:</w:t>
      </w:r>
    </w:p>
    <w:p>
      <w:pPr>
        <w:spacing w:after="0" w:line="62" w:lineRule="exact"/>
        <w:rPr>
          <w:sz w:val="20"/>
          <w:szCs w:val="20"/>
          <w:color w:val="auto"/>
        </w:rPr>
      </w:pPr>
    </w:p>
    <w:p>
      <w:pPr>
        <w:ind w:right="300" w:firstLine="4"/>
        <w:spacing w:after="0" w:line="342" w:lineRule="auto"/>
        <w:tabs>
          <w:tab w:leader="none" w:pos="312"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10 individuals to serve as directors of Amdocs Limited until the next annual general meeting of shareholders or until his or her earlier resignation or removal or until his or her respective successor is elected and qualified (Proposal 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Robert A. Minicucci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Rafael de la Vega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Giora Yaron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 MacDonald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Shuky Sheffer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Yvette Kanouff</w:t>
      </w:r>
    </w:p>
    <w:p>
      <w:pPr>
        <w:spacing w:after="0" w:line="211" w:lineRule="exact"/>
        <w:rPr>
          <w:sz w:val="20"/>
          <w:szCs w:val="20"/>
          <w:color w:val="auto"/>
        </w:rPr>
      </w:pPr>
    </w:p>
    <w:p>
      <w:pPr>
        <w:ind w:right="220" w:firstLine="4"/>
        <w:spacing w:after="0" w:line="308" w:lineRule="auto"/>
        <w:tabs>
          <w:tab w:leader="none" w:pos="312"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approve an amendment of the Amdocs Limited 1998 Stock Option and Incentive Plan increasing the number of shares authorized for issuance under the plan and the sublimit on “full value” awards under the plan, in each case, by 3,000,000 shares (Proposal II);</w:t>
      </w:r>
    </w:p>
    <w:p>
      <w:pPr>
        <w:spacing w:after="0" w:line="146" w:lineRule="exact"/>
        <w:rPr>
          <w:rFonts w:ascii="Arial" w:cs="Arial" w:eastAsia="Arial" w:hAnsi="Arial"/>
          <w:sz w:val="17"/>
          <w:szCs w:val="17"/>
          <w:color w:val="auto"/>
        </w:rPr>
      </w:pPr>
    </w:p>
    <w:p>
      <w:pPr>
        <w:ind w:left="320" w:hanging="316"/>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an increase in the dividend rate under our quarterly cash dividend program from $0.285 per share to $0.3275 per share (Proposal III);</w:t>
      </w:r>
    </w:p>
    <w:p>
      <w:pPr>
        <w:spacing w:after="0" w:line="248" w:lineRule="exact"/>
        <w:rPr>
          <w:rFonts w:ascii="Arial" w:cs="Arial" w:eastAsia="Arial" w:hAnsi="Arial"/>
          <w:sz w:val="16"/>
          <w:szCs w:val="16"/>
          <w:color w:val="auto"/>
        </w:rPr>
      </w:pPr>
    </w:p>
    <w:p>
      <w:pPr>
        <w:ind w:left="320" w:hanging="316"/>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2019 (Proposal IV); and</w:t>
      </w:r>
    </w:p>
    <w:p>
      <w:pPr>
        <w:spacing w:after="0" w:line="225" w:lineRule="exact"/>
        <w:rPr>
          <w:rFonts w:ascii="Arial" w:cs="Arial" w:eastAsia="Arial" w:hAnsi="Arial"/>
          <w:sz w:val="18"/>
          <w:szCs w:val="18"/>
          <w:color w:val="auto"/>
        </w:rPr>
      </w:pPr>
    </w:p>
    <w:p>
      <w:pPr>
        <w:ind w:right="100" w:firstLine="4"/>
        <w:spacing w:after="0" w:line="286" w:lineRule="auto"/>
        <w:tabs>
          <w:tab w:leader="none" w:pos="312"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ratify and approve the appointment of Ernst &amp; Young LLP as our independent registered public accounting firm for the fiscal year ending September 30, 2020,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Board of Directors has fixed the close of business on December 5, 2019 as the record date for the determination of our shareholders entitled to notice of, and to vote on the matters proposed at, the annual general meeting and any adjournments thereof.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Secretary</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169545</wp:posOffset>
            </wp:positionV>
            <wp:extent cx="7002145" cy="1042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1042035"/>
                    </a:xfrm>
                    <a:prstGeom prst="rect">
                      <a:avLst/>
                    </a:prstGeom>
                    <a:noFill/>
                  </pic:spPr>
                </pic:pic>
              </a:graphicData>
            </a:graphic>
          </wp:anchor>
        </w:drawing>
      </w:r>
    </w:p>
    <w:p>
      <w:pPr>
        <w:spacing w:after="0" w:line="286" w:lineRule="exact"/>
        <w:rPr>
          <w:sz w:val="20"/>
          <w:szCs w:val="20"/>
          <w:color w:val="auto"/>
        </w:rPr>
      </w:pPr>
    </w:p>
    <w:p>
      <w:pPr>
        <w:ind w:left="60" w:right="320"/>
        <w:spacing w:after="0" w:line="255" w:lineRule="auto"/>
        <w:rPr>
          <w:sz w:val="20"/>
          <w:szCs w:val="20"/>
          <w:color w:val="auto"/>
        </w:rPr>
      </w:pPr>
      <w:r>
        <w:rPr>
          <w:rFonts w:ascii="Arial" w:cs="Arial" w:eastAsia="Arial" w:hAnsi="Arial"/>
          <w:sz w:val="18"/>
          <w:szCs w:val="18"/>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61" w:lineRule="exact"/>
        <w:rPr>
          <w:sz w:val="20"/>
          <w:szCs w:val="20"/>
          <w:color w:val="auto"/>
        </w:rPr>
      </w:pPr>
    </w:p>
    <w:p>
      <w:pPr>
        <w:ind w:left="-60" w:right="20" w:firstLine="444"/>
        <w:spacing w:after="0" w:line="259" w:lineRule="auto"/>
        <w:tabs>
          <w:tab w:leader="none" w:pos="6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proxy card for the annual general meeting for the fiscal year ended September 30, 2019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186" w:lineRule="exact"/>
        <w:rPr>
          <w:rFonts w:ascii="Arial" w:cs="Arial" w:eastAsia="Arial" w:hAnsi="Arial"/>
          <w:sz w:val="18"/>
          <w:szCs w:val="18"/>
          <w:color w:val="auto"/>
        </w:rPr>
      </w:pPr>
    </w:p>
    <w:p>
      <w:pPr>
        <w:ind w:left="-60" w:right="240" w:firstLine="444"/>
        <w:spacing w:after="0" w:line="264" w:lineRule="auto"/>
        <w:tabs>
          <w:tab w:leader="none" w:pos="696"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181" w:lineRule="exact"/>
        <w:rPr>
          <w:rFonts w:ascii="Arial" w:cs="Arial" w:eastAsia="Arial" w:hAnsi="Arial"/>
          <w:sz w:val="18"/>
          <w:szCs w:val="18"/>
          <w:color w:val="auto"/>
        </w:rPr>
      </w:pPr>
    </w:p>
    <w:p>
      <w:pPr>
        <w:ind w:left="-60" w:firstLine="444"/>
        <w:spacing w:after="0" w:line="255" w:lineRule="auto"/>
        <w:tabs>
          <w:tab w:leader="none" w:pos="6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not counting the day when notice is given or deemed to be given and the day of the adjourned meeting, if the time and place of the adjourned meeting are announced at the annual general meeting at which adjournment is taken, unless after the adjournment a new record date is fixed for the adjourned meeting.</w:t>
      </w:r>
    </w:p>
    <w:p>
      <w:pPr>
        <w:spacing w:after="0" w:line="193" w:lineRule="exact"/>
        <w:rPr>
          <w:rFonts w:ascii="Arial" w:cs="Arial" w:eastAsia="Arial" w:hAnsi="Arial"/>
          <w:sz w:val="18"/>
          <w:szCs w:val="18"/>
          <w:color w:val="auto"/>
        </w:rPr>
      </w:pPr>
    </w:p>
    <w:p>
      <w:pPr>
        <w:ind w:left="700" w:hanging="31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shareholder present in person or by proxy shall have one vote for each ordinary share held by him, her or it.</w:t>
      </w:r>
    </w:p>
    <w:p>
      <w:pPr>
        <w:sectPr>
          <w:pgSz w:w="11900" w:h="16838" w:orient="portrait"/>
          <w:cols w:equalWidth="0" w:num="1">
            <w:col w:w="10920"/>
          </w:cols>
          <w:pgMar w:left="500" w:top="270" w:right="4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JANUARY 31, 2020</w:t>
      </w:r>
    </w:p>
    <w:p>
      <w:pPr>
        <w:spacing w:after="0" w:line="21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70"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4:00 p.m., local time, on Friday, January 31, 2020, at the offices of Davis Polk &amp; Wardwell LLP, 450 Lexington Avenue, New York, New York, or at any adjournments thereof (the “General Meeting”).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Proxy Statement and the accompanying proxy are first being mailed or delivered to our shareholders on or about December 26, 2019.</w:t>
      </w:r>
    </w:p>
    <w:p>
      <w:pPr>
        <w:spacing w:after="0" w:line="23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At the General Meeting, the holders of our ordinary shares as of the close of business on December 5, 2019 (the “Record Date”) will be asked to take the following actions:</w:t>
      </w:r>
    </w:p>
    <w:p>
      <w:pPr>
        <w:spacing w:after="0" w:line="62" w:lineRule="exact"/>
        <w:rPr>
          <w:sz w:val="20"/>
          <w:szCs w:val="20"/>
          <w:color w:val="auto"/>
        </w:rPr>
      </w:pPr>
    </w:p>
    <w:p>
      <w:pPr>
        <w:ind w:right="120" w:firstLine="444"/>
        <w:spacing w:after="0" w:line="277" w:lineRule="auto"/>
        <w:tabs>
          <w:tab w:leader="none" w:pos="756"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10 directors to serve until the next annual general meeting of shareholders or until their earlier resignation or removal or successors are elected and qualified (Proposal I);</w:t>
      </w:r>
    </w:p>
    <w:p>
      <w:pPr>
        <w:spacing w:after="0" w:line="170" w:lineRule="exact"/>
        <w:rPr>
          <w:rFonts w:ascii="Arial" w:cs="Arial" w:eastAsia="Arial" w:hAnsi="Arial"/>
          <w:sz w:val="18"/>
          <w:szCs w:val="18"/>
          <w:color w:val="auto"/>
        </w:rPr>
      </w:pPr>
    </w:p>
    <w:p>
      <w:pPr>
        <w:ind w:right="640" w:firstLine="444"/>
        <w:spacing w:after="0" w:line="342" w:lineRule="auto"/>
        <w:tabs>
          <w:tab w:leader="none" w:pos="746"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 an amendment of the Amdocs Limited 1998 Stock Option and Incentive Plan increasing the number of shares authorized for issuance under the plan and the sublimit on “full value” awards under the plan, in each case, by 3,000,000 shares (Proposal II);</w:t>
      </w:r>
    </w:p>
    <w:p>
      <w:pPr>
        <w:spacing w:after="0" w:line="123" w:lineRule="exact"/>
        <w:rPr>
          <w:rFonts w:ascii="Arial" w:cs="Arial" w:eastAsia="Arial" w:hAnsi="Arial"/>
          <w:sz w:val="16"/>
          <w:szCs w:val="16"/>
          <w:color w:val="auto"/>
        </w:rPr>
      </w:pPr>
    </w:p>
    <w:p>
      <w:pPr>
        <w:ind w:left="740" w:hanging="296"/>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 an increase in the dividend rate under our quarterly cash dividend program from $0.285 per share to $0.3275 per share (Proposal III);</w:t>
      </w:r>
    </w:p>
    <w:p>
      <w:pPr>
        <w:spacing w:after="0" w:line="248" w:lineRule="exact"/>
        <w:rPr>
          <w:rFonts w:ascii="Arial" w:cs="Arial" w:eastAsia="Arial" w:hAnsi="Arial"/>
          <w:sz w:val="16"/>
          <w:szCs w:val="16"/>
          <w:color w:val="auto"/>
        </w:rPr>
      </w:pPr>
    </w:p>
    <w:p>
      <w:pPr>
        <w:ind w:left="740" w:hanging="296"/>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2019 (Proposal IV); and</w:t>
      </w:r>
    </w:p>
    <w:p>
      <w:pPr>
        <w:spacing w:after="0" w:line="225" w:lineRule="exact"/>
        <w:rPr>
          <w:rFonts w:ascii="Arial" w:cs="Arial" w:eastAsia="Arial" w:hAnsi="Arial"/>
          <w:sz w:val="18"/>
          <w:szCs w:val="18"/>
          <w:color w:val="auto"/>
        </w:rPr>
      </w:pPr>
    </w:p>
    <w:p>
      <w:pPr>
        <w:ind w:right="120" w:firstLine="444"/>
        <w:spacing w:after="0" w:line="286" w:lineRule="auto"/>
        <w:tabs>
          <w:tab w:leader="none" w:pos="756"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Ratify and approve the appointment of Ernst &amp; Young LLP as our independent registered public accounting firm for the fiscal year ending September 30, 2020,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66"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87"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As of the Record Date, Amdocs had outstanding 134,773,409 ordinary shares (net of treasury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ectPr>
          <w:pgSz w:w="11900" w:h="16838" w:orient="portrait"/>
          <w:cols w:equalWidth="0" w:num="1">
            <w:col w:w="11020"/>
          </w:cols>
          <w:pgMar w:left="440" w:top="270" w:right="439" w:bottom="1440" w:gutter="0" w:footer="0" w:header="0"/>
        </w:sectPr>
      </w:pPr>
    </w:p>
    <w:bookmarkStart w:id="4" w:name="page5"/>
    <w:bookmarkEnd w:id="4"/>
    <w:p>
      <w:pPr>
        <w:ind w:right="2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of Proposals I, III, IV and V requires the affirmative vote of a majority of our ordinary shares voted in person or by proxy at the General Meeting. Approval of Proposal II requires the affirmative vote of holders of a majority of the ordinary shares issued and outstanding.</w:t>
      </w:r>
    </w:p>
    <w:p>
      <w:pPr>
        <w:spacing w:after="0" w:line="14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enclosed proxy provides that each shareholder may specify that his, her or its ordinary shares be voted “for”, “against” or “abstain” from voting for each of the director nominees named in Proposal I and with respect to each of Proposals II, III, IV and 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71"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65"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31, 2020. We strongly encourage our shareholders to use the enclosed proxy card or to authorize the voting of their shares over the Internet or by telephone as provided in the instructions set forth in the enclosed proxy card.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131" w:lineRule="exact"/>
        <w:rPr>
          <w:sz w:val="20"/>
          <w:szCs w:val="20"/>
          <w:color w:val="auto"/>
        </w:rPr>
      </w:pPr>
    </w:p>
    <w:p>
      <w:pPr>
        <w:ind w:left="980" w:hanging="436"/>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92" w:lineRule="exact"/>
        <w:rPr>
          <w:rFonts w:ascii="Arial" w:cs="Arial" w:eastAsia="Arial" w:hAnsi="Arial"/>
          <w:sz w:val="18"/>
          <w:szCs w:val="18"/>
          <w:color w:val="auto"/>
        </w:rPr>
      </w:pPr>
    </w:p>
    <w:p>
      <w:pPr>
        <w:ind w:left="980" w:right="58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jc w:val="cente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 THE ANNUAL GENERAL MEETING OF SHAREHOLDERS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JANUARY 31, 2020</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proxy statement and the 2019 Annual Report to Shareholders are available for viewing, printing and downloading at www.amdocs.com/proxy.</w:t>
      </w:r>
    </w:p>
    <w:p>
      <w:pPr>
        <w:spacing w:after="0" w:line="16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You may also request a copy of the materials relating to our annual general meeting, including this proxy statement and form of proxy for our annual general meeting, and our Annual Report on Form 20-F for the fiscal year ended September 30, 2019 by contacting our investor relations department by telephone at (314) 212-8328 or by e-mail at dox_info@amdocs.com.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117"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Eleven (11) directors currently serve on our Board of Directors, ten (10) of whom were elected at our annual meeting of shareholders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January 31, 2019, and one director, Mr. John A. MacDonald, elected by the Board of Directors on August 5, 2019. All directors hold office until the next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of our shareholders, which generally is in January or February of each calendar year, or until their respective successors are duly elected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qualified or their positions are earlier vacated by resignation or otherwise.</w:t>
      </w:r>
    </w:p>
    <w:p>
      <w:pPr>
        <w:spacing w:after="0" w:line="21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Due to the global and versatile nature of the Company’s business, the Board of Directors believes it is important to consider diversity of race, ethnicity, gender, age, education, cultural background and professional experiences in evaluating board candidates in order to provide practical insights and diverse perspectives. In addition, the Board of Directors has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reconsidered annually for it to stay in effect.</w:t>
      </w:r>
    </w:p>
    <w:p>
      <w:pPr>
        <w:spacing w:after="0" w:line="193"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ten (10)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8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300" w:type="dxa"/>
            <w:vAlign w:val="bottom"/>
            <w:gridSpan w:val="3"/>
          </w:tcPr>
          <w:p>
            <w:pPr>
              <w:jc w:val="right"/>
              <w:ind w:right="6850"/>
              <w:spacing w:after="0"/>
              <w:rPr>
                <w:sz w:val="20"/>
                <w:szCs w:val="20"/>
                <w:color w:val="auto"/>
              </w:rPr>
            </w:pPr>
            <w:r>
              <w:rPr>
                <w:rFonts w:ascii="Arial" w:cs="Arial" w:eastAsia="Arial" w:hAnsi="Arial"/>
                <w:sz w:val="14"/>
                <w:szCs w:val="14"/>
                <w:b w:val="1"/>
                <w:bCs w:val="1"/>
                <w:color w:val="auto"/>
              </w:rPr>
              <w:t>Age</w:t>
            </w:r>
          </w:p>
        </w:tc>
      </w:tr>
      <w:tr>
        <w:trPr>
          <w:trHeight w:val="27"/>
        </w:trPr>
        <w:tc>
          <w:tcPr>
            <w:tcW w:w="2620" w:type="dxa"/>
            <w:vAlign w:val="bottom"/>
            <w:gridSpan w:val="2"/>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920" w:type="dxa"/>
            <w:vAlign w:val="bottom"/>
          </w:tcPr>
          <w:p>
            <w:pPr>
              <w:spacing w:after="0"/>
              <w:rPr>
                <w:sz w:val="2"/>
                <w:szCs w:val="2"/>
                <w:color w:val="auto"/>
              </w:rPr>
            </w:pPr>
          </w:p>
        </w:tc>
      </w:tr>
      <w:tr>
        <w:trPr>
          <w:trHeight w:val="296"/>
        </w:trPr>
        <w:tc>
          <w:tcPr>
            <w:tcW w:w="2620" w:type="dxa"/>
            <w:vAlign w:val="bottom"/>
            <w:gridSpan w:val="2"/>
          </w:tcPr>
          <w:p>
            <w:pPr>
              <w:spacing w:after="0"/>
              <w:rPr>
                <w:sz w:val="20"/>
                <w:szCs w:val="20"/>
                <w:color w:val="auto"/>
              </w:rPr>
            </w:pPr>
            <w:r>
              <w:rPr>
                <w:rFonts w:ascii="Arial" w:cs="Arial" w:eastAsia="Arial" w:hAnsi="Arial"/>
                <w:sz w:val="18"/>
                <w:szCs w:val="18"/>
                <w:color w:val="auto"/>
              </w:rPr>
              <w:t>Robert A. Minicucci</w:t>
            </w:r>
          </w:p>
        </w:tc>
        <w:tc>
          <w:tcPr>
            <w:tcW w:w="1140" w:type="dxa"/>
            <w:vAlign w:val="bottom"/>
          </w:tcPr>
          <w:p>
            <w:pPr>
              <w:spacing w:after="0"/>
              <w:rPr>
                <w:sz w:val="24"/>
                <w:szCs w:val="24"/>
                <w:color w:val="auto"/>
              </w:rPr>
            </w:pPr>
          </w:p>
        </w:tc>
        <w:tc>
          <w:tcPr>
            <w:tcW w:w="7160" w:type="dxa"/>
            <w:vAlign w:val="bottom"/>
            <w:gridSpan w:val="2"/>
          </w:tcPr>
          <w:p>
            <w:pPr>
              <w:jc w:val="right"/>
              <w:ind w:right="230"/>
              <w:spacing w:after="0"/>
              <w:rPr>
                <w:sz w:val="20"/>
                <w:szCs w:val="20"/>
                <w:color w:val="auto"/>
              </w:rPr>
            </w:pPr>
            <w:r>
              <w:rPr>
                <w:rFonts w:ascii="Arial" w:cs="Arial" w:eastAsia="Arial" w:hAnsi="Arial"/>
                <w:sz w:val="18"/>
                <w:szCs w:val="18"/>
                <w:color w:val="auto"/>
                <w:w w:val="92"/>
              </w:rPr>
              <w:t>67   Mr. Minicucci has been Chairman of the Board of Directors of Amdocs since 2011 and a</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4"/>
              </w:rPr>
              <w:t>director since 1997. Mr. Minicucci joined Welsh, Carson, Anderson &amp; Stowe, or WCAS, in</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4"/>
              </w:rPr>
              <w:t>1993. Mr. Minicucci has served as a managing member of the general partners of certain</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8"/>
              </w:rPr>
              <w:t>funds affiliated with WCAS and has focused on the information and business services</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6"/>
              </w:rPr>
              <w:t>industry. Until 2003, investment partnerships affiliated with WCAS had been among our</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0"/>
              </w:rPr>
              <w:t>largest shareholders. From 1992 to 1993, Mr. Minicucci served as Senior Vice President and</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4"/>
              </w:rPr>
              <w:t>Chief Financial Officer of First Data Corporation, a provider of information processing and</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89"/>
              </w:rPr>
              <w:t>related services for credit card and other payment transactions. From 1991 to 1992, he served</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0"/>
              </w:rPr>
              <w:t>as Senior Vice President and Treasurer of the American Express Company. He served for 12</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7"/>
              </w:rPr>
              <w:t>years with Lehman Brothers (and its predecessors) until his resignation as a Managing</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6"/>
              </w:rPr>
              <w:t>Director in 1991. Mr. Minicucci is a director of one other publicly-held company, Alliance</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1"/>
              </w:rPr>
              <w:t>Data Systems, Inc. He is also a director of several private companies. Mr. Minicucci’s career</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3"/>
              </w:rPr>
              <w:t>in information technology investing, including as a director of more than 20 different public</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1"/>
              </w:rPr>
              <w:t>and private companies, and his experience as chief financial officer to a public company and</w:t>
            </w:r>
          </w:p>
        </w:tc>
      </w:tr>
      <w:tr>
        <w:trPr>
          <w:trHeight w:val="216"/>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3"/>
              </w:rPr>
              <w:t>treasurer of another public company, have provided him with strong business acumen and</w:t>
            </w:r>
          </w:p>
        </w:tc>
      </w:tr>
      <w:tr>
        <w:trPr>
          <w:trHeight w:val="230"/>
        </w:trPr>
        <w:tc>
          <w:tcPr>
            <w:tcW w:w="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strategic and financial expertise.</w:t>
            </w:r>
          </w:p>
        </w:tc>
      </w:tr>
      <w:tr>
        <w:trPr>
          <w:trHeight w:val="365"/>
        </w:trPr>
        <w:tc>
          <w:tcPr>
            <w:tcW w:w="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300" w:type="dxa"/>
            <w:vAlign w:val="bottom"/>
            <w:gridSpan w:val="3"/>
          </w:tcPr>
          <w:p>
            <w:pPr>
              <w:jc w:val="right"/>
              <w:ind w:right="52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00"/>
          </w:cols>
          <w:pgMar w:left="440" w:top="270" w:right="4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500" w:type="dxa"/>
            <w:vAlign w:val="bottom"/>
            <w:gridSpan w:val="3"/>
          </w:tcPr>
          <w:p>
            <w:pPr>
              <w:jc w:val="right"/>
              <w:ind w:right="6930"/>
              <w:spacing w:after="0"/>
              <w:rPr>
                <w:sz w:val="20"/>
                <w:szCs w:val="20"/>
                <w:color w:val="auto"/>
              </w:rPr>
            </w:pPr>
            <w:r>
              <w:rPr>
                <w:rFonts w:ascii="Arial" w:cs="Arial" w:eastAsia="Arial" w:hAnsi="Arial"/>
                <w:sz w:val="14"/>
                <w:szCs w:val="14"/>
                <w:b w:val="1"/>
                <w:bCs w:val="1"/>
                <w:color w:val="auto"/>
              </w:rPr>
              <w:t>Age</w:t>
            </w:r>
          </w:p>
        </w:tc>
      </w:tr>
      <w:tr>
        <w:trPr>
          <w:trHeight w:val="27"/>
        </w:trPr>
        <w:tc>
          <w:tcPr>
            <w:tcW w:w="2500" w:type="dxa"/>
            <w:vAlign w:val="bottom"/>
            <w:gridSpan w:val="2"/>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0" w:type="dxa"/>
            <w:vAlign w:val="bottom"/>
          </w:tcPr>
          <w:p>
            <w:pPr>
              <w:spacing w:after="0"/>
              <w:rPr>
                <w:sz w:val="2"/>
                <w:szCs w:val="2"/>
                <w:color w:val="auto"/>
              </w:rPr>
            </w:pPr>
          </w:p>
        </w:tc>
      </w:tr>
      <w:tr>
        <w:trPr>
          <w:trHeight w:val="296"/>
        </w:trPr>
        <w:tc>
          <w:tcPr>
            <w:tcW w:w="250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1260" w:type="dxa"/>
            <w:vAlign w:val="bottom"/>
          </w:tcPr>
          <w:p>
            <w:pPr>
              <w:spacing w:after="0"/>
              <w:rPr>
                <w:sz w:val="24"/>
                <w:szCs w:val="24"/>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57   Mr. Gardner has been a director of Amdocs since 1998 and is Chairman of the Audit</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3"/>
              </w:rPr>
              <w:t>Committee. Mr. Gardner serves as Chief Operating Officer of Stonehage Fleming Family &amp;</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Partners Limited, an international Multi-Family Office business, since October 2019.</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3"/>
              </w:rPr>
              <w:t>Mr. Gardner has served as a member of the Audit &amp; Risk Committee of Worcester College,</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Oxford University since May 2017. From 2016 to 2019, Mr. Gardner served as Chief</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2"/>
              </w:rPr>
              <w:t>Financial Officer of Ipes Holdings Limited, a provider of outsourced services to private equity</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8"/>
              </w:rPr>
              <w:t>firms. From 2014 to September 2016, Mr. Gardner served as Chief Financial Officer of</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3"/>
              </w:rPr>
              <w:t>International Personal Finance plc, an international home credit business. Mr. Gardner was</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1"/>
              </w:rPr>
              <w:t>Chief Financial Officer and a director of RSM Tenon Group PLC, a London-based accounting</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7"/>
              </w:rPr>
              <w:t>and advisory firm from 2011 until the acquisition in 2013 of its operating subsidiaries by</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5"/>
              </w:rPr>
              <w:t>Baker Tilly UK Holdings Limited, since renamed RSM UK Limited. Mr. Gardner was Chief</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6"/>
              </w:rPr>
              <w:t>Financial Officer of PA Consulting Group, a London-based business consulting firm from</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4"/>
              </w:rPr>
              <w:t>2007 to 2011. Mr. Gardner was Chief Financial Officer and a director of ProStrakan Group</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0"/>
              </w:rPr>
              <w:t>plc, a pharmaceuticals company based in the United Kingdom and listed on the London Stock</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3"/>
              </w:rPr>
              <w:t>Exchange, from 2002 until 2007. Prior to joining ProStrakan, he was a Managing Director of</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4"/>
              </w:rPr>
              <w:t>Lazard LLC, based in London, where he worked with technology and telecommunications-</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7"/>
              </w:rPr>
              <w:t>related companies. Prior to joining Lazard in 1989, Mr. Gardner qualified as a chartered</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2"/>
              </w:rPr>
              <w:t>accountant with Price Waterhouse (now PricewaterhouseCoopers). Mr. Gardner’s extensive</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0"/>
              </w:rPr>
              <w:t>experience as an accountant, technology investment banker and chief financial officer enables</w:t>
            </w:r>
          </w:p>
        </w:tc>
      </w:tr>
      <w:tr>
        <w:trPr>
          <w:trHeight w:val="230"/>
        </w:trPr>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him to make valuable contributions to our strategic and financial affairs.</w:t>
            </w:r>
          </w:p>
        </w:tc>
      </w:tr>
      <w:tr>
        <w:trPr>
          <w:trHeight w:val="310"/>
        </w:trPr>
        <w:tc>
          <w:tcPr>
            <w:tcW w:w="2500" w:type="dxa"/>
            <w:vAlign w:val="bottom"/>
            <w:gridSpan w:val="2"/>
          </w:tcPr>
          <w:p>
            <w:pPr>
              <w:spacing w:after="0"/>
              <w:rPr>
                <w:sz w:val="20"/>
                <w:szCs w:val="20"/>
                <w:color w:val="auto"/>
              </w:rPr>
            </w:pPr>
            <w:r>
              <w:rPr>
                <w:rFonts w:ascii="Arial" w:cs="Arial" w:eastAsia="Arial" w:hAnsi="Arial"/>
                <w:sz w:val="18"/>
                <w:szCs w:val="18"/>
                <w:color w:val="auto"/>
              </w:rPr>
              <w:t>James S. Kahan</w:t>
            </w:r>
          </w:p>
        </w:tc>
        <w:tc>
          <w:tcPr>
            <w:tcW w:w="1260" w:type="dxa"/>
            <w:vAlign w:val="bottom"/>
          </w:tcPr>
          <w:p>
            <w:pPr>
              <w:spacing w:after="0"/>
              <w:rPr>
                <w:sz w:val="24"/>
                <w:szCs w:val="24"/>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w w:val="92"/>
              </w:rPr>
              <w:t>72   Mr. Kahan has been a director of Amdocs since 1998 and is Chairman of the Nominating and</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1"/>
              </w:rPr>
              <w:t>Corporate Governance Committee. From 1983 until his retirement in 2007, he worked at SBC</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2"/>
              </w:rPr>
              <w:t>Communications Inc., which is now AT&amp;T, and served as a Senior Executive Vice President</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from 1992 until 2007. AT&amp;T is our most significant customer. Prior to joining AT&amp;T,</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9"/>
              </w:rPr>
              <w:t>Mr. Kahan held various positions at several telecommunications companies, including</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7"/>
              </w:rPr>
              <w:t>Western Electric, Bell Laboratories, South Central Bell and AT&amp;T Corp. Mr. Kahan also</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6"/>
              </w:rPr>
              <w:t>serves on the Board of Directors of Live Nation Entertainment, Inc., a publicly-traded live</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2"/>
              </w:rPr>
              <w:t>music and ticketing entity, as well as one private company. Mr. Kahan’s long service at SBC</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6"/>
              </w:rPr>
              <w:t>Communications Inc. and AT&amp;T, as well as his management and financial experience at</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5"/>
              </w:rPr>
              <w:t>several public and private companies, have provided him with extensive knowledge of the</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0"/>
              </w:rPr>
              <w:t>telecommunications industry, particularly with respect to corporate development, mergers and</w:t>
            </w:r>
          </w:p>
        </w:tc>
      </w:tr>
      <w:tr>
        <w:trPr>
          <w:trHeight w:val="230"/>
        </w:trPr>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acquisitions and business integration.</w:t>
            </w:r>
          </w:p>
        </w:tc>
      </w:tr>
      <w:tr>
        <w:trPr>
          <w:trHeight w:val="310"/>
        </w:trPr>
        <w:tc>
          <w:tcPr>
            <w:tcW w:w="2500" w:type="dxa"/>
            <w:vAlign w:val="bottom"/>
            <w:gridSpan w:val="2"/>
          </w:tcPr>
          <w:p>
            <w:pPr>
              <w:spacing w:after="0"/>
              <w:rPr>
                <w:sz w:val="20"/>
                <w:szCs w:val="20"/>
                <w:color w:val="auto"/>
              </w:rPr>
            </w:pPr>
            <w:r>
              <w:rPr>
                <w:rFonts w:ascii="Arial" w:cs="Arial" w:eastAsia="Arial" w:hAnsi="Arial"/>
                <w:sz w:val="18"/>
                <w:szCs w:val="18"/>
                <w:color w:val="auto"/>
              </w:rPr>
              <w:t>Rafael de la Vega</w:t>
            </w:r>
          </w:p>
        </w:tc>
        <w:tc>
          <w:tcPr>
            <w:tcW w:w="1260" w:type="dxa"/>
            <w:vAlign w:val="bottom"/>
          </w:tcPr>
          <w:p>
            <w:pPr>
              <w:spacing w:after="0"/>
              <w:rPr>
                <w:sz w:val="24"/>
                <w:szCs w:val="24"/>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w w:val="92"/>
              </w:rPr>
              <w:t>68   Mr. Rafael de la Vega has been a director of Amdocs since January 2018 and is Chairman of</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w w:val="90"/>
              </w:rPr>
              <w:t>the Management Resources and Compensation Committee. Since 2017, he has served as the</w:t>
            </w:r>
          </w:p>
        </w:tc>
      </w:tr>
      <w:tr>
        <w:trPr>
          <w:trHeight w:val="230"/>
        </w:trPr>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0" w:type="dxa"/>
            <w:vAlign w:val="bottom"/>
          </w:tcPr>
          <w:p>
            <w:pPr>
              <w:ind w:left="200"/>
              <w:spacing w:after="0"/>
              <w:rPr>
                <w:sz w:val="20"/>
                <w:szCs w:val="20"/>
                <w:color w:val="auto"/>
              </w:rPr>
            </w:pPr>
            <w:r>
              <w:rPr>
                <w:rFonts w:ascii="Arial" w:cs="Arial" w:eastAsia="Arial" w:hAnsi="Arial"/>
                <w:sz w:val="18"/>
                <w:szCs w:val="18"/>
                <w:color w:val="auto"/>
              </w:rPr>
              <w:t>Chairman and Founder of the De La Vega Group, a consultancy</w:t>
            </w:r>
          </w:p>
        </w:tc>
      </w:tr>
      <w:tr>
        <w:trPr>
          <w:trHeight w:val="365"/>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500" w:type="dxa"/>
            <w:vAlign w:val="bottom"/>
            <w:gridSpan w:val="3"/>
          </w:tcPr>
          <w:p>
            <w:pPr>
              <w:jc w:val="right"/>
              <w:ind w:right="535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000"/>
          </w:cols>
          <w:pgMar w:left="440" w:top="265" w:right="45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700" w:type="dxa"/>
            <w:vAlign w:val="bottom"/>
            <w:gridSpan w:val="3"/>
          </w:tcPr>
          <w:p>
            <w:pPr>
              <w:jc w:val="right"/>
              <w:ind w:right="6950"/>
              <w:spacing w:after="0"/>
              <w:rPr>
                <w:sz w:val="20"/>
                <w:szCs w:val="20"/>
                <w:color w:val="auto"/>
              </w:rPr>
            </w:pPr>
            <w:r>
              <w:rPr>
                <w:rFonts w:ascii="Arial" w:cs="Arial" w:eastAsia="Arial" w:hAnsi="Arial"/>
                <w:sz w:val="14"/>
                <w:szCs w:val="14"/>
                <w:b w:val="1"/>
                <w:bCs w:val="1"/>
                <w:color w:val="auto"/>
              </w:rPr>
              <w:t>Age</w:t>
            </w:r>
          </w:p>
        </w:tc>
      </w:tr>
      <w:tr>
        <w:trPr>
          <w:trHeight w:val="188"/>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20" w:type="dxa"/>
            <w:vAlign w:val="bottom"/>
          </w:tcPr>
          <w:p>
            <w:pPr>
              <w:ind w:left="200"/>
              <w:spacing w:after="0" w:line="189" w:lineRule="exact"/>
              <w:rPr>
                <w:sz w:val="20"/>
                <w:szCs w:val="20"/>
                <w:color w:val="auto"/>
              </w:rPr>
            </w:pPr>
            <w:r>
              <w:rPr>
                <w:rFonts w:ascii="Arial" w:cs="Arial" w:eastAsia="Arial" w:hAnsi="Arial"/>
                <w:sz w:val="18"/>
                <w:szCs w:val="18"/>
                <w:color w:val="auto"/>
                <w:w w:val="91"/>
              </w:rPr>
              <w:t>and advisory services firm. From February 2016 to December 2016, Mr. de la Vega served as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the Vice Chairman of AT&amp;T Inc. and CEO of Business Solutions &amp; International. From 2014</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to 2016 Mr. de la Vega served as President and CEO of AT&amp;T Mobile and Business Solutions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and from 2007 to 2014 he served as the President and CEO of AT&amp;T Mobility. Mr. de la Vega</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6"/>
              </w:rPr>
              <w:t>also held various positions at several telecommunications companies, including Cingular</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Wireless and Bell South Latin America. During his time at Cingular Wireless, he was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0"/>
              </w:rPr>
              <w:t>responsible for the integration of AT&amp;T Wireless and Cingular Wireless. He also serves on the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boards of American Express Company and New York Life Insurance Company. He served on</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the Executive Committee of the Boy Scouts of America until May 2018 and served as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Chairman of the 2017 Boy Scouts Jamboree. He is the former Chairman of Junior</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5"/>
              </w:rPr>
              <w:t>Achievement Worldwide and continues to serve on its board of directors. In June of 2018,</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6"/>
              </w:rPr>
              <w:t>Mr. de la Vega joined as the Vice Chairman of the Board of Directors of Ubicquia LLC. In</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0"/>
              </w:rPr>
              <w:t>September of 2018 he joined the Board of Advisors of RapidSOS. Mr. de la Vega also recently</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0"/>
              </w:rPr>
              <w:t>joined Forté Ventures as a Limited Partner. We believe Mr. de la Vega’s qualifications to sit on</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our Board of Directors includes his extensive experience and leadership in the</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telecommunications industry.</w:t>
            </w:r>
          </w:p>
        </w:tc>
      </w:tr>
      <w:tr>
        <w:trPr>
          <w:trHeight w:val="310"/>
        </w:trPr>
        <w:tc>
          <w:tcPr>
            <w:tcW w:w="2320" w:type="dxa"/>
            <w:vAlign w:val="bottom"/>
            <w:gridSpan w:val="3"/>
          </w:tcPr>
          <w:p>
            <w:pPr>
              <w:spacing w:after="0"/>
              <w:rPr>
                <w:sz w:val="20"/>
                <w:szCs w:val="20"/>
                <w:color w:val="auto"/>
              </w:rPr>
            </w:pPr>
            <w:r>
              <w:rPr>
                <w:rFonts w:ascii="Arial" w:cs="Arial" w:eastAsia="Arial" w:hAnsi="Arial"/>
                <w:sz w:val="18"/>
                <w:szCs w:val="18"/>
                <w:color w:val="auto"/>
              </w:rPr>
              <w:t>Giora Yaron</w:t>
            </w:r>
          </w:p>
        </w:tc>
        <w:tc>
          <w:tcPr>
            <w:tcW w:w="1440" w:type="dxa"/>
            <w:vAlign w:val="bottom"/>
          </w:tcPr>
          <w:p>
            <w:pPr>
              <w:spacing w:after="0"/>
              <w:rPr>
                <w:sz w:val="24"/>
                <w:szCs w:val="24"/>
                <w:color w:val="auto"/>
              </w:rPr>
            </w:pPr>
          </w:p>
        </w:tc>
        <w:tc>
          <w:tcPr>
            <w:tcW w:w="726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71   Dr. Yaron has been a director of Amdocs since 2009 and is Chairman of the Technology and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Innovation Committee. Dr. Yaron co-founded Itamar Medical Ltd., a publicly-traded medical</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technology company, and has been its co-chairman since 1997 and since 2015, served as its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7"/>
              </w:rPr>
              <w:t>chairman. Dr. Yaron provides consulting services to Itamar Medical and to various other</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technology companies. He co-founded P-cube, Pentacom, Qumranet, Exanet and Comsys,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privately-held companies sold to multinational corporations. In 2009, Dr. Yaron also</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co-founded Qwilt, Inc., a privately-held video technology company and serves as one of its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8"/>
              </w:rPr>
              <w:t>directors. Dr. Yaron served as a director of Hyperwise Security, a company focused on</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7"/>
              </w:rPr>
              <w:t>providing a comprehensive APT protection, which was sold to Checkpoint in early 2015,</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serves as Chairman of the Board at Excelero (ExpressIO), a company focused on providing</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ultra-fast block storage solution and Equalum focused on streaming in real-time changes from</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6"/>
              </w:rPr>
              <w:t>a variety of data bases to a unified platform for real-time Big Data Analytics. Since 2010,</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Dr. Yaron has been the chairman of The Executive Council of Tel Aviv University, an</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7"/>
              </w:rPr>
              <w:t>institution of higher education and a director of Ramot, which is the Tel Aviv University’s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0"/>
              </w:rPr>
              <w:t>technology transfer company until 2015. Dr. Yaron has served on the advisory board of Rafael</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Advanced Defense Systems, Ltd., a developer of high-tech defense systems, since 2008, and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5"/>
              </w:rPr>
              <w:t>on the advisory board of the Israeli Ministry of Defense since 2011. Dr. Yaron served from</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2"/>
              </w:rPr>
              <w:t>1996 to 2006 as a member of the Board of Directors of Mercury Interactive, a publicly-traded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IT optimization software company acquired by Hewlett-Packard, including as chairman from</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2004 to 2006. We believe that Dr. Yaron’s qualifications to</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700" w:type="dxa"/>
            <w:vAlign w:val="bottom"/>
            <w:gridSpan w:val="3"/>
          </w:tcPr>
          <w:p>
            <w:pPr>
              <w:jc w:val="right"/>
              <w:ind w:right="537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20"/>
          </w:cols>
          <w:pgMar w:left="440" w:top="265"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400" w:type="dxa"/>
            <w:vAlign w:val="bottom"/>
            <w:gridSpan w:val="3"/>
          </w:tcPr>
          <w:p>
            <w:pPr>
              <w:jc w:val="right"/>
              <w:ind w:right="6950"/>
              <w:spacing w:after="0"/>
              <w:rPr>
                <w:sz w:val="20"/>
                <w:szCs w:val="20"/>
                <w:color w:val="auto"/>
              </w:rPr>
            </w:pPr>
            <w:r>
              <w:rPr>
                <w:rFonts w:ascii="Arial" w:cs="Arial" w:eastAsia="Arial" w:hAnsi="Arial"/>
                <w:sz w:val="14"/>
                <w:szCs w:val="14"/>
                <w:b w:val="1"/>
                <w:bCs w:val="1"/>
                <w:color w:val="auto"/>
              </w:rPr>
              <w:t>Age</w:t>
            </w:r>
          </w:p>
        </w:tc>
      </w:tr>
      <w:tr>
        <w:trPr>
          <w:trHeight w:val="188"/>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20" w:type="dxa"/>
            <w:vAlign w:val="bottom"/>
          </w:tcPr>
          <w:p>
            <w:pPr>
              <w:ind w:left="200"/>
              <w:spacing w:after="0" w:line="189" w:lineRule="exact"/>
              <w:rPr>
                <w:sz w:val="20"/>
                <w:szCs w:val="20"/>
                <w:color w:val="auto"/>
              </w:rPr>
            </w:pPr>
            <w:r>
              <w:rPr>
                <w:rFonts w:ascii="Arial" w:cs="Arial" w:eastAsia="Arial" w:hAnsi="Arial"/>
                <w:sz w:val="18"/>
                <w:szCs w:val="18"/>
                <w:color w:val="auto"/>
                <w:w w:val="98"/>
              </w:rPr>
              <w:t>sit on our Board of Directors include his experience as an entrepreneur and the various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9"/>
              </w:rPr>
              <w:t>leadership positions he has held on the boards of directors of software and technology</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companies.</w:t>
            </w:r>
          </w:p>
        </w:tc>
      </w:tr>
      <w:tr>
        <w:trPr>
          <w:trHeight w:val="310"/>
        </w:trPr>
        <w:tc>
          <w:tcPr>
            <w:tcW w:w="2620" w:type="dxa"/>
            <w:vAlign w:val="bottom"/>
            <w:gridSpan w:val="3"/>
          </w:tcPr>
          <w:p>
            <w:pPr>
              <w:spacing w:after="0"/>
              <w:rPr>
                <w:sz w:val="20"/>
                <w:szCs w:val="20"/>
                <w:color w:val="auto"/>
              </w:rPr>
            </w:pPr>
            <w:r>
              <w:rPr>
                <w:rFonts w:ascii="Arial" w:cs="Arial" w:eastAsia="Arial" w:hAnsi="Arial"/>
                <w:sz w:val="18"/>
                <w:szCs w:val="18"/>
                <w:color w:val="auto"/>
              </w:rPr>
              <w:t>Eli Gelman</w:t>
            </w:r>
          </w:p>
        </w:tc>
        <w:tc>
          <w:tcPr>
            <w:tcW w:w="1140" w:type="dxa"/>
            <w:vAlign w:val="bottom"/>
          </w:tcPr>
          <w:p>
            <w:pPr>
              <w:spacing w:after="0"/>
              <w:rPr>
                <w:sz w:val="24"/>
                <w:szCs w:val="24"/>
                <w:color w:val="auto"/>
              </w:rPr>
            </w:pPr>
          </w:p>
        </w:tc>
        <w:tc>
          <w:tcPr>
            <w:tcW w:w="7260" w:type="dxa"/>
            <w:vAlign w:val="bottom"/>
            <w:gridSpan w:val="2"/>
          </w:tcPr>
          <w:p>
            <w:pPr>
              <w:ind w:left="20"/>
              <w:spacing w:after="0"/>
              <w:rPr>
                <w:sz w:val="20"/>
                <w:szCs w:val="20"/>
                <w:color w:val="auto"/>
              </w:rPr>
            </w:pPr>
            <w:r>
              <w:rPr>
                <w:rFonts w:ascii="Arial" w:cs="Arial" w:eastAsia="Arial" w:hAnsi="Arial"/>
                <w:sz w:val="18"/>
                <w:szCs w:val="18"/>
                <w:color w:val="auto"/>
                <w:w w:val="97"/>
              </w:rPr>
              <w:t>61   Mr. Gelman has been a director of Amdocs since 2002. Since January 2019 Mr. Gelman</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serves as the chairman of the Executive Council of Tel Aviv University. Mr. Gelman served as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our President and Chief Executive Officer from 2010 to September 30, 2018. From 2010 until</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6"/>
              </w:rPr>
              <w:t>2013, Mr. Gelman served as a director of Retalix, a global software company, and during</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2010, he also served as its Chairman. From 2008 to 2010, Mr. Gelman devoted his time to</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5"/>
              </w:rPr>
              <w:t>charitable matters focused on youth education. He served as Executive Vice President of</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Amdocs Management Limited from 2002 until 2008 and as our Chief Operating Officer from</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2006 until 2008. Prior to 2002, he was a Senior Vice President, where he headed our U.S.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sales and marketing operations and helped spearhead our entry into the customer care and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8"/>
              </w:rPr>
              <w:t>billing systems market. Before that, Mr. Gelman was an account manager for our major</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European and North American installations, and has led several major software development</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projects. Before joining Amdocs, Mr. Gelman was involved in the development of real-time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software systems for communications networks and software projects for NASA.</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7"/>
              </w:rPr>
              <w:t>Mr. Gelman’s qualifications to serve on our Board of Directors include his more than two</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decades of service to Amdocs and its customers, including as our Chief Operating Officer and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President and Chief Executive Officer. With more than 30 years of experience in the software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7"/>
              </w:rPr>
              <w:t>industry, he possesses a vast institutional knowledge and strategic understanding of our</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organization and industry.</w:t>
            </w:r>
          </w:p>
        </w:tc>
      </w:tr>
      <w:tr>
        <w:trPr>
          <w:trHeight w:val="310"/>
        </w:trPr>
        <w:tc>
          <w:tcPr>
            <w:tcW w:w="2620" w:type="dxa"/>
            <w:vAlign w:val="bottom"/>
            <w:gridSpan w:val="3"/>
          </w:tcPr>
          <w:p>
            <w:pPr>
              <w:spacing w:after="0"/>
              <w:rPr>
                <w:sz w:val="20"/>
                <w:szCs w:val="20"/>
                <w:color w:val="auto"/>
              </w:rPr>
            </w:pPr>
            <w:r>
              <w:rPr>
                <w:rFonts w:ascii="Arial" w:cs="Arial" w:eastAsia="Arial" w:hAnsi="Arial"/>
                <w:sz w:val="18"/>
                <w:szCs w:val="18"/>
                <w:color w:val="auto"/>
              </w:rPr>
              <w:t>Richard T.C. LeFave</w:t>
            </w:r>
          </w:p>
        </w:tc>
        <w:tc>
          <w:tcPr>
            <w:tcW w:w="1140" w:type="dxa"/>
            <w:vAlign w:val="bottom"/>
          </w:tcPr>
          <w:p>
            <w:pPr>
              <w:spacing w:after="0"/>
              <w:rPr>
                <w:sz w:val="24"/>
                <w:szCs w:val="24"/>
                <w:color w:val="auto"/>
              </w:rPr>
            </w:pPr>
          </w:p>
        </w:tc>
        <w:tc>
          <w:tcPr>
            <w:tcW w:w="7260" w:type="dxa"/>
            <w:vAlign w:val="bottom"/>
            <w:gridSpan w:val="2"/>
          </w:tcPr>
          <w:p>
            <w:pPr>
              <w:ind w:left="20"/>
              <w:spacing w:after="0"/>
              <w:rPr>
                <w:sz w:val="20"/>
                <w:szCs w:val="20"/>
                <w:color w:val="auto"/>
              </w:rPr>
            </w:pPr>
            <w:r>
              <w:rPr>
                <w:rFonts w:ascii="Arial" w:cs="Arial" w:eastAsia="Arial" w:hAnsi="Arial"/>
                <w:sz w:val="18"/>
                <w:szCs w:val="18"/>
                <w:color w:val="auto"/>
                <w:w w:val="94"/>
              </w:rPr>
              <w:t>68   Mr. LeFave has been a director of Amdocs since 2011. Since 2008, Mr. LeFave has been a</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9"/>
              </w:rPr>
              <w:t>Principal at D&amp;L Partners, LLC, an information technology consulting firm. Mr. LeFave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9"/>
              </w:rPr>
              <w:t>served as Chief Information Officer for Nextel Communications, a telecommunications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company, from 1999 until its merger with Sprint Corporation in 2005, after which he served as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Chief Information Officer for Sprint Nextel Corporation until 2008. From 1995 to 1999,</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9"/>
              </w:rPr>
              <w:t>Mr. LeFave served as Chief Information Officer for Southern New England Telephone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6"/>
              </w:rPr>
              <w:t>Company, a provider of communications products and services. Mr. LeFave has held the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CISO position and duties for a U.S.-based manufacturing firm and attended Harvard Business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School courses in Board Compensation and Audit Committee strategies. We believe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0"/>
              </w:rPr>
              <w:t>Mr. LeFave’s qualifications to sit on our board include his extensive experience and leadership</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in the information technology and telecommunications industry.</w:t>
            </w:r>
          </w:p>
        </w:tc>
      </w:tr>
      <w:tr>
        <w:trPr>
          <w:trHeight w:val="310"/>
        </w:trPr>
        <w:tc>
          <w:tcPr>
            <w:tcW w:w="2620" w:type="dxa"/>
            <w:vAlign w:val="bottom"/>
            <w:gridSpan w:val="3"/>
          </w:tcPr>
          <w:p>
            <w:pPr>
              <w:spacing w:after="0"/>
              <w:rPr>
                <w:sz w:val="20"/>
                <w:szCs w:val="20"/>
                <w:color w:val="auto"/>
              </w:rPr>
            </w:pPr>
            <w:r>
              <w:rPr>
                <w:rFonts w:ascii="Arial" w:cs="Arial" w:eastAsia="Arial" w:hAnsi="Arial"/>
                <w:sz w:val="18"/>
                <w:szCs w:val="18"/>
                <w:color w:val="auto"/>
              </w:rPr>
              <w:t>John A. MacDonald</w:t>
            </w:r>
          </w:p>
        </w:tc>
        <w:tc>
          <w:tcPr>
            <w:tcW w:w="1140" w:type="dxa"/>
            <w:vAlign w:val="bottom"/>
          </w:tcPr>
          <w:p>
            <w:pPr>
              <w:spacing w:after="0"/>
              <w:rPr>
                <w:sz w:val="24"/>
                <w:szCs w:val="24"/>
                <w:color w:val="auto"/>
              </w:rPr>
            </w:pPr>
          </w:p>
        </w:tc>
        <w:tc>
          <w:tcPr>
            <w:tcW w:w="7260" w:type="dxa"/>
            <w:vAlign w:val="bottom"/>
            <w:gridSpan w:val="2"/>
          </w:tcPr>
          <w:p>
            <w:pPr>
              <w:ind w:left="20"/>
              <w:spacing w:after="0"/>
              <w:rPr>
                <w:sz w:val="20"/>
                <w:szCs w:val="20"/>
                <w:color w:val="auto"/>
              </w:rPr>
            </w:pPr>
            <w:r>
              <w:rPr>
                <w:rFonts w:ascii="Arial" w:cs="Arial" w:eastAsia="Arial" w:hAnsi="Arial"/>
                <w:sz w:val="18"/>
                <w:szCs w:val="18"/>
                <w:color w:val="auto"/>
                <w:w w:val="92"/>
              </w:rPr>
              <w:t>66   Mr. MacDonald has been a director of Amdocs since 2019. Mr. MacDonald is an experienced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2"/>
              </w:rPr>
              <w:t>senior executive who has worked at some of Canada’s largest technology organizations and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2"/>
              </w:rPr>
              <w:t>serves as a board member of Rogers Communications Inc. and BookJane Inc. From 2003 to</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2008, Mr. MacDonald served as the</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0" w:type="dxa"/>
            <w:vAlign w:val="bottom"/>
            <w:gridSpan w:val="3"/>
          </w:tcPr>
          <w:p>
            <w:pPr>
              <w:jc w:val="right"/>
              <w:ind w:right="537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20"/>
          </w:cols>
          <w:pgMar w:left="440" w:top="265"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600" w:type="dxa"/>
            <w:vAlign w:val="bottom"/>
            <w:gridSpan w:val="3"/>
          </w:tcPr>
          <w:p>
            <w:pPr>
              <w:ind w:left="1320"/>
              <w:spacing w:after="0"/>
              <w:rPr>
                <w:sz w:val="20"/>
                <w:szCs w:val="20"/>
                <w:color w:val="auto"/>
              </w:rPr>
            </w:pPr>
            <w:r>
              <w:rPr>
                <w:rFonts w:ascii="Arial" w:cs="Arial" w:eastAsia="Arial" w:hAnsi="Arial"/>
                <w:sz w:val="14"/>
                <w:szCs w:val="14"/>
                <w:b w:val="1"/>
                <w:bCs w:val="1"/>
                <w:color w:val="auto"/>
              </w:rPr>
              <w:t>Age</w:t>
            </w:r>
          </w:p>
        </w:tc>
      </w:tr>
      <w:tr>
        <w:trPr>
          <w:trHeight w:val="188"/>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20" w:type="dxa"/>
            <w:vAlign w:val="bottom"/>
          </w:tcPr>
          <w:p>
            <w:pPr>
              <w:ind w:left="200"/>
              <w:spacing w:after="0" w:line="189" w:lineRule="exact"/>
              <w:rPr>
                <w:sz w:val="20"/>
                <w:szCs w:val="20"/>
                <w:color w:val="auto"/>
              </w:rPr>
            </w:pPr>
            <w:r>
              <w:rPr>
                <w:rFonts w:ascii="Arial" w:cs="Arial" w:eastAsia="Arial" w:hAnsi="Arial"/>
                <w:sz w:val="18"/>
                <w:szCs w:val="18"/>
                <w:color w:val="auto"/>
              </w:rPr>
              <w:t>President, Enterprise Division of MTS Allstream. Before that, between 2002 to 2003,</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Mr. MacDonald was a President and Chief Operating Officer AT&amp;T Canada. AT&amp;T Canada</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was re-branded Allstream in 2003 and was subsequently acquired by MTS the following year.</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In 1994 Mr. MacDonald joined Bell Canada as its Chief Technology Officer and retired from</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Bell Canada in 1999 as its President and Chief Operating Officer. From 1977 to 1994</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6"/>
              </w:rPr>
              <w:t>Mr. MacDonald worked at NBTel, where he became Chief Executive Officer in 1994. We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2"/>
              </w:rPr>
              <w:t>believe Mr. MacDonald’s qualifications to sit on our Board of Directors includes his extensive</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experience and leadership in the telecommunications industry.</w:t>
            </w:r>
          </w:p>
        </w:tc>
      </w:tr>
      <w:tr>
        <w:trPr>
          <w:trHeight w:val="310"/>
        </w:trPr>
        <w:tc>
          <w:tcPr>
            <w:tcW w:w="2420" w:type="dxa"/>
            <w:vAlign w:val="bottom"/>
            <w:gridSpan w:val="3"/>
          </w:tcPr>
          <w:p>
            <w:pPr>
              <w:spacing w:after="0"/>
              <w:rPr>
                <w:sz w:val="20"/>
                <w:szCs w:val="20"/>
                <w:color w:val="auto"/>
              </w:rPr>
            </w:pPr>
            <w:r>
              <w:rPr>
                <w:rFonts w:ascii="Arial" w:cs="Arial" w:eastAsia="Arial" w:hAnsi="Arial"/>
                <w:sz w:val="18"/>
                <w:szCs w:val="18"/>
                <w:color w:val="auto"/>
              </w:rPr>
              <w:t>Shuky Sheffer</w:t>
            </w:r>
          </w:p>
        </w:tc>
        <w:tc>
          <w:tcPr>
            <w:tcW w:w="1340" w:type="dxa"/>
            <w:vAlign w:val="bottom"/>
          </w:tcPr>
          <w:p>
            <w:pPr>
              <w:spacing w:after="0"/>
              <w:rPr>
                <w:sz w:val="24"/>
                <w:szCs w:val="24"/>
                <w:color w:val="auto"/>
              </w:rPr>
            </w:pPr>
          </w:p>
        </w:tc>
        <w:tc>
          <w:tcPr>
            <w:tcW w:w="7260" w:type="dxa"/>
            <w:vAlign w:val="bottom"/>
            <w:gridSpan w:val="2"/>
          </w:tcPr>
          <w:p>
            <w:pPr>
              <w:ind w:left="20"/>
              <w:spacing w:after="0"/>
              <w:rPr>
                <w:sz w:val="20"/>
                <w:szCs w:val="20"/>
                <w:color w:val="auto"/>
              </w:rPr>
            </w:pPr>
            <w:r>
              <w:rPr>
                <w:rFonts w:ascii="Arial" w:cs="Arial" w:eastAsia="Arial" w:hAnsi="Arial"/>
                <w:sz w:val="18"/>
                <w:szCs w:val="18"/>
                <w:color w:val="auto"/>
              </w:rPr>
              <w:t>59   Mr. Sheffer is a director and has been our President and Chief Executive Officer since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October 1, 2018. Mr. Sheffer previously served as Senior Vice President and President of the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5"/>
              </w:rPr>
              <w:t>Global Business Group from October 2013 to September 30, 2018. Mr. Sheffer served as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Chief Executive Officer of Retalix Ltd., a global software company, from 2009 until its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acquisition by NCR Corporation in 2013. Following the acquisition, he served as a General</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7"/>
              </w:rPr>
              <w:t>Manager of Retalix through September 2013. From 1986 to 2009, Mr. Sheffer served at</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various managerial positions at Amdocs, most recently as President of the Emerging Markets</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Divisions.</w:t>
            </w:r>
          </w:p>
        </w:tc>
      </w:tr>
      <w:tr>
        <w:trPr>
          <w:trHeight w:val="310"/>
        </w:trPr>
        <w:tc>
          <w:tcPr>
            <w:tcW w:w="2420" w:type="dxa"/>
            <w:vAlign w:val="bottom"/>
            <w:gridSpan w:val="3"/>
          </w:tcPr>
          <w:p>
            <w:pPr>
              <w:spacing w:after="0"/>
              <w:rPr>
                <w:sz w:val="20"/>
                <w:szCs w:val="20"/>
                <w:color w:val="auto"/>
              </w:rPr>
            </w:pPr>
            <w:r>
              <w:rPr>
                <w:rFonts w:ascii="Arial" w:cs="Arial" w:eastAsia="Arial" w:hAnsi="Arial"/>
                <w:sz w:val="18"/>
                <w:szCs w:val="18"/>
                <w:color w:val="auto"/>
              </w:rPr>
              <w:t>Yvette Kanouff</w:t>
            </w:r>
          </w:p>
        </w:tc>
        <w:tc>
          <w:tcPr>
            <w:tcW w:w="1340" w:type="dxa"/>
            <w:vAlign w:val="bottom"/>
          </w:tcPr>
          <w:p>
            <w:pPr>
              <w:spacing w:after="0"/>
              <w:rPr>
                <w:sz w:val="24"/>
                <w:szCs w:val="24"/>
                <w:color w:val="auto"/>
              </w:rPr>
            </w:pPr>
          </w:p>
        </w:tc>
        <w:tc>
          <w:tcPr>
            <w:tcW w:w="7260" w:type="dxa"/>
            <w:vAlign w:val="bottom"/>
            <w:gridSpan w:val="2"/>
          </w:tcPr>
          <w:p>
            <w:pPr>
              <w:ind w:left="20"/>
              <w:spacing w:after="0"/>
              <w:rPr>
                <w:sz w:val="20"/>
                <w:szCs w:val="20"/>
                <w:color w:val="auto"/>
              </w:rPr>
            </w:pPr>
            <w:r>
              <w:rPr>
                <w:rFonts w:ascii="Arial" w:cs="Arial" w:eastAsia="Arial" w:hAnsi="Arial"/>
                <w:sz w:val="18"/>
                <w:szCs w:val="18"/>
                <w:color w:val="auto"/>
                <w:w w:val="93"/>
              </w:rPr>
              <w:t>54   Ms. Kanouff is a nominee for director at Amdocs. Ms. Kanouff is currently a partner and chief</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technology officer at Silicon Valley-based venture capital and private equity firm JC2</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Ventures where Ms. Kanouff is responsible for technology strategy and engineering</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relationships within JC2 Ventures investment companies, partners, and customers. Prior to</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2"/>
              </w:rPr>
              <w:t>that, Ms. Kanouff served as a senior vice president and general manager for Cisco’s Service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Provider Business where she was responsible for more than $7 billion in direct revenue and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more than 6,000 employees globally. Previously, Ms. Kanouff held leadership positions for</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5"/>
              </w:rPr>
              <w:t>numerous companies, including Cablevision, SeaChange International, and Time Warner.</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8"/>
              </w:rPr>
              <w:t>Ms. Kanouff holds a bachelor’s degree and a master’s degree in mathematics from the</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University of Central Florida. Ms. Kanouff is also a director and executive advisor of several</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private technology companies. We believe Ms. Kanouff qualifications to serve on our Board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of Directors include her extensive experience as a venture capital partner, chief technology</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8"/>
              </w:rPr>
              <w:t>officer, senior vice president and general manager among other leadership positions at</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3"/>
              </w:rPr>
              <w:t>numerous technology companies, all of which enable her to make a valuable contribution to</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our company strategy.</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Board of Directors maintains four committees as set forth below. Members of each committee are appointed by the Board of Directors.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65" w:right="439" w:bottom="1440" w:gutter="0" w:footer="0" w:header="0"/>
        </w:sectPr>
      </w:pPr>
    </w:p>
    <w:bookmarkStart w:id="11" w:name="page12"/>
    <w:bookmarkEnd w:id="11"/>
    <w:p>
      <w:pPr>
        <w:ind w:right="40" w:firstLine="441"/>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w:t>
      </w:r>
      <w:r>
        <w:rPr>
          <w:rFonts w:ascii="Arial" w:cs="Arial" w:eastAsia="Arial" w:hAnsi="Arial"/>
          <w:sz w:val="16"/>
          <w:szCs w:val="16"/>
          <w:color w:val="auto"/>
        </w:rPr>
        <w:t>. The Audit Committee reviews, acts on and reports to the Board of Directors with respect to various auditing and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Subject to their election, the Board of Directors has appointed Messrs. Gardner (Chair), LeFave and Minicucci, all of whom are independent directors (including under the heightened independence requirements for members of the Audit Committee), as defined by the rules of Nasdaq, and pursuant to the categorical director independence standards adopted by our Board of Directors to serve as members of the Audit Committee. The Board of Directors has determined that Mr. Gardner is an “audit committee financial expert” as defined by rules promulgated by the SEC, and that each member of the Audit Committee is financially literate as required by the rules of Nasdaq. In particular, we believe that the professional experiences of Messrs. Gardner, LeFave and Minicucci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LeFave’s experience as a seasoned Fortune 500 CIO and CISO for over 5 years provides a foundation of cyber awareness to the Audit Committee and also believe that Mr. LeFave’s post-graduate training at Harvard Business School in Audit Committee and Board compensation best practices provides valuable contributions to the Committee. Similarly, we believe that</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Mr. Minucucci’s experience as chief financial officer to a public company and treasurer of another public company have provided him with strong business acumen and strategic and financial expertise that benefits the Committee. The Audit Committee written charter is available on our website at </w:t>
      </w:r>
      <w:r>
        <w:rPr>
          <w:rFonts w:ascii="Arial" w:cs="Arial" w:eastAsia="Arial" w:hAnsi="Arial"/>
          <w:sz w:val="18"/>
          <w:szCs w:val="18"/>
          <w:i w:val="1"/>
          <w:iCs w:val="1"/>
          <w:color w:val="auto"/>
        </w:rPr>
        <w:t>www.amdocs.com.</w:t>
      </w:r>
    </w:p>
    <w:p>
      <w:pPr>
        <w:spacing w:after="0" w:line="190"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The Nominating and Corporate Governance Committee identifies individuals qualified to</w:t>
      </w:r>
      <w:r>
        <w:rPr>
          <w:rFonts w:ascii="Arial" w:cs="Arial" w:eastAsia="Arial" w:hAnsi="Arial"/>
          <w:sz w:val="16"/>
          <w:szCs w:val="16"/>
          <w:i w:val="1"/>
          <w:iCs w:val="1"/>
          <w:color w:val="auto"/>
        </w:rPr>
        <w:t xml:space="preserve"> </w:t>
      </w:r>
      <w:r>
        <w:rPr>
          <w:rFonts w:ascii="Arial" w:cs="Arial" w:eastAsia="Arial" w:hAnsi="Arial"/>
          <w:sz w:val="16"/>
          <w:szCs w:val="16"/>
          <w:color w:val="auto"/>
        </w:rPr>
        <w:t>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Subject to their election, the Board of Directors has appointed Messrs. Kahan (Chair), Minicucci and LeFave, all of whom are independent directors, in accordance with Nasdaq standards, and pursuant to the categorical director independence standards adopted by our Board of Directors to serve as members of the Nominating and Corporate Governance Committee. The Nominating and Corporate Governance Committee written charter is available on our website at www.amdocs.com. The Nominating and Corporate Governance Committee has approved corporate governance guidelines that are also available on our website at www.amdocs.com. You may request a copy of the corporate governance guidelines, at no cost, by writing to us at the address listed below under the heading “Annual Report on Form 20-F.”</w:t>
      </w:r>
    </w:p>
    <w:p>
      <w:pPr>
        <w:spacing w:after="0" w:line="16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i w:val="1"/>
          <w:iCs w:val="1"/>
          <w:color w:val="auto"/>
        </w:rPr>
        <w:t>Management Resources and Compensation Committee</w:t>
      </w:r>
      <w:r>
        <w:rPr>
          <w:rFonts w:ascii="Arial" w:cs="Arial" w:eastAsia="Arial" w:hAnsi="Arial"/>
          <w:sz w:val="16"/>
          <w:szCs w:val="16"/>
          <w:color w:val="auto"/>
        </w:rPr>
        <w:t>. The Management Resources and Compensation Committee discharges the responsibilities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Subject to their election, the Board of Directors has appointed Messrs. De la Vega (Chair), LeFave, Minicucci and MacDonald, all of whom are independent directors, as defined by the rules of Nasdaq, and pursuant to the categorical director independence standards adopted by our Board of Directors to serve as members of the Management Resources and Compensation Committee.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167"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i w:val="1"/>
          <w:iCs w:val="1"/>
          <w:color w:val="auto"/>
        </w:rPr>
        <w:t>Technology and Innovation Committee</w:t>
      </w:r>
      <w:r>
        <w:rPr>
          <w:rFonts w:ascii="Arial" w:cs="Arial" w:eastAsia="Arial" w:hAnsi="Arial"/>
          <w:sz w:val="18"/>
          <w:szCs w:val="18"/>
          <w:color w:val="auto"/>
        </w:rPr>
        <w:t>. The Technology and Innovation Committee was established to assist the Board of Directors in reviewing</w:t>
      </w:r>
      <w:r>
        <w:rPr>
          <w:rFonts w:ascii="Arial" w:cs="Arial" w:eastAsia="Arial" w:hAnsi="Arial"/>
          <w:sz w:val="18"/>
          <w:szCs w:val="18"/>
          <w:i w:val="1"/>
          <w:iCs w:val="1"/>
          <w:color w:val="auto"/>
        </w:rPr>
        <w:t xml:space="preserve"> </w:t>
      </w:r>
      <w:r>
        <w:rPr>
          <w:rFonts w:ascii="Arial" w:cs="Arial" w:eastAsia="Arial" w:hAnsi="Arial"/>
          <w:sz w:val="18"/>
          <w:szCs w:val="18"/>
          <w:color w:val="auto"/>
        </w:rPr>
        <w:t>our technological development, opportunities and innovation, in connection with the current and future business and markets. Subject to their election, the Board of Directors has appointed Dr. Yaron (Chair), Gelman, Kanouff and MacDonald to serve as members of the Technology and Innovation Committee.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2" w:name="page13"/>
    <w:bookmarkEnd w:id="12"/>
    <w:p>
      <w:pPr>
        <w:ind w:right="1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directors who are not our employees, or Non-Employee Directors, receive no compensation from us, except in connection with their membership on the Board of Directors and its committees as described below regarding Non-Employee Directors under the heading “Compensation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21"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During the past fiscal year, the Board of Directors held ten meetings. In addition, the Audit Committee held eight meetings, the Management Resources and Compensation Committee held four meetings, the Nominating and Corporate Governance Committee held four meetings and the Technology and Innovation Committee held three meetings in the 2019 fiscal year. During fiscal 2019, all of the directors that are nominees for re-election to the Board of Directors attended at least 75% of the aggregate of the number of Board of Directors meetings held during the time he or she was serving as a director and meetings held by all committees on which he or she then served. During fiscal 2019,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121"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4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Nasdaq listing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Our Board of Directors has adopted a formal set of categorical independence standards with respect to the determination of director independence. In accordance with these standards and Nasdaq rules, a director currently employed by us, or employed by us within the last three years, cannot be deemed to be an independent director and, consequently, Mr. Gelman and Mr. Sheffer are not independent directors. Our Board of Directors has determined that each of the following nominees for director has no material relationship with us that would interfere with the exercise of independent judgment in carrying out the responsibilities of a director and is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under such standards and rules: Messrs. Minicucci, Gardner, Kahan, de la Vega, LeFave and MacDonald and Dr. Yaron and Ms. Kanouff.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full text of our categorical standards is attached to this Proxy Statement as Appendix 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Nasdaq rules concerning any amendments to, or waivers from, any provision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w:t>
      </w:r>
    </w:p>
    <w:p>
      <w:pPr>
        <w:spacing w:after="0" w:line="248"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Commencing in fiscal 2020, each of our Non-Employee Directors receives an annual cash payment of $80,000. Each member of our Audit Committee who is a Non-Employee Director and who is not the chairman of such committee receives an annual cash payment of $30,000. Each member of our Management Resources and Compensation Committee who is a Non-Employee Director and who is not a committee chairman receives an annual cash payment of $20,000. Each member of our Nominating and Corporate Governance and Technology and Innovation Committees who is a Non-Employee Director and who is not a committee chairman receives an annual cash payment of $15,000. The Chairman of our Audit Committee receives an annual cash payment of $42,500 and the Chairman of our Management Resources and Compensation Committee receives an annual cash payment of $32,500. The Chairmen of our Nominating and Corporate Governance and Technology and Innovation Committees each receive an annual cash payment of $27,500. Each Non-Employee Director receives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annual grant of ordinary shares at a total value of $255,000. The Chairman of the Board of Directors receives an additional annual amount equal to $200,000 awarded in the form of ordinary shares. All ordinary share awards to our Non-Employee Directors vest in four equal installments of 25% each on the first day of the month following the end of each fiscal quarter, if and only if the Non-Employee Director is still serving as a non-employee director on such day. The price per share for the purpose of determining the value of the grants to our Non-Employee Directors is the Nasdaq closing price of our shares on the last trading day preceding the grant date. We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 year service.</w:t>
      </w:r>
    </w:p>
    <w:p>
      <w:pPr>
        <w:spacing w:after="0" w:line="167"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During the 2019 fiscal year, we granted to the 12 Non-Employee Directors that served in at least part of the 2019 fiscal year an aggregate of 44,235 shares at a weighted average price of $66.31 per share, which vested quarterly.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It is proposed that each of the following 10 individuals be elected to serve as a director of Amdocs Limited until the next annual general meeting of shareholders or until his or her earlier resignation or removal or until his or her respective successor is elected and qualified: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Robert A. Minicucci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Rafael de la Vega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Giora Yaron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 MacDonald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Shuky Sheffer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Yvette Kanouff</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5" w:name="page16"/>
    <w:bookmarkEnd w:id="15"/>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BENEFICIAL OWNERS AND MANAGEMENT</w:t>
      </w:r>
    </w:p>
    <w:p>
      <w:pPr>
        <w:spacing w:after="0" w:line="211" w:lineRule="exact"/>
        <w:rPr>
          <w:sz w:val="20"/>
          <w:szCs w:val="20"/>
          <w:color w:val="auto"/>
        </w:rPr>
      </w:pPr>
    </w:p>
    <w:p>
      <w:pPr>
        <w:ind w:left="436"/>
        <w:spacing w:after="0"/>
        <w:rPr>
          <w:sz w:val="20"/>
          <w:szCs w:val="20"/>
          <w:color w:val="auto"/>
        </w:rPr>
      </w:pPr>
      <w:r>
        <w:rPr>
          <w:rFonts w:ascii="Arial" w:cs="Arial" w:eastAsia="Arial" w:hAnsi="Arial"/>
          <w:sz w:val="17"/>
          <w:szCs w:val="17"/>
          <w:color w:val="auto"/>
        </w:rPr>
        <w:t>The following table sets forth specified information with respect to the beneficial ownership of the ordinary shares as of December 5, 2019 of</w:t>
      </w:r>
    </w:p>
    <w:p>
      <w:pPr>
        <w:spacing w:after="0" w:line="35" w:lineRule="exact"/>
        <w:rPr>
          <w:sz w:val="20"/>
          <w:szCs w:val="20"/>
          <w:color w:val="auto"/>
        </w:rPr>
      </w:pPr>
    </w:p>
    <w:p>
      <w:pPr>
        <w:ind w:left="-4" w:right="80" w:firstLine="4"/>
        <w:spacing w:after="0" w:line="252" w:lineRule="auto"/>
        <w:tabs>
          <w:tab w:leader="none" w:pos="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person known by us to be the beneficial owner of more than 5% of our ordinary shares, and (ii) all of our directors and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134,737,409 ordinary shares outstanding as of December 5, 2019, net of shares held in treasury. Information concerning shareholders other than our directors and officers is based on periodic public filings made by such shareholders and may not necessarily be accurate as of December 5, 2019. None of our major shareholders have voting rights that are different from those of any other shareholder.</w:t>
      </w:r>
    </w:p>
    <w:p>
      <w:pPr>
        <w:spacing w:after="0" w:line="203"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8"/>
              </w:rPr>
              <w:t>Beneficially</w:t>
            </w:r>
          </w:p>
        </w:tc>
        <w:tc>
          <w:tcPr>
            <w:tcW w:w="14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54"/>
        </w:trPr>
        <w:tc>
          <w:tcPr>
            <w:tcW w:w="6060" w:type="dxa"/>
            <w:vAlign w:val="bottom"/>
            <w:gridSpan w:val="3"/>
            <w:vMerge w:val="continue"/>
          </w:tcPr>
          <w:p>
            <w:pPr>
              <w:spacing w:after="0"/>
              <w:rPr>
                <w:sz w:val="13"/>
                <w:szCs w:val="13"/>
                <w:color w:val="auto"/>
              </w:rPr>
            </w:pPr>
          </w:p>
        </w:tc>
        <w:tc>
          <w:tcPr>
            <w:tcW w:w="860" w:type="dxa"/>
            <w:vAlign w:val="bottom"/>
          </w:tcPr>
          <w:p>
            <w:pPr>
              <w:jc w:val="center"/>
              <w:spacing w:after="0" w:line="154" w:lineRule="exact"/>
              <w:rPr>
                <w:sz w:val="20"/>
                <w:szCs w:val="20"/>
                <w:color w:val="auto"/>
              </w:rPr>
            </w:pPr>
            <w:r>
              <w:rPr>
                <w:rFonts w:ascii="Arial" w:cs="Arial" w:eastAsia="Arial" w:hAnsi="Arial"/>
                <w:sz w:val="14"/>
                <w:szCs w:val="14"/>
                <w:color w:val="auto"/>
                <w:w w:val="94"/>
              </w:rPr>
              <w:t>Owned</w:t>
            </w:r>
          </w:p>
        </w:tc>
        <w:tc>
          <w:tcPr>
            <w:tcW w:w="1460" w:type="dxa"/>
            <w:vAlign w:val="bottom"/>
            <w:gridSpan w:val="3"/>
          </w:tcPr>
          <w:p>
            <w:pPr>
              <w:jc w:val="right"/>
              <w:ind w:right="200"/>
              <w:spacing w:after="0" w:line="154" w:lineRule="exact"/>
              <w:rPr>
                <w:sz w:val="20"/>
                <w:szCs w:val="20"/>
                <w:color w:val="auto"/>
              </w:rPr>
            </w:pPr>
            <w:r>
              <w:rPr>
                <w:rFonts w:ascii="Arial" w:cs="Arial" w:eastAsia="Arial" w:hAnsi="Arial"/>
                <w:sz w:val="14"/>
                <w:szCs w:val="14"/>
                <w:color w:val="auto"/>
              </w:rPr>
              <w:t>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FMR LLC(1)</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18,209,168</w:t>
            </w:r>
          </w:p>
        </w:tc>
        <w:tc>
          <w:tcPr>
            <w:tcW w:w="6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Janus Henderson Group plc(2)</w:t>
            </w:r>
          </w:p>
        </w:tc>
        <w:tc>
          <w:tcPr>
            <w:tcW w:w="860" w:type="dxa"/>
            <w:vAlign w:val="bottom"/>
          </w:tcPr>
          <w:p>
            <w:pPr>
              <w:jc w:val="right"/>
              <w:spacing w:after="0"/>
              <w:rPr>
                <w:sz w:val="20"/>
                <w:szCs w:val="20"/>
                <w:color w:val="auto"/>
              </w:rPr>
            </w:pPr>
            <w:r>
              <w:rPr>
                <w:rFonts w:ascii="Arial" w:cs="Arial" w:eastAsia="Arial" w:hAnsi="Arial"/>
                <w:sz w:val="18"/>
                <w:szCs w:val="18"/>
                <w:color w:val="auto"/>
              </w:rPr>
              <w:t>7,616,644</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(14 persons)(3)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2,413,335</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63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436" w:right="160" w:hanging="436"/>
        <w:spacing w:after="0" w:line="268" w:lineRule="auto"/>
        <w:tabs>
          <w:tab w:leader="none" w:pos="436"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a Schedule 13G/A filed by FMR LLC, or FMR, with the SEC on February 13, 2019, as of December 31, 2018, FMR had sole power to vote or direct the vote over 1,444,363 shares and sole power to dispose or direct the disposition of 18,209,168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spacing w:after="0" w:line="3" w:lineRule="exact"/>
        <w:rPr>
          <w:rFonts w:ascii="Arial" w:cs="Arial" w:eastAsia="Arial" w:hAnsi="Arial"/>
          <w:sz w:val="17"/>
          <w:szCs w:val="17"/>
          <w:color w:val="auto"/>
        </w:rPr>
      </w:pPr>
    </w:p>
    <w:p>
      <w:pPr>
        <w:ind w:left="436" w:right="20" w:hanging="436"/>
        <w:spacing w:after="0" w:line="281" w:lineRule="auto"/>
        <w:tabs>
          <w:tab w:leader="none" w:pos="43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 Schedule 13G/A filed by Janus Henderson Group plc, or Janus Henderson, with the SEC on February 11, 2019, as of December 31, 2018, Janus had an indirect 97.11% ownership stake in IntechInvestment Management LLC (“Intech”) and a 100% ownership stake in Janus Capital Management LLC (“Janus Capital”), Perkins Investment Management LLC (“Perkins”), Geneva Capital Management LLC (“Geneva”), Henderson Global Investors Limited (“HGIL”), Janus Henderson Investors Australia Institutional Funds Management Limited (“HGIAIFML”) and Henderson Global Investors North America Inc. (“HGINA”),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7,482,934 shares or 5.3%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18,831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 As a result of its role as investment adviser or sub-adviser to the Managed Portfolios, JCIL may be deemed to be the beneficial owner of 95,600 shares or</w:t>
      </w:r>
    </w:p>
    <w:p>
      <w:pPr>
        <w:spacing w:after="0" w:line="10" w:lineRule="exact"/>
        <w:rPr>
          <w:rFonts w:ascii="Arial" w:cs="Arial" w:eastAsia="Arial" w:hAnsi="Arial"/>
          <w:sz w:val="16"/>
          <w:szCs w:val="16"/>
          <w:color w:val="auto"/>
        </w:rPr>
      </w:pPr>
    </w:p>
    <w:p>
      <w:pPr>
        <w:ind w:left="436"/>
        <w:spacing w:after="0" w:line="261" w:lineRule="auto"/>
        <w:rPr>
          <w:rFonts w:ascii="Arial" w:cs="Arial" w:eastAsia="Arial" w:hAnsi="Arial"/>
          <w:sz w:val="16"/>
          <w:szCs w:val="16"/>
          <w:color w:val="auto"/>
        </w:rPr>
      </w:pPr>
      <w:r>
        <w:rPr>
          <w:rFonts w:ascii="Arial" w:cs="Arial" w:eastAsia="Arial" w:hAnsi="Arial"/>
          <w:sz w:val="18"/>
          <w:szCs w:val="18"/>
          <w:color w:val="auto"/>
        </w:rPr>
        <w:t>0.1% of the shares outstanding of Amdocs Common Stock held by such Managed Portfolios. However, JCIL does not have the right to receive any dividends from, or the proceeds from the sale of, the securities held in the Managed Portfolios and disclaims any</w:t>
      </w:r>
    </w:p>
    <w:p>
      <w:pPr>
        <w:spacing w:after="0" w:line="11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6"/>
          </w:cols>
          <w:pgMar w:left="444" w:top="270" w:right="439" w:bottom="1440" w:gutter="0" w:footer="0" w:header="0"/>
        </w:sectPr>
      </w:pPr>
    </w:p>
    <w:bookmarkStart w:id="16" w:name="page17"/>
    <w:bookmarkEnd w:id="16"/>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associated with such rights. The address of Janus Henderson is 201 Bishopsgate EC2M 3AE, United Kingdom.</w:t>
      </w:r>
    </w:p>
    <w:p>
      <w:pPr>
        <w:spacing w:after="0" w:line="23" w:lineRule="exact"/>
        <w:rPr>
          <w:sz w:val="20"/>
          <w:szCs w:val="20"/>
          <w:color w:val="auto"/>
        </w:rPr>
      </w:pPr>
    </w:p>
    <w:p>
      <w:pPr>
        <w:ind w:left="436" w:hanging="436"/>
        <w:spacing w:after="0" w:line="261" w:lineRule="auto"/>
        <w:tabs>
          <w:tab w:leader="none" w:pos="43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5, 2019. As of such date, none of our directors or executive officers beneficially owned 1% or more of our outstanding ordinary shares.</w:t>
      </w:r>
    </w:p>
    <w:p>
      <w:pPr>
        <w:spacing w:after="0" w:line="11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96"/>
          </w:cols>
          <w:pgMar w:left="444" w:top="274" w:right="4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MATTERS</w:t>
      </w:r>
    </w:p>
    <w:p>
      <w:pPr>
        <w:spacing w:after="0" w:line="121"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73"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2019 and has discussed these financial statements with our management and independent registered public accounting firm.</w:t>
      </w:r>
    </w:p>
    <w:p>
      <w:pPr>
        <w:spacing w:after="0" w:line="170"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71" w:lineRule="exact"/>
        <w:rPr>
          <w:sz w:val="20"/>
          <w:szCs w:val="20"/>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130" w:lineRule="exact"/>
        <w:rPr>
          <w:rFonts w:ascii="Arial" w:cs="Arial" w:eastAsia="Arial" w:hAnsi="Arial"/>
          <w:sz w:val="18"/>
          <w:szCs w:val="18"/>
          <w:color w:val="auto"/>
        </w:rPr>
      </w:pPr>
    </w:p>
    <w:p>
      <w:pPr>
        <w:ind w:left="980" w:right="620" w:hanging="43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significant accounting policies in controversial or emerging areas for which there is a lack of authoritative guidance or consensus;</w:t>
      </w:r>
    </w:p>
    <w:p>
      <w:pPr>
        <w:spacing w:after="0" w:line="75" w:lineRule="exact"/>
        <w:rPr>
          <w:rFonts w:ascii="Arial" w:cs="Arial" w:eastAsia="Arial" w:hAnsi="Arial"/>
          <w:sz w:val="18"/>
          <w:szCs w:val="18"/>
          <w:color w:val="auto"/>
        </w:rPr>
      </w:pPr>
    </w:p>
    <w:p>
      <w:pPr>
        <w:ind w:left="980" w:right="420" w:hanging="43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75" w:lineRule="exact"/>
        <w:rPr>
          <w:rFonts w:ascii="Arial" w:cs="Arial" w:eastAsia="Arial" w:hAnsi="Arial"/>
          <w:sz w:val="18"/>
          <w:szCs w:val="18"/>
          <w:color w:val="auto"/>
        </w:rPr>
      </w:pPr>
    </w:p>
    <w:p>
      <w:pPr>
        <w:ind w:left="980" w:right="560" w:hanging="43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disagreements with management over matters that could be (individually or in the aggregate) significant to the Company’s financial statements or the auditor’s report.</w:t>
      </w:r>
    </w:p>
    <w:p>
      <w:pPr>
        <w:spacing w:after="0" w:line="170"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88" w:lineRule="exact"/>
        <w:rPr>
          <w:sz w:val="20"/>
          <w:szCs w:val="20"/>
          <w:color w:val="auto"/>
        </w:rPr>
      </w:pPr>
    </w:p>
    <w:p>
      <w:pPr>
        <w:jc w:val="both"/>
        <w:ind w:right="540" w:firstLine="441"/>
        <w:spacing w:after="0" w:line="312"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7"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2019, our Audit Committee approved all of the services provided by Ernst &amp; Young.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TO STOCK OPTION AND INCENTIVE PLAN</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On November 12, 2019, our Board of Directors adopted, subject to shareholder approval, an amendment to our 1998 Stock Option and Incentive Plan, as amended, which we refer to as the 1998 Plan, increasing from 67,550,000 to 70,550,000 the maximum number of ordinary shares issuable under the 1998 Plan and making the other change described below.</w:t>
      </w:r>
    </w:p>
    <w:p>
      <w:pPr>
        <w:spacing w:after="0" w:line="181"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The 1998 Plan was last amended in January 2017. As of December 5, 2019, of the 67,550,000 ordinary shares reserved for issuance under the 1998 Plan prior to giving effect to this amendment, awards with respect to an aggregate of 63,290,817 ordinary shares (net of cancellations and forfeitures) had been granted, of which 55,262,271 shares have been issued upon option exercises and restricted stock and restricted stock unit issuances that have vested, 6,962,052 remain subject to outstanding option awards, 961,101 remain subject to outstanding unvested restricted stock awards and 105,393 remain subject to outstanding unvested restricted stock unit awards, and 4,259,183 ordinary shares remain available for future awards.</w:t>
      </w:r>
    </w:p>
    <w:p>
      <w:pPr>
        <w:spacing w:after="0" w:line="158"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Based on 134,737,409 ordinary shares outstanding as of December 5, 2019, which is the Record Date, the number of shares reserved for issuance pursuant to outstanding awards granted and the number of shares available for future grants represented approximately 8.4% of our ordinary shares outstanding.</w:t>
      </w:r>
    </w:p>
    <w:p>
      <w:pPr>
        <w:spacing w:after="0" w:line="181"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As of December 5, 2019, the closing price of our ordinary shares was $69.27 per share. Of the options to purchase 6,962,052 ordinary shares that were outstanding as of December 5, 2019, awards to purchase 7,215 ordinary shares were at an exercise price of $69.28 or greater. These awards with an exercise price greater than the December 5, 2019 trading price of the ordinary shares, so-called “underwater” awards, represented approximately 0.1% of the ordinary shares reserved for issuance pursuant to outstanding awards. The weighted average remaining life of the options outstanding as of December 5, 2019 was 7.3 years, and their weighted average exercise price was $57.70.</w:t>
      </w:r>
    </w:p>
    <w:p>
      <w:pPr>
        <w:spacing w:after="0" w:line="173" w:lineRule="exact"/>
        <w:rPr>
          <w:sz w:val="20"/>
          <w:szCs w:val="20"/>
          <w:color w:val="auto"/>
        </w:rPr>
      </w:pPr>
    </w:p>
    <w:p>
      <w:pPr>
        <w:ind w:right="280" w:firstLine="441"/>
        <w:spacing w:after="0" w:line="342" w:lineRule="auto"/>
        <w:rPr>
          <w:sz w:val="20"/>
          <w:szCs w:val="20"/>
          <w:color w:val="auto"/>
        </w:rPr>
      </w:pPr>
      <w:r>
        <w:rPr>
          <w:rFonts w:ascii="Arial" w:cs="Arial" w:eastAsia="Arial" w:hAnsi="Arial"/>
          <w:sz w:val="16"/>
          <w:szCs w:val="16"/>
          <w:color w:val="auto"/>
        </w:rPr>
        <w:t>The following table summarizes information, as of December 5, 2019, regarding our equity compensation plans. The table does not include the additional shares that may be issuable pursuant to the proposed amendments to the 1998 Plan that are the subject of this Proposal II.</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 of December 5, 2019</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3"/>
          </w:tcPr>
          <w:p>
            <w:pPr>
              <w:jc w:val="center"/>
              <w:ind w:left="19"/>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360" w:type="dxa"/>
            <w:vAlign w:val="bottom"/>
            <w:gridSpan w:val="3"/>
          </w:tcPr>
          <w:p>
            <w:pPr>
              <w:jc w:val="center"/>
              <w:ind w:left="299"/>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520" w:type="dxa"/>
            <w:vAlign w:val="bottom"/>
          </w:tcPr>
          <w:p>
            <w:pPr>
              <w:spacing w:after="0"/>
              <w:rPr>
                <w:sz w:val="12"/>
                <w:szCs w:val="12"/>
                <w:color w:val="auto"/>
              </w:rPr>
            </w:pPr>
          </w:p>
        </w:tc>
        <w:tc>
          <w:tcPr>
            <w:tcW w:w="15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Weighted Average</w:t>
            </w:r>
          </w:p>
        </w:tc>
        <w:tc>
          <w:tcPr>
            <w:tcW w:w="3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5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52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3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Options,</w:t>
            </w:r>
          </w:p>
        </w:tc>
        <w:tc>
          <w:tcPr>
            <w:tcW w:w="52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060" w:type="dxa"/>
            <w:vAlign w:val="bottom"/>
            <w:gridSpan w:val="3"/>
          </w:tcPr>
          <w:p>
            <w:pPr>
              <w:jc w:val="center"/>
              <w:ind w:left="42"/>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3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and Rights</w:t>
            </w:r>
          </w:p>
        </w:tc>
        <w:tc>
          <w:tcPr>
            <w:tcW w:w="3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Plans(1)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8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0"/>
              </w:rPr>
              <w:t>7,067,445(2)</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0"/>
              </w:rPr>
              <w:t>4,259,183(3)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820" w:type="dxa"/>
            <w:vAlign w:val="bottom"/>
          </w:tcPr>
          <w:p>
            <w:pPr>
              <w:spacing w:after="0"/>
              <w:rPr>
                <w:sz w:val="18"/>
                <w:szCs w:val="18"/>
                <w:color w:val="auto"/>
              </w:rPr>
            </w:pPr>
          </w:p>
        </w:tc>
        <w:tc>
          <w:tcPr>
            <w:tcW w:w="15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7,067,445(4)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89"/>
              </w:rPr>
              <w:t>4,259,183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40" w:right="220" w:hanging="436"/>
        <w:spacing w:after="0" w:line="25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the shares listed under the column heading “Number of Ordinary Shares to be Issued Upon Exercise of Outstanding Options, Warrants and Rights.”</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options to purchase 6,962,052 ordinary shares and 105,393 restricted stock units.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1998 Plan.</w:t>
      </w:r>
    </w:p>
    <w:p>
      <w:pPr>
        <w:spacing w:after="0" w:line="9" w:lineRule="exact"/>
        <w:rPr>
          <w:rFonts w:ascii="Arial" w:cs="Arial" w:eastAsia="Arial" w:hAnsi="Arial"/>
          <w:sz w:val="18"/>
          <w:szCs w:val="18"/>
          <w:color w:val="auto"/>
        </w:rPr>
      </w:pPr>
    </w:p>
    <w:p>
      <w:pPr>
        <w:ind w:left="440" w:right="560" w:hanging="436"/>
        <w:spacing w:after="0" w:line="290"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Of the 7,067,445 ordinary shares reflected, 6,962,052 are ordinary shares to be issued upon exercise of outstanding options with a weighted average exercise price of $57.70 and a weighted average remaining life of 7.3 years and 105,393 are restricted stock units.</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440" w:top="270" w:right="419" w:bottom="1440" w:gutter="0" w:footer="0" w:header="0"/>
        </w:sectPr>
      </w:pPr>
    </w:p>
    <w:bookmarkStart w:id="19" w:name="page20"/>
    <w:bookmarkEnd w:id="19"/>
    <w:p>
      <w:pPr>
        <w:ind w:right="2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our practices over the last three fiscal years, and as set forth in the table below, the combined run rate for usage of ordinary shares, or the burn rate, used for grants to participants under 1998 Plan has been 1.85% for fiscal year 2017, 1.59% for fiscal year 2018 and 1.82% for fiscal year 2019:</w:t>
      </w:r>
    </w:p>
    <w:p>
      <w:pPr>
        <w:spacing w:after="0" w:line="200"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6350</wp:posOffset>
            </wp:positionV>
            <wp:extent cx="18522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7640" w:right="820" w:hanging="8029"/>
        <w:spacing w:after="0"/>
        <w:tabs>
          <w:tab w:leader="none" w:pos="7620" w:val="left"/>
        </w:tabs>
        <w:rPr>
          <w:sz w:val="20"/>
          <w:szCs w:val="20"/>
          <w:color w:val="auto"/>
        </w:rPr>
      </w:pPr>
      <w:r>
        <w:rPr>
          <w:rFonts w:ascii="Arial" w:cs="Arial" w:eastAsia="Arial" w:hAnsi="Arial"/>
          <w:sz w:val="14"/>
          <w:szCs w:val="14"/>
          <w:b w:val="1"/>
          <w:bCs w:val="1"/>
          <w:color w:val="auto"/>
        </w:rPr>
        <w:t>Type of Award</w:t>
      </w:r>
      <w:r>
        <w:rPr>
          <w:sz w:val="20"/>
          <w:szCs w:val="20"/>
          <w:color w:val="auto"/>
        </w:rPr>
        <w:tab/>
      </w:r>
      <w:r>
        <w:rPr>
          <w:rFonts w:ascii="Arial" w:cs="Arial" w:eastAsia="Arial" w:hAnsi="Arial"/>
          <w:sz w:val="14"/>
          <w:szCs w:val="14"/>
          <w:b w:val="1"/>
          <w:bCs w:val="1"/>
          <w:color w:val="auto"/>
        </w:rPr>
        <w:t>2019 2018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-8890</wp:posOffset>
            </wp:positionV>
            <wp:extent cx="18522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granted</w:t>
            </w:r>
          </w:p>
        </w:tc>
        <w:tc>
          <w:tcPr>
            <w:tcW w:w="2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1,975</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1,826</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2,062</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468</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384</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589</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granted</w:t>
            </w:r>
          </w:p>
        </w:tc>
        <w:tc>
          <w:tcPr>
            <w:tcW w:w="2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52</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47</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Weighted-average basic ordinary shares outstanding</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137,418</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142,422</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146,017</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Burn rate</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bl>
    <w:p>
      <w:pPr>
        <w:spacing w:after="0" w:line="202"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The Board of Directors considers availability of ordinary shares for future grants under the 1998 Plan to be important to the business prospects and operations of the Company and believes that, after giving effect to the proposed 3,000,000 share increase of the 1998 Plan, we will have sufficient awards available for grant to our employees and others for the next two to three years. The Board of Directors considers grants of options, restricted stock and restricted stock units to be an effective method to attract and retain officers, directors, employees and consultants, and to encourage long-term performance and productivity. The Company will not be able to grant awards under the 1998 Plan after January 28, 2025.</w:t>
      </w:r>
    </w:p>
    <w:p>
      <w:pPr>
        <w:spacing w:after="0" w:line="158"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Board of Directors believes that the increase in the number of shares issuable under the 1998 Plan and the other change described below are in the best interests of the Company and its shareholders.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of the 1998 Stock Option and Incentive Plan</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Following is a summary of the material changes proposed to be made to the 1998 Plan. The following summary of material changes is qualified in its entirety by reference to the 1998 Plan, as proposed to be amended, a copy of which is attached as Appendix B.</w:t>
      </w:r>
    </w:p>
    <w:p>
      <w:pPr>
        <w:spacing w:after="0" w:line="76" w:lineRule="exact"/>
        <w:rPr>
          <w:sz w:val="20"/>
          <w:szCs w:val="20"/>
          <w:color w:val="auto"/>
        </w:rPr>
      </w:pPr>
    </w:p>
    <w:p>
      <w:pPr>
        <w:ind w:left="980" w:right="240" w:hanging="43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Shares Available</w:t>
      </w:r>
      <w:r>
        <w:rPr>
          <w:rFonts w:ascii="Arial" w:cs="Arial" w:eastAsia="Arial" w:hAnsi="Arial"/>
          <w:sz w:val="18"/>
          <w:szCs w:val="18"/>
          <w:color w:val="auto"/>
        </w:rPr>
        <w:t>. The proposed amendment increases by 3,000,000 the number of ordinary shares available for issuance under the 1998</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75" w:lineRule="exact"/>
        <w:rPr>
          <w:rFonts w:ascii="Arial" w:cs="Arial" w:eastAsia="Arial" w:hAnsi="Arial"/>
          <w:sz w:val="18"/>
          <w:szCs w:val="18"/>
          <w:color w:val="auto"/>
        </w:rPr>
      </w:pPr>
    </w:p>
    <w:p>
      <w:pPr>
        <w:ind w:left="980" w:hanging="436"/>
        <w:spacing w:after="0" w:line="270"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Sublimit on “Full Value” Awards</w:t>
      </w:r>
      <w:r>
        <w:rPr>
          <w:rFonts w:ascii="Arial" w:cs="Arial" w:eastAsia="Arial" w:hAnsi="Arial"/>
          <w:sz w:val="17"/>
          <w:szCs w:val="17"/>
          <w:color w:val="auto"/>
        </w:rPr>
        <w:t>. The 1998 Plan was amended in 2008 to impose a sublimit that restricts our ability to make “full value”</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awards (</w:t>
      </w:r>
      <w:r>
        <w:rPr>
          <w:rFonts w:ascii="Arial" w:cs="Arial" w:eastAsia="Arial" w:hAnsi="Arial"/>
          <w:sz w:val="17"/>
          <w:szCs w:val="17"/>
          <w:i w:val="1"/>
          <w:iCs w:val="1"/>
          <w:color w:val="auto"/>
        </w:rPr>
        <w:t>i.e.</w:t>
      </w:r>
      <w:r>
        <w:rPr>
          <w:rFonts w:ascii="Arial" w:cs="Arial" w:eastAsia="Arial" w:hAnsi="Arial"/>
          <w:sz w:val="17"/>
          <w:szCs w:val="17"/>
          <w:color w:val="auto"/>
        </w:rPr>
        <w:t>, awards other than stock options and stock appreciation rights, such as restricted stock or awards denominated in stock units) to 9,700,000 ordinary shares. In January 2017, the 1998 Plan was amended to increase the sublimit on full value awards by an additional 5,250,000 ordinary shares. After taking into account full value awards granted after the 2008 and 2017 amendments, as of December 5, 2019, we were authorized to grant full value awards with respect to 8,248,493 ordinary shares. Subject to shareholder approval of the proposed amendment, from January 31, 2020, we will have the ability to grant full value awards with respect to an additional 3,000,000 ordinary shares. In the event any ordinary shares that are subject to a full value award cease to be subject to such award (other than by reason of exercise or payment of the award to the extent it is settled in shares), such shares shall again be available for full value awards, without regard to the ordinary share sublimit.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1998 Stock Option and Incentive Plan (as proposed to be amended)</w:t>
      </w:r>
    </w:p>
    <w:p>
      <w:pPr>
        <w:spacing w:after="0" w:line="12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following is a summary of the 1998 Stock Option and Incentive Plan (as proposed to be amended), a copy of which is attached as Appendix B. The following summary is qualified in its entirety by reference to the 1998 Plan.</w:t>
      </w:r>
    </w:p>
    <w:p>
      <w:pPr>
        <w:spacing w:after="0" w:line="170"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purpose of the 1998 Plan is to afford an incentive to grantees to acquire a proprietary interest in the Company, to continue in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to increase their efforts on behalf of the Company and to promote the success of the Company’s business.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0" w:name="page21"/>
    <w:bookmarkEnd w:id="20"/>
    <w:p>
      <w:pPr>
        <w:ind w:right="620" w:firstLine="441"/>
        <w:spacing w:after="0" w:line="34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Types of Awards. </w:t>
      </w:r>
      <w:r>
        <w:rPr>
          <w:rFonts w:ascii="Arial" w:cs="Arial" w:eastAsia="Arial" w:hAnsi="Arial"/>
          <w:sz w:val="16"/>
          <w:szCs w:val="16"/>
          <w:color w:val="auto"/>
        </w:rPr>
        <w:t>The 1998 Plan provides for the grant of stock options (which may be either incentive stock options or nonqualified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stock appreciation rights, restricted stock awards and other stock-based awards, which we collectively refers to as “awards.”</w:t>
      </w:r>
    </w:p>
    <w:p>
      <w:pPr>
        <w:spacing w:after="0" w:line="124"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Grantees receive the right to purchase a specified number of ordinary shares at a specified option price and subject to such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as are specified in connection with the option grant. Options may not be granted at an exercise price that is less than 100% of the fair market value of our ordinary shares on the date of grant and may not be granted for a term in excess of ten years. Payment of the exercise price of options may be by cash, delivery of ordinary shares, a combination thereof, or, in connection with a broker-assisted exercise. The 1998 Plan provides that, unless otherwise determined by the Committee, options will vest as to 25% of the ordinary shares subject to such award on each of the first, second, third and fourth anniversaries of the date of grant of the option. Although we have never done so, the 1998 Plan permits us to make loans to grantees in connection with the exercise of outstanding options. Options may generally only be exercised while the grantee is in our service or employ. If the grantee’s service ends for any reason other than cause, death or disability, his or her options that are exercisable will expire 90 days after such cessation. Termination for cause results in expiration of the option upon the termination date. Termination due to death or disability allows, in general, for the option to be exercised for 12 months, but in no event after the option’s stated final expiration date. The 1998 Plan prohibits the grant of options containing a provision entitling a grantee to the automatic grant of additional options in connection with any exercise by the grantee of his or her options.</w:t>
      </w:r>
    </w:p>
    <w:p>
      <w:pPr>
        <w:spacing w:after="0" w:line="18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entitle grantees to acquire ordinary shares subject to the right of Amdocs Limited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to repurchase all or part of such shares from the grantee in the event that the conditions specified in the applicable award are not satisfied prior to the end of the applicable restriction period established for such award. The vesting of restricted stock awards can be based on the achievement of specified performance goals or on the passage of time.</w:t>
      </w:r>
    </w:p>
    <w:p>
      <w:pPr>
        <w:spacing w:after="0" w:line="187"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The Committee may also grant stock appreciation rights without the grant of an accompanying option, which rights</w:t>
      </w:r>
      <w:r>
        <w:rPr>
          <w:rFonts w:ascii="Arial" w:cs="Arial" w:eastAsia="Arial" w:hAnsi="Arial"/>
          <w:sz w:val="16"/>
          <w:szCs w:val="16"/>
          <w:i w:val="1"/>
          <w:iCs w:val="1"/>
          <w:color w:val="auto"/>
        </w:rPr>
        <w:t xml:space="preserve"> </w:t>
      </w:r>
      <w:r>
        <w:rPr>
          <w:rFonts w:ascii="Arial" w:cs="Arial" w:eastAsia="Arial" w:hAnsi="Arial"/>
          <w:sz w:val="16"/>
          <w:szCs w:val="16"/>
          <w:color w:val="auto"/>
        </w:rPr>
        <w:t>shall permit the grantee to receive, at the time of any exercise of such rights, cash equal to the amount by which the fair market value of all ordinary shares in respect to which the right was exercised exceeds the exercise price thereof. The exercise price of a stock appreciation right shall not be less than the fair market value on the date the stock appreciation right is granted and no stock appreciation right may be granted with a term in excess of 10 years. As of the date of this Proxy Statement, we have never granted stock appreciation rights under the 1998 Plan.</w:t>
      </w:r>
    </w:p>
    <w:p>
      <w:pPr>
        <w:spacing w:after="0" w:line="15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committee administering the 1998 Plan may grant other awards pursuant to which ordinary shares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or awards denominated in stock units. As of the date of this Proxy Statement, we have granted restricted stock units, but no other stock-based awards under the 1998 Plan.</w:t>
      </w:r>
    </w:p>
    <w:p>
      <w:pPr>
        <w:spacing w:after="0" w:line="181"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i w:val="1"/>
          <w:iCs w:val="1"/>
          <w:color w:val="auto"/>
        </w:rPr>
        <w:t xml:space="preserve">Eligibility to Receive Awards. </w:t>
      </w:r>
      <w:r>
        <w:rPr>
          <w:rFonts w:ascii="Arial" w:cs="Arial" w:eastAsia="Arial" w:hAnsi="Arial"/>
          <w:sz w:val="18"/>
          <w:szCs w:val="18"/>
          <w:color w:val="auto"/>
        </w:rPr>
        <w:t>All officers, directors, employees and consultants of Amdocs Limited, or of any parent or subsidiary of Amdocs</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are eligible to receive awards under the 1998 Plan. Under the 1998 Plan, a subsidiary means any entity in which Amdocs Limited holds, directly or indirectly, a controlling interest (by vote or by value) in such entity.</w:t>
      </w:r>
    </w:p>
    <w:p>
      <w:pPr>
        <w:spacing w:after="0" w:line="18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i w:val="1"/>
          <w:iCs w:val="1"/>
          <w:color w:val="auto"/>
        </w:rPr>
        <w:t xml:space="preserve">Shares Available. </w:t>
      </w:r>
      <w:r>
        <w:rPr>
          <w:rFonts w:ascii="Arial" w:cs="Arial" w:eastAsia="Arial" w:hAnsi="Arial"/>
          <w:sz w:val="17"/>
          <w:szCs w:val="17"/>
          <w:color w:val="auto"/>
        </w:rPr>
        <w:t>Awards may be made under the 1998 Plan for up to 70,550,000 ordinary shares (including the 3,000,000 ordinary shares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proposed amendment), with a sublimit on the number of ordinary shares that may be issued pursuant to “full value” awards (i.e., awards other than stock options and stock appreciation rights, such as restricted stock or awards denominated in stock units). As of December 5, 2019, the sublimit on such full value awards was 8,248,493 ordinary shares. Subject to shareholder approval of the proposed amendment, from January 31, 2020, this sublimit will be increased by 3,000,000 ordinary shares. If any award expires or is terminated, surrendered, cancelled (including the repurchase of unvested restricted stock at its original issuance price) or forfeited, the unused shares covered by such award (other than any shares surrendered by reason of exercise or payment of the award to the extent it is settled in shares) will again be available for grant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1" w:name="page22"/>
    <w:bookmarkEnd w:id="21"/>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1998 Plan, with the exception of (i) shares that were subject to a stock-settled stock appreciation right and were not issued upon the net settlement or net exercise of such stock appreciation right, (ii) shares used to pay the exercise price of a stock option, (iii) shares delivered to or withheld by the Company to pay the withholding taxes related to an award, or (iv) shares repurchased on the open market with proceeds of a stock option exercise. Any shares subject to a full value award that cease to be subject to such award (other than by reason of exercise or payment of the award to the extent it is settled in shares) shall again be available for full value awards, without regard to the sublimit that will be in effect following this amendment.</w:t>
      </w:r>
    </w:p>
    <w:p>
      <w:pPr>
        <w:spacing w:after="0" w:line="158"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1998 Plan is administered by a committee established by the Board of Directors, which we refer to as the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has the authority to administer the 1998 Plan and to exercise all the powers and authorities either specifically granted to it under the 1998 Plan or necessary or advisable in the administration of the 1998 Plan, and to make all other determinations deemed necessary or advisable for the administration of the 1998 Plan.</w:t>
      </w:r>
    </w:p>
    <w:p>
      <w:pPr>
        <w:spacing w:after="0" w:line="18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i w:val="1"/>
          <w:iCs w:val="1"/>
          <w:color w:val="auto"/>
        </w:rPr>
        <w:t xml:space="preserve">Assumed or Substitute Awards. </w:t>
      </w:r>
      <w:r>
        <w:rPr>
          <w:rFonts w:ascii="Arial" w:cs="Arial" w:eastAsia="Arial" w:hAnsi="Arial"/>
          <w:sz w:val="18"/>
          <w:szCs w:val="18"/>
          <w:color w:val="auto"/>
        </w:rPr>
        <w:t>If, in connection with a business combination transaction, we assume or substitute for awards originally granted by</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entity, and such assumed or substituted awards will be administered under the 1998 Plan, such awards (1) will not count as part of the total number of ordinary shares that may be made subject to awards under the 1998 Plan, subject to any limitations required by the U.S. Internal Revenue Code of 1986, as amended, and (2) will be on such terms as the Board of Directors deems appropriate notwithstanding any limitations on the terms and conditions of awards contained in the 1998 Plan.</w:t>
      </w:r>
    </w:p>
    <w:p>
      <w:pPr>
        <w:spacing w:after="0" w:line="18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The Committee is required to make appropriate adjustments in connection with the 1998 Plan and any outstanding awards to reflect</w:t>
      </w:r>
      <w:r>
        <w:rPr>
          <w:rFonts w:ascii="Arial" w:cs="Arial" w:eastAsia="Arial" w:hAnsi="Arial"/>
          <w:sz w:val="16"/>
          <w:szCs w:val="16"/>
          <w:i w:val="1"/>
          <w:iCs w:val="1"/>
          <w:color w:val="auto"/>
        </w:rPr>
        <w:t xml:space="preserve"> </w:t>
      </w:r>
      <w:r>
        <w:rPr>
          <w:rFonts w:ascii="Arial" w:cs="Arial" w:eastAsia="Arial" w:hAnsi="Arial"/>
          <w:sz w:val="16"/>
          <w:szCs w:val="16"/>
          <w:color w:val="auto"/>
        </w:rPr>
        <w:t>stock dividends, recapitalizations, stock splits, combinations or exchanges of ordinary shares and other similar transactions which result in any increase or decrease in the number of issued ordinary shares effected without receipt of consideration. In the event of a proposed sale of all or substantially all the assets of the Company, merger, liquidation, dissolution or other similar event, the Committee is authorized to provide for outstanding awards to be assumed or substituted for, to accelerate the awards to make them fully exercisable prior to consummation of the acquisition event, to provide that the awards will terminate as of a fixed date following their acceleration or to provide for a cash-out of any outstanding options.</w:t>
      </w:r>
    </w:p>
    <w:p>
      <w:pPr>
        <w:spacing w:after="0" w:line="16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i w:val="1"/>
          <w:iCs w:val="1"/>
          <w:color w:val="auto"/>
        </w:rPr>
        <w:t xml:space="preserve">Amendment or Termination. </w:t>
      </w:r>
      <w:r>
        <w:rPr>
          <w:rFonts w:ascii="Arial" w:cs="Arial" w:eastAsia="Arial" w:hAnsi="Arial"/>
          <w:sz w:val="17"/>
          <w:szCs w:val="17"/>
          <w:color w:val="auto"/>
        </w:rPr>
        <w:t>No award may be made under the 1998 Plan after January 28, 2025. The Board of Directors may at any time suspend,</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 modify or amend the 1998 Plan, however, shareholders must approve any amendment that would (1) increase the aggregate number of ordinary shares issuable under the 1998 Plan, (2) materially increase the benefits accruing to grantees, (3) change the class of employees eligible for participation, (4) reduce the basis upon which the minimum option exercise price is determined, (5) extend the period during which awards may be granted or (6) provide for an option that is exercisable more than 10 years after the date it is granted.</w:t>
      </w:r>
    </w:p>
    <w:p>
      <w:pPr>
        <w:spacing w:after="0" w:line="17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i w:val="1"/>
          <w:iCs w:val="1"/>
          <w:color w:val="auto"/>
        </w:rPr>
        <w:t xml:space="preserve">No Repricing of Options or Stock Appreciation Rights. </w:t>
      </w:r>
      <w:r>
        <w:rPr>
          <w:rFonts w:ascii="Arial" w:cs="Arial" w:eastAsia="Arial" w:hAnsi="Arial"/>
          <w:sz w:val="17"/>
          <w:szCs w:val="17"/>
          <w:color w:val="auto"/>
        </w:rPr>
        <w:t>The 1998 Plan prohibits the repricing of options or stock appreciation rights under the 1998</w:t>
      </w:r>
      <w:r>
        <w:rPr>
          <w:rFonts w:ascii="Arial" w:cs="Arial" w:eastAsia="Arial" w:hAnsi="Arial"/>
          <w:sz w:val="17"/>
          <w:szCs w:val="17"/>
          <w:i w:val="1"/>
          <w:iCs w:val="1"/>
          <w:color w:val="auto"/>
        </w:rPr>
        <w:t xml:space="preserve"> </w:t>
      </w:r>
      <w:r>
        <w:rPr>
          <w:rFonts w:ascii="Arial" w:cs="Arial" w:eastAsia="Arial" w:hAnsi="Arial"/>
          <w:sz w:val="17"/>
          <w:szCs w:val="17"/>
          <w:color w:val="auto"/>
        </w:rPr>
        <w:t>Plan without shareholder approval. Specifically, except in connection with a corporate transaction involving us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w:t>
      </w:r>
    </w:p>
    <w:p>
      <w:pPr>
        <w:spacing w:after="0" w:line="178"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Awards granted under the 1998 Plan are not transferable other than by will or by the laws of descent and distribution,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pursuant to a qualified domestic relations order.</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i w:val="1"/>
          <w:iCs w:val="1"/>
          <w:color w:val="auto"/>
        </w:rPr>
        <w:t xml:space="preserve">Section 102 Awards. </w:t>
      </w:r>
      <w:r>
        <w:rPr>
          <w:rFonts w:ascii="Arial" w:cs="Arial" w:eastAsia="Arial" w:hAnsi="Arial"/>
          <w:sz w:val="18"/>
          <w:szCs w:val="18"/>
          <w:color w:val="auto"/>
        </w:rPr>
        <w:t>Under the 1998 Plan, nonqualified stock options and restricted stock awards may be granted to employees and consultants of</w:t>
      </w:r>
      <w:r>
        <w:rPr>
          <w:rFonts w:ascii="Arial" w:cs="Arial" w:eastAsia="Arial" w:hAnsi="Arial"/>
          <w:sz w:val="18"/>
          <w:szCs w:val="18"/>
          <w:i w:val="1"/>
          <w:iCs w:val="1"/>
          <w:color w:val="auto"/>
        </w:rPr>
        <w:t xml:space="preserve"> </w:t>
      </w:r>
      <w:r>
        <w:rPr>
          <w:rFonts w:ascii="Arial" w:cs="Arial" w:eastAsia="Arial" w:hAnsi="Arial"/>
          <w:sz w:val="18"/>
          <w:szCs w:val="18"/>
          <w:color w:val="auto"/>
        </w:rPr>
        <w:t>Amdocs Limited or any of its subsidiaries or parents pursuant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2" w:name="page23"/>
    <w:bookmarkEnd w:id="2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Section 102 of the Israel Income Tax Ordinance (New Version) 1961. Section 102 is designed to afford qualified recipients with specified favorable tax treatment in Israel.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1998 Stock Option and Incentive Plan, as amended, in the form attached to the Company’s Proxy Statement as Appendix B, be and hereby is approved.”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The affirmative vote of holders of a majority of the ordinary shares issued and outstanding is necessary for the approval of the Ordinary Resolution to approve the amendment to the 1998 Plan. If Proposal II is not approved by the shareholders, the 1998 Plan will continue in accordance with its existing terms and the Board of Directors will evaluate other alternatives for achieving the purposes of the plan.</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AMENDMENT AND CONTINUATION OF THE 1998 PLAN AS SET FORTH IN APPENDIX B ATTACHED HERETO.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APPROVAL OF INCREASE OF THE QUARTERLY DIVIDEND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Article 92 of our Articles of Incorporation provides that our Board of Directors may declare and pay dividends on our ordinary shares, subject to compliance with applicable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2012, our shareholders approved the institution of a quarterly cash dividend program at the quarterly rate of $0.13 per ordinary share.</w:t>
      </w:r>
    </w:p>
    <w:p>
      <w:pPr>
        <w:spacing w:after="0" w:line="237"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2014, our shareholders approved an increase in the rate of the quarterly cash dividend to $0.155 per share; in 2015, our shareholders approved an increase to $0.17 per share; in 2016, our shareholders approved our shareholders approved an increase to $0.195 per share; in 2017, our shareholders approved an increase to $0.22 per share; in 2018, our shareholders approved an increase to $0.25 per share; and in 2019, our shareholders approved an increase to $0.285 per share</w:t>
      </w:r>
    </w:p>
    <w:p>
      <w:pPr>
        <w:spacing w:after="0" w:line="165"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In November 2019, our Board of Directors approved an increase in the quarterly cash dividend rate to $0.3275 per ordinary share. In order to permit us to implement this dividend rate increase, our Board of Directors proposes that our shareholders approve the ordinary resolution set forth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 in Quarterly Dividend Rate</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$340.6 million, $419.2 million and $398.1 million (excluding broker and transaction fees) of our ordinary shares during the fiscal years ended September 30, 2017, 2018 and 2019 respectively. As a general long-term guideline, we expect to retain a portion of our free cash flow (calculated as cash flow from operations less net capital expenditures and other) to support the growth of our business, including possible mergers and acquisitions. The increase in the quarterly dividend rate coincides with our fiscal year 2020 guideline to return to shareholders roughly 100% of our normalized free cash flow (i.e., before capital expenditures associated with the multiyear development of our new campus in Israel and other items) subject to financial performance, outlook and liquidity, the size of possible mergers and acquisitions activity, financial market conditions and prevailing industry condition, through our ongoing share repurchase and dividend program. This is not a complete presentation of our financial position, results of operations and cash flows in conformity with U.S. generally accepted accounting principles, so we encourage you to review our consolidated financial statements for the fiscal year ended September 30, 2019 set forth in our Annual Report on Form 20-F filed on December 16, 2019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Dividend Program</w:t>
      </w:r>
    </w:p>
    <w:p>
      <w:pPr>
        <w:spacing w:after="0" w:line="121"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If our shareholders approve the proposal, our Board of Directors will continue to consider on a quarterly basis whether to declare and pay a dividend in accordance with the terms of the dividend program and 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shareholder approval, we expect to begin paying the dividend at the increased rate commencing in April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event that shareholder approval is not obtained, the quarterly dividend rate will remain at $0.285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United States Federal Income Tax Considerations Related to Distributions</w:t>
      </w:r>
    </w:p>
    <w:p>
      <w:pPr>
        <w:spacing w:after="0" w:line="121"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In general, a U.S. holder receiving a distribution with respect to the ordinary shares will be required to include such distribution (including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Dividends are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“qualified foreign corporations,” including shares of a foreign corporation that are readily tradable on an established securities market in the United States. Since our ordinary shares are listed on Nasdaq, we believe that dividends paid by us with respect to our ordinary shares should constitute “qualified dividend income” for U.S. federal income tax purposes, provided that the applicable holding period and other requirements are satisfied by the relevant shareholder. The preferential rate will not apply to dividends received to the extent that the U.S. holder elects to treat dividends as “investment income.” In addition, dividends paid by us will not qualify for the preferential U.S. federal income tax rate if we are, for the tax year in which the dividends are paid, or were, for the preceding tax year, a “passive foreign investment company” (“PFIC”) for U.S. federal income tax purposes, which we would be if (i) at least 75% of our gross income is “passive income” (e.g., dividends, interest and certain royalties, rents and gains from commodities and securities transactions), or (ii) 50% or more of the average value of all our assets including goodwill (generally determined on a quarterly basis) is attributable to assets that produce “passive income” or are held for the production of “passive income.” We believe that we were not a PFIC for the prior taxable year and do not expect to be a PFIC for the current taxable year.</w:t>
      </w:r>
    </w:p>
    <w:p>
      <w:pPr>
        <w:spacing w:after="0" w:line="16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An additional 3.8% tax is imposed on the net investment income (which includes taxable dividends) received by U.S. holders that are individuals, trusts or estates earning income above certain thresholds.</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Dividends paid by us generally will be classified as foreign source “passive category income” or, in certain cases, “general category income” for U.S. foreign tax credit purposes.</w:t>
      </w:r>
    </w:p>
    <w:p>
      <w:pPr>
        <w:spacing w:after="0" w:line="170"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(currently at a rate of 24%) unless the U.S. holder provides a taxpayer identification number and a duly executed Internal Revenue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5" w:name="page26"/>
    <w:bookmarkEnd w:id="25"/>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81"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U.S. holders are urged to consult their tax advisors regarding the tax treatment of any dividends received by such holder in respect of ordinary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an increase in the dividend rate under Amdocs Limited’s quarterly cash dividend program from $0.285 per share to $0.3275 per share be, and hereby is, approved.”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INCREASE IN THE QUARTERLY DIVIDEND RATE UNDER THE CASH DIVIDEND PROGRAM.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SEPTEMBER 30, 2019</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Annual Report for the fiscal year ended September 30, 2019 is available on our website at https://www.amdocs.com/media-room/annual-report-2019. Our Consolidated Financial Statements for the fiscal year ended September 30, 2019 are included in our Annual Report. At the General Meeting, we will review the Operating and Financial Review and Prospects section of our Annual Report and will answer appropriate questions related thereto.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17"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Consolidated Financial Statements of Amdocs Limited for the fiscal year ended September 30, 2019 be, and the same hereby are, approved.”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66" w:lineRule="exact"/>
        <w:rPr>
          <w:sz w:val="20"/>
          <w:szCs w:val="20"/>
          <w:color w:val="auto"/>
        </w:rPr>
      </w:pPr>
    </w:p>
    <w:p>
      <w:pPr>
        <w:ind w:right="118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440" w:top="270" w:right="5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AND APPROVAL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The Audit Committee of the Board of Directors has selected the firm of Ernst &amp; Young LLP to continue to serve as our independent registered public accounting firm for the fiscal year ending September 30, 2020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2019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Fee Category</w:t>
            </w:r>
          </w:p>
        </w:tc>
        <w:tc>
          <w:tcPr>
            <w:tcW w:w="3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4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Fees(1)</w:t>
            </w:r>
          </w:p>
        </w:tc>
        <w:tc>
          <w:tcPr>
            <w:tcW w:w="2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$ 3,800,000</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$ 4,000,000</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$ 1,500,000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$ 2,300,000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$ 1,600,000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63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440" w:right="120" w:hanging="436"/>
        <w:spacing w:after="0" w:line="25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spacing w:after="0" w:line="1" w:lineRule="exact"/>
        <w:rPr>
          <w:rFonts w:ascii="Arial" w:cs="Arial" w:eastAsia="Arial" w:hAnsi="Arial"/>
          <w:sz w:val="18"/>
          <w:szCs w:val="18"/>
          <w:color w:val="auto"/>
        </w:rPr>
      </w:pPr>
    </w:p>
    <w:p>
      <w:pPr>
        <w:ind w:left="440" w:right="40" w:hanging="436"/>
        <w:spacing w:after="0" w:line="250"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Audit-related services principally include Statement on the System and Organization Controls Report (SOC 1 Report) issuances and due diligence examinations.</w:t>
      </w:r>
    </w:p>
    <w:p>
      <w:pPr>
        <w:ind w:left="440" w:hanging="43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17"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(i) the appointment of Ernst &amp; Young LLP as Amdocs Limited’s independent registered public accounting firm for the fiscal year ending September 30, 2020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7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121"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www.amdocs.com. Requests for copies of our Annual Report on Form 20-F should be provided to our principal U.S. subsidiary at: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Matthew E.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2019</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CATEGORICAL STANDARDS</w:t>
      </w:r>
    </w:p>
    <w:p>
      <w:pPr>
        <w:spacing w:after="0" w:line="229"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52" w:lineRule="exact"/>
        <w:rPr>
          <w:sz w:val="20"/>
          <w:szCs w:val="20"/>
          <w:color w:val="auto"/>
        </w:rPr>
      </w:pPr>
    </w:p>
    <w:p>
      <w:pPr>
        <w:ind w:left="980" w:right="60" w:hanging="436"/>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Charitable Contributions</w:t>
      </w:r>
      <w:r>
        <w:rPr>
          <w:rFonts w:ascii="Arial" w:cs="Arial" w:eastAsia="Arial" w:hAnsi="Arial"/>
          <w:sz w:val="18"/>
          <w:szCs w:val="18"/>
          <w:color w:val="auto"/>
        </w:rPr>
        <w:t>. The director, or an immediate family member of the director, has served as an executive officer of a charitable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that receives payments from the Company in an amount which, in any single fiscal year since the determination date, exceeds the greater of $200,000, or 5% of such charitable organization’s revenues;</w:t>
      </w:r>
    </w:p>
    <w:p>
      <w:pPr>
        <w:spacing w:after="0" w:line="86" w:lineRule="exact"/>
        <w:rPr>
          <w:rFonts w:ascii="Arial" w:cs="Arial" w:eastAsia="Arial" w:hAnsi="Arial"/>
          <w:sz w:val="18"/>
          <w:szCs w:val="18"/>
          <w:color w:val="auto"/>
        </w:rPr>
      </w:pPr>
    </w:p>
    <w:p>
      <w:pPr>
        <w:jc w:val="both"/>
        <w:ind w:left="980" w:right="200" w:hanging="436"/>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The director or an immediate family member of the director has served, as an executive officer of another company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87" w:lineRule="exact"/>
        <w:rPr>
          <w:sz w:val="20"/>
          <w:szCs w:val="20"/>
          <w:color w:val="auto"/>
        </w:rPr>
      </w:pPr>
    </w:p>
    <w:p>
      <w:pPr>
        <w:jc w:val="both"/>
        <w:ind w:right="120" w:firstLine="441"/>
        <w:spacing w:after="0" w:line="286" w:lineRule="auto"/>
        <w:rPr>
          <w:sz w:val="20"/>
          <w:szCs w:val="20"/>
          <w:color w:val="auto"/>
        </w:rPr>
      </w:pPr>
      <w:r>
        <w:rPr>
          <w:rFonts w:ascii="Arial" w:cs="Arial" w:eastAsia="Arial" w:hAnsi="Arial"/>
          <w:sz w:val="17"/>
          <w:szCs w:val="17"/>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1998 STOCK OPTION AND INCENTIVE PLAN</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AS AMENDED ON JANUARY 31, 2020</w:t>
      </w:r>
    </w:p>
    <w:p>
      <w:pPr>
        <w:spacing w:after="0" w:line="211" w:lineRule="exact"/>
        <w:rPr>
          <w:sz w:val="20"/>
          <w:szCs w:val="20"/>
          <w:color w:val="auto"/>
        </w:rPr>
      </w:pPr>
    </w:p>
    <w:p>
      <w:pPr>
        <w:ind w:left="760" w:hanging="31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Purpose; Type of Awards; Construction</w:t>
      </w:r>
    </w:p>
    <w:p>
      <w:pPr>
        <w:spacing w:after="0" w:line="225" w:lineRule="exact"/>
        <w:rPr>
          <w:sz w:val="20"/>
          <w:szCs w:val="20"/>
          <w:color w:val="auto"/>
        </w:rPr>
      </w:pPr>
    </w:p>
    <w:p>
      <w:pPr>
        <w:ind w:right="20" w:firstLine="992"/>
        <w:spacing w:after="0" w:line="270" w:lineRule="auto"/>
        <w:rPr>
          <w:sz w:val="20"/>
          <w:szCs w:val="20"/>
          <w:color w:val="auto"/>
        </w:rPr>
      </w:pPr>
      <w:r>
        <w:rPr>
          <w:rFonts w:ascii="Arial" w:cs="Arial" w:eastAsia="Arial" w:hAnsi="Arial"/>
          <w:sz w:val="17"/>
          <w:szCs w:val="17"/>
          <w:color w:val="auto"/>
        </w:rPr>
        <w:t>The purpose of the Amdocs Limited 1998 Stock Option and Incentive Plan (as amended from time to time,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178" w:lineRule="exact"/>
        <w:rPr>
          <w:sz w:val="20"/>
          <w:szCs w:val="20"/>
          <w:color w:val="auto"/>
        </w:rPr>
      </w:pPr>
    </w:p>
    <w:p>
      <w:pPr>
        <w:ind w:left="760" w:hanging="316"/>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Plan, the following words and phrases shall have the meanings indicated:</w:t>
      </w:r>
    </w:p>
    <w:p>
      <w:pPr>
        <w:spacing w:after="0" w:line="225" w:lineRule="exact"/>
        <w:rPr>
          <w:sz w:val="20"/>
          <w:szCs w:val="20"/>
          <w:color w:val="auto"/>
        </w:rPr>
      </w:pPr>
    </w:p>
    <w:p>
      <w:pPr>
        <w:ind w:left="820" w:hanging="376"/>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“Ordinary Shares” shall mean shares of ordinary shares, par value £0.01 per share, of the Company.</w:t>
      </w:r>
    </w:p>
    <w:p>
      <w:pPr>
        <w:spacing w:after="0" w:line="225" w:lineRule="exact"/>
        <w:rPr>
          <w:rFonts w:ascii="Arial" w:cs="Arial" w:eastAsia="Arial" w:hAnsi="Arial"/>
          <w:sz w:val="18"/>
          <w:szCs w:val="18"/>
          <w:color w:val="auto"/>
        </w:rPr>
      </w:pPr>
    </w:p>
    <w:p>
      <w:pPr>
        <w:ind w:right="220" w:firstLine="444"/>
        <w:spacing w:after="0" w:line="264" w:lineRule="auto"/>
        <w:tabs>
          <w:tab w:leader="none" w:pos="8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81" w:lineRule="exact"/>
        <w:rPr>
          <w:rFonts w:ascii="Arial" w:cs="Arial" w:eastAsia="Arial" w:hAnsi="Arial"/>
          <w:sz w:val="18"/>
          <w:szCs w:val="18"/>
          <w:color w:val="auto"/>
        </w:rPr>
      </w:pPr>
    </w:p>
    <w:p>
      <w:pPr>
        <w:ind w:right="40" w:firstLine="444"/>
        <w:spacing w:after="0" w:line="286" w:lineRule="auto"/>
        <w:tabs>
          <w:tab w:leader="none" w:pos="8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w:t>
      </w:r>
    </w:p>
    <w:p>
      <w:pPr>
        <w:spacing w:after="0" w:line="1" w:lineRule="exact"/>
        <w:rPr>
          <w:rFonts w:ascii="Arial" w:cs="Arial" w:eastAsia="Arial" w:hAnsi="Arial"/>
          <w:sz w:val="16"/>
          <w:szCs w:val="16"/>
          <w:color w:val="auto"/>
        </w:rPr>
      </w:pPr>
    </w:p>
    <w:p>
      <w:pPr>
        <w:ind w:right="460" w:firstLine="4"/>
        <w:spacing w:after="0" w:line="323" w:lineRule="auto"/>
        <w:tabs>
          <w:tab w:leader="none" w:pos="3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138" w:lineRule="exact"/>
        <w:rPr>
          <w:rFonts w:ascii="Arial" w:cs="Arial" w:eastAsia="Arial" w:hAnsi="Arial"/>
          <w:sz w:val="16"/>
          <w:szCs w:val="16"/>
          <w:color w:val="auto"/>
        </w:rPr>
      </w:pPr>
    </w:p>
    <w:p>
      <w:pPr>
        <w:ind w:right="20" w:firstLine="444"/>
        <w:spacing w:after="0" w:line="264" w:lineRule="auto"/>
        <w:tabs>
          <w:tab w:leader="none" w:pos="8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181" w:lineRule="exact"/>
        <w:rPr>
          <w:rFonts w:ascii="Arial" w:cs="Arial" w:eastAsia="Arial" w:hAnsi="Arial"/>
          <w:sz w:val="18"/>
          <w:szCs w:val="18"/>
          <w:color w:val="auto"/>
        </w:rPr>
      </w:pPr>
    </w:p>
    <w:p>
      <w:pPr>
        <w:ind w:right="660" w:firstLine="444"/>
        <w:spacing w:after="0" w:line="308" w:lineRule="auto"/>
        <w:tabs>
          <w:tab w:leader="none" w:pos="8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“Parent” shall mean an entity which directly or indirectly holds a controlling interest (by vote or by value) in the Company. Whether employment by or service with a Parent is included within the scope of this Plan shall be determined by the Committee.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31" w:name="page32"/>
    <w:bookmarkEnd w:id="31"/>
    <w:p>
      <w:pPr>
        <w:ind w:firstLine="444"/>
        <w:spacing w:after="0" w:line="308"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shall mean an entity of which the Company directly or indirectly holds a controlling interest (by vote or by value) in such entity. Whether employment by or service with a Subsidiary is included within the scope of this Plan shall be determined by the Committee.</w:t>
      </w:r>
    </w:p>
    <w:p>
      <w:pPr>
        <w:spacing w:after="0" w:line="146" w:lineRule="exact"/>
        <w:rPr>
          <w:rFonts w:ascii="Arial" w:cs="Arial" w:eastAsia="Arial" w:hAnsi="Arial"/>
          <w:sz w:val="17"/>
          <w:szCs w:val="17"/>
          <w:color w:val="auto"/>
        </w:rPr>
      </w:pPr>
    </w:p>
    <w:p>
      <w:pPr>
        <w:ind w:right="420" w:firstLine="444"/>
        <w:spacing w:after="0" w:line="264" w:lineRule="auto"/>
        <w:tabs>
          <w:tab w:leader="none" w:pos="8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81" w:lineRule="exact"/>
        <w:rPr>
          <w:sz w:val="20"/>
          <w:szCs w:val="20"/>
          <w:color w:val="auto"/>
        </w:rPr>
      </w:pPr>
    </w:p>
    <w:p>
      <w:pPr>
        <w:ind w:left="760" w:hanging="31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Plan shall be administered by a committee (the “Committee”) established by the Board of Directors of the Company (the “Board”).</w:t>
      </w:r>
    </w:p>
    <w:p>
      <w:pPr>
        <w:spacing w:after="0" w:line="248" w:lineRule="exact"/>
        <w:rPr>
          <w:sz w:val="20"/>
          <w:szCs w:val="20"/>
          <w:color w:val="auto"/>
        </w:rPr>
      </w:pPr>
    </w:p>
    <w:p>
      <w:pPr>
        <w:ind w:right="20" w:firstLine="992"/>
        <w:spacing w:after="0" w:line="270" w:lineRule="auto"/>
        <w:rPr>
          <w:sz w:val="20"/>
          <w:szCs w:val="20"/>
          <w:color w:val="auto"/>
        </w:rPr>
      </w:pPr>
      <w:r>
        <w:rPr>
          <w:rFonts w:ascii="Arial" w:cs="Arial" w:eastAsia="Arial" w:hAnsi="Arial"/>
          <w:sz w:val="17"/>
          <w:szCs w:val="17"/>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178"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187"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170" w:lineRule="exact"/>
        <w:rPr>
          <w:sz w:val="20"/>
          <w:szCs w:val="20"/>
          <w:color w:val="auto"/>
        </w:rPr>
      </w:pPr>
    </w:p>
    <w:p>
      <w:pPr>
        <w:ind w:left="760" w:hanging="316"/>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160" w:firstLine="992"/>
        <w:spacing w:after="0" w:line="259" w:lineRule="auto"/>
        <w:rPr>
          <w:sz w:val="20"/>
          <w:szCs w:val="20"/>
          <w:color w:val="auto"/>
        </w:rPr>
      </w:pPr>
      <w:r>
        <w:rPr>
          <w:rFonts w:ascii="Arial" w:cs="Arial" w:eastAsia="Arial" w:hAnsi="Arial"/>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187" w:lineRule="exact"/>
        <w:rPr>
          <w:sz w:val="20"/>
          <w:szCs w:val="20"/>
          <w:color w:val="auto"/>
        </w:rPr>
      </w:pPr>
    </w:p>
    <w:p>
      <w:pPr>
        <w:ind w:left="760" w:hanging="316"/>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Ordinary Shares</w:t>
      </w:r>
    </w:p>
    <w:p>
      <w:pPr>
        <w:spacing w:after="0" w:line="225" w:lineRule="exact"/>
        <w:rPr>
          <w:sz w:val="20"/>
          <w:szCs w:val="20"/>
          <w:color w:val="auto"/>
        </w:rPr>
      </w:pPr>
    </w:p>
    <w:p>
      <w:pPr>
        <w:jc w:val="both"/>
        <w:ind w:right="140" w:firstLine="992"/>
        <w:spacing w:after="0" w:line="342" w:lineRule="auto"/>
        <w:rPr>
          <w:sz w:val="20"/>
          <w:szCs w:val="20"/>
          <w:color w:val="auto"/>
        </w:rPr>
      </w:pPr>
      <w:r>
        <w:rPr>
          <w:rFonts w:ascii="Arial" w:cs="Arial" w:eastAsia="Arial" w:hAnsi="Arial"/>
          <w:sz w:val="16"/>
          <w:szCs w:val="16"/>
          <w:color w:val="auto"/>
        </w:rPr>
        <w:t>The maximum number of Ordinary Shares reserved for grant of awards under the Plan shall be 70,550,000. Such shares may, in whole or in part, be authorized but unissued shares. The foregoing numbers of shares may be increased or decreased by the events set forth in Section 10 hereof.</w:t>
      </w:r>
    </w:p>
    <w:p>
      <w:pPr>
        <w:spacing w:after="0" w:line="124"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If any outstanding award under the Plan should, for any reason expire, be canceled or be terminated without having been exercised in full, the shares of Ordinary Shares allocable to the unexercised, canceled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0"/>
          </w:cols>
          <w:pgMar w:left="440" w:top="274" w:right="439" w:bottom="1440" w:gutter="0" w:footer="0" w:header="0"/>
        </w:sectPr>
      </w:pPr>
    </w:p>
    <w:bookmarkStart w:id="32" w:name="page33"/>
    <w:bookmarkEnd w:id="32"/>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terminated portion of such award shall (unless the Plan shall have been terminated) become available for subsequent grants of awards under the Plan; provided that an award under the plan may not again be made available for issuance under the plan if such Ordinary Shares are: (i) Ordinary Shares that were subject to stock-settled stock appreciation rights and were not issued upon the net settlement or net exercise of such stock appreciation rights,</w:t>
      </w:r>
    </w:p>
    <w:p>
      <w:pPr>
        <w:ind w:right="100" w:firstLine="4"/>
        <w:spacing w:after="0" w:line="261"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Ordinary Shares used to pay the Option Price, (iii) Ordinary Shares delivered to or withheld by the Company to pay the withholding taxes related to an award, or (iv) Ordinary Shares repurchased on the open market with proceeds of an Option exercise.</w:t>
      </w:r>
    </w:p>
    <w:p>
      <w:pPr>
        <w:spacing w:after="0" w:line="184" w:lineRule="exact"/>
        <w:rPr>
          <w:sz w:val="20"/>
          <w:szCs w:val="20"/>
          <w:color w:val="auto"/>
        </w:rPr>
      </w:pPr>
    </w:p>
    <w:p>
      <w:pPr>
        <w:ind w:left="760" w:hanging="31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225" w:lineRule="exact"/>
        <w:rPr>
          <w:sz w:val="20"/>
          <w:szCs w:val="20"/>
          <w:color w:val="auto"/>
        </w:rPr>
      </w:pPr>
    </w:p>
    <w:p>
      <w:pPr>
        <w:ind w:right="200" w:firstLine="992"/>
        <w:spacing w:after="0" w:line="264" w:lineRule="auto"/>
        <w:rPr>
          <w:sz w:val="20"/>
          <w:szCs w:val="20"/>
          <w:color w:val="auto"/>
        </w:rPr>
      </w:pPr>
      <w:r>
        <w:rPr>
          <w:rFonts w:ascii="Arial" w:cs="Arial" w:eastAsia="Arial" w:hAnsi="Arial"/>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73" w:lineRule="exact"/>
        <w:rPr>
          <w:sz w:val="20"/>
          <w:szCs w:val="20"/>
          <w:color w:val="auto"/>
        </w:rPr>
      </w:pPr>
    </w:p>
    <w:p>
      <w:pPr>
        <w:ind w:left="820" w:hanging="376"/>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NUMBER OF SHARES. Each Option Agreement shall state the number of shares of Ordinary Shares to which the Option relates.</w:t>
      </w:r>
    </w:p>
    <w:p>
      <w:pPr>
        <w:spacing w:after="0" w:line="236" w:lineRule="exact"/>
        <w:rPr>
          <w:rFonts w:ascii="Arial" w:cs="Arial" w:eastAsia="Arial" w:hAnsi="Arial"/>
          <w:sz w:val="17"/>
          <w:szCs w:val="17"/>
          <w:color w:val="auto"/>
        </w:rPr>
      </w:pPr>
    </w:p>
    <w:p>
      <w:pPr>
        <w:ind w:right="100" w:firstLine="444"/>
        <w:spacing w:after="0" w:line="277" w:lineRule="auto"/>
        <w:tabs>
          <w:tab w:leader="none" w:pos="8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OPTION. Each Option Agreement shall specifically state that the Option constitutes an Incentive Stock Option or a Nonqualified Stock Option.</w:t>
      </w:r>
    </w:p>
    <w:p>
      <w:pPr>
        <w:spacing w:after="0" w:line="170" w:lineRule="exact"/>
        <w:rPr>
          <w:rFonts w:ascii="Arial" w:cs="Arial" w:eastAsia="Arial" w:hAnsi="Arial"/>
          <w:sz w:val="18"/>
          <w:szCs w:val="18"/>
          <w:color w:val="auto"/>
        </w:rPr>
      </w:pPr>
    </w:p>
    <w:p>
      <w:pPr>
        <w:ind w:firstLine="444"/>
        <w:spacing w:after="0" w:line="259"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186" w:lineRule="exact"/>
        <w:rPr>
          <w:rFonts w:ascii="Arial" w:cs="Arial" w:eastAsia="Arial" w:hAnsi="Arial"/>
          <w:sz w:val="18"/>
          <w:szCs w:val="18"/>
          <w:color w:val="auto"/>
        </w:rPr>
      </w:pPr>
    </w:p>
    <w:p>
      <w:pPr>
        <w:ind w:right="60" w:firstLine="444"/>
        <w:spacing w:after="0" w:line="272" w:lineRule="auto"/>
        <w:tabs>
          <w:tab w:leader="none" w:pos="831" w:val="left"/>
        </w:tabs>
        <w:numPr>
          <w:ilvl w:val="0"/>
          <w:numId w:val="24"/>
        </w:numPr>
        <w:rPr>
          <w:rFonts w:ascii="Arial" w:cs="Arial" w:eastAsia="Arial" w:hAnsi="Arial"/>
          <w:sz w:val="17"/>
          <w:szCs w:val="17"/>
          <w:color w:val="auto"/>
        </w:rPr>
      </w:pPr>
      <w:r>
        <w:rPr>
          <w:rFonts w:ascii="Arial" w:cs="Arial" w:eastAsia="Arial" w:hAnsi="Arial"/>
          <w:sz w:val="17"/>
          <w:szCs w:val="17"/>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177" w:lineRule="exact"/>
        <w:rPr>
          <w:rFonts w:ascii="Arial" w:cs="Arial" w:eastAsia="Arial" w:hAnsi="Arial"/>
          <w:sz w:val="17"/>
          <w:szCs w:val="17"/>
          <w:color w:val="auto"/>
        </w:rPr>
      </w:pPr>
    </w:p>
    <w:p>
      <w:pPr>
        <w:ind w:firstLine="444"/>
        <w:spacing w:after="0" w:line="257" w:lineRule="auto"/>
        <w:tabs>
          <w:tab w:leader="none" w:pos="8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188" w:lineRule="exact"/>
        <w:rPr>
          <w:sz w:val="20"/>
          <w:szCs w:val="20"/>
          <w:color w:val="auto"/>
        </w:rPr>
      </w:pPr>
    </w:p>
    <w:p>
      <w:pPr>
        <w:ind w:right="60" w:firstLine="992"/>
        <w:spacing w:after="0" w:line="297" w:lineRule="auto"/>
        <w:rPr>
          <w:sz w:val="20"/>
          <w:szCs w:val="20"/>
          <w:color w:val="auto"/>
        </w:rPr>
      </w:pPr>
      <w:r>
        <w:rPr>
          <w:rFonts w:ascii="Arial" w:cs="Arial" w:eastAsia="Arial" w:hAnsi="Arial"/>
          <w:sz w:val="16"/>
          <w:szCs w:val="16"/>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158" w:lineRule="exact"/>
        <w:rPr>
          <w:sz w:val="20"/>
          <w:szCs w:val="20"/>
          <w:color w:val="auto"/>
        </w:rPr>
      </w:pPr>
    </w:p>
    <w:p>
      <w:pPr>
        <w:ind w:right="300" w:firstLine="444"/>
        <w:spacing w:after="0" w:line="277" w:lineRule="auto"/>
        <w:tabs>
          <w:tab w:leader="none" w:pos="7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Except as provided in this Section 6(f) and in Section 6(g) hereof, an Option may not be exercised unless the Grantee is then in the service or employ of the Company or a Parent or Subsidiary (or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0"/>
          </w:cols>
          <w:pgMar w:left="440" w:top="274" w:right="439" w:bottom="1440" w:gutter="0" w:footer="0" w:header="0"/>
        </w:sectPr>
      </w:pPr>
    </w:p>
    <w:bookmarkStart w:id="33" w:name="page34"/>
    <w:bookmarkEnd w:id="3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178" w:lineRule="exact"/>
        <w:rPr>
          <w:sz w:val="20"/>
          <w:szCs w:val="20"/>
          <w:color w:val="auto"/>
        </w:rPr>
      </w:pPr>
    </w:p>
    <w:p>
      <w:pPr>
        <w:ind w:firstLine="444"/>
        <w:spacing w:after="0" w:line="270" w:lineRule="auto"/>
        <w:tabs>
          <w:tab w:leader="none" w:pos="831"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181" w:lineRule="exact"/>
        <w:rPr>
          <w:rFonts w:ascii="Arial" w:cs="Arial" w:eastAsia="Arial" w:hAnsi="Arial"/>
          <w:sz w:val="17"/>
          <w:szCs w:val="17"/>
          <w:color w:val="auto"/>
        </w:rPr>
      </w:pPr>
    </w:p>
    <w:p>
      <w:pPr>
        <w:ind w:firstLine="444"/>
        <w:spacing w:after="0" w:line="286" w:lineRule="auto"/>
        <w:tabs>
          <w:tab w:leader="none" w:pos="8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174" w:lineRule="exact"/>
        <w:rPr>
          <w:rFonts w:ascii="Arial" w:cs="Arial" w:eastAsia="Arial" w:hAnsi="Arial"/>
          <w:sz w:val="16"/>
          <w:szCs w:val="16"/>
          <w:color w:val="auto"/>
        </w:rPr>
      </w:pPr>
    </w:p>
    <w:p>
      <w:pPr>
        <w:ind w:right="540" w:firstLine="444"/>
        <w:spacing w:after="0" w:line="277" w:lineRule="auto"/>
        <w:tabs>
          <w:tab w:leader="none" w:pos="7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PROVISIONS. The Option Agreements evidencing Options under the Plan shall contain such other terms and conditions, not inconsistent with the Plan, as the Committee may determine.</w:t>
      </w:r>
    </w:p>
    <w:p>
      <w:pPr>
        <w:spacing w:after="0" w:line="170" w:lineRule="exact"/>
        <w:rPr>
          <w:rFonts w:ascii="Arial" w:cs="Arial" w:eastAsia="Arial" w:hAnsi="Arial"/>
          <w:sz w:val="18"/>
          <w:szCs w:val="18"/>
          <w:color w:val="auto"/>
        </w:rPr>
      </w:pPr>
    </w:p>
    <w:p>
      <w:pPr>
        <w:ind w:right="20" w:firstLine="444"/>
        <w:spacing w:after="0" w:line="264" w:lineRule="auto"/>
        <w:tabs>
          <w:tab w:leader="none" w:pos="7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20"/>
          </w:cols>
          <w:pgMar w:left="440" w:top="274" w:right="439" w:bottom="1440" w:gutter="0" w:footer="0" w:header="0"/>
        </w:sectPr>
      </w:pPr>
    </w:p>
    <w:bookmarkStart w:id="34" w:name="page35"/>
    <w:bookmarkEnd w:id="34"/>
    <w:p>
      <w:pPr>
        <w:ind w:left="760" w:hanging="316"/>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Options intended to constitute Nonqualified Stock Options shall be subject only to the general terms and conditions specified in Section 6 hereof.</w:t>
      </w:r>
    </w:p>
    <w:p>
      <w:pPr>
        <w:spacing w:after="0" w:line="248"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7A.</w:t>
      </w:r>
      <w:r>
        <w:rPr>
          <w:sz w:val="20"/>
          <w:szCs w:val="20"/>
          <w:color w:val="auto"/>
        </w:rPr>
        <w:tab/>
      </w:r>
      <w:r>
        <w:rPr>
          <w:rFonts w:ascii="Arial" w:cs="Arial" w:eastAsia="Arial" w:hAnsi="Arial"/>
          <w:sz w:val="16"/>
          <w:szCs w:val="16"/>
          <w:u w:val="single" w:color="auto"/>
          <w:color w:val="auto"/>
        </w:rPr>
        <w:t>102 Securities</w:t>
      </w:r>
    </w:p>
    <w:p>
      <w:pPr>
        <w:spacing w:after="0" w:line="225"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171" w:lineRule="exact"/>
        <w:rPr>
          <w:sz w:val="20"/>
          <w:szCs w:val="20"/>
          <w:color w:val="auto"/>
        </w:rPr>
      </w:pPr>
    </w:p>
    <w:p>
      <w:pPr>
        <w:ind w:left="760" w:hanging="316"/>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p>
    <w:p>
      <w:pPr>
        <w:spacing w:after="0" w:line="225" w:lineRule="exact"/>
        <w:rPr>
          <w:sz w:val="20"/>
          <w:szCs w:val="20"/>
          <w:color w:val="auto"/>
        </w:rPr>
      </w:pPr>
    </w:p>
    <w:p>
      <w:pPr>
        <w:ind w:right="320" w:firstLine="992"/>
        <w:spacing w:after="0" w:line="277" w:lineRule="auto"/>
        <w:rPr>
          <w:sz w:val="20"/>
          <w:szCs w:val="20"/>
          <w:color w:val="auto"/>
        </w:rPr>
      </w:pPr>
      <w:r>
        <w:rPr>
          <w:rFonts w:ascii="Arial" w:cs="Arial" w:eastAsia="Arial" w:hAnsi="Arial"/>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170" w:lineRule="exact"/>
        <w:rPr>
          <w:sz w:val="20"/>
          <w:szCs w:val="20"/>
          <w:color w:val="auto"/>
        </w:rPr>
      </w:pPr>
    </w:p>
    <w:p>
      <w:pPr>
        <w:ind w:right="240" w:firstLine="444"/>
        <w:spacing w:after="0" w:line="254" w:lineRule="auto"/>
        <w:tabs>
          <w:tab w:leader="none" w:pos="8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192" w:lineRule="exact"/>
        <w:rPr>
          <w:rFonts w:ascii="Arial" w:cs="Arial" w:eastAsia="Arial" w:hAnsi="Arial"/>
          <w:sz w:val="18"/>
          <w:szCs w:val="18"/>
          <w:color w:val="auto"/>
        </w:rPr>
      </w:pPr>
    </w:p>
    <w:p>
      <w:pPr>
        <w:ind w:right="80" w:firstLine="444"/>
        <w:spacing w:after="0" w:line="286" w:lineRule="auto"/>
        <w:tabs>
          <w:tab w:leader="none" w:pos="8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166" w:lineRule="exact"/>
        <w:rPr>
          <w:sz w:val="20"/>
          <w:szCs w:val="20"/>
          <w:color w:val="auto"/>
        </w:rPr>
      </w:pPr>
    </w:p>
    <w:p>
      <w:pPr>
        <w:ind w:left="760" w:hanging="316"/>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100" w:firstLine="992"/>
        <w:spacing w:after="0" w:line="257" w:lineRule="auto"/>
        <w:rPr>
          <w:sz w:val="20"/>
          <w:szCs w:val="20"/>
          <w:color w:val="auto"/>
        </w:rPr>
      </w:pPr>
      <w:r>
        <w:rPr>
          <w:rFonts w:ascii="Arial" w:cs="Arial" w:eastAsia="Arial" w:hAnsi="Arial"/>
          <w:sz w:val="18"/>
          <w:szCs w:val="18"/>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188"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Committee shall determine the number of shares of Ordinary Shares to be issued to the Grantee pursuant to the award.</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(b)(i) 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20"/>
          </w:cols>
          <w:pgMar w:left="440" w:top="274" w:right="439" w:bottom="1440" w:gutter="0" w:footer="0" w:header="0"/>
        </w:sectPr>
      </w:pPr>
    </w:p>
    <w:bookmarkStart w:id="35" w:name="page36"/>
    <w:bookmarkEnd w:id="35"/>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further, however, that the foregoing vesting schedule shall not apply to</w:t>
      </w:r>
    </w:p>
    <w:p>
      <w:pPr>
        <w:spacing w:after="0" w:line="3" w:lineRule="exact"/>
        <w:rPr>
          <w:sz w:val="20"/>
          <w:szCs w:val="20"/>
          <w:color w:val="auto"/>
        </w:rPr>
      </w:pPr>
    </w:p>
    <w:p>
      <w:pPr>
        <w:ind w:right="40" w:firstLine="4"/>
        <w:spacing w:after="0" w:line="277" w:lineRule="auto"/>
        <w:tabs>
          <w:tab w:leader="none" w:pos="2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173" w:lineRule="exact"/>
        <w:rPr>
          <w:rFonts w:ascii="Arial" w:cs="Arial" w:eastAsia="Arial" w:hAnsi="Arial"/>
          <w:sz w:val="17"/>
          <w:szCs w:val="17"/>
          <w:color w:val="auto"/>
        </w:rPr>
      </w:pPr>
    </w:p>
    <w:p>
      <w:pPr>
        <w:ind w:right="60" w:firstLine="444"/>
        <w:spacing w:after="0" w:line="255" w:lineRule="auto"/>
        <w:tabs>
          <w:tab w:leader="none" w:pos="8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193" w:lineRule="exact"/>
        <w:rPr>
          <w:sz w:val="20"/>
          <w:szCs w:val="20"/>
          <w:color w:val="auto"/>
        </w:rPr>
      </w:pPr>
    </w:p>
    <w:p>
      <w:pPr>
        <w:ind w:right="40" w:firstLine="444"/>
        <w:spacing w:after="0" w:line="259"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186" w:lineRule="exact"/>
        <w:rPr>
          <w:rFonts w:ascii="Arial" w:cs="Arial" w:eastAsia="Arial" w:hAnsi="Arial"/>
          <w:sz w:val="18"/>
          <w:szCs w:val="18"/>
          <w:color w:val="auto"/>
        </w:rPr>
      </w:pPr>
    </w:p>
    <w:p>
      <w:pPr>
        <w:ind w:right="140" w:firstLine="444"/>
        <w:spacing w:after="0" w:line="277" w:lineRule="auto"/>
        <w:tabs>
          <w:tab w:leader="none" w:pos="8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170" w:lineRule="exact"/>
        <w:rPr>
          <w:rFonts w:ascii="Arial" w:cs="Arial" w:eastAsia="Arial" w:hAnsi="Arial"/>
          <w:sz w:val="18"/>
          <w:szCs w:val="18"/>
          <w:color w:val="auto"/>
        </w:rPr>
      </w:pPr>
    </w:p>
    <w:p>
      <w:pPr>
        <w:ind w:right="40" w:firstLine="444"/>
        <w:spacing w:after="0" w:line="264" w:lineRule="auto"/>
        <w:tabs>
          <w:tab w:leader="none" w:pos="81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18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6"/>
          <w:szCs w:val="16"/>
          <w:u w:val="single" w:color="auto"/>
          <w:color w:val="auto"/>
        </w:rPr>
        <w:t>Stock Appreciation Rights</w:t>
      </w:r>
    </w:p>
    <w:p>
      <w:pPr>
        <w:spacing w:after="0" w:line="225" w:lineRule="exact"/>
        <w:rPr>
          <w:sz w:val="20"/>
          <w:szCs w:val="20"/>
          <w:color w:val="auto"/>
        </w:rPr>
      </w:pPr>
    </w:p>
    <w:p>
      <w:pPr>
        <w:ind w:right="220" w:firstLine="444"/>
        <w:spacing w:after="0" w:line="264" w:lineRule="auto"/>
        <w:tabs>
          <w:tab w:leader="none" w:pos="8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spacing w:after="0" w:line="181" w:lineRule="exact"/>
        <w:rPr>
          <w:rFonts w:ascii="Arial" w:cs="Arial" w:eastAsia="Arial" w:hAnsi="Arial"/>
          <w:sz w:val="18"/>
          <w:szCs w:val="18"/>
          <w:color w:val="auto"/>
        </w:rPr>
      </w:pPr>
    </w:p>
    <w:p>
      <w:pPr>
        <w:ind w:firstLine="444"/>
        <w:spacing w:after="0" w:line="264" w:lineRule="auto"/>
        <w:tabs>
          <w:tab w:leader="none" w:pos="8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spacing w:after="0" w:line="181" w:lineRule="exact"/>
        <w:rPr>
          <w:rFonts w:ascii="Arial" w:cs="Arial" w:eastAsia="Arial" w:hAnsi="Arial"/>
          <w:sz w:val="18"/>
          <w:szCs w:val="18"/>
          <w:color w:val="auto"/>
        </w:rPr>
      </w:pPr>
    </w:p>
    <w:p>
      <w:pPr>
        <w:ind w:right="160" w:firstLine="444"/>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SAR shall be exercisable at such times and subject to such terms and conditions as the Committee may specify in the applicable SAR agreement; provided, however, that no SAR will be granted with a term in excess of 10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00"/>
          </w:cols>
          <w:pgMar w:left="440" w:top="274" w:right="459" w:bottom="1440" w:gutter="0" w:footer="0" w:header="0"/>
        </w:sectPr>
      </w:pPr>
    </w:p>
    <w:bookmarkStart w:id="36" w:name="page37"/>
    <w:bookmarkEnd w:id="36"/>
    <w:p>
      <w:pPr>
        <w:ind w:left="440"/>
        <w:spacing w:after="0"/>
        <w:tabs>
          <w:tab w:leader="none" w:pos="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9B.</w:t>
      </w:r>
      <w:r>
        <w:rPr>
          <w:sz w:val="20"/>
          <w:szCs w:val="20"/>
          <w:color w:val="auto"/>
        </w:rPr>
        <w:tab/>
      </w:r>
      <w:r>
        <w:rPr>
          <w:rFonts w:ascii="Arial" w:cs="Arial" w:eastAsia="Arial" w:hAnsi="Arial"/>
          <w:sz w:val="16"/>
          <w:szCs w:val="16"/>
          <w:u w:val="single" w:color="auto"/>
          <w:color w:val="auto"/>
        </w:rPr>
        <w:t>Other Stock-Based Awards</w:t>
      </w:r>
    </w:p>
    <w:p>
      <w:pPr>
        <w:spacing w:after="0" w:line="22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valued using measures other than market value. Such other stock based awards may be granted alone, in addition to, or in tandem with any award of any typed granted under the Plan and must be consistent with the purposes of the Plan. As of December 5, 2019, the Committee may not award such stock-based awards that are “full-value” awards, including but not limited to Shares of Restricted Stock or awards denominated in stock units (but excluding options and SARs), in an aggregate amount that exceeds 8,248,493 Ordinary Shares. From and after January 31, 2020, the Committee may grant such “full-value” awards with respect to an additional 3,000,000 Ordinary Shares.</w:t>
      </w:r>
    </w:p>
    <w:p>
      <w:pPr>
        <w:spacing w:after="0" w:line="178"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9C.</w:t>
      </w:r>
      <w:r>
        <w:rPr>
          <w:sz w:val="20"/>
          <w:szCs w:val="20"/>
          <w:color w:val="auto"/>
        </w:rPr>
        <w:tab/>
      </w:r>
      <w:r>
        <w:rPr>
          <w:rFonts w:ascii="Arial" w:cs="Arial" w:eastAsia="Arial" w:hAnsi="Arial"/>
          <w:sz w:val="16"/>
          <w:szCs w:val="16"/>
          <w:u w:val="single" w:color="auto"/>
          <w:color w:val="auto"/>
        </w:rPr>
        <w:t>Limitations and Conditions.</w:t>
      </w:r>
    </w:p>
    <w:p>
      <w:pPr>
        <w:spacing w:after="0" w:line="225" w:lineRule="exact"/>
        <w:rPr>
          <w:sz w:val="20"/>
          <w:szCs w:val="20"/>
          <w:color w:val="auto"/>
        </w:rPr>
      </w:pPr>
    </w:p>
    <w:p>
      <w:pPr>
        <w:ind w:firstLine="444"/>
        <w:spacing w:after="0" w:line="255" w:lineRule="auto"/>
        <w:tabs>
          <w:tab w:leader="none" w:pos="7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substituted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189" w:lineRule="exact"/>
        <w:rPr>
          <w:rFonts w:ascii="Arial" w:cs="Arial" w:eastAsia="Arial" w:hAnsi="Arial"/>
          <w:sz w:val="18"/>
          <w:szCs w:val="18"/>
          <w:color w:val="auto"/>
        </w:rPr>
      </w:pPr>
    </w:p>
    <w:p>
      <w:pPr>
        <w:ind w:right="40" w:firstLine="444"/>
        <w:spacing w:after="0" w:line="293" w:lineRule="auto"/>
        <w:tabs>
          <w:tab w:leader="none" w:pos="841"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January 31, 2020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spacing w:after="0" w:line="164" w:lineRule="exact"/>
        <w:rPr>
          <w:rFonts w:ascii="Arial" w:cs="Arial" w:eastAsia="Arial" w:hAnsi="Arial"/>
          <w:sz w:val="16"/>
          <w:szCs w:val="16"/>
          <w:color w:val="auto"/>
        </w:rPr>
      </w:pPr>
    </w:p>
    <w:p>
      <w:pPr>
        <w:ind w:left="900" w:hanging="45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Nothing contained herein shall affect the right of the Company to terminate any Grantee’s employment at any time or for any reason.</w:t>
      </w:r>
    </w:p>
    <w:p>
      <w:pPr>
        <w:spacing w:after="0" w:line="237" w:lineRule="exact"/>
        <w:rPr>
          <w:sz w:val="20"/>
          <w:szCs w:val="20"/>
          <w:color w:val="auto"/>
        </w:rPr>
      </w:pPr>
    </w:p>
    <w:p>
      <w:pPr>
        <w:ind w:left="840" w:hanging="396"/>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Effect of Certain Changes</w:t>
      </w:r>
    </w:p>
    <w:p>
      <w:pPr>
        <w:spacing w:after="0" w:line="225" w:lineRule="exact"/>
        <w:rPr>
          <w:sz w:val="20"/>
          <w:szCs w:val="20"/>
          <w:color w:val="auto"/>
        </w:rPr>
      </w:pPr>
    </w:p>
    <w:p>
      <w:pPr>
        <w:ind w:right="60" w:firstLine="444"/>
        <w:spacing w:after="0" w:line="293"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164" w:lineRule="exact"/>
        <w:rPr>
          <w:rFonts w:ascii="Arial" w:cs="Arial" w:eastAsia="Arial" w:hAnsi="Arial"/>
          <w:sz w:val="16"/>
          <w:szCs w:val="16"/>
          <w:color w:val="auto"/>
        </w:rPr>
      </w:pPr>
    </w:p>
    <w:p>
      <w:pPr>
        <w:ind w:right="540" w:firstLine="444"/>
        <w:spacing w:after="0" w:line="308" w:lineRule="auto"/>
        <w:tabs>
          <w:tab w:leader="none" w:pos="831"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147" w:lineRule="exact"/>
        <w:rPr>
          <w:sz w:val="20"/>
          <w:szCs w:val="20"/>
          <w:color w:val="auto"/>
        </w:rPr>
      </w:pPr>
    </w:p>
    <w:p>
      <w:pPr>
        <w:ind w:right="100" w:firstLine="444"/>
        <w:spacing w:after="0" w:line="277" w:lineRule="auto"/>
        <w:tabs>
          <w:tab w:leader="none" w:pos="7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Grantee of any award hereunder shall have the right to exercise an Option (at its then Option price) or to receive in respect of other types of awards the kind and amount of shares of stock and other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020"/>
          </w:cols>
          <w:pgMar w:left="440" w:top="274" w:right="439" w:bottom="1440" w:gutter="0" w:footer="0" w:header="0"/>
        </w:sectPr>
      </w:pPr>
    </w:p>
    <w:bookmarkStart w:id="37" w:name="page38"/>
    <w:bookmarkEnd w:id="37"/>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181" w:lineRule="exact"/>
        <w:rPr>
          <w:sz w:val="20"/>
          <w:szCs w:val="20"/>
          <w:color w:val="auto"/>
        </w:rPr>
      </w:pPr>
    </w:p>
    <w:p>
      <w:pPr>
        <w:jc w:val="both"/>
        <w:ind w:right="200" w:firstLine="444"/>
        <w:spacing w:after="0" w:line="259" w:lineRule="auto"/>
        <w:tabs>
          <w:tab w:leader="none" w:pos="8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187"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188" w:lineRule="exact"/>
        <w:rPr>
          <w:sz w:val="20"/>
          <w:szCs w:val="20"/>
          <w:color w:val="auto"/>
        </w:rPr>
      </w:pPr>
    </w:p>
    <w:p>
      <w:pPr>
        <w:ind w:firstLine="444"/>
        <w:spacing w:after="0" w:line="264"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181" w:lineRule="exact"/>
        <w:rPr>
          <w:rFonts w:ascii="Arial" w:cs="Arial" w:eastAsia="Arial" w:hAnsi="Arial"/>
          <w:sz w:val="18"/>
          <w:szCs w:val="18"/>
          <w:color w:val="auto"/>
        </w:rPr>
      </w:pPr>
    </w:p>
    <w:p>
      <w:pPr>
        <w:ind w:right="40" w:firstLine="444"/>
        <w:spacing w:after="0" w:line="287" w:lineRule="auto"/>
        <w:tabs>
          <w:tab w:leader="none" w:pos="831"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69" w:lineRule="exact"/>
        <w:rPr>
          <w:sz w:val="20"/>
          <w:szCs w:val="20"/>
          <w:color w:val="auto"/>
        </w:rPr>
      </w:pPr>
    </w:p>
    <w:p>
      <w:pPr>
        <w:ind w:left="840" w:hanging="396"/>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the Plan</w:t>
      </w:r>
    </w:p>
    <w:p>
      <w:pPr>
        <w:spacing w:after="0" w:line="225" w:lineRule="exact"/>
        <w:rPr>
          <w:sz w:val="20"/>
          <w:szCs w:val="20"/>
          <w:color w:val="auto"/>
        </w:rPr>
      </w:pPr>
    </w:p>
    <w:p>
      <w:pPr>
        <w:ind w:right="460" w:firstLine="992"/>
        <w:spacing w:after="0" w:line="277" w:lineRule="auto"/>
        <w:rPr>
          <w:sz w:val="20"/>
          <w:szCs w:val="20"/>
          <w:color w:val="auto"/>
        </w:rPr>
      </w:pPr>
      <w:r>
        <w:rPr>
          <w:rFonts w:ascii="Arial" w:cs="Arial" w:eastAsia="Arial" w:hAnsi="Arial"/>
          <w:sz w:val="18"/>
          <w:szCs w:val="18"/>
          <w:color w:val="auto"/>
        </w:rPr>
        <w:t>Awards may be granted pursuant to the Plan from time to time by no later than January 28, 2025, but awards previously granted may extend beyond such date.</w:t>
      </w:r>
    </w:p>
    <w:p>
      <w:pPr>
        <w:spacing w:after="0" w:line="170" w:lineRule="exact"/>
        <w:rPr>
          <w:sz w:val="20"/>
          <w:szCs w:val="20"/>
          <w:color w:val="auto"/>
        </w:rPr>
      </w:pPr>
    </w:p>
    <w:p>
      <w:pPr>
        <w:ind w:left="840" w:hanging="396"/>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p>
    <w:p>
      <w:pPr>
        <w:spacing w:after="0" w:line="225" w:lineRule="exact"/>
        <w:rPr>
          <w:sz w:val="20"/>
          <w:szCs w:val="20"/>
          <w:color w:val="auto"/>
        </w:rPr>
      </w:pPr>
    </w:p>
    <w:p>
      <w:pPr>
        <w:ind w:right="560" w:firstLine="992"/>
        <w:spacing w:after="0" w:line="264" w:lineRule="auto"/>
        <w:rPr>
          <w:sz w:val="20"/>
          <w:szCs w:val="20"/>
          <w:color w:val="auto"/>
        </w:rPr>
      </w:pPr>
      <w:r>
        <w:rPr>
          <w:rFonts w:ascii="Arial" w:cs="Arial" w:eastAsia="Arial" w:hAnsi="Arial"/>
          <w:sz w:val="18"/>
          <w:szCs w:val="18"/>
          <w:color w:val="auto"/>
        </w:rPr>
        <w:t>Awards granted under the Plan shall not be transferable otherwise than by will or by the laws of descent and distribution, other than pursuant to a valid domestic relations order issued by a court pursuant to Section 414(p) of the Code, and awards may be exercised or otherwise realized, during the lifetime of the Grantee, only by the Grantee.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020"/>
          </w:cols>
          <w:pgMar w:left="440" w:top="274" w:right="439" w:bottom="1440" w:gutter="0" w:footer="0" w:header="0"/>
        </w:sectPr>
      </w:pPr>
    </w:p>
    <w:bookmarkStart w:id="38" w:name="page39"/>
    <w:bookmarkEnd w:id="38"/>
    <w:p>
      <w:pPr>
        <w:ind w:left="840" w:hanging="396"/>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Shareholders</w:t>
      </w:r>
    </w:p>
    <w:p>
      <w:pPr>
        <w:spacing w:after="0" w:line="225" w:lineRule="exact"/>
        <w:rPr>
          <w:sz w:val="20"/>
          <w:szCs w:val="20"/>
          <w:color w:val="auto"/>
        </w:rPr>
      </w:pPr>
    </w:p>
    <w:p>
      <w:pPr>
        <w:ind w:right="20" w:firstLine="992"/>
        <w:spacing w:after="0" w:line="286" w:lineRule="auto"/>
        <w:rPr>
          <w:sz w:val="20"/>
          <w:szCs w:val="20"/>
          <w:color w:val="auto"/>
        </w:rPr>
      </w:pPr>
      <w:r>
        <w:rPr>
          <w:rFonts w:ascii="Arial" w:cs="Arial" w:eastAsia="Arial" w:hAnsi="Arial"/>
          <w:sz w:val="17"/>
          <w:szCs w:val="17"/>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166" w:lineRule="exact"/>
        <w:rPr>
          <w:sz w:val="20"/>
          <w:szCs w:val="20"/>
          <w:color w:val="auto"/>
        </w:rPr>
      </w:pPr>
    </w:p>
    <w:p>
      <w:pPr>
        <w:ind w:left="840" w:hanging="396"/>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Agreement by Grantee Regarding Withholding Taxes</w:t>
      </w:r>
    </w:p>
    <w:p>
      <w:pPr>
        <w:spacing w:after="0" w:line="225"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193" w:lineRule="exact"/>
        <w:rPr>
          <w:sz w:val="20"/>
          <w:szCs w:val="20"/>
          <w:color w:val="auto"/>
        </w:rPr>
      </w:pPr>
    </w:p>
    <w:p>
      <w:pPr>
        <w:ind w:left="840" w:hanging="396"/>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225" w:lineRule="exact"/>
        <w:rPr>
          <w:sz w:val="20"/>
          <w:szCs w:val="20"/>
          <w:color w:val="auto"/>
        </w:rPr>
      </w:pPr>
    </w:p>
    <w:p>
      <w:pPr>
        <w:ind w:right="100" w:firstLine="992"/>
        <w:spacing w:after="0" w:line="286" w:lineRule="auto"/>
        <w:rPr>
          <w:sz w:val="20"/>
          <w:szCs w:val="20"/>
          <w:color w:val="auto"/>
        </w:rPr>
      </w:pPr>
      <w:r>
        <w:rPr>
          <w:rFonts w:ascii="Arial" w:cs="Arial" w:eastAsia="Arial" w:hAnsi="Arial"/>
          <w:sz w:val="16"/>
          <w:szCs w:val="16"/>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or SAR granted under the Plan may be amended to provide an exercise price per share that 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spacing w:after="0" w:line="172" w:lineRule="exact"/>
        <w:rPr>
          <w:sz w:val="20"/>
          <w:szCs w:val="20"/>
          <w:color w:val="auto"/>
        </w:rPr>
      </w:pPr>
    </w:p>
    <w:p>
      <w:pPr>
        <w:ind w:left="840" w:hanging="396"/>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5" w:lineRule="exact"/>
        <w:rPr>
          <w:sz w:val="20"/>
          <w:szCs w:val="20"/>
          <w:color w:val="auto"/>
        </w:rPr>
      </w:pPr>
    </w:p>
    <w:p>
      <w:pPr>
        <w:ind w:right="80" w:firstLine="992"/>
        <w:spacing w:after="0" w:line="259" w:lineRule="auto"/>
        <w:rPr>
          <w:sz w:val="20"/>
          <w:szCs w:val="20"/>
          <w:color w:val="auto"/>
        </w:rPr>
      </w:pPr>
      <w:r>
        <w:rPr>
          <w:rFonts w:ascii="Arial" w:cs="Arial" w:eastAsia="Arial" w:hAnsi="Arial"/>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187" w:lineRule="exact"/>
        <w:rPr>
          <w:sz w:val="20"/>
          <w:szCs w:val="20"/>
          <w:color w:val="auto"/>
        </w:rPr>
      </w:pPr>
    </w:p>
    <w:p>
      <w:pPr>
        <w:ind w:left="840" w:hanging="396"/>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p>
    <w:p>
      <w:pPr>
        <w:spacing w:after="0" w:line="225" w:lineRule="exact"/>
        <w:rPr>
          <w:sz w:val="20"/>
          <w:szCs w:val="20"/>
          <w:color w:val="auto"/>
        </w:rPr>
      </w:pPr>
    </w:p>
    <w:p>
      <w:pPr>
        <w:ind w:right="60" w:firstLine="992"/>
        <w:spacing w:after="0" w:line="264" w:lineRule="auto"/>
        <w:rPr>
          <w:sz w:val="20"/>
          <w:szCs w:val="20"/>
          <w:color w:val="auto"/>
        </w:rPr>
      </w:pPr>
      <w:r>
        <w:rPr>
          <w:rFonts w:ascii="Arial" w:cs="Arial" w:eastAsia="Arial" w:hAnsi="Arial"/>
          <w:sz w:val="18"/>
          <w:szCs w:val="18"/>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020"/>
          </w:cols>
          <w:pgMar w:left="440" w:top="274" w:right="439" w:bottom="1440" w:gutter="0" w:footer="0" w:header="0"/>
        </w:sectPr>
      </w:pPr>
    </w:p>
    <w:bookmarkStart w:id="39" w:name="page40"/>
    <w:bookmarkEnd w:id="39"/>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147" w:lineRule="exact"/>
        <w:rPr>
          <w:sz w:val="20"/>
          <w:szCs w:val="20"/>
          <w:color w:val="auto"/>
        </w:rPr>
      </w:pPr>
    </w:p>
    <w:p>
      <w:pPr>
        <w:ind w:left="840" w:hanging="396"/>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Beneficiary</w:t>
      </w:r>
    </w:p>
    <w:p>
      <w:pPr>
        <w:spacing w:after="0" w:line="225" w:lineRule="exact"/>
        <w:rPr>
          <w:sz w:val="20"/>
          <w:szCs w:val="20"/>
          <w:color w:val="auto"/>
        </w:rPr>
      </w:pPr>
    </w:p>
    <w:p>
      <w:pPr>
        <w:ind w:right="240" w:firstLine="992"/>
        <w:spacing w:after="0" w:line="264" w:lineRule="auto"/>
        <w:rPr>
          <w:sz w:val="20"/>
          <w:szCs w:val="20"/>
          <w:color w:val="auto"/>
        </w:rPr>
      </w:pPr>
      <w:r>
        <w:rPr>
          <w:rFonts w:ascii="Arial" w:cs="Arial" w:eastAsia="Arial" w:hAnsi="Arial"/>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81" w:lineRule="exact"/>
        <w:rPr>
          <w:sz w:val="20"/>
          <w:szCs w:val="20"/>
          <w:color w:val="auto"/>
        </w:rPr>
      </w:pPr>
    </w:p>
    <w:p>
      <w:pPr>
        <w:ind w:left="840" w:hanging="396"/>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jc w:val="center"/>
        <w:ind w:left="660" w:right="780"/>
        <w:spacing w:after="0" w:line="449" w:lineRule="auto"/>
        <w:rPr>
          <w:sz w:val="20"/>
          <w:szCs w:val="20"/>
          <w:color w:val="auto"/>
        </w:rPr>
      </w:pPr>
      <w:r>
        <w:rPr>
          <w:rFonts w:ascii="Arial" w:cs="Arial" w:eastAsia="Arial" w:hAnsi="Arial"/>
          <w:sz w:val="18"/>
          <w:szCs w:val="18"/>
          <w:color w:val="auto"/>
        </w:rPr>
        <w:t>The Plan and all determinations made and actions taken pursuant hereto shall be governed by the laws of the State of New York. B-10</w:t>
      </w:r>
    </w:p>
    <w:p>
      <w:pPr>
        <w:sectPr>
          <w:pgSz w:w="11900" w:h="16838" w:orient="portrait"/>
          <w:cols w:equalWidth="0" w:num="1">
            <w:col w:w="11020"/>
          </w:cols>
          <w:pgMar w:left="440" w:top="274" w:right="4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of Meeting, Proxy Statement, Proxy Card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are available at www.amdocs.com/proxy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sign, date and mail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possible.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jc w:val="center"/>
        <w:ind w:right="-19"/>
        <w:spacing w:after="0" w:line="226" w:lineRule="auto"/>
        <w:rPr>
          <w:sz w:val="20"/>
          <w:szCs w:val="20"/>
          <w:color w:val="auto"/>
        </w:rPr>
      </w:pPr>
      <w:r>
        <w:rPr>
          <w:rFonts w:ascii="Arial" w:cs="Arial" w:eastAsia="Arial" w:hAnsi="Arial"/>
          <w:sz w:val="14"/>
          <w:szCs w:val="14"/>
          <w:b w:val="1"/>
          <w:bCs w:val="1"/>
          <w:color w:val="auto"/>
        </w:rPr>
        <w:t>AND A VOTE “FOR” PROPOSALS 2, 3, 4 AND 5</w:t>
      </w:r>
    </w:p>
    <w:p>
      <w:pPr>
        <w:jc w:val="center"/>
        <w:ind w:right="-19"/>
        <w:spacing w:after="0" w:line="234"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w:t>
      </w:r>
    </w:p>
    <w:p>
      <w:pPr>
        <w:jc w:val="center"/>
        <w:ind w:right="-19"/>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ectPr>
          <w:pgSz w:w="11900" w:h="16838" w:orient="portrait"/>
          <w:cols w:equalWidth="0" w:num="1">
            <w:col w:w="11000"/>
          </w:cols>
          <w:pgMar w:left="440" w:top="270" w:right="459" w:bottom="1440" w:gutter="0" w:footer="0" w:header="0"/>
        </w:sectPr>
      </w:pPr>
    </w:p>
    <w:p>
      <w:pPr>
        <w:spacing w:after="0" w:line="265"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46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960" w:type="dxa"/>
            <w:vAlign w:val="bottom"/>
          </w:tcPr>
          <w:p>
            <w:pPr>
              <w:ind w:left="520"/>
              <w:spacing w:after="0"/>
              <w:rPr>
                <w:sz w:val="20"/>
                <w:szCs w:val="20"/>
                <w:color w:val="auto"/>
              </w:rPr>
            </w:pPr>
            <w:r>
              <w:rPr>
                <w:rFonts w:ascii="Arial" w:cs="Arial" w:eastAsia="Arial" w:hAnsi="Arial"/>
                <w:sz w:val="14"/>
                <w:szCs w:val="14"/>
                <w:color w:val="auto"/>
              </w:rPr>
              <w:t>FOR</w:t>
            </w:r>
          </w:p>
        </w:tc>
        <w:tc>
          <w:tcPr>
            <w:tcW w:w="1140" w:type="dxa"/>
            <w:vAlign w:val="bottom"/>
          </w:tcPr>
          <w:p>
            <w:pPr>
              <w:ind w:left="180"/>
              <w:spacing w:after="0"/>
              <w:rPr>
                <w:sz w:val="20"/>
                <w:szCs w:val="20"/>
                <w:color w:val="auto"/>
              </w:rPr>
            </w:pPr>
            <w:r>
              <w:rPr>
                <w:rFonts w:ascii="Arial" w:cs="Arial" w:eastAsia="Arial" w:hAnsi="Arial"/>
                <w:sz w:val="14"/>
                <w:szCs w:val="14"/>
                <w:color w:val="auto"/>
              </w:rPr>
              <w:t>AGAINST</w:t>
            </w:r>
          </w:p>
        </w:tc>
        <w:tc>
          <w:tcPr>
            <w:tcW w:w="940" w:type="dxa"/>
            <w:vAlign w:val="bottom"/>
          </w:tcPr>
          <w:p>
            <w:pPr>
              <w:jc w:val="center"/>
              <w:ind w:left="248"/>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4"/>
                <w:szCs w:val="14"/>
                <w:color w:val="auto"/>
              </w:rPr>
              <w:t>Robert A. Minicucci</w:t>
            </w:r>
          </w:p>
        </w:tc>
        <w:tc>
          <w:tcPr>
            <w:tcW w:w="9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20"/>
                <w:szCs w:val="20"/>
                <w:color w:val="auto"/>
              </w:rPr>
            </w:pPr>
            <w:r>
              <w:rPr>
                <w:rFonts w:ascii="Arial" w:cs="Arial" w:eastAsia="Arial" w:hAnsi="Arial"/>
                <w:sz w:val="14"/>
                <w:szCs w:val="14"/>
                <w:color w:val="auto"/>
              </w:rPr>
              <w:t>Adrian Gardner</w:t>
            </w:r>
          </w:p>
        </w:tc>
        <w:tc>
          <w:tcPr>
            <w:tcW w:w="9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01"/>
        </w:trPr>
        <w:tc>
          <w:tcPr>
            <w:tcW w:w="2460" w:type="dxa"/>
            <w:vAlign w:val="bottom"/>
          </w:tcPr>
          <w:p>
            <w:pPr>
              <w:spacing w:after="0"/>
              <w:rPr>
                <w:sz w:val="20"/>
                <w:szCs w:val="20"/>
                <w:color w:val="auto"/>
              </w:rPr>
            </w:pPr>
            <w:r>
              <w:rPr>
                <w:rFonts w:ascii="Arial" w:cs="Arial" w:eastAsia="Arial" w:hAnsi="Arial"/>
                <w:sz w:val="14"/>
                <w:szCs w:val="14"/>
                <w:color w:val="auto"/>
              </w:rPr>
              <w:t>James S. Kahan</w:t>
            </w:r>
          </w:p>
        </w:tc>
        <w:tc>
          <w:tcPr>
            <w:tcW w:w="9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7"/>
        </w:trPr>
        <w:tc>
          <w:tcPr>
            <w:tcW w:w="2460" w:type="dxa"/>
            <w:vAlign w:val="bottom"/>
          </w:tcPr>
          <w:p>
            <w:pPr>
              <w:spacing w:after="0"/>
              <w:rPr>
                <w:sz w:val="20"/>
                <w:szCs w:val="20"/>
                <w:color w:val="auto"/>
              </w:rPr>
            </w:pPr>
            <w:r>
              <w:rPr>
                <w:rFonts w:ascii="Arial" w:cs="Arial" w:eastAsia="Arial" w:hAnsi="Arial"/>
                <w:sz w:val="14"/>
                <w:szCs w:val="14"/>
                <w:color w:val="auto"/>
              </w:rPr>
              <w:t>Rafael de la Vega</w:t>
            </w:r>
          </w:p>
        </w:tc>
        <w:tc>
          <w:tcPr>
            <w:tcW w:w="96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vMerge w:val="restart"/>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94"/>
        </w:trPr>
        <w:tc>
          <w:tcPr>
            <w:tcW w:w="2460" w:type="dxa"/>
            <w:vAlign w:val="bottom"/>
            <w:vMerge w:val="restart"/>
          </w:tcPr>
          <w:p>
            <w:pPr>
              <w:spacing w:after="0"/>
              <w:rPr>
                <w:sz w:val="20"/>
                <w:szCs w:val="20"/>
                <w:color w:val="auto"/>
              </w:rPr>
            </w:pPr>
            <w:r>
              <w:rPr>
                <w:rFonts w:ascii="Arial" w:cs="Arial" w:eastAsia="Arial" w:hAnsi="Arial"/>
                <w:sz w:val="14"/>
                <w:szCs w:val="14"/>
                <w:color w:val="auto"/>
              </w:rPr>
              <w:t>Giora Yaron</w:t>
            </w:r>
          </w:p>
        </w:tc>
        <w:tc>
          <w:tcPr>
            <w:tcW w:w="9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60" w:type="dxa"/>
            <w:vAlign w:val="bottom"/>
            <w:vMerge w:val="continue"/>
          </w:tcPr>
          <w:p>
            <w:pPr>
              <w:spacing w:after="0"/>
              <w:rPr>
                <w:sz w:val="7"/>
                <w:szCs w:val="7"/>
                <w:color w:val="auto"/>
              </w:rPr>
            </w:pPr>
          </w:p>
        </w:tc>
        <w:tc>
          <w:tcPr>
            <w:tcW w:w="96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vMerge w:val="restart"/>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38"/>
        </w:trPr>
        <w:tc>
          <w:tcPr>
            <w:tcW w:w="2460" w:type="dxa"/>
            <w:vAlign w:val="bottom"/>
            <w:vMerge w:val="restart"/>
          </w:tcPr>
          <w:p>
            <w:pPr>
              <w:spacing w:after="0"/>
              <w:rPr>
                <w:sz w:val="20"/>
                <w:szCs w:val="20"/>
                <w:color w:val="auto"/>
              </w:rPr>
            </w:pPr>
            <w:r>
              <w:rPr>
                <w:rFonts w:ascii="Arial" w:cs="Arial" w:eastAsia="Arial" w:hAnsi="Arial"/>
                <w:sz w:val="14"/>
                <w:szCs w:val="14"/>
                <w:color w:val="auto"/>
              </w:rPr>
              <w:t>Eli Gelman</w:t>
            </w: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460" w:type="dxa"/>
            <w:vAlign w:val="bottom"/>
            <w:vMerge w:val="continue"/>
          </w:tcPr>
          <w:p>
            <w:pPr>
              <w:spacing w:after="0"/>
              <w:rPr>
                <w:sz w:val="4"/>
                <w:szCs w:val="4"/>
                <w:color w:val="auto"/>
              </w:rPr>
            </w:pPr>
          </w:p>
        </w:tc>
        <w:tc>
          <w:tcPr>
            <w:tcW w:w="96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vMerge w:val="restart"/>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5"/>
        </w:trPr>
        <w:tc>
          <w:tcPr>
            <w:tcW w:w="2460" w:type="dxa"/>
            <w:vAlign w:val="bottom"/>
          </w:tcPr>
          <w:p>
            <w:pPr>
              <w:spacing w:after="0" w:line="155" w:lineRule="exact"/>
              <w:rPr>
                <w:sz w:val="20"/>
                <w:szCs w:val="20"/>
                <w:color w:val="auto"/>
              </w:rPr>
            </w:pPr>
            <w:r>
              <w:rPr>
                <w:rFonts w:ascii="Arial" w:cs="Arial" w:eastAsia="Arial" w:hAnsi="Arial"/>
                <w:sz w:val="14"/>
                <w:szCs w:val="14"/>
                <w:color w:val="auto"/>
              </w:rPr>
              <w:t>Richard T.C. LeFave</w:t>
            </w:r>
          </w:p>
        </w:tc>
        <w:tc>
          <w:tcPr>
            <w:tcW w:w="9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4"/>
                <w:szCs w:val="14"/>
                <w:color w:val="auto"/>
              </w:rPr>
              <w:t>John A. MacDonald</w:t>
            </w:r>
          </w:p>
        </w:tc>
        <w:tc>
          <w:tcPr>
            <w:tcW w:w="9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4"/>
                <w:szCs w:val="14"/>
                <w:color w:val="auto"/>
              </w:rPr>
              <w:t>Shuky Sheffer</w:t>
            </w:r>
          </w:p>
        </w:tc>
        <w:tc>
          <w:tcPr>
            <w:tcW w:w="9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2460" w:type="dxa"/>
            <w:vAlign w:val="bottom"/>
          </w:tcPr>
          <w:p>
            <w:pPr>
              <w:spacing w:after="0"/>
              <w:rPr>
                <w:sz w:val="20"/>
                <w:szCs w:val="20"/>
                <w:color w:val="auto"/>
              </w:rPr>
            </w:pPr>
            <w:r>
              <w:rPr>
                <w:rFonts w:ascii="Arial" w:cs="Arial" w:eastAsia="Arial" w:hAnsi="Arial"/>
                <w:sz w:val="14"/>
                <w:szCs w:val="14"/>
                <w:color w:val="auto"/>
              </w:rPr>
              <w:t>Yvette Kanouff</w:t>
            </w:r>
          </w:p>
        </w:tc>
        <w:tc>
          <w:tcPr>
            <w:tcW w:w="96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vMerge w:val="restart"/>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42"/>
        </w:trPr>
        <w:tc>
          <w:tcPr>
            <w:tcW w:w="24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460" w:type="dxa"/>
            <w:vAlign w:val="bottom"/>
          </w:tcPr>
          <w:p>
            <w:pPr>
              <w:spacing w:after="0"/>
              <w:rPr>
                <w:sz w:val="23"/>
                <w:szCs w:val="23"/>
                <w:color w:val="auto"/>
              </w:rPr>
            </w:pPr>
          </w:p>
        </w:tc>
        <w:tc>
          <w:tcPr>
            <w:tcW w:w="96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-1511300</wp:posOffset>
            </wp:positionV>
            <wp:extent cx="6997700" cy="2872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right="240"/>
        <w:spacing w:after="0" w:line="161" w:lineRule="exact"/>
        <w:rPr>
          <w:sz w:val="20"/>
          <w:szCs w:val="20"/>
          <w:color w:val="auto"/>
        </w:rPr>
      </w:pPr>
      <w:r>
        <w:rPr>
          <w:rFonts w:ascii="Arial" w:cs="Arial" w:eastAsia="Arial" w:hAnsi="Arial"/>
          <w:sz w:val="14"/>
          <w:szCs w:val="14"/>
          <w:color w:val="auto"/>
        </w:rPr>
        <w:t xml:space="preserve">To change the address on your account, please check the box at right and indicate </w:t>
      </w:r>
      <w:r>
        <w:rPr>
          <w:rFonts w:ascii="MS PGothic" w:cs="MS PGothic" w:eastAsia="MS PGothic" w:hAnsi="MS PGothic"/>
          <w:sz w:val="14"/>
          <w:szCs w:val="14"/>
          <w:color w:val="auto"/>
        </w:rPr>
        <w:t>☐</w:t>
      </w:r>
      <w:r>
        <w:rPr>
          <w:rFonts w:ascii="Arial" w:cs="Arial" w:eastAsia="Arial" w:hAnsi="Arial"/>
          <w:sz w:val="14"/>
          <w:szCs w:val="14"/>
          <w:color w:val="auto"/>
        </w:rPr>
        <w:t xml:space="preserve"> your new address in the address space above. Please note that changes to the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3300"/>
        <w:spacing w:after="0"/>
        <w:rPr>
          <w:sz w:val="20"/>
          <w:szCs w:val="20"/>
          <w:color w:val="auto"/>
        </w:rPr>
      </w:pPr>
      <w:r>
        <w:rPr>
          <w:rFonts w:ascii="Arial" w:cs="Arial" w:eastAsia="Arial" w:hAnsi="Arial"/>
          <w:sz w:val="14"/>
          <w:szCs w:val="14"/>
          <w:color w:val="auto"/>
        </w:rPr>
        <w:t>FOR  AGAINST  ABSTAIN</w:t>
      </w:r>
    </w:p>
    <w:p>
      <w:pPr>
        <w:spacing w:after="0" w:line="149" w:lineRule="exact"/>
        <w:tabs>
          <w:tab w:leader="none" w:pos="3360" w:val="left"/>
          <w:tab w:leader="none" w:pos="3920" w:val="left"/>
          <w:tab w:leader="none" w:pos="4660" w:val="left"/>
        </w:tabs>
        <w:rPr>
          <w:sz w:val="20"/>
          <w:szCs w:val="20"/>
          <w:color w:val="auto"/>
        </w:rPr>
      </w:pPr>
      <w:r>
        <w:rPr>
          <w:rFonts w:ascii="Arial" w:cs="Arial" w:eastAsia="Arial" w:hAnsi="Arial"/>
          <w:sz w:val="14"/>
          <w:szCs w:val="14"/>
          <w:color w:val="auto"/>
        </w:rPr>
        <w:t>2. To approve an amendment of the Amdocs Limited</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ind w:left="140" w:right="1920"/>
        <w:spacing w:after="0" w:line="227" w:lineRule="auto"/>
        <w:rPr>
          <w:sz w:val="20"/>
          <w:szCs w:val="20"/>
          <w:color w:val="auto"/>
        </w:rPr>
      </w:pPr>
      <w:r>
        <w:rPr>
          <w:rFonts w:ascii="Arial" w:cs="Arial" w:eastAsia="Arial" w:hAnsi="Arial"/>
          <w:sz w:val="14"/>
          <w:szCs w:val="14"/>
          <w:color w:val="auto"/>
        </w:rPr>
        <w:t>1998 Stock Option and Incentive Plan increasing the number of shares authorized for issuance under the plan and the sublimit on “full value” awards under the plan, in each case, by 3,000,000 shares (Proposal II)</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80" w:type="dxa"/>
            <w:vAlign w:val="bottom"/>
          </w:tcPr>
          <w:p>
            <w:pPr>
              <w:spacing w:after="0"/>
              <w:rPr>
                <w:sz w:val="20"/>
                <w:szCs w:val="20"/>
                <w:color w:val="auto"/>
              </w:rPr>
            </w:pPr>
            <w:r>
              <w:rPr>
                <w:rFonts w:ascii="Arial" w:cs="Arial" w:eastAsia="Arial" w:hAnsi="Arial"/>
                <w:sz w:val="14"/>
                <w:szCs w:val="14"/>
                <w:color w:val="auto"/>
              </w:rPr>
              <w:t>3. To approve an increase in the dividend rate under</w:t>
            </w:r>
          </w:p>
        </w:tc>
        <w:tc>
          <w:tcPr>
            <w:tcW w:w="4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3"/>
        </w:trPr>
        <w:tc>
          <w:tcPr>
            <w:tcW w:w="3280" w:type="dxa"/>
            <w:vAlign w:val="bottom"/>
          </w:tcPr>
          <w:p>
            <w:pPr>
              <w:ind w:left="140"/>
              <w:spacing w:after="0" w:line="143" w:lineRule="exact"/>
              <w:rPr>
                <w:sz w:val="20"/>
                <w:szCs w:val="20"/>
                <w:color w:val="auto"/>
              </w:rPr>
            </w:pPr>
            <w:r>
              <w:rPr>
                <w:rFonts w:ascii="Arial" w:cs="Arial" w:eastAsia="Arial" w:hAnsi="Arial"/>
                <w:sz w:val="14"/>
                <w:szCs w:val="14"/>
                <w:color w:val="auto"/>
              </w:rPr>
              <w:t>our quarterly cash dividend program from $0.285</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per share to $0.3275 per share (Proposal III).</w:t>
            </w:r>
          </w:p>
        </w:tc>
        <w:tc>
          <w:tcPr>
            <w:tcW w:w="44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54"/>
        </w:trPr>
        <w:tc>
          <w:tcPr>
            <w:tcW w:w="3280" w:type="dxa"/>
            <w:vAlign w:val="bottom"/>
          </w:tcPr>
          <w:p>
            <w:pPr>
              <w:spacing w:after="0" w:line="154" w:lineRule="exact"/>
              <w:rPr>
                <w:sz w:val="20"/>
                <w:szCs w:val="20"/>
                <w:color w:val="auto"/>
              </w:rPr>
            </w:pPr>
            <w:r>
              <w:rPr>
                <w:rFonts w:ascii="Arial" w:cs="Arial" w:eastAsia="Arial" w:hAnsi="Arial"/>
                <w:sz w:val="14"/>
                <w:szCs w:val="14"/>
                <w:color w:val="auto"/>
                <w:w w:val="98"/>
              </w:rPr>
              <w:t>4. To approve our Consolidated Financial Statements</w:t>
            </w:r>
          </w:p>
        </w:tc>
        <w:tc>
          <w:tcPr>
            <w:tcW w:w="4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80" w:type="dxa"/>
            <w:vAlign w:val="bottom"/>
          </w:tcPr>
          <w:p>
            <w:pPr>
              <w:ind w:left="140"/>
              <w:spacing w:after="0" w:line="143" w:lineRule="exact"/>
              <w:rPr>
                <w:sz w:val="20"/>
                <w:szCs w:val="20"/>
                <w:color w:val="auto"/>
              </w:rPr>
            </w:pPr>
            <w:r>
              <w:rPr>
                <w:rFonts w:ascii="Arial" w:cs="Arial" w:eastAsia="Arial" w:hAnsi="Arial"/>
                <w:sz w:val="14"/>
                <w:szCs w:val="14"/>
                <w:color w:val="auto"/>
              </w:rPr>
              <w:t>for the fiscal year ended September 30, 2019</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(Proposal IV).</w:t>
            </w:r>
          </w:p>
        </w:tc>
        <w:tc>
          <w:tcPr>
            <w:tcW w:w="44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2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54"/>
        </w:trPr>
        <w:tc>
          <w:tcPr>
            <w:tcW w:w="3280" w:type="dxa"/>
            <w:vAlign w:val="bottom"/>
          </w:tcPr>
          <w:p>
            <w:pPr>
              <w:spacing w:after="0" w:line="154" w:lineRule="exact"/>
              <w:rPr>
                <w:sz w:val="20"/>
                <w:szCs w:val="20"/>
                <w:color w:val="auto"/>
              </w:rPr>
            </w:pPr>
            <w:r>
              <w:rPr>
                <w:rFonts w:ascii="Arial" w:cs="Arial" w:eastAsia="Arial" w:hAnsi="Arial"/>
                <w:sz w:val="14"/>
                <w:szCs w:val="14"/>
                <w:color w:val="auto"/>
              </w:rPr>
              <w:t>5. To ratify and approve the appointment of Ernst &amp;</w:t>
            </w:r>
          </w:p>
        </w:tc>
        <w:tc>
          <w:tcPr>
            <w:tcW w:w="4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80" w:type="dxa"/>
            <w:vAlign w:val="bottom"/>
          </w:tcPr>
          <w:p>
            <w:pPr>
              <w:ind w:left="140"/>
              <w:spacing w:after="0" w:line="143" w:lineRule="exact"/>
              <w:rPr>
                <w:sz w:val="20"/>
                <w:szCs w:val="20"/>
                <w:color w:val="auto"/>
              </w:rPr>
            </w:pPr>
            <w:r>
              <w:rPr>
                <w:rFonts w:ascii="Arial" w:cs="Arial" w:eastAsia="Arial" w:hAnsi="Arial"/>
                <w:sz w:val="14"/>
                <w:szCs w:val="14"/>
                <w:color w:val="auto"/>
              </w:rPr>
              <w:t>Young LLP as our independent registered public</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accounting firm for the fiscal year ending</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September 30, 2020, and until the next annual</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w w:val="96"/>
              </w:rPr>
              <w:t>general meeting, and authorize the Audit Committee</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of the Board of Directors to fix the remuneration of</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w w:val="98"/>
              </w:rPr>
              <w:t>such independent registered public accounting firm</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4"/>
                <w:szCs w:val="14"/>
                <w:color w:val="auto"/>
              </w:rPr>
              <w:t>in accordance with the nature and extent of its</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140"/>
              <w:spacing w:after="0"/>
              <w:rPr>
                <w:sz w:val="20"/>
                <w:szCs w:val="20"/>
                <w:color w:val="auto"/>
              </w:rPr>
            </w:pPr>
            <w:r>
              <w:rPr>
                <w:rFonts w:ascii="Arial" w:cs="Arial" w:eastAsia="Arial" w:hAnsi="Arial"/>
                <w:sz w:val="14"/>
                <w:szCs w:val="14"/>
                <w:color w:val="auto"/>
              </w:rPr>
              <w:t>services (Proposal V).</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right="120"/>
        <w:spacing w:after="0" w:line="230" w:lineRule="auto"/>
        <w:rPr>
          <w:sz w:val="20"/>
          <w:szCs w:val="20"/>
          <w:color w:val="auto"/>
        </w:rPr>
      </w:pPr>
      <w:r>
        <w:rPr>
          <w:rFonts w:ascii="Arial" w:cs="Arial" w:eastAsia="Arial" w:hAnsi="Arial"/>
          <w:sz w:val="14"/>
          <w:szCs w:val="14"/>
          <w:color w:val="auto"/>
        </w:rPr>
        <w:t>Our shareholders will also act on such other business as may properly come before the annual general meeting.</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The Board of Directors has fixed the close of business on December 5, 2019 as the record date for the determination of our shareholders entitled to notice of, and to vote on the matters proposed at, the annual general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156210</wp:posOffset>
            </wp:positionV>
            <wp:extent cx="69469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180"/>
            <w:col w:w="5100"/>
          </w:cols>
          <w:pgMar w:left="440" w:top="270" w:right="459" w:bottom="1440" w:gutter="0" w:footer="0" w:header="0"/>
          <w:type w:val="continuous"/>
        </w:sectPr>
      </w:pPr>
    </w:p>
    <w:p>
      <w:pPr>
        <w:spacing w:after="0" w:line="26" w:lineRule="exact"/>
        <w:rPr>
          <w:sz w:val="20"/>
          <w:szCs w:val="20"/>
          <w:color w:val="auto"/>
        </w:rPr>
      </w:pPr>
    </w:p>
    <w:tbl>
      <w:tblPr>
        <w:tblLayout w:type="fixed"/>
        <w:tblInd w:w="220" w:type="dxa"/>
        <w:tblCellMar>
          <w:top w:w="0" w:type="dxa"/>
          <w:left w:w="0" w:type="dxa"/>
          <w:bottom w:w="0" w:type="dxa"/>
          <w:right w:w="0" w:type="dxa"/>
        </w:tblCellMar>
      </w:tblPr>
      <w:tr>
        <w:trPr>
          <w:trHeight w:val="143"/>
        </w:trPr>
        <w:tc>
          <w:tcPr>
            <w:tcW w:w="112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color w:val="auto"/>
              </w:rPr>
              <w:t>Signature of</w:t>
            </w:r>
          </w:p>
        </w:tc>
        <w:tc>
          <w:tcPr>
            <w:tcW w:w="2860" w:type="dxa"/>
            <w:vAlign w:val="bottom"/>
            <w:tcBorders>
              <w:top w:val="single" w:sz="8" w:color="auto"/>
              <w:right w:val="single" w:sz="8" w:color="auto"/>
            </w:tcBorders>
          </w:tcPr>
          <w:p>
            <w:pPr>
              <w:spacing w:after="0"/>
              <w:rPr>
                <w:sz w:val="12"/>
                <w:szCs w:val="12"/>
                <w:color w:val="auto"/>
              </w:rPr>
            </w:pPr>
          </w:p>
        </w:tc>
        <w:tc>
          <w:tcPr>
            <w:tcW w:w="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Date:</w:t>
            </w:r>
          </w:p>
        </w:tc>
        <w:tc>
          <w:tcPr>
            <w:tcW w:w="1080" w:type="dxa"/>
            <w:vAlign w:val="bottom"/>
            <w:tcBorders>
              <w:top w:val="single" w:sz="8" w:color="auto"/>
              <w:right w:val="single" w:sz="8" w:color="auto"/>
            </w:tcBorders>
          </w:tcPr>
          <w:p>
            <w:pPr>
              <w:spacing w:after="0"/>
              <w:rPr>
                <w:sz w:val="12"/>
                <w:szCs w:val="12"/>
                <w:color w:val="auto"/>
              </w:rPr>
            </w:pPr>
          </w:p>
        </w:tc>
        <w:tc>
          <w:tcPr>
            <w:tcW w:w="1080" w:type="dxa"/>
            <w:vAlign w:val="bottom"/>
            <w:tcBorders>
              <w:right w:val="single" w:sz="8" w:color="auto"/>
            </w:tcBorders>
          </w:tcPr>
          <w:p>
            <w:pPr>
              <w:ind w:left="140"/>
              <w:spacing w:after="0" w:line="143" w:lineRule="exact"/>
              <w:rPr>
                <w:sz w:val="20"/>
                <w:szCs w:val="20"/>
                <w:color w:val="auto"/>
              </w:rPr>
            </w:pPr>
            <w:r>
              <w:rPr>
                <w:rFonts w:ascii="Arial" w:cs="Arial" w:eastAsia="Arial" w:hAnsi="Arial"/>
                <w:sz w:val="14"/>
                <w:szCs w:val="14"/>
                <w:color w:val="auto"/>
              </w:rPr>
              <w:t>Signature of</w:t>
            </w:r>
          </w:p>
        </w:tc>
        <w:tc>
          <w:tcPr>
            <w:tcW w:w="2540" w:type="dxa"/>
            <w:vAlign w:val="bottom"/>
            <w:tcBorders>
              <w:top w:val="single" w:sz="8" w:color="auto"/>
              <w:right w:val="single" w:sz="8" w:color="auto"/>
            </w:tcBorders>
          </w:tcPr>
          <w:p>
            <w:pPr>
              <w:spacing w:after="0"/>
              <w:rPr>
                <w:sz w:val="12"/>
                <w:szCs w:val="12"/>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color w:val="auto"/>
                <w:w w:val="89"/>
              </w:rPr>
              <w:t>Date:</w:t>
            </w:r>
          </w:p>
        </w:tc>
        <w:tc>
          <w:tcPr>
            <w:tcW w:w="0" w:type="dxa"/>
            <w:vAlign w:val="bottom"/>
          </w:tcPr>
          <w:p>
            <w:pPr>
              <w:spacing w:after="0"/>
              <w:rPr>
                <w:sz w:val="1"/>
                <w:szCs w:val="1"/>
                <w:color w:val="auto"/>
              </w:rPr>
            </w:pPr>
          </w:p>
        </w:tc>
      </w:tr>
      <w:tr>
        <w:trPr>
          <w:trHeight w:val="115"/>
        </w:trPr>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Shareholder</w:t>
            </w:r>
          </w:p>
        </w:tc>
        <w:tc>
          <w:tcPr>
            <w:tcW w:w="286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auto"/>
              </w:rPr>
              <w:t>Shareholder</w:t>
            </w:r>
          </w:p>
        </w:tc>
        <w:tc>
          <w:tcPr>
            <w:tcW w:w="2540" w:type="dxa"/>
            <w:vAlign w:val="bottom"/>
            <w:tcBorders>
              <w:right w:val="single" w:sz="8" w:color="auto"/>
            </w:tcBorders>
          </w:tcPr>
          <w:p>
            <w:pPr>
              <w:spacing w:after="0"/>
              <w:rPr>
                <w:sz w:val="9"/>
                <w:szCs w:val="9"/>
                <w:color w:val="auto"/>
              </w:rPr>
            </w:pP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120" w:type="dxa"/>
            <w:vAlign w:val="bottom"/>
            <w:tcBorders>
              <w:right w:val="single" w:sz="8" w:color="auto"/>
            </w:tcBorders>
            <w:vMerge w:val="continue"/>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740" w:right="140"/>
        <w:spacing w:after="0" w:line="19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11" w:lineRule="auto"/>
        <w:tabs>
          <w:tab w:leader="none" w:pos="1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ectPr>
          <w:pgSz w:w="11900" w:h="16838" w:orient="portrait"/>
          <w:cols w:equalWidth="0" w:num="1">
            <w:col w:w="11000"/>
          </w:cols>
          <w:pgMar w:left="440" w:top="270" w:right="45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6" w:lineRule="exact"/>
        <w:rPr>
          <w:sz w:val="20"/>
          <w:szCs w:val="20"/>
          <w:color w:val="auto"/>
        </w:rPr>
      </w:pPr>
    </w:p>
    <w:p>
      <w:pPr>
        <w:jc w:val="center"/>
        <w:spacing w:after="0" w:line="312" w:lineRule="auto"/>
        <w:rPr>
          <w:sz w:val="20"/>
          <w:szCs w:val="20"/>
          <w:color w:val="auto"/>
        </w:rPr>
      </w:pPr>
      <w:r>
        <w:rPr>
          <w:rFonts w:ascii="Arial" w:cs="Arial" w:eastAsia="Arial" w:hAnsi="Arial"/>
          <w:sz w:val="15"/>
          <w:szCs w:val="15"/>
          <w:color w:val="auto"/>
        </w:rPr>
        <w:t>The undersigned hereby appoints each of Robert A. Minicucci and Michal Topolski as Proxies, each with the power to appoint his or her substitute, and hereby authorizes each of them to represent and vote, as designated on the reverse side, all Ordinary Shares of Amdocs Limited (the “Company”) held of record by the undersigned on December 5, 2018, at the annual General Meeting of shareholders to be held on January 31, 2020 or any adjournment thereof.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56"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 11</w:t>
      </w:r>
      <w:r>
        <w:rPr>
          <w:sz w:val="20"/>
          <w:szCs w:val="20"/>
          <w:color w:val="auto"/>
        </w:rPr>
        <w:tab/>
      </w:r>
      <w:r>
        <w:rPr>
          <w:rFonts w:ascii="Arial" w:cs="Arial" w:eastAsia="Arial" w:hAnsi="Arial"/>
          <w:sz w:val="16"/>
          <w:szCs w:val="16"/>
          <w:color w:val="auto"/>
        </w:rPr>
        <w:t>14475 ¢</w:t>
      </w:r>
    </w:p>
    <w:p>
      <w:pPr>
        <w:sectPr>
          <w:pgSz w:w="11900" w:h="16838" w:orient="portrait"/>
          <w:cols w:equalWidth="0" w:num="1">
            <w:col w:w="11020"/>
          </w:cols>
          <w:pgMar w:left="440" w:top="1440" w:right="43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January 31, 2020</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-127635</wp:posOffset>
            </wp:positionV>
            <wp:extent cx="210121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01215" cy="163195"/>
                    </a:xfrm>
                    <a:prstGeom prst="rect">
                      <a:avLst/>
                    </a:prstGeom>
                    <a:noFill/>
                  </pic:spPr>
                </pic:pic>
              </a:graphicData>
            </a:graphic>
          </wp:anchor>
        </w:drawing>
      </w:r>
    </w:p>
    <w:p>
      <w:pPr>
        <w:spacing w:after="0" w:line="255"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b w:val="1"/>
          <w:bCs w:val="1"/>
          <w:u w:val="single" w:color="auto"/>
          <w:color w:val="auto"/>
        </w:rPr>
        <w:t>INTERNET</w:t>
      </w:r>
      <w:r>
        <w:rPr>
          <w:rFonts w:ascii="Arial" w:cs="Arial" w:eastAsia="Arial" w:hAnsi="Arial"/>
          <w:sz w:val="14"/>
          <w:szCs w:val="14"/>
          <w:b w:val="1"/>
          <w:bCs w:val="1"/>
          <w:color w:val="auto"/>
        </w:rPr>
        <w:t xml:space="preserve"> - </w:t>
      </w:r>
      <w:r>
        <w:rPr>
          <w:rFonts w:ascii="Arial" w:cs="Arial" w:eastAsia="Arial" w:hAnsi="Arial"/>
          <w:sz w:val="14"/>
          <w:szCs w:val="14"/>
          <w:color w:val="auto"/>
        </w:rPr>
        <w:t>Access “</w:t>
      </w:r>
      <w:r>
        <w:rPr>
          <w:rFonts w:ascii="Arial" w:cs="Arial" w:eastAsia="Arial" w:hAnsi="Arial"/>
          <w:sz w:val="14"/>
          <w:szCs w:val="14"/>
          <w:b w:val="1"/>
          <w:bCs w:val="1"/>
          <w:color w:val="auto"/>
        </w:rPr>
        <w:t>www.voteproxy.com</w:t>
      </w:r>
      <w:r>
        <w:rPr>
          <w:rFonts w:ascii="Arial" w:cs="Arial" w:eastAsia="Arial" w:hAnsi="Arial"/>
          <w:sz w:val="14"/>
          <w:szCs w:val="14"/>
          <w:color w:val="auto"/>
        </w:rPr>
        <w:t>” and follow the on-screen instructions or scan the QR code with your smartphone. Have your proxy card available when you access the web</w:t>
      </w:r>
      <w:r>
        <w:rPr>
          <w:rFonts w:ascii="Arial" w:cs="Arial" w:eastAsia="Arial" w:hAnsi="Arial"/>
          <w:sz w:val="14"/>
          <w:szCs w:val="14"/>
          <w:b w:val="1"/>
          <w:bCs w:val="1"/>
          <w:color w:val="auto"/>
        </w:rPr>
        <w:t xml:space="preserve"> </w:t>
      </w:r>
      <w:r>
        <w:rPr>
          <w:rFonts w:ascii="Arial" w:cs="Arial" w:eastAsia="Arial" w:hAnsi="Arial"/>
          <w:sz w:val="14"/>
          <w:szCs w:val="14"/>
          <w:color w:val="auto"/>
        </w:rPr>
        <w:t>page.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TELEPHONE</w:t>
      </w:r>
      <w:r>
        <w:rPr>
          <w:rFonts w:ascii="Arial" w:cs="Arial" w:eastAsia="Arial" w:hAnsi="Arial"/>
          <w:sz w:val="13"/>
          <w:szCs w:val="13"/>
          <w:b w:val="1"/>
          <w:bCs w:val="1"/>
          <w:color w:val="auto"/>
        </w:rPr>
        <w:t xml:space="preserve"> - </w:t>
      </w:r>
      <w:r>
        <w:rPr>
          <w:rFonts w:ascii="Arial" w:cs="Arial" w:eastAsia="Arial" w:hAnsi="Arial"/>
          <w:sz w:val="13"/>
          <w:szCs w:val="13"/>
          <w:color w:val="auto"/>
        </w:rPr>
        <w:t>Call toll-free</w:t>
      </w:r>
      <w:r>
        <w:rPr>
          <w:rFonts w:ascii="Arial" w:cs="Arial" w:eastAsia="Arial" w:hAnsi="Arial"/>
          <w:sz w:val="13"/>
          <w:szCs w:val="13"/>
          <w:b w:val="1"/>
          <w:bCs w:val="1"/>
          <w:color w:val="auto"/>
        </w:rPr>
        <w:t xml:space="preserve"> 1-800-PROXIES </w:t>
      </w:r>
      <w:r>
        <w:rPr>
          <w:rFonts w:ascii="Arial" w:cs="Arial" w:eastAsia="Arial" w:hAnsi="Arial"/>
          <w:sz w:val="13"/>
          <w:szCs w:val="13"/>
          <w:color w:val="auto"/>
        </w:rPr>
        <w:t>(1-800-776-9437) in the United States or</w:t>
      </w:r>
      <w:r>
        <w:rPr>
          <w:rFonts w:ascii="Arial" w:cs="Arial" w:eastAsia="Arial" w:hAnsi="Arial"/>
          <w:sz w:val="13"/>
          <w:szCs w:val="13"/>
          <w:b w:val="1"/>
          <w:bCs w:val="1"/>
          <w:color w:val="auto"/>
        </w:rPr>
        <w:t xml:space="preserve"> 1-718-921-8500 </w:t>
      </w:r>
      <w:r>
        <w:rPr>
          <w:rFonts w:ascii="Arial" w:cs="Arial" w:eastAsia="Arial" w:hAnsi="Arial"/>
          <w:sz w:val="13"/>
          <w:szCs w:val="13"/>
          <w:color w:val="auto"/>
        </w:rPr>
        <w:t>from foreign countries from any touch-tone telephone and follow the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Have your proxy card available when you call.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Vote online/phone until 11:59 PM EST the day before the meeting.</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MAIL</w:t>
      </w:r>
      <w:r>
        <w:rPr>
          <w:rFonts w:ascii="Arial" w:cs="Arial" w:eastAsia="Arial" w:hAnsi="Arial"/>
          <w:sz w:val="14"/>
          <w:szCs w:val="14"/>
          <w:b w:val="1"/>
          <w:bCs w:val="1"/>
          <w:color w:val="auto"/>
        </w:rPr>
        <w:t xml:space="preserve"> - </w:t>
      </w:r>
      <w:r>
        <w:rPr>
          <w:rFonts w:ascii="Arial" w:cs="Arial" w:eastAsia="Arial" w:hAnsi="Arial"/>
          <w:sz w:val="14"/>
          <w:szCs w:val="14"/>
          <w:color w:val="auto"/>
        </w:rPr>
        <w:t>Sign, date and mail your proxy card in the envelope provided as soon as possible.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PERSON</w:t>
      </w:r>
      <w:r>
        <w:rPr>
          <w:rFonts w:ascii="Arial" w:cs="Arial" w:eastAsia="Arial" w:hAnsi="Arial"/>
          <w:sz w:val="14"/>
          <w:szCs w:val="14"/>
          <w:b w:val="1"/>
          <w:bCs w:val="1"/>
          <w:color w:val="auto"/>
        </w:rPr>
        <w:t xml:space="preserve"> - </w:t>
      </w:r>
      <w:r>
        <w:rPr>
          <w:rFonts w:ascii="Arial" w:cs="Arial" w:eastAsia="Arial" w:hAnsi="Arial"/>
          <w:sz w:val="14"/>
          <w:szCs w:val="14"/>
          <w:color w:val="auto"/>
        </w:rPr>
        <w:t>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317500" cy="3346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50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002145" cy="636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63690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b w:val="1"/>
          <w:bCs w:val="1"/>
          <w:color w:val="auto"/>
        </w:rPr>
        <w:t>ACCOUNT NUMBER</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NOTICE OF INTERNET AVAILABILITY OF PROXY MATERIAL</w:t>
      </w:r>
      <w:r>
        <w:rPr>
          <w:rFonts w:ascii="Arial" w:cs="Arial" w:eastAsia="Arial" w:hAnsi="Arial"/>
          <w:sz w:val="14"/>
          <w:szCs w:val="14"/>
          <w:b w:val="1"/>
          <w:bCs w:val="1"/>
          <w:color w:val="auto"/>
        </w:rPr>
        <w:t xml:space="preserve">: </w:t>
      </w:r>
      <w:r>
        <w:rPr>
          <w:rFonts w:ascii="Arial" w:cs="Arial" w:eastAsia="Arial" w:hAnsi="Arial"/>
          <w:sz w:val="14"/>
          <w:szCs w:val="14"/>
          <w:color w:val="auto"/>
        </w:rPr>
        <w:t>The Notice of Meeting, Proxy Statement, Proxy Card</w:t>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are available at www.amdocs.com/proxy</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 Please detach along perforated line and mail in the envelope provided IF you are not voting via telephone or the Internet. i</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6997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center"/>
        <w:ind w:right="-79"/>
        <w:spacing w:after="0" w:line="226" w:lineRule="auto"/>
        <w:rPr>
          <w:sz w:val="20"/>
          <w:szCs w:val="20"/>
          <w:color w:val="auto"/>
        </w:rPr>
      </w:pPr>
      <w:r>
        <w:rPr>
          <w:rFonts w:ascii="Arial" w:cs="Arial" w:eastAsia="Arial" w:hAnsi="Arial"/>
          <w:sz w:val="14"/>
          <w:szCs w:val="14"/>
          <w:b w:val="1"/>
          <w:bCs w:val="1"/>
          <w:color w:val="auto"/>
        </w:rPr>
        <w:t>AND A VOTE “FOR” PROPOSALS 2, 3, 4 AND 5</w:t>
      </w:r>
    </w:p>
    <w:p>
      <w:pPr>
        <w:jc w:val="center"/>
        <w:ind w:right="-79"/>
        <w:spacing w:after="0" w:line="234"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w:t>
      </w:r>
    </w:p>
    <w:p>
      <w:pPr>
        <w:jc w:val="center"/>
        <w:ind w:right="-79"/>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997700" cy="2992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29927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p>
      <w:pPr>
        <w:spacing w:after="0" w:line="31" w:lineRule="exact"/>
        <w:rPr>
          <w:sz w:val="20"/>
          <w:szCs w:val="20"/>
          <w:color w:val="auto"/>
        </w:rPr>
      </w:pPr>
    </w:p>
    <w:tbl>
      <w:tblPr>
        <w:tblLayout w:type="fixed"/>
        <w:tblInd w:w="420" w:type="dxa"/>
        <w:tblCellMar>
          <w:top w:w="0" w:type="dxa"/>
          <w:left w:w="0" w:type="dxa"/>
          <w:bottom w:w="0" w:type="dxa"/>
          <w:right w:w="0" w:type="dxa"/>
        </w:tblCellMar>
      </w:tblPr>
      <w:tr>
        <w:trPr>
          <w:trHeight w:val="166"/>
        </w:trPr>
        <w:tc>
          <w:tcPr>
            <w:tcW w:w="2360" w:type="dxa"/>
            <w:vAlign w:val="bottom"/>
          </w:tcPr>
          <w:p>
            <w:pPr>
              <w:ind w:left="20"/>
              <w:spacing w:after="0"/>
              <w:rPr>
                <w:sz w:val="20"/>
                <w:szCs w:val="20"/>
                <w:color w:val="auto"/>
              </w:rPr>
            </w:pPr>
            <w:r>
              <w:rPr>
                <w:rFonts w:ascii="Arial" w:cs="Arial" w:eastAsia="Arial" w:hAnsi="Arial"/>
                <w:sz w:val="14"/>
                <w:szCs w:val="14"/>
                <w:color w:val="auto"/>
              </w:rPr>
              <w:t>1. ELECTION OF DIRECTORS:</w:t>
            </w:r>
          </w:p>
        </w:tc>
        <w:tc>
          <w:tcPr>
            <w:tcW w:w="860" w:type="dxa"/>
            <w:vAlign w:val="bottom"/>
          </w:tcPr>
          <w:p>
            <w:pPr>
              <w:ind w:left="420"/>
              <w:spacing w:after="0"/>
              <w:rPr>
                <w:sz w:val="20"/>
                <w:szCs w:val="20"/>
                <w:color w:val="auto"/>
              </w:rPr>
            </w:pPr>
            <w:r>
              <w:rPr>
                <w:rFonts w:ascii="Arial" w:cs="Arial" w:eastAsia="Arial" w:hAnsi="Arial"/>
                <w:sz w:val="14"/>
                <w:szCs w:val="14"/>
                <w:color w:val="auto"/>
              </w:rPr>
              <w:t>FOR</w:t>
            </w:r>
          </w:p>
        </w:tc>
        <w:tc>
          <w:tcPr>
            <w:tcW w:w="1140" w:type="dxa"/>
            <w:vAlign w:val="bottom"/>
          </w:tcPr>
          <w:p>
            <w:pPr>
              <w:ind w:left="180"/>
              <w:spacing w:after="0"/>
              <w:rPr>
                <w:sz w:val="20"/>
                <w:szCs w:val="20"/>
                <w:color w:val="auto"/>
              </w:rPr>
            </w:pPr>
            <w:r>
              <w:rPr>
                <w:rFonts w:ascii="Arial" w:cs="Arial" w:eastAsia="Arial" w:hAnsi="Arial"/>
                <w:sz w:val="14"/>
                <w:szCs w:val="14"/>
                <w:color w:val="auto"/>
              </w:rPr>
              <w:t>AGAINST</w:t>
            </w:r>
          </w:p>
        </w:tc>
        <w:tc>
          <w:tcPr>
            <w:tcW w:w="920" w:type="dxa"/>
            <w:vAlign w:val="bottom"/>
          </w:tcPr>
          <w:p>
            <w:pPr>
              <w:jc w:val="center"/>
              <w:ind w:left="228"/>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4"/>
                <w:szCs w:val="14"/>
                <w:color w:val="auto"/>
              </w:rPr>
              <w:t>Robert A. Minicucci</w:t>
            </w:r>
          </w:p>
        </w:tc>
        <w:tc>
          <w:tcPr>
            <w:tcW w:w="8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20"/>
                <w:szCs w:val="20"/>
                <w:color w:val="auto"/>
              </w:rPr>
            </w:pPr>
            <w:r>
              <w:rPr>
                <w:rFonts w:ascii="Arial" w:cs="Arial" w:eastAsia="Arial" w:hAnsi="Arial"/>
                <w:sz w:val="14"/>
                <w:szCs w:val="14"/>
                <w:color w:val="auto"/>
              </w:rPr>
              <w:t>Adrian Gardner</w:t>
            </w:r>
          </w:p>
        </w:tc>
        <w:tc>
          <w:tcPr>
            <w:tcW w:w="8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1"/>
        </w:trPr>
        <w:tc>
          <w:tcPr>
            <w:tcW w:w="2360" w:type="dxa"/>
            <w:vAlign w:val="bottom"/>
          </w:tcPr>
          <w:p>
            <w:pPr>
              <w:ind w:left="20"/>
              <w:spacing w:after="0"/>
              <w:rPr>
                <w:sz w:val="20"/>
                <w:szCs w:val="20"/>
                <w:color w:val="auto"/>
              </w:rPr>
            </w:pPr>
            <w:r>
              <w:rPr>
                <w:rFonts w:ascii="Arial" w:cs="Arial" w:eastAsia="Arial" w:hAnsi="Arial"/>
                <w:sz w:val="14"/>
                <w:szCs w:val="14"/>
                <w:color w:val="auto"/>
              </w:rPr>
              <w:t>James S. Kahan</w:t>
            </w:r>
          </w:p>
        </w:tc>
        <w:tc>
          <w:tcPr>
            <w:tcW w:w="8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7"/>
        </w:trPr>
        <w:tc>
          <w:tcPr>
            <w:tcW w:w="2360" w:type="dxa"/>
            <w:vAlign w:val="bottom"/>
          </w:tcPr>
          <w:p>
            <w:pPr>
              <w:ind w:left="20"/>
              <w:spacing w:after="0"/>
              <w:rPr>
                <w:sz w:val="20"/>
                <w:szCs w:val="20"/>
                <w:color w:val="auto"/>
              </w:rPr>
            </w:pPr>
            <w:r>
              <w:rPr>
                <w:rFonts w:ascii="Arial" w:cs="Arial" w:eastAsia="Arial" w:hAnsi="Arial"/>
                <w:sz w:val="14"/>
                <w:szCs w:val="14"/>
                <w:color w:val="auto"/>
              </w:rPr>
              <w:t>Rafael de la Vega</w:t>
            </w:r>
          </w:p>
        </w:tc>
        <w:tc>
          <w:tcPr>
            <w:tcW w:w="860" w:type="dxa"/>
            <w:vAlign w:val="bottom"/>
            <w:vMerge w:val="restart"/>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vMerge w:val="restart"/>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vMerge w:val="restart"/>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94"/>
        </w:trPr>
        <w:tc>
          <w:tcPr>
            <w:tcW w:w="2360" w:type="dxa"/>
            <w:vAlign w:val="bottom"/>
            <w:vMerge w:val="restart"/>
          </w:tcPr>
          <w:p>
            <w:pPr>
              <w:ind w:left="20"/>
              <w:spacing w:after="0"/>
              <w:rPr>
                <w:sz w:val="20"/>
                <w:szCs w:val="20"/>
                <w:color w:val="auto"/>
              </w:rPr>
            </w:pPr>
            <w:r>
              <w:rPr>
                <w:rFonts w:ascii="Arial" w:cs="Arial" w:eastAsia="Arial" w:hAnsi="Arial"/>
                <w:sz w:val="14"/>
                <w:szCs w:val="14"/>
                <w:color w:val="auto"/>
              </w:rPr>
              <w:t>Giora Yaron</w:t>
            </w:r>
          </w:p>
        </w:tc>
        <w:tc>
          <w:tcPr>
            <w:tcW w:w="8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860" w:type="dxa"/>
            <w:vAlign w:val="bottom"/>
            <w:vMerge w:val="restart"/>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vMerge w:val="restart"/>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vMerge w:val="restart"/>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8"/>
        </w:trPr>
        <w:tc>
          <w:tcPr>
            <w:tcW w:w="2360" w:type="dxa"/>
            <w:vAlign w:val="bottom"/>
            <w:vMerge w:val="restart"/>
          </w:tcPr>
          <w:p>
            <w:pPr>
              <w:ind w:left="20"/>
              <w:spacing w:after="0"/>
              <w:rPr>
                <w:sz w:val="20"/>
                <w:szCs w:val="20"/>
                <w:color w:val="auto"/>
              </w:rPr>
            </w:pPr>
            <w:r>
              <w:rPr>
                <w:rFonts w:ascii="Arial" w:cs="Arial" w:eastAsia="Arial" w:hAnsi="Arial"/>
                <w:sz w:val="14"/>
                <w:szCs w:val="14"/>
                <w:color w:val="auto"/>
              </w:rPr>
              <w:t>Eli Gelman</w:t>
            </w:r>
          </w:p>
        </w:tc>
        <w:tc>
          <w:tcPr>
            <w:tcW w:w="8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360" w:type="dxa"/>
            <w:vAlign w:val="bottom"/>
            <w:vMerge w:val="continue"/>
          </w:tcPr>
          <w:p>
            <w:pPr>
              <w:spacing w:after="0"/>
              <w:rPr>
                <w:sz w:val="4"/>
                <w:szCs w:val="4"/>
                <w:color w:val="auto"/>
              </w:rPr>
            </w:pPr>
          </w:p>
        </w:tc>
        <w:tc>
          <w:tcPr>
            <w:tcW w:w="860" w:type="dxa"/>
            <w:vAlign w:val="bottom"/>
            <w:vMerge w:val="restart"/>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vMerge w:val="restart"/>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vMerge w:val="restart"/>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5"/>
        </w:trPr>
        <w:tc>
          <w:tcPr>
            <w:tcW w:w="2360" w:type="dxa"/>
            <w:vAlign w:val="bottom"/>
          </w:tcPr>
          <w:p>
            <w:pPr>
              <w:ind w:left="20"/>
              <w:spacing w:after="0" w:line="155" w:lineRule="exact"/>
              <w:rPr>
                <w:sz w:val="20"/>
                <w:szCs w:val="20"/>
                <w:color w:val="auto"/>
              </w:rPr>
            </w:pPr>
            <w:r>
              <w:rPr>
                <w:rFonts w:ascii="Arial" w:cs="Arial" w:eastAsia="Arial" w:hAnsi="Arial"/>
                <w:sz w:val="14"/>
                <w:szCs w:val="14"/>
                <w:color w:val="auto"/>
              </w:rPr>
              <w:t>Richard T.C. LeFave</w:t>
            </w:r>
          </w:p>
        </w:tc>
        <w:tc>
          <w:tcPr>
            <w:tcW w:w="8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Arial" w:cs="Arial" w:eastAsia="Arial" w:hAnsi="Arial"/>
                <w:sz w:val="14"/>
                <w:szCs w:val="14"/>
                <w:color w:val="auto"/>
              </w:rPr>
              <w:t>John A. MacDonald</w:t>
            </w:r>
          </w:p>
        </w:tc>
        <w:tc>
          <w:tcPr>
            <w:tcW w:w="8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4"/>
                <w:szCs w:val="14"/>
                <w:color w:val="auto"/>
              </w:rPr>
              <w:t>Shuky Sheffer</w:t>
            </w:r>
          </w:p>
        </w:tc>
        <w:tc>
          <w:tcPr>
            <w:tcW w:w="8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4"/>
                <w:szCs w:val="14"/>
                <w:color w:val="auto"/>
              </w:rPr>
              <w:t>Yvette Kanouff</w:t>
            </w:r>
          </w:p>
        </w:tc>
        <w:tc>
          <w:tcPr>
            <w:tcW w:w="8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8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line="171" w:lineRule="exact"/>
        <w:tabs>
          <w:tab w:leader="none" w:pos="5380" w:val="left"/>
        </w:tabs>
        <w:rPr>
          <w:sz w:val="20"/>
          <w:szCs w:val="20"/>
          <w:color w:val="auto"/>
        </w:rPr>
      </w:pPr>
      <w:r>
        <w:rPr>
          <w:rFonts w:ascii="Arial" w:cs="Arial" w:eastAsia="Arial" w:hAnsi="Arial"/>
          <w:sz w:val="14"/>
          <w:szCs w:val="14"/>
          <w:color w:val="auto"/>
        </w:rPr>
        <w:t>To change the address on your account, please check the box at right and indicate</w:t>
      </w:r>
      <w:r>
        <w:rPr>
          <w:sz w:val="20"/>
          <w:szCs w:val="20"/>
          <w:color w:val="auto"/>
        </w:rPr>
        <w:tab/>
      </w:r>
      <w:r>
        <w:rPr>
          <w:rFonts w:ascii="MS PGothic" w:cs="MS PGothic" w:eastAsia="MS PGothic" w:hAnsi="MS PGothic"/>
          <w:sz w:val="17"/>
          <w:szCs w:val="17"/>
          <w:color w:val="auto"/>
          <w:vertAlign w:val="superscript"/>
        </w:rPr>
        <w:t>☐</w:t>
      </w:r>
    </w:p>
    <w:p>
      <w:pPr>
        <w:spacing w:after="0" w:line="45" w:lineRule="exact"/>
        <w:rPr>
          <w:sz w:val="20"/>
          <w:szCs w:val="20"/>
          <w:color w:val="auto"/>
        </w:rPr>
      </w:pPr>
    </w:p>
    <w:p>
      <w:pPr>
        <w:ind w:left="220" w:right="1080"/>
        <w:spacing w:after="0" w:line="314" w:lineRule="auto"/>
        <w:rPr>
          <w:sz w:val="20"/>
          <w:szCs w:val="20"/>
          <w:color w:val="auto"/>
        </w:rPr>
      </w:pPr>
      <w:r>
        <w:rPr>
          <w:rFonts w:ascii="Arial" w:cs="Arial" w:eastAsia="Arial" w:hAnsi="Arial"/>
          <w:sz w:val="12"/>
          <w:szCs w:val="12"/>
          <w:color w:val="auto"/>
        </w:rPr>
        <w:t>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8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740" w:type="dxa"/>
            <w:vAlign w:val="bottom"/>
          </w:tcPr>
          <w:p>
            <w:pPr>
              <w:jc w:val="center"/>
              <w:ind w:left="68"/>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32"/>
        </w:trPr>
        <w:tc>
          <w:tcPr>
            <w:tcW w:w="2920" w:type="dxa"/>
            <w:vAlign w:val="bottom"/>
          </w:tcPr>
          <w:p>
            <w:pPr>
              <w:spacing w:after="0"/>
              <w:rPr>
                <w:sz w:val="20"/>
                <w:szCs w:val="20"/>
                <w:color w:val="auto"/>
              </w:rPr>
            </w:pPr>
            <w:r>
              <w:rPr>
                <w:rFonts w:ascii="Arial" w:cs="Arial" w:eastAsia="Arial" w:hAnsi="Arial"/>
                <w:sz w:val="14"/>
                <w:szCs w:val="14"/>
                <w:color w:val="auto"/>
              </w:rPr>
              <w:t>2. To approve an amendment of the Amdocs</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2920" w:type="dxa"/>
            <w:vAlign w:val="bottom"/>
          </w:tcPr>
          <w:p>
            <w:pPr>
              <w:ind w:left="160"/>
              <w:spacing w:after="0" w:line="143" w:lineRule="exact"/>
              <w:rPr>
                <w:sz w:val="20"/>
                <w:szCs w:val="20"/>
                <w:color w:val="auto"/>
              </w:rPr>
            </w:pPr>
            <w:r>
              <w:rPr>
                <w:rFonts w:ascii="Arial" w:cs="Arial" w:eastAsia="Arial" w:hAnsi="Arial"/>
                <w:sz w:val="14"/>
                <w:szCs w:val="14"/>
                <w:color w:val="auto"/>
                <w:w w:val="96"/>
              </w:rPr>
              <w:t>Limited 1998 Stock Option and Incentive Plan</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w w:val="94"/>
              </w:rPr>
              <w:t>increasing the number of shares authorized for</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issuance under the plan and the sublimit on</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“full value” awards under the plan, in each</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20" w:type="dxa"/>
            <w:vAlign w:val="bottom"/>
          </w:tcPr>
          <w:p>
            <w:pPr>
              <w:ind w:left="160"/>
              <w:spacing w:after="0"/>
              <w:rPr>
                <w:sz w:val="20"/>
                <w:szCs w:val="20"/>
                <w:color w:val="auto"/>
              </w:rPr>
            </w:pPr>
            <w:r>
              <w:rPr>
                <w:rFonts w:ascii="Arial" w:cs="Arial" w:eastAsia="Arial" w:hAnsi="Arial"/>
                <w:sz w:val="14"/>
                <w:szCs w:val="14"/>
                <w:color w:val="auto"/>
              </w:rPr>
              <w:t>case, by 3,000,000 shares (Proposal II).</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Arial" w:cs="Arial" w:eastAsia="Arial" w:hAnsi="Arial"/>
                <w:sz w:val="14"/>
                <w:szCs w:val="14"/>
                <w:color w:val="auto"/>
              </w:rPr>
              <w:t>3. To approve an increase in the dividend rate</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3"/>
        </w:trPr>
        <w:tc>
          <w:tcPr>
            <w:tcW w:w="2920" w:type="dxa"/>
            <w:vAlign w:val="bottom"/>
          </w:tcPr>
          <w:p>
            <w:pPr>
              <w:ind w:left="160"/>
              <w:spacing w:after="0" w:line="143" w:lineRule="exact"/>
              <w:rPr>
                <w:sz w:val="20"/>
                <w:szCs w:val="20"/>
                <w:color w:val="auto"/>
              </w:rPr>
            </w:pPr>
            <w:r>
              <w:rPr>
                <w:rFonts w:ascii="Arial" w:cs="Arial" w:eastAsia="Arial" w:hAnsi="Arial"/>
                <w:sz w:val="14"/>
                <w:szCs w:val="14"/>
                <w:color w:val="auto"/>
              </w:rPr>
              <w:t>under our quarterly cash dividend program</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from $0.285 per share to $0.3275 per share</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(Proposal III).</w:t>
            </w:r>
          </w:p>
        </w:tc>
        <w:tc>
          <w:tcPr>
            <w:tcW w:w="4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4"/>
        </w:trPr>
        <w:tc>
          <w:tcPr>
            <w:tcW w:w="2920" w:type="dxa"/>
            <w:vAlign w:val="bottom"/>
          </w:tcPr>
          <w:p>
            <w:pPr>
              <w:spacing w:after="0" w:line="154" w:lineRule="exact"/>
              <w:rPr>
                <w:sz w:val="20"/>
                <w:szCs w:val="20"/>
                <w:color w:val="auto"/>
              </w:rPr>
            </w:pPr>
            <w:r>
              <w:rPr>
                <w:rFonts w:ascii="Arial" w:cs="Arial" w:eastAsia="Arial" w:hAnsi="Arial"/>
                <w:sz w:val="14"/>
                <w:szCs w:val="14"/>
                <w:color w:val="auto"/>
              </w:rPr>
              <w:t>4. To approve our Consolidated Financial</w:t>
            </w:r>
          </w:p>
        </w:tc>
        <w:tc>
          <w:tcPr>
            <w:tcW w:w="4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920" w:type="dxa"/>
            <w:vAlign w:val="bottom"/>
          </w:tcPr>
          <w:p>
            <w:pPr>
              <w:ind w:left="160"/>
              <w:spacing w:after="0" w:line="143" w:lineRule="exact"/>
              <w:rPr>
                <w:sz w:val="20"/>
                <w:szCs w:val="20"/>
                <w:color w:val="auto"/>
              </w:rPr>
            </w:pPr>
            <w:r>
              <w:rPr>
                <w:rFonts w:ascii="Arial" w:cs="Arial" w:eastAsia="Arial" w:hAnsi="Arial"/>
                <w:sz w:val="14"/>
                <w:szCs w:val="14"/>
                <w:color w:val="auto"/>
              </w:rPr>
              <w:t>Statements for the fiscal year ended</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September 30, 2019 (Proposal IV).</w:t>
            </w:r>
          </w:p>
        </w:tc>
        <w:tc>
          <w:tcPr>
            <w:tcW w:w="4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4"/>
        </w:trPr>
        <w:tc>
          <w:tcPr>
            <w:tcW w:w="2920" w:type="dxa"/>
            <w:vAlign w:val="bottom"/>
          </w:tcPr>
          <w:p>
            <w:pPr>
              <w:spacing w:after="0" w:line="154" w:lineRule="exact"/>
              <w:rPr>
                <w:sz w:val="20"/>
                <w:szCs w:val="20"/>
                <w:color w:val="auto"/>
              </w:rPr>
            </w:pPr>
            <w:r>
              <w:rPr>
                <w:rFonts w:ascii="Arial" w:cs="Arial" w:eastAsia="Arial" w:hAnsi="Arial"/>
                <w:sz w:val="14"/>
                <w:szCs w:val="14"/>
                <w:color w:val="auto"/>
                <w:w w:val="95"/>
              </w:rPr>
              <w:t>5. To ratify and approve the appointment of Ernst</w:t>
            </w:r>
          </w:p>
        </w:tc>
        <w:tc>
          <w:tcPr>
            <w:tcW w:w="4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920" w:type="dxa"/>
            <w:vAlign w:val="bottom"/>
          </w:tcPr>
          <w:p>
            <w:pPr>
              <w:ind w:left="160"/>
              <w:spacing w:after="0" w:line="143" w:lineRule="exact"/>
              <w:rPr>
                <w:sz w:val="20"/>
                <w:szCs w:val="20"/>
                <w:color w:val="auto"/>
              </w:rPr>
            </w:pPr>
            <w:r>
              <w:rPr>
                <w:rFonts w:ascii="Arial" w:cs="Arial" w:eastAsia="Arial" w:hAnsi="Arial"/>
                <w:sz w:val="14"/>
                <w:szCs w:val="14"/>
                <w:color w:val="auto"/>
              </w:rPr>
              <w:t>&amp; Young LLP as our independent registered</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public accounting firm for the fiscal year</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w w:val="95"/>
              </w:rPr>
              <w:t>ending September 30, 2020, and until the next</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annual general meeting, and authorize the</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w w:val="99"/>
              </w:rPr>
              <w:t>Audit Committee of the Board of Directors to</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fix the remuneration of such independent</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registered public accounting firm in</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60"/>
              <w:spacing w:after="0" w:line="149" w:lineRule="exact"/>
              <w:rPr>
                <w:sz w:val="20"/>
                <w:szCs w:val="20"/>
                <w:color w:val="auto"/>
              </w:rPr>
            </w:pPr>
            <w:r>
              <w:rPr>
                <w:rFonts w:ascii="Arial" w:cs="Arial" w:eastAsia="Arial" w:hAnsi="Arial"/>
                <w:sz w:val="14"/>
                <w:szCs w:val="14"/>
                <w:color w:val="auto"/>
              </w:rPr>
              <w:t>accordance with the nature and extent of its</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60"/>
              <w:spacing w:after="0"/>
              <w:rPr>
                <w:sz w:val="20"/>
                <w:szCs w:val="20"/>
                <w:color w:val="auto"/>
              </w:rPr>
            </w:pPr>
            <w:r>
              <w:rPr>
                <w:rFonts w:ascii="Arial" w:cs="Arial" w:eastAsia="Arial" w:hAnsi="Arial"/>
                <w:sz w:val="14"/>
                <w:szCs w:val="14"/>
                <w:color w:val="auto"/>
              </w:rPr>
              <w:t>services (Proposal V).</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right="20"/>
        <w:spacing w:after="0" w:line="237" w:lineRule="auto"/>
        <w:rPr>
          <w:sz w:val="20"/>
          <w:szCs w:val="20"/>
          <w:color w:val="auto"/>
        </w:rPr>
      </w:pPr>
      <w:r>
        <w:rPr>
          <w:rFonts w:ascii="Arial" w:cs="Arial" w:eastAsia="Arial" w:hAnsi="Arial"/>
          <w:sz w:val="14"/>
          <w:szCs w:val="14"/>
          <w:color w:val="auto"/>
        </w:rPr>
        <w:t>Our shareholders will also act on such other business as may properly come before the annual general meeting.</w:t>
      </w:r>
    </w:p>
    <w:p>
      <w:pPr>
        <w:spacing w:after="0" w:line="89"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color w:val="auto"/>
        </w:rPr>
        <w:t>The Board of Directors has fixed the close of business on December 3, 2018 as the record date for the determination of our shareholders entitled to notice of, and to vote on the matters proposed at, the annual general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142240</wp:posOffset>
            </wp:positionV>
            <wp:extent cx="65151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151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240"/>
            <w:col w:w="5000"/>
          </w:cols>
          <w:pgMar w:left="440" w:top="270" w:right="519" w:bottom="1440" w:gutter="0" w:footer="0" w:header="0"/>
          <w:type w:val="continuous"/>
        </w:sectPr>
      </w:pPr>
    </w:p>
    <w:p>
      <w:pPr>
        <w:spacing w:after="0" w:line="4" w:lineRule="exact"/>
        <w:rPr>
          <w:sz w:val="20"/>
          <w:szCs w:val="20"/>
          <w:color w:val="auto"/>
        </w:rPr>
      </w:pPr>
    </w:p>
    <w:tbl>
      <w:tblPr>
        <w:tblLayout w:type="fixed"/>
        <w:tblInd w:w="200" w:type="dxa"/>
        <w:tblCellMar>
          <w:top w:w="0" w:type="dxa"/>
          <w:left w:w="0" w:type="dxa"/>
          <w:bottom w:w="0" w:type="dxa"/>
          <w:right w:w="0" w:type="dxa"/>
        </w:tblCellMar>
      </w:tblPr>
      <w:tr>
        <w:trPr>
          <w:trHeight w:val="258"/>
        </w:trPr>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2140" w:type="dxa"/>
            <w:vAlign w:val="bottom"/>
            <w:tcBorders>
              <w:top w:val="single" w:sz="8" w:color="auto"/>
              <w:right w:val="single" w:sz="8" w:color="auto"/>
            </w:tcBorders>
          </w:tcPr>
          <w:p>
            <w:pPr>
              <w:spacing w:after="0"/>
              <w:rPr>
                <w:sz w:val="22"/>
                <w:szCs w:val="22"/>
                <w:color w:val="auto"/>
              </w:rPr>
            </w:pPr>
          </w:p>
        </w:tc>
        <w:tc>
          <w:tcPr>
            <w:tcW w:w="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1000" w:type="dxa"/>
            <w:vAlign w:val="bottom"/>
            <w:tcBorders>
              <w:top w:val="single" w:sz="8" w:color="auto"/>
              <w:right w:val="single" w:sz="8" w:color="auto"/>
            </w:tcBorders>
          </w:tcPr>
          <w:p>
            <w:pPr>
              <w:spacing w:after="0"/>
              <w:rPr>
                <w:sz w:val="22"/>
                <w:szCs w:val="22"/>
                <w:color w:val="auto"/>
              </w:rPr>
            </w:pPr>
          </w:p>
        </w:tc>
        <w:tc>
          <w:tcPr>
            <w:tcW w:w="188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Signature of Shareholder</w:t>
            </w:r>
          </w:p>
        </w:tc>
        <w:tc>
          <w:tcPr>
            <w:tcW w:w="1920" w:type="dxa"/>
            <w:vAlign w:val="bottom"/>
            <w:tcBorders>
              <w:top w:val="single" w:sz="8" w:color="auto"/>
              <w:right w:val="single" w:sz="8" w:color="auto"/>
            </w:tcBorders>
          </w:tcPr>
          <w:p>
            <w:pPr>
              <w:spacing w:after="0"/>
              <w:rPr>
                <w:sz w:val="22"/>
                <w:szCs w:val="22"/>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w w:val="89"/>
              </w:rPr>
              <w:t>Date:</w:t>
            </w:r>
          </w:p>
        </w:tc>
      </w:tr>
      <w:tr>
        <w:trPr>
          <w:trHeight w:val="80"/>
        </w:trPr>
        <w:tc>
          <w:tcPr>
            <w:tcW w:w="1860" w:type="dxa"/>
            <w:vAlign w:val="bottom"/>
            <w:tcBorders>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r>
    </w:tbl>
    <w:p>
      <w:pPr>
        <w:spacing w:after="0" w:line="224" w:lineRule="exact"/>
        <w:rPr>
          <w:sz w:val="20"/>
          <w:szCs w:val="20"/>
          <w:color w:val="auto"/>
        </w:rPr>
      </w:pPr>
    </w:p>
    <w:p>
      <w:pPr>
        <w:ind w:left="740" w:right="80"/>
        <w:spacing w:after="0" w:line="19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84" w:lineRule="auto"/>
        <w:tabs>
          <w:tab w:leader="none" w:pos="1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26"/>
          <w:szCs w:val="26"/>
          <w:color w:val="auto"/>
          <w:vertAlign w:val="subscript"/>
        </w:rPr>
        <w:t>¢</w:t>
      </w:r>
    </w:p>
    <w:p>
      <w:pPr>
        <w:sectPr>
          <w:pgSz w:w="11900" w:h="16838" w:orient="portrait"/>
          <w:cols w:equalWidth="0" w:num="1">
            <w:col w:w="10940"/>
          </w:cols>
          <w:pgMar w:left="440" w:top="270" w:right="519" w:bottom="1440" w:gutter="0" w:footer="0" w:header="0"/>
          <w:type w:val="continuous"/>
        </w:sectPr>
      </w:pPr>
    </w:p>
    <w:bookmarkStart w:id="43" w:name="page44"/>
    <w:bookmarkEnd w:id="43"/>
    <w:p>
      <w:pPr>
        <w:ind w:left="5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E. Smith</w:t>
      </w:r>
    </w:p>
    <w:p>
      <w:pPr>
        <w:spacing w:after="0" w:line="23"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Secretary and Authorized Signatory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26, 2019</w:t>
      </w:r>
    </w:p>
    <w:sectPr>
      <w:pgSz w:w="11900" w:h="16838" w:orient="portrait"/>
      <w:cols w:equalWidth="0" w:num="1">
        <w:col w:w="10280"/>
      </w:cols>
      <w:pgMar w:left="440" w:top="27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1."/>
      <w:numFmt w:val="decimal"/>
      <w:start w:val="2"/>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Roman"/>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3"/>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1"/>
      <w:numFmt w:val="lowerLetter"/>
      <w:start w:val="1"/>
    </w:lvl>
    <w:lvl w:ilvl="1">
      <w:lvlJc w:val="left"/>
      <w:lvlText w:val="(%2)"/>
      <w:numFmt w:val="lowerLetter"/>
      <w:start w:val="1"/>
    </w:lvl>
  </w:abstractNum>
  <w:abstractNum w:abstractNumId="16">
    <w:nsid w:val="22221A70"/>
    <w:multiLevelType w:val="hybridMultilevel"/>
    <w:lvl w:ilvl="0">
      <w:lvlJc w:val="left"/>
      <w:lvlText w:val="(%1)"/>
      <w:numFmt w:val="lowerLetter"/>
      <w:start w:val="61"/>
    </w:lvl>
    <w:lvl w:ilvl="1">
      <w:lvlJc w:val="left"/>
      <w:lvlText w:val="(%2)"/>
      <w:numFmt w:val="lowerLetter"/>
      <w:start w:val="4"/>
    </w:lvl>
  </w:abstractNum>
  <w:abstractNum w:abstractNumId="17">
    <w:nsid w:val="4516DDE9"/>
    <w:multiLevelType w:val="hybridMultilevel"/>
    <w:lvl w:ilvl="0">
      <w:lvlJc w:val="left"/>
      <w:lvlText w:val="(%1)"/>
      <w:numFmt w:val="lowerLetter"/>
      <w:start w:val="6"/>
    </w:lvl>
  </w:abstractNum>
  <w:abstractNum w:abstractNumId="18">
    <w:nsid w:val="3006C83E"/>
    <w:multiLevelType w:val="hybridMultilevel"/>
    <w:lvl w:ilvl="0">
      <w:lvlJc w:val="left"/>
      <w:lvlText w:val="%1."/>
      <w:numFmt w:val="decimal"/>
      <w:start w:val="3"/>
    </w:lvl>
  </w:abstractNum>
  <w:abstractNum w:abstractNumId="19">
    <w:nsid w:val="614FD4A1"/>
    <w:multiLevelType w:val="hybridMultilevel"/>
    <w:lvl w:ilvl="0">
      <w:lvlJc w:val="left"/>
      <w:lvlText w:val="%1."/>
      <w:numFmt w:val="decimal"/>
      <w:start w:val="4"/>
    </w:lvl>
  </w:abstractNum>
  <w:abstractNum w:abstractNumId="20">
    <w:nsid w:val="419AC241"/>
    <w:multiLevelType w:val="hybridMultilevel"/>
    <w:lvl w:ilvl="0">
      <w:lvlJc w:val="left"/>
      <w:lvlText w:val="%1."/>
      <w:numFmt w:val="decimal"/>
      <w:start w:val="5"/>
    </w:lvl>
  </w:abstractNum>
  <w:abstractNum w:abstractNumId="21">
    <w:nsid w:val="5577F8E1"/>
    <w:multiLevelType w:val="hybridMultilevel"/>
    <w:lvl w:ilvl="0">
      <w:lvlJc w:val="left"/>
      <w:lvlText w:val="(%1)"/>
      <w:numFmt w:val="lowerRoman"/>
      <w:start w:val="2"/>
    </w:lvl>
  </w:abstractNum>
  <w:abstractNum w:abstractNumId="22">
    <w:nsid w:val="440BADFC"/>
    <w:multiLevelType w:val="hybridMultilevel"/>
    <w:lvl w:ilvl="0">
      <w:lvlJc w:val="left"/>
      <w:lvlText w:val="%1."/>
      <w:numFmt w:val="decimal"/>
      <w:start w:val="6"/>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6"/>
    </w:lvl>
  </w:abstractNum>
  <w:abstractNum w:abstractNumId="25">
    <w:nsid w:val="77465F01"/>
    <w:multiLevelType w:val="hybridMultilevel"/>
    <w:lvl w:ilvl="0">
      <w:lvlJc w:val="left"/>
      <w:lvlText w:val="(%1)"/>
      <w:numFmt w:val="lowerLetter"/>
      <w:start w:val="7"/>
    </w:lvl>
  </w:abstractNum>
  <w:abstractNum w:abstractNumId="26">
    <w:nsid w:val="7724C67E"/>
    <w:multiLevelType w:val="hybridMultilevel"/>
    <w:lvl w:ilvl="0">
      <w:lvlJc w:val="left"/>
      <w:lvlText w:val="%1."/>
      <w:numFmt w:val="decimal"/>
      <w:start w:val="7"/>
    </w:lvl>
  </w:abstractNum>
  <w:abstractNum w:abstractNumId="27">
    <w:nsid w:val="5C482A97"/>
    <w:multiLevelType w:val="hybridMultilevel"/>
    <w:lvl w:ilvl="0">
      <w:lvlJc w:val="left"/>
      <w:lvlText w:val="%1."/>
      <w:numFmt w:val="decimal"/>
      <w:start w:val="8"/>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decimal"/>
      <w:start w:val="9"/>
    </w:lvl>
  </w:abstractNum>
  <w:abstractNum w:abstractNumId="30">
    <w:nsid w:val="51EAD36B"/>
    <w:multiLevelType w:val="hybridMultilevel"/>
    <w:lvl w:ilvl="0">
      <w:lvlJc w:val="left"/>
      <w:lvlText w:val="(%1)"/>
      <w:numFmt w:val="upperLetter"/>
      <w:start w:val="1"/>
    </w:lvl>
    <w:lvl w:ilvl="1">
      <w:lvlJc w:val="left"/>
      <w:lvlText w:val="(%2)"/>
      <w:numFmt w:val="lowerRoman"/>
      <w:start w:val="2"/>
    </w:lvl>
  </w:abstractNum>
  <w:abstractNum w:abstractNumId="31">
    <w:nsid w:val="2D517796"/>
    <w:multiLevelType w:val="hybridMultilevel"/>
    <w:lvl w:ilvl="0">
      <w:lvlJc w:val="left"/>
      <w:lvlText w:val="(%1)"/>
      <w:numFmt w:val="lowerLetter"/>
      <w:start w:val="3"/>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Roman"/>
      <w:start w:val="1"/>
    </w:lvl>
  </w:abstractNum>
  <w:abstractNum w:abstractNumId="34">
    <w:nsid w:val="3855585C"/>
    <w:multiLevelType w:val="hybridMultilevel"/>
    <w:lvl w:ilvl="0">
      <w:lvlJc w:val="left"/>
      <w:lvlText w:val="%1."/>
      <w:numFmt w:val="decimal"/>
      <w:start w:val="10"/>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lowerRoman"/>
      <w:start w:val="2"/>
    </w:lvl>
  </w:abstractNum>
  <w:abstractNum w:abstractNumId="38">
    <w:nsid w:val="1D4ED43B"/>
    <w:multiLevelType w:val="hybridMultilevel"/>
    <w:lvl w:ilvl="0">
      <w:lvlJc w:val="left"/>
      <w:lvlText w:val="(%1)"/>
      <w:numFmt w:val="lowerLetter"/>
      <w:start w:val="3"/>
    </w:lvl>
  </w:abstractNum>
  <w:abstractNum w:abstractNumId="39">
    <w:nsid w:val="725A06FB"/>
    <w:multiLevelType w:val="hybridMultilevel"/>
    <w:lvl w:ilvl="0">
      <w:lvlJc w:val="left"/>
      <w:lvlText w:val="%1."/>
      <w:numFmt w:val="decimal"/>
      <w:start w:val="11"/>
    </w:lvl>
  </w:abstractNum>
  <w:abstractNum w:abstractNumId="40">
    <w:nsid w:val="2CD89A32"/>
    <w:multiLevelType w:val="hybridMultilevel"/>
    <w:lvl w:ilvl="0">
      <w:lvlJc w:val="left"/>
      <w:lvlText w:val="%1."/>
      <w:numFmt w:val="decimal"/>
      <w:start w:val="13"/>
    </w:lvl>
  </w:abstractNum>
  <w:abstractNum w:abstractNumId="41">
    <w:nsid w:val="57E4CCAF"/>
    <w:multiLevelType w:val="hybridMultilevel"/>
    <w:lvl w:ilvl="0">
      <w:lvlJc w:val="left"/>
      <w:lvlText w:val="%1."/>
      <w:numFmt w:val="decimal"/>
      <w:start w:val="14"/>
    </w:lvl>
  </w:abstractNum>
  <w:abstractNum w:abstractNumId="42">
    <w:nsid w:val="7A6D8D3C"/>
    <w:multiLevelType w:val="hybridMultilevel"/>
    <w:lvl w:ilvl="0">
      <w:lvlJc w:val="left"/>
      <w:lvlText w:val="%1."/>
      <w:numFmt w:val="decimal"/>
      <w:start w:val="15"/>
    </w:lvl>
  </w:abstractNum>
  <w:abstractNum w:abstractNumId="43">
    <w:nsid w:val="4B588F54"/>
    <w:multiLevelType w:val="hybridMultilevel"/>
    <w:lvl w:ilvl="0">
      <w:lvlJc w:val="left"/>
      <w:lvlText w:val="%1."/>
      <w:numFmt w:val="decimal"/>
      <w:start w:val="16"/>
    </w:lvl>
  </w:abstractNum>
  <w:abstractNum w:abstractNumId="44">
    <w:nsid w:val="542289EC"/>
    <w:multiLevelType w:val="hybridMultilevel"/>
    <w:lvl w:ilvl="0">
      <w:lvlJc w:val="left"/>
      <w:lvlText w:val="%1."/>
      <w:numFmt w:val="decimal"/>
      <w:start w:val="17"/>
    </w:lvl>
  </w:abstractNum>
  <w:abstractNum w:abstractNumId="45">
    <w:nsid w:val="6DE91B18"/>
    <w:multiLevelType w:val="hybridMultilevel"/>
    <w:lvl w:ilvl="0">
      <w:lvlJc w:val="left"/>
      <w:lvlText w:val="%1."/>
      <w:numFmt w:val="decimal"/>
      <w:start w:val="18"/>
    </w:lvl>
  </w:abstractNum>
  <w:abstractNum w:abstractNumId="46">
    <w:nsid w:val="38437FDB"/>
    <w:multiLevelType w:val="hybridMultilevel"/>
    <w:lvl w:ilvl="0">
      <w:lvlJc w:val="left"/>
      <w:lvlText w:val="%1."/>
      <w:numFmt w:val="decimal"/>
      <w:start w:val="19"/>
    </w:lvl>
  </w:abstractNum>
  <w:abstractNum w:abstractNumId="47">
    <w:nsid w:val="7644A45C"/>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2019-12-26T15:37:29Z</dcterms:created>
  <dcterms:modified xsi:type="dcterms:W3CDTF">2019-12-26T15:37:29Z</dcterms:modified>
</cp:coreProperties>
</file>