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July,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29, 2015, Amdocs Limited (“Amdocs”) issued a press release announcing financial results for the quarter ended June 30, 2015. A copy of the press release is furnished as Exhibit 99.1 to this Report of Foreign Private Issuer on Form 6-K.</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60"/>
          </w:cols>
          <w:pgMar w:left="240" w:top="274"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2015</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0" w:type="dxa"/>
            <w:vAlign w:val="bottom"/>
          </w:tcPr>
          <w:p>
            <w:pPr>
              <w:ind w:left="2080"/>
              <w:spacing w:after="0"/>
              <w:rPr>
                <w:sz w:val="20"/>
                <w:szCs w:val="20"/>
                <w:color w:val="auto"/>
              </w:rPr>
            </w:pPr>
            <w:r>
              <w:rPr>
                <w:rFonts w:ascii="Arial" w:cs="Arial" w:eastAsia="Arial" w:hAnsi="Arial"/>
                <w:sz w:val="18"/>
                <w:szCs w:val="18"/>
                <w:color w:val="auto"/>
                <w:w w:val="99"/>
              </w:rPr>
              <w:t>EXHIBIT INDEX</w:t>
            </w:r>
          </w:p>
        </w:tc>
      </w:tr>
      <w:tr>
        <w:trPr>
          <w:trHeight w:val="39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460" w:type="dxa"/>
            <w:vAlign w:val="bottom"/>
            <w:gridSpan w:val="3"/>
          </w:tcPr>
          <w:p>
            <w:pPr>
              <w:ind w:left="10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5460" w:type="dxa"/>
            <w:vAlign w:val="bottom"/>
            <w:gridSpan w:val="3"/>
          </w:tcPr>
          <w:p>
            <w:pPr>
              <w:ind w:left="1060"/>
              <w:spacing w:after="0"/>
              <w:rPr>
                <w:sz w:val="20"/>
                <w:szCs w:val="20"/>
                <w:color w:val="auto"/>
              </w:rPr>
            </w:pPr>
            <w:r>
              <w:rPr>
                <w:rFonts w:ascii="Arial" w:cs="Arial" w:eastAsia="Arial" w:hAnsi="Arial"/>
                <w:sz w:val="18"/>
                <w:szCs w:val="18"/>
                <w:color w:val="auto"/>
              </w:rPr>
              <w:t>Amdocs Limited Press Release dated July 29, 2015.</w:t>
            </w:r>
          </w:p>
        </w:tc>
      </w:tr>
    </w:tbl>
    <w:p>
      <w:pPr>
        <w:ind w:left="10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172085</wp:posOffset>
            </wp:positionV>
            <wp:extent cx="608901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$908M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FY15 Non-GAAP Diluted EPS Growth Towards the Midpoint of the Previously Guided Range of 4.5%-7.5% YoY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Closed the previously announced acquisition of the Comverse business support systems (BSS) assets on July 2, 2015, for $273 million in cash</w:t>
      </w:r>
    </w:p>
    <w:p>
      <w:pPr>
        <w:spacing w:after="0" w:line="153" w:lineRule="exact"/>
        <w:rPr>
          <w:rFonts w:ascii="Arial" w:cs="Arial" w:eastAsia="Arial" w:hAnsi="Arial"/>
          <w:sz w:val="16"/>
          <w:szCs w:val="16"/>
          <w:color w:val="auto"/>
        </w:rPr>
      </w:pPr>
    </w:p>
    <w:p>
      <w:pPr>
        <w:ind w:left="900" w:right="42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revenue of $908 million, within the $885-$925 million guidance range. Revenue was in line with the midpoint of expectations, excluding foreign currency movements. Foreign currency movements positively affected revenue by approximately $1 million relative to the second quarter of fiscal 2015</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non-GAAP operating income of $155 million; non-GAAP operating margin of 17.1%; GAAP operating income of $127 million</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fiscal quarter diluted non-GAAP EPS of $0.84, two cents above midpoint of the $0.79-$0.85 guidance range, excluding amortization of purchased intangible assets and other acquisition-related costs and equity-based compensation expense, net of related tax effects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$0.69 for the third fiscal quarter, within the $0.65-$0.73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free cash flow of $190 million for the third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$60 million of ordinary shares during the third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$3.01 billion at the end of the third fiscal quarter, up $10 million from the end of the second quarter of fiscal 2015</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$0.17 per share quarterly cash dividend to be paid on October 16, 2015</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quarter fiscal 2015 guidance: Expected revenue of approximately $915-$955 million, including the acquired Comverse BSS assets. Expected diluted non-GAAP</w:t>
      </w:r>
    </w:p>
    <w:p>
      <w:pPr>
        <w:sectPr>
          <w:pgSz w:w="11900" w:h="16838" w:orient="portrait"/>
          <w:cols w:equalWidth="0" w:num="1">
            <w:col w:w="11420"/>
          </w:cols>
          <w:pgMar w:left="240" w:top="121" w:right="239" w:bottom="1440" w:gutter="0" w:footer="0" w:header="0"/>
        </w:sectPr>
      </w:pPr>
    </w:p>
    <w:bookmarkStart w:id="5" w:name="page6"/>
    <w:bookmarkEnd w:id="5"/>
    <w:p>
      <w:pPr>
        <w:ind w:left="92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EPS of approximately $0.79-$0.85, excluding amortization of purchased intangible assets and other acquisition-related costs, at least $0.09 per share of nonrecurring restructuring charges associated with the acquisition of the Comverse BSS assets, and approximately $0.05-$0.06 per share of equity-based compensation expense, net of related tax effects. Expected diluted GAAP EPS of approximately $0.49-$0.59. The impact on diluted GAAP EPS of the acquisition of the Comverse BSS assets is subject to finalization of the purchase price allocation by Amdocs</w:t>
      </w:r>
    </w:p>
    <w:p>
      <w:pPr>
        <w:spacing w:after="0" w:line="60" w:lineRule="exact"/>
        <w:rPr>
          <w:sz w:val="20"/>
          <w:szCs w:val="20"/>
          <w:color w:val="auto"/>
        </w:rPr>
      </w:pPr>
    </w:p>
    <w:p>
      <w:pPr>
        <w:jc w:val="both"/>
        <w:ind w:left="900" w:right="1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fiscal 2015 revenue guidance: Expects fiscal 2015 revenue growth, on a constant currency basis, towards the midpoint of the guidance range provided on November 4, 2014 of 2.5% to 5.5% year-over-year. Expects fiscal 2015 reported revenue growth of 2.0% to 3.0% year-over-year</w:t>
      </w:r>
    </w:p>
    <w:p>
      <w:pPr>
        <w:spacing w:after="0" w:line="17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 xml:space="preserve">ST. LOUIS – July 29, 2015 </w:t>
      </w:r>
      <w:r>
        <w:rPr>
          <w:rFonts w:ascii="Arial" w:cs="Arial" w:eastAsia="Arial" w:hAnsi="Arial"/>
          <w:sz w:val="17"/>
          <w:szCs w:val="17"/>
          <w:color w:val="auto"/>
        </w:rPr>
        <w:t>– Amdocs Limited (NASDAQ: DOX) today reported that for its third fiscal quarter ended June 30, 2015, revenue was $907.9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up 0.6% sequentially from the second fiscal quarter of 2015 and up 0.6% as compared to last year’s third fiscal quarter. Third fiscal quarter revenue includes a positive impact from foreign currency movements of approximately $1 million relative to the second quarter of fiscal 2015. Net income on a non-GAAP basis was $131.2 million, or $0.84 per diluted share, compared to non-GAAP net income of $130.9 million, or $0.81 per diluted share, in the third quarter of fiscal 2014. Non-GAAP net income excludes amortization of purchased intangible assets and other acquisition-related costs and equity-based compensation expenses of $23.4 million, net of related tax effects, in the third quarter of fiscal 2015 and excludes such amortization and other acquisition-related costs and equity-based compensation expenses of $21.1 million, net of related tax effects, in the third quarter of fiscal 2014. The Company’s GAAP net income for the third quarter of fiscal 2015 was $107.8 million, or $0.69 per diluted share, compared to GAAP net income of $109.8 million, or $0.68 per diluted share, in the prior fiscal year’s third quarter.</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pleased with our solid results for the third fiscal quarter and the continued progress we have made executing on our various growth initiatives. During the quarter, we expanded our product suite with the launch of CES 9.3 and renewed several managed services agreements which broaden those customer relationships for the long-term. At the same</w:t>
      </w:r>
    </w:p>
    <w:p>
      <w:pPr>
        <w:sectPr>
          <w:pgSz w:w="11900" w:h="16838" w:orient="portrait"/>
          <w:cols w:equalWidth="0" w:num="1">
            <w:col w:w="11420"/>
          </w:cols>
          <w:pgMar w:left="240" w:top="274" w:right="239" w:bottom="1440" w:gutter="0" w:footer="0" w:header="0"/>
        </w:sectPr>
      </w:pPr>
    </w:p>
    <w:bookmarkStart w:id="6" w:name="page7"/>
    <w:bookmarkEnd w:id="6"/>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we remained focused on our delivery and execution, such as the recently completed migration of FarEastTone’s prepaid subscribers to an advanced Amdocs charging and billing system. Finally, the ramp-up of project awards with strategic customers contributed to another quarter of record revenue in our Rest of the World markets,” said Eli Gelman, president and chief executive officer of Amdocs Management Limited.</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Gelman continued, “Shortly after the close of the third quarter, we completed the acquisition of a substantial majority of Comverse’s BSS assets for $273 million in cash. The integration process is now underway and we are committed to ensuring business continuity and support for all aspects of the customer relationships acquired from Comverse. Along these lines, a leading service provider in Latin America recently upgraded its business support system based on the Comverse Kenan technology we acquired to deliver new services, reduce costs and support its growing customer base. Moreover, we look forward to strengthening and expanding our relationship with Comverse BSS customers such as this by bringing world class services, capabilities and a much broader range of offerings for their long-term benefit.”</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Gelman concluded, “We enter our fourth fiscal quarter with a strong win rate for the year to date. Uncertainty persists as a result of consolidation activity in our key markets, but our competitive position remains strong and we expect to benefit once trends improve. Additionally, our consistent focus on operational and financial execution continues to manifest in strong free cash flow generation. Combined with our commitment to proactively allocate capital over the short and long-term, we believe that we can deliver diluted non-GAAP earnings per share growth towards the midpoint of our previously guided range of 4.5% to 7.5% for the full fiscal year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Third Fiscal Quarter Results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Free cash flow was $190 million for the quarter, comprised of cash flow from operations of $222 million less $32 million in net capital expenditures and other.</w:t>
      </w:r>
    </w:p>
    <w:p>
      <w:pPr>
        <w:spacing w:after="0" w:line="17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Twelve-month backlog, which includes anticipated revenue related to contracts, estimated revenue from managed services contracts, letters of intent, maintenance and estimated on-going support activities, was $3.01 billion at the end of the third quarter of fiscal 2015, up $10 million sequentially.</w:t>
      </w:r>
    </w:p>
    <w:p>
      <w:pPr>
        <w:sectPr>
          <w:pgSz w:w="11900" w:h="16838" w:orient="portrait"/>
          <w:cols w:equalWidth="0" w:num="1">
            <w:col w:w="11360"/>
          </w:cols>
          <w:pgMar w:left="240" w:top="27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Outlook</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Amdocs expects that revenue for the fourth quarter of fiscal 2015 will be approximately $915-$955 million, including the acquired Comverse BSS assets. This outlook takes into consideration our expectations regarding macro and industry specific risks and various uncertainties resulting from current and potential customer consolidation activity in North America. However, we remind you that we cannot predict all possible outcomes.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Diluted earnings per share on a non-GAAP basis for the fourth fiscal quarter is expected to be $0.79-$0.85, excluding amortization of purchased intangible assets and other acquisition-related costs, at least $0.09 per share of nonrecurring restructuring charges associated with the acquisition of the Comverse BSS assets, and approximately $0.05-$0.06 per share of equity-based compensation expense, net of related tax effects. Amdocs estimates GAAP diluted earnings per share for the fourth fiscal quarter will be $0.49-$0.59. The impact on diluted GAAP EPS of the acquisition of the Comverse BSS assets is subject to finalization of the purchase price allocation by Amdocs.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29, 2015, the Board approved the Company’s next quarterly cash dividend payment of $0.17 per share and set September 30, 2015 as the record date for determining the shareholders entitled to receive the dividend, which is payable on October 16,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Amdocs will host a conference call on July 29, 2015 at 5:00 p.m. Eastern Time to discuss the Company’s third fiscal quarter results. To participate, please dial +1 (330) 863-3318, or +1 (855) 870-4313 outside the United States, approximately 15 minutes before the call and enter passcode 69811795. The call will also be carried live on the Internet via the Amdocs website, www.amdocs.com.</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nonrecurring restructuring charges associated with the Comverse acquisition;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1380"/>
          </w:cols>
          <w:pgMar w:left="240" w:top="270" w:right="279" w:bottom="1440" w:gutter="0" w:footer="0" w:header="0"/>
        </w:sectPr>
      </w:pPr>
    </w:p>
    <w:bookmarkStart w:id="9" w:name="page10"/>
    <w:bookmarkEnd w:id="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is the market-leader in customer experience software solutions and services for the world’s largest communications, entertainment and media service providers. Our portfolio powers The New World of Customer Experience™, where a wide array of innovative and personalized services are delivered seamlessly to end users, regardless of device or network.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more than 30 years, Amdocs solutions, which include BSS, OSS, network control and optimization, coupled with our professional and managed services, have accelerated business value for our customers by streamlining complex operating environments, reducing costs and speeding time to market for new products and services.</w:t>
      </w:r>
    </w:p>
    <w:p>
      <w:pPr>
        <w:sectPr>
          <w:pgSz w:w="11900" w:h="16838" w:orient="portrait"/>
          <w:cols w:equalWidth="0" w:num="1">
            <w:col w:w="11380"/>
          </w:cols>
          <w:pgMar w:left="240" w:top="274" w:right="27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and our more than 24,000 employees serve customers in over 90 countries. Listed on the NASDAQ Global Select Market, Amdocs had revenue of $3.6 billion in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2014 filed on December 8, 2014, our Form 6-K furnished for the first quarter of fiscal 2015 on February 9, 2015 and our Form 6-K furnished for the second quarter of fiscal 2015 on May 11,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380"/>
          </w:cols>
          <w:pgMar w:left="240" w:top="274"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907,897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2,716,762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592,366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584,604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1,746,383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1,725,291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62,598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64,863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189,044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108,128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112,681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15,326</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781,170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777,474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2,310,514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2,293,835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126,727</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125,003</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406,248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125,683</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124,255</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405,079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365,481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43,862</w:t>
            </w:r>
          </w:p>
        </w:tc>
        <w:tc>
          <w:tcPr>
            <w:tcW w:w="0" w:type="dxa"/>
            <w:vAlign w:val="bottom"/>
          </w:tcPr>
          <w:p>
            <w:pPr>
              <w:spacing w:after="0"/>
              <w:rPr>
                <w:sz w:val="1"/>
                <w:szCs w:val="1"/>
                <w:color w:val="auto"/>
              </w:rPr>
            </w:pPr>
          </w:p>
        </w:tc>
      </w:tr>
      <w:tr>
        <w:trPr>
          <w:trHeight w:val="291"/>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107,782</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109,827</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154,101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159,257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60" w:type="dxa"/>
            <w:vAlign w:val="bottom"/>
            <w:gridSpan w:val="2"/>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156,581</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161,725</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157,352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907,897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2,716,762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2,663,376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155,305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150,849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461,758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446,735</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131,215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130,919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385,333</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156,581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161,725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161,939</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Three months ended</w:t>
      </w:r>
    </w:p>
    <w:p>
      <w:pPr>
        <w:jc w:val="center"/>
        <w:ind w:left="5780"/>
        <w:spacing w:after="0" w:line="236"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6"/>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Pr>
          <w:p>
            <w:pPr>
              <w:spacing w:after="0"/>
              <w:rPr>
                <w:sz w:val="10"/>
                <w:szCs w:val="10"/>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$592,366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(3,786)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$ 588,580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108,128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781,170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(18,078)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752,592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17,901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5,145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23,046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107,782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(5,145)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6"/>
          </w:tcPr>
          <w:p>
            <w:pPr>
              <w:jc w:val="center"/>
              <w:ind w:left="595"/>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June 30, 2014</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Pr>
          <w:p>
            <w:pPr>
              <w:spacing w:after="0"/>
              <w:rPr>
                <w:sz w:val="10"/>
                <w:szCs w:val="10"/>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$584,604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(4,297)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$ 580,307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112,681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777,474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(15,326)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(10,520)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751,628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14,428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4,754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19,182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109,827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(4,754)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wp:posOffset>
            </wp:positionV>
            <wp:extent cx="4193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ind w:left="740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Equity based</w:t>
            </w: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Changes in fair</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purchased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assets 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related liabilities</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1,746,383</w:t>
            </w:r>
          </w:p>
        </w:tc>
        <w:tc>
          <w:tcPr>
            <w:tcW w:w="16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(11,767)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1,759,522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2,310,514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(46,193)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(34,223)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2,255,004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72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3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57,321</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355,033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46,193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34,223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(28,827)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(7,275)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399,347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Nine months ended</w:t>
      </w:r>
    </w:p>
    <w:p>
      <w:pPr>
        <w:jc w:val="center"/>
        <w:ind w:left="5480"/>
        <w:spacing w:after="0" w:line="236"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8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8"/>
              <w:spacing w:after="0" w:line="149" w:lineRule="exact"/>
              <w:rPr>
                <w:sz w:val="20"/>
                <w:szCs w:val="20"/>
                <w:color w:val="auto"/>
              </w:rPr>
            </w:pPr>
            <w:r>
              <w:rPr>
                <w:rFonts w:ascii="Arial" w:cs="Arial" w:eastAsia="Arial" w:hAnsi="Arial"/>
                <w:sz w:val="14"/>
                <w:szCs w:val="14"/>
                <w:b w:val="1"/>
                <w:bCs w:val="1"/>
                <w:color w:val="auto"/>
                <w:w w:val="95"/>
              </w:rPr>
              <w:t>purchased</w:t>
            </w:r>
          </w:p>
        </w:tc>
        <w:tc>
          <w:tcPr>
            <w:tcW w:w="1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intangible assets</w:t>
            </w: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Tax effect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1,725,291</w:t>
            </w:r>
          </w:p>
        </w:tc>
        <w:tc>
          <w:tcPr>
            <w:tcW w:w="20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(13,220)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335,078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(43,174)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2,293,835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(43,174)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(34,020)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2,216,641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13,480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57,342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43,174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(13,480)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1,401,708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receivable, net, including unbilled of $96,355 and $134,523, respectively</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739,927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182,422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130,957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2,455,014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2,423,974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286,183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2,071,678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355,452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5,168,327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850,533</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785,548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174,425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1,101,392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1,200,747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3,516,301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3,395,836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5,168,327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355,033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123,136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516,358</w:t>
            </w:r>
          </w:p>
        </w:tc>
        <w:tc>
          <w:tcPr>
            <w:tcW w:w="0" w:type="dxa"/>
            <w:vAlign w:val="bottom"/>
          </w:tcPr>
          <w:p>
            <w:pPr>
              <w:spacing w:after="0"/>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180,758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(184,724)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(102,635)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(264,238)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(272,211)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62,951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(74,663)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(489,890)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(412,374)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1,103,269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1,014,192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1,076,591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46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7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105.3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907.9</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902.6</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906.3</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900.3</w:t>
            </w:r>
          </w:p>
        </w:tc>
        <w:tc>
          <w:tcPr>
            <w:tcW w:w="780" w:type="dxa"/>
            <w:vAlign w:val="bottom"/>
            <w:gridSpan w:val="2"/>
          </w:tcPr>
          <w:p>
            <w:pPr>
              <w:jc w:val="center"/>
              <w:ind w:left="198"/>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902.5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46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7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46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7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Directory</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907.9</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906.3</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900.3</w:t>
            </w:r>
          </w:p>
        </w:tc>
        <w:tc>
          <w:tcPr>
            <w:tcW w:w="780" w:type="dxa"/>
            <w:vAlign w:val="bottom"/>
            <w:gridSpan w:val="2"/>
            <w:shd w:val="clear" w:color="auto" w:fill="CCEEFF"/>
          </w:tcPr>
          <w:p>
            <w:pPr>
              <w:jc w:val="center"/>
              <w:ind w:left="198"/>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46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7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2019-12-07T04:44:12Z</dcterms:created>
  <dcterms:modified xsi:type="dcterms:W3CDTF">2019-12-07T04:44:12Z</dcterms:modified>
</cp:coreProperties>
</file>