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WASHINGTON, D.C. 20549</w:t>
      </w:r>
    </w:p>
    <w:p>
      <w:pPr>
        <w:spacing w:after="0" w:line="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FORM 20-F</w:t>
      </w:r>
    </w:p>
    <w:p>
      <w:pPr>
        <w:spacing w:after="0" w:line="195" w:lineRule="exact"/>
        <w:rPr>
          <w:sz w:val="24"/>
          <w:szCs w:val="24"/>
          <w:color w:val="auto"/>
        </w:rPr>
      </w:pPr>
    </w:p>
    <w:p>
      <w:pPr>
        <w:ind w:left="480" w:right="2599" w:hanging="480"/>
        <w:spacing w:after="0" w:line="248" w:lineRule="auto"/>
        <w:tabs>
          <w:tab w:leader="none" w:pos="1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REGISTRATION STATEMENT PURSUANT TO SECTION 12(b) OR (g) OF THE SECURITIES EXCHANGE ACT OF 1934</w:t>
      </w:r>
    </w:p>
    <w:p>
      <w:pPr>
        <w:spacing w:after="0" w:line="1" w:lineRule="exact"/>
        <w:rPr>
          <w:sz w:val="24"/>
          <w:szCs w:val="24"/>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7" w:lineRule="exact"/>
        <w:rPr>
          <w:sz w:val="24"/>
          <w:szCs w:val="24"/>
          <w:color w:val="auto"/>
        </w:rPr>
      </w:pPr>
    </w:p>
    <w:p>
      <w:pPr>
        <w:ind w:left="480" w:right="2699" w:hanging="480"/>
        <w:spacing w:after="0" w:line="252" w:lineRule="auto"/>
        <w:tabs>
          <w:tab w:leader="none" w:pos="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w:t>
      </w:r>
    </w:p>
    <w:p>
      <w:pPr>
        <w:spacing w:after="0" w:line="18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FOR THE FISCAL YEAR ENDED SEPTEMBER 30, 2005</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left="480" w:right="3179" w:hanging="480"/>
        <w:spacing w:after="0" w:line="248" w:lineRule="auto"/>
        <w:tabs>
          <w:tab w:leader="none" w:pos="18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 w:lineRule="exact"/>
        <w:rPr>
          <w:sz w:val="24"/>
          <w:szCs w:val="24"/>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left="480" w:right="2879" w:hanging="480"/>
        <w:spacing w:after="0" w:line="248" w:lineRule="auto"/>
        <w:tabs>
          <w:tab w:leader="none" w:pos="18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SHELL COMPANY REPORT PURSUANT TO SECTION 13 OR 15(d) OF THE SECURITIES EXCHANGE ACT OF 1934 Date of event requiring this shell company report............</w:t>
      </w:r>
    </w:p>
    <w:p>
      <w:pPr>
        <w:spacing w:after="0" w:line="1" w:lineRule="exact"/>
        <w:rPr>
          <w:rFonts w:ascii="Courier New" w:cs="Courier New" w:eastAsia="Courier New" w:hAnsi="Courier New"/>
          <w:sz w:val="16"/>
          <w:szCs w:val="16"/>
          <w:color w:val="auto"/>
        </w:rPr>
      </w:pPr>
    </w:p>
    <w:p>
      <w:pPr>
        <w:ind w:left="1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TRANSITION PERIOD FROM ________ TO ________.</w:t>
      </w:r>
    </w:p>
    <w:p>
      <w:pPr>
        <w:spacing w:after="0" w:line="195"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COMMISSION FILE NUMBER 1-14840</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ISLAND OF GUERNSEY</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(Jurisdiction of incorporation or organization)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SUITE 5, TOWER HILL HOUSE LE BORDAGE</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AMDOCS, INC.</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Securities registered or to be registered pursuant to Section 12(b) of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Act:</w:t>
      </w:r>
    </w:p>
    <w:p>
      <w:pPr>
        <w:spacing w:after="0" w:line="195" w:lineRule="exact"/>
        <w:rPr>
          <w:sz w:val="24"/>
          <w:szCs w:val="24"/>
          <w:color w:val="auto"/>
        </w:rPr>
      </w:pPr>
    </w:p>
    <w:p>
      <w:pPr>
        <w:jc w:val="center"/>
        <w:ind w:right="9239"/>
        <w:spacing w:after="0"/>
        <w:rPr>
          <w:sz w:val="20"/>
          <w:szCs w:val="20"/>
          <w:color w:val="auto"/>
        </w:rPr>
      </w:pPr>
      <w:r>
        <w:rPr>
          <w:rFonts w:ascii="Courier New" w:cs="Courier New" w:eastAsia="Courier New" w:hAnsi="Courier New"/>
          <w:sz w:val="16"/>
          <w:szCs w:val="16"/>
          <w:color w:val="auto"/>
        </w:rPr>
        <w:t>TITLE OF</w:t>
      </w:r>
    </w:p>
    <w:p>
      <w:pPr>
        <w:spacing w:after="0" w:line="7" w:lineRule="exact"/>
        <w:rPr>
          <w:sz w:val="24"/>
          <w:szCs w:val="24"/>
          <w:color w:val="auto"/>
        </w:rPr>
      </w:pPr>
    </w:p>
    <w:p>
      <w:pPr>
        <w:jc w:val="center"/>
        <w:ind w:right="9239"/>
        <w:spacing w:after="0"/>
        <w:rPr>
          <w:sz w:val="20"/>
          <w:szCs w:val="20"/>
          <w:color w:val="auto"/>
        </w:rPr>
      </w:pPr>
      <w:r>
        <w:rPr>
          <w:rFonts w:ascii="Courier New" w:cs="Courier New" w:eastAsia="Courier New" w:hAnsi="Courier New"/>
          <w:sz w:val="16"/>
          <w:szCs w:val="16"/>
          <w:color w:val="auto"/>
        </w:rPr>
        <w:t>EACH CLASS</w:t>
      </w:r>
    </w:p>
    <w:p>
      <w:pPr>
        <w:spacing w:after="0" w:line="7" w:lineRule="exact"/>
        <w:rPr>
          <w:sz w:val="24"/>
          <w:szCs w:val="24"/>
          <w:color w:val="auto"/>
        </w:rPr>
      </w:pPr>
    </w:p>
    <w:p>
      <w:pPr>
        <w:jc w:val="center"/>
        <w:ind w:right="9239"/>
        <w:spacing w:after="0"/>
        <w:rPr>
          <w:sz w:val="20"/>
          <w:szCs w:val="20"/>
          <w:color w:val="auto"/>
        </w:rPr>
      </w:pPr>
      <w:r>
        <w:rPr>
          <w:rFonts w:ascii="Courier New" w:cs="Courier New" w:eastAsia="Courier New" w:hAnsi="Courier New"/>
          <w:sz w:val="16"/>
          <w:szCs w:val="16"/>
          <w:color w:val="auto"/>
        </w:rPr>
        <w:t>NAME OF</w:t>
      </w:r>
    </w:p>
    <w:p>
      <w:pPr>
        <w:spacing w:after="0" w:line="7" w:lineRule="exact"/>
        <w:rPr>
          <w:sz w:val="24"/>
          <w:szCs w:val="24"/>
          <w:color w:val="auto"/>
        </w:rPr>
      </w:pPr>
    </w:p>
    <w:p>
      <w:pPr>
        <w:jc w:val="center"/>
        <w:ind w:right="9239"/>
        <w:spacing w:after="0"/>
        <w:rPr>
          <w:sz w:val="20"/>
          <w:szCs w:val="20"/>
          <w:color w:val="auto"/>
        </w:rPr>
      </w:pPr>
      <w:r>
        <w:rPr>
          <w:rFonts w:ascii="Courier New" w:cs="Courier New" w:eastAsia="Courier New" w:hAnsi="Courier New"/>
          <w:sz w:val="16"/>
          <w:szCs w:val="16"/>
          <w:color w:val="auto"/>
        </w:rPr>
        <w:t>EXCHANGE</w:t>
      </w:r>
    </w:p>
    <w:p>
      <w:pPr>
        <w:spacing w:after="0" w:line="7" w:lineRule="exact"/>
        <w:rPr>
          <w:sz w:val="24"/>
          <w:szCs w:val="24"/>
          <w:color w:val="auto"/>
        </w:rPr>
      </w:pPr>
    </w:p>
    <w:p>
      <w:pPr>
        <w:jc w:val="center"/>
        <w:ind w:right="9239"/>
        <w:spacing w:after="0"/>
        <w:rPr>
          <w:sz w:val="20"/>
          <w:szCs w:val="20"/>
          <w:color w:val="auto"/>
        </w:rPr>
      </w:pPr>
      <w:r>
        <w:rPr>
          <w:rFonts w:ascii="Courier New" w:cs="Courier New" w:eastAsia="Courier New" w:hAnsi="Courier New"/>
          <w:sz w:val="16"/>
          <w:szCs w:val="16"/>
          <w:color w:val="auto"/>
        </w:rPr>
        <w:t>ON WHICH</w:t>
      </w:r>
    </w:p>
    <w:p>
      <w:pPr>
        <w:spacing w:after="0" w:line="7" w:lineRule="exact"/>
        <w:rPr>
          <w:sz w:val="24"/>
          <w:szCs w:val="24"/>
          <w:color w:val="auto"/>
        </w:rPr>
      </w:pPr>
    </w:p>
    <w:p>
      <w:pPr>
        <w:jc w:val="center"/>
        <w:ind w:right="9239"/>
        <w:spacing w:after="0"/>
        <w:rPr>
          <w:sz w:val="20"/>
          <w:szCs w:val="20"/>
          <w:color w:val="auto"/>
        </w:rPr>
      </w:pPr>
      <w:r>
        <w:rPr>
          <w:rFonts w:ascii="Courier New" w:cs="Courier New" w:eastAsia="Courier New" w:hAnsi="Courier New"/>
          <w:sz w:val="16"/>
          <w:szCs w:val="16"/>
          <w:color w:val="auto"/>
        </w:rPr>
        <w:t>REGISTERED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4"/>
          <w:szCs w:val="24"/>
          <w:color w:val="auto"/>
        </w:rPr>
      </w:pPr>
    </w:p>
    <w:p>
      <w:pPr>
        <w:ind w:left="140"/>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4"/>
          <w:szCs w:val="24"/>
          <w:color w:val="auto"/>
        </w:rPr>
      </w:pPr>
    </w:p>
    <w:p>
      <w:pPr>
        <w:jc w:val="center"/>
        <w:ind w:right="9239"/>
        <w:spacing w:after="0"/>
        <w:rPr>
          <w:sz w:val="20"/>
          <w:szCs w:val="20"/>
          <w:color w:val="auto"/>
        </w:rPr>
      </w:pPr>
      <w:r>
        <w:rPr>
          <w:rFonts w:ascii="Courier New" w:cs="Courier New" w:eastAsia="Courier New" w:hAnsi="Courier New"/>
          <w:sz w:val="16"/>
          <w:szCs w:val="16"/>
          <w:color w:val="auto"/>
        </w:rPr>
        <w:t>par value</w:t>
      </w:r>
    </w:p>
    <w:p>
      <w:pPr>
        <w:spacing w:after="0" w:line="7" w:lineRule="exact"/>
        <w:rPr>
          <w:sz w:val="24"/>
          <w:szCs w:val="24"/>
          <w:color w:val="auto"/>
        </w:rPr>
      </w:pPr>
    </w:p>
    <w:p>
      <w:pPr>
        <w:jc w:val="center"/>
        <w:ind w:right="9239"/>
        <w:spacing w:after="0"/>
        <w:rPr>
          <w:sz w:val="20"/>
          <w:szCs w:val="20"/>
          <w:color w:val="auto"/>
        </w:rPr>
      </w:pPr>
      <w:r>
        <w:rPr>
          <w:rFonts w:ascii="Courier New" w:cs="Courier New" w:eastAsia="Courier New" w:hAnsi="Courier New"/>
          <w:sz w:val="16"/>
          <w:szCs w:val="16"/>
          <w:color w:val="auto"/>
        </w:rPr>
        <w:t>L0.01 New</w:t>
      </w:r>
    </w:p>
    <w:p>
      <w:pPr>
        <w:spacing w:after="0" w:line="7" w:lineRule="exact"/>
        <w:rPr>
          <w:sz w:val="24"/>
          <w:szCs w:val="24"/>
          <w:color w:val="auto"/>
        </w:rPr>
      </w:pPr>
    </w:p>
    <w:p>
      <w:pPr>
        <w:jc w:val="center"/>
        <w:ind w:right="9239"/>
        <w:spacing w:after="0"/>
        <w:rPr>
          <w:sz w:val="20"/>
          <w:szCs w:val="20"/>
          <w:color w:val="auto"/>
        </w:rPr>
      </w:pPr>
      <w:r>
        <w:rPr>
          <w:rFonts w:ascii="Courier New" w:cs="Courier New" w:eastAsia="Courier New" w:hAnsi="Courier New"/>
          <w:sz w:val="16"/>
          <w:szCs w:val="16"/>
          <w:color w:val="auto"/>
        </w:rPr>
        <w:t>York Stock</w:t>
      </w:r>
    </w:p>
    <w:p>
      <w:pPr>
        <w:spacing w:after="0" w:line="7" w:lineRule="exact"/>
        <w:rPr>
          <w:sz w:val="24"/>
          <w:szCs w:val="24"/>
          <w:color w:val="auto"/>
        </w:rPr>
      </w:pPr>
    </w:p>
    <w:p>
      <w:pPr>
        <w:jc w:val="center"/>
        <w:ind w:right="9239"/>
        <w:spacing w:after="0"/>
        <w:rPr>
          <w:sz w:val="20"/>
          <w:szCs w:val="20"/>
          <w:color w:val="auto"/>
        </w:rPr>
      </w:pPr>
      <w:r>
        <w:rPr>
          <w:rFonts w:ascii="Courier New" w:cs="Courier New" w:eastAsia="Courier New" w:hAnsi="Courier New"/>
          <w:sz w:val="16"/>
          <w:szCs w:val="16"/>
          <w:color w:val="auto"/>
        </w:rPr>
        <w:t>Exchange</w:t>
      </w:r>
    </w:p>
    <w:p>
      <w:pPr>
        <w:spacing w:after="0" w:line="383"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Securities registered or to be registered pursuant to Section 12(g) of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Act: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NONE</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right="2699" w:firstLine="489"/>
        <w:spacing w:after="0" w:line="248" w:lineRule="auto"/>
        <w:rPr>
          <w:sz w:val="20"/>
          <w:szCs w:val="20"/>
          <w:color w:val="auto"/>
        </w:rPr>
      </w:pPr>
      <w:r>
        <w:rPr>
          <w:rFonts w:ascii="Courier New" w:cs="Courier New" w:eastAsia="Courier New" w:hAnsi="Courier New"/>
          <w:sz w:val="16"/>
          <w:szCs w:val="16"/>
          <w:color w:val="auto"/>
        </w:rPr>
        <w:t>Securities for which there is a reporting obligation pursuant to Section 15(d) of the Act:</w:t>
      </w:r>
    </w:p>
    <w:p>
      <w:pPr>
        <w:spacing w:after="0" w:line="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NONE</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both"/>
        <w:ind w:right="2599" w:firstLine="489"/>
        <w:spacing w:after="0" w:line="250" w:lineRule="auto"/>
        <w:rPr>
          <w:sz w:val="20"/>
          <w:szCs w:val="20"/>
          <w:color w:val="auto"/>
        </w:rPr>
      </w:pPr>
      <w:r>
        <w:rPr>
          <w:rFonts w:ascii="Courier New" w:cs="Courier New" w:eastAsia="Courier New" w:hAnsi="Courier New"/>
          <w:sz w:val="16"/>
          <w:szCs w:val="16"/>
          <w:color w:val="auto"/>
        </w:rPr>
        <w:t>Indicate the number of outstanding shares of each of the issuer's classes of capital or common stock as of the close of the period covered by the Annual Report.</w:t>
      </w:r>
    </w:p>
    <w:p>
      <w:pPr>
        <w:sectPr>
          <w:pgSz w:w="11900" w:h="16838" w:orient="portrait"/>
          <w:cols w:equalWidth="0" w:num="1">
            <w:col w:w="10219"/>
          </w:cols>
          <w:pgMar w:left="240" w:top="618" w:right="1440" w:bottom="0" w:gutter="0" w:footer="0" w:header="0"/>
        </w:sectPr>
      </w:pPr>
    </w:p>
    <w:p>
      <w:pPr>
        <w:spacing w:after="0" w:line="200" w:lineRule="exact"/>
        <w:rPr>
          <w:sz w:val="24"/>
          <w:szCs w:val="24"/>
          <w:color w:val="auto"/>
        </w:rPr>
      </w:pPr>
    </w:p>
    <w:p>
      <w:pPr>
        <w:spacing w:after="0" w:line="361" w:lineRule="exact"/>
        <w:rPr>
          <w:sz w:val="24"/>
          <w:szCs w:val="24"/>
          <w:color w:val="auto"/>
        </w:rPr>
      </w:pPr>
    </w:p>
    <w:p>
      <w:pPr>
        <w:jc w:val="center"/>
        <w:ind w:right="1220"/>
        <w:spacing w:after="0"/>
        <w:rPr>
          <w:sz w:val="20"/>
          <w:szCs w:val="20"/>
          <w:color w:val="auto"/>
        </w:rPr>
      </w:pPr>
      <w:r>
        <w:rPr>
          <w:rFonts w:ascii="Courier New" w:cs="Courier New" w:eastAsia="Courier New" w:hAnsi="Courier New"/>
          <w:sz w:val="16"/>
          <w:szCs w:val="16"/>
          <w:color w:val="auto"/>
        </w:rPr>
        <w:t>Ordinary Shares, par value L0.01</w:t>
      </w:r>
    </w:p>
    <w:p>
      <w:pPr>
        <w:spacing w:after="0" w:line="7" w:lineRule="exact"/>
        <w:rPr>
          <w:sz w:val="24"/>
          <w:szCs w:val="24"/>
          <w:color w:val="auto"/>
        </w:rPr>
      </w:pPr>
    </w:p>
    <w:p>
      <w:pPr>
        <w:jc w:val="center"/>
        <w:ind w:right="1220"/>
        <w:spacing w:after="0"/>
        <w:rPr>
          <w:sz w:val="20"/>
          <w:szCs w:val="20"/>
          <w:color w:val="auto"/>
        </w:rPr>
      </w:pPr>
      <w:r>
        <w:rPr>
          <w:rFonts w:ascii="Courier New" w:cs="Courier New" w:eastAsia="Courier New" w:hAnsi="Courier New"/>
          <w:sz w:val="16"/>
          <w:szCs w:val="16"/>
          <w:color w:val="auto"/>
        </w:rPr>
        <w:t>(Title of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1"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6"/>
          <w:szCs w:val="16"/>
          <w:color w:val="auto"/>
        </w:rPr>
        <w:t>200,181,700(1)</w:t>
      </w:r>
    </w:p>
    <w:p>
      <w:pPr>
        <w:spacing w:after="0" w:line="7"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6"/>
          <w:szCs w:val="16"/>
          <w:color w:val="auto"/>
        </w:rPr>
        <w:t>(Number of shares)</w:t>
      </w:r>
    </w:p>
    <w:p>
      <w:pPr>
        <w:spacing w:after="0" w:line="200" w:lineRule="exact"/>
        <w:rPr>
          <w:sz w:val="24"/>
          <w:szCs w:val="24"/>
          <w:color w:val="auto"/>
        </w:rPr>
      </w:pPr>
    </w:p>
    <w:p>
      <w:pPr>
        <w:sectPr>
          <w:pgSz w:w="11900" w:h="16838" w:orient="portrait"/>
          <w:cols w:equalWidth="0" w:num="2">
            <w:col w:w="6700" w:space="720"/>
            <w:col w:w="2799"/>
          </w:cols>
          <w:pgMar w:left="240" w:top="618" w:right="1440" w:bottom="0" w:gutter="0" w:footer="0" w:header="0"/>
          <w:type w:val="continuous"/>
        </w:sectPr>
      </w:pP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4"/>
          <w:szCs w:val="24"/>
          <w:color w:val="auto"/>
        </w:rPr>
      </w:pPr>
    </w:p>
    <w:p>
      <w:pPr>
        <w:ind w:left="400" w:right="2399" w:hanging="400"/>
        <w:spacing w:after="0" w:line="252" w:lineRule="auto"/>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27,138,823 shares held in treasury. Does not include (a) 25,807,382 ordinary shares reserved for issuance upon exercise of stock options granted</w:t>
      </w:r>
    </w:p>
    <w:p>
      <w:pPr>
        <w:sectPr>
          <w:pgSz w:w="11900" w:h="16838" w:orient="portrait"/>
          <w:cols w:equalWidth="0" w:num="1">
            <w:col w:w="10219"/>
          </w:cols>
          <w:pgMar w:left="240" w:top="618" w:right="1440" w:bottom="0" w:gutter="0" w:footer="0" w:header="0"/>
          <w:type w:val="continuous"/>
        </w:sectPr>
      </w:pPr>
    </w:p>
    <w:bookmarkStart w:id="1" w:name="page2"/>
    <w:bookmarkEnd w:id="1"/>
    <w:p>
      <w:pPr>
        <w:ind w:left="400" w:right="3079"/>
        <w:spacing w:after="0" w:line="250" w:lineRule="auto"/>
        <w:rPr>
          <w:sz w:val="20"/>
          <w:szCs w:val="20"/>
          <w:color w:val="auto"/>
        </w:rPr>
      </w:pPr>
      <w:r>
        <w:rPr>
          <w:rFonts w:ascii="Courier New" w:cs="Courier New" w:eastAsia="Courier New" w:hAnsi="Courier New"/>
          <w:sz w:val="16"/>
          <w:szCs w:val="16"/>
          <w:color w:val="auto"/>
        </w:rPr>
        <w:t>under our stock option plan or by companies we have acquired, and (b) 10,438,949 ordinary shares reserved for issuance upon conversion of outstanding convertible debt securities.</w:t>
      </w:r>
    </w:p>
    <w:p>
      <w:pPr>
        <w:spacing w:after="0" w:line="18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Indicate by check mark if the registrant is a well-known seasoned issuer, as defined in Rule 405 of the Securities Act.</w:t>
      </w:r>
    </w:p>
    <w:p>
      <w:pPr>
        <w:spacing w:after="0" w:line="183" w:lineRule="exact"/>
        <w:rPr>
          <w:sz w:val="20"/>
          <w:szCs w:val="20"/>
          <w:color w:val="auto"/>
        </w:rPr>
      </w:pPr>
    </w:p>
    <w:p>
      <w:pPr>
        <w:ind w:left="2540"/>
        <w:spacing w:after="0"/>
        <w:tabs>
          <w:tab w:leader="none" w:pos="4680" w:val="left"/>
        </w:tabs>
        <w:rPr>
          <w:sz w:val="20"/>
          <w:szCs w:val="20"/>
          <w:color w:val="auto"/>
        </w:rPr>
      </w:pPr>
      <w:r>
        <w:rPr>
          <w:rFonts w:ascii="Courier New" w:cs="Courier New" w:eastAsia="Courier New" w:hAnsi="Courier New"/>
          <w:sz w:val="16"/>
          <w:szCs w:val="16"/>
          <w:color w:val="auto"/>
        </w:rPr>
        <w:t>Yes [X]</w:t>
      </w:r>
      <w:r>
        <w:rPr>
          <w:sz w:val="20"/>
          <w:szCs w:val="20"/>
          <w:color w:val="auto"/>
        </w:rPr>
        <w:tab/>
      </w:r>
      <w:r>
        <w:rPr>
          <w:rFonts w:ascii="Courier New" w:cs="Courier New" w:eastAsia="Courier New" w:hAnsi="Courier New"/>
          <w:sz w:val="16"/>
          <w:szCs w:val="16"/>
          <w:color w:val="auto"/>
        </w:rPr>
        <w:t>No [ ]</w:t>
      </w:r>
    </w:p>
    <w:p>
      <w:pPr>
        <w:spacing w:after="0" w:line="19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If this report is an annual or transition report, indicate by check mark if the registrant is not required to file reports pursuant to Section 13 or 15(d) of the Securities Exchange Act of 1934.</w:t>
      </w:r>
    </w:p>
    <w:p>
      <w:pPr>
        <w:spacing w:after="0" w:line="185" w:lineRule="exact"/>
        <w:rPr>
          <w:sz w:val="20"/>
          <w:szCs w:val="20"/>
          <w:color w:val="auto"/>
        </w:rPr>
      </w:pPr>
    </w:p>
    <w:p>
      <w:pPr>
        <w:ind w:left="2540"/>
        <w:spacing w:after="0"/>
        <w:tabs>
          <w:tab w:leader="none" w:pos="4680" w:val="left"/>
        </w:tabs>
        <w:rPr>
          <w:sz w:val="20"/>
          <w:szCs w:val="20"/>
          <w:color w:val="auto"/>
        </w:rPr>
      </w:pPr>
      <w:r>
        <w:rPr>
          <w:rFonts w:ascii="Courier New" w:cs="Courier New" w:eastAsia="Courier New" w:hAnsi="Courier New"/>
          <w:sz w:val="16"/>
          <w:szCs w:val="16"/>
          <w:color w:val="auto"/>
        </w:rPr>
        <w:t>Yes [ ]</w:t>
      </w:r>
      <w:r>
        <w:rPr>
          <w:sz w:val="20"/>
          <w:szCs w:val="20"/>
          <w:color w:val="auto"/>
        </w:rPr>
        <w:tab/>
      </w:r>
      <w:r>
        <w:rPr>
          <w:rFonts w:ascii="Courier New" w:cs="Courier New" w:eastAsia="Courier New" w:hAnsi="Courier New"/>
          <w:sz w:val="16"/>
          <w:szCs w:val="16"/>
          <w:color w:val="auto"/>
        </w:rPr>
        <w:t>No [X]</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7" w:lineRule="exact"/>
        <w:rPr>
          <w:sz w:val="20"/>
          <w:szCs w:val="20"/>
          <w:color w:val="auto"/>
        </w:rPr>
      </w:pPr>
    </w:p>
    <w:p>
      <w:pPr>
        <w:ind w:left="2540"/>
        <w:spacing w:after="0"/>
        <w:tabs>
          <w:tab w:leader="none" w:pos="4680" w:val="left"/>
        </w:tabs>
        <w:rPr>
          <w:sz w:val="20"/>
          <w:szCs w:val="20"/>
          <w:color w:val="auto"/>
        </w:rPr>
      </w:pPr>
      <w:r>
        <w:rPr>
          <w:rFonts w:ascii="Courier New" w:cs="Courier New" w:eastAsia="Courier New" w:hAnsi="Courier New"/>
          <w:sz w:val="16"/>
          <w:szCs w:val="16"/>
          <w:color w:val="auto"/>
        </w:rPr>
        <w:t>Yes [X]</w:t>
      </w:r>
      <w:r>
        <w:rPr>
          <w:sz w:val="20"/>
          <w:szCs w:val="20"/>
          <w:color w:val="auto"/>
        </w:rPr>
        <w:tab/>
      </w:r>
      <w:r>
        <w:rPr>
          <w:rFonts w:ascii="Courier New" w:cs="Courier New" w:eastAsia="Courier New" w:hAnsi="Courier New"/>
          <w:sz w:val="16"/>
          <w:szCs w:val="16"/>
          <w:color w:val="auto"/>
        </w:rPr>
        <w:t>No [ ]</w:t>
      </w:r>
    </w:p>
    <w:p>
      <w:pPr>
        <w:spacing w:after="0" w:line="195"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Indicate by check mark which financial statement item the registrant has elected to follow.</w:t>
      </w:r>
    </w:p>
    <w:p>
      <w:pPr>
        <w:spacing w:after="0" w:line="183" w:lineRule="exact"/>
        <w:rPr>
          <w:sz w:val="20"/>
          <w:szCs w:val="20"/>
          <w:color w:val="auto"/>
        </w:rPr>
      </w:pPr>
    </w:p>
    <w:p>
      <w:pPr>
        <w:ind w:left="2060"/>
        <w:spacing w:after="0"/>
        <w:tabs>
          <w:tab w:leader="none" w:pos="4580" w:val="left"/>
        </w:tabs>
        <w:rPr>
          <w:sz w:val="20"/>
          <w:szCs w:val="20"/>
          <w:color w:val="auto"/>
        </w:rPr>
      </w:pPr>
      <w:r>
        <w:rPr>
          <w:rFonts w:ascii="Courier New" w:cs="Courier New" w:eastAsia="Courier New" w:hAnsi="Courier New"/>
          <w:sz w:val="16"/>
          <w:szCs w:val="16"/>
          <w:color w:val="auto"/>
        </w:rPr>
        <w:t>Item 17 [ ]</w:t>
      </w:r>
      <w:r>
        <w:rPr>
          <w:sz w:val="20"/>
          <w:szCs w:val="20"/>
          <w:color w:val="auto"/>
        </w:rPr>
        <w:tab/>
      </w:r>
      <w:r>
        <w:rPr>
          <w:rFonts w:ascii="Courier New" w:cs="Courier New" w:eastAsia="Courier New" w:hAnsi="Courier New"/>
          <w:sz w:val="16"/>
          <w:szCs w:val="16"/>
          <w:color w:val="auto"/>
        </w:rPr>
        <w:t>Item 18 [X]</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If this is an annual report, indicate by check mark whether the registrant is a shell company (as defined in Rule 12b-2 of the Exchange Act).</w:t>
      </w:r>
    </w:p>
    <w:p>
      <w:pPr>
        <w:spacing w:after="0" w:line="183" w:lineRule="exact"/>
        <w:rPr>
          <w:sz w:val="20"/>
          <w:szCs w:val="20"/>
          <w:color w:val="auto"/>
        </w:rPr>
      </w:pPr>
    </w:p>
    <w:p>
      <w:pPr>
        <w:ind w:left="2540"/>
        <w:spacing w:after="0"/>
        <w:tabs>
          <w:tab w:leader="none" w:pos="4680" w:val="left"/>
        </w:tabs>
        <w:rPr>
          <w:sz w:val="20"/>
          <w:szCs w:val="20"/>
          <w:color w:val="auto"/>
        </w:rPr>
      </w:pPr>
      <w:r>
        <w:rPr>
          <w:rFonts w:ascii="Courier New" w:cs="Courier New" w:eastAsia="Courier New" w:hAnsi="Courier New"/>
          <w:sz w:val="16"/>
          <w:szCs w:val="16"/>
          <w:color w:val="auto"/>
        </w:rPr>
        <w:t>Yes [ ]</w:t>
      </w:r>
      <w:r>
        <w:rPr>
          <w:sz w:val="20"/>
          <w:szCs w:val="20"/>
          <w:color w:val="auto"/>
        </w:rPr>
        <w:tab/>
      </w:r>
      <w:r>
        <w:rPr>
          <w:rFonts w:ascii="Courier New" w:cs="Courier New" w:eastAsia="Courier New" w:hAnsi="Courier New"/>
          <w:sz w:val="16"/>
          <w:szCs w:val="16"/>
          <w:color w:val="auto"/>
        </w:rPr>
        <w:t>No [X]</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20-F</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ANNUAL REPORT FOR THE FISCAL YEAR ENDED SEPTEMBER 30, 2005</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5"/>
                <w:szCs w:val="15"/>
                <w:color w:val="auto"/>
              </w:rPr>
            </w:pPr>
          </w:p>
        </w:tc>
        <w:tc>
          <w:tcPr>
            <w:tcW w:w="6060" w:type="dxa"/>
            <w:vAlign w:val="bottom"/>
          </w:tcPr>
          <w:p>
            <w:pPr>
              <w:jc w:val="right"/>
              <w:ind w:right="2859"/>
              <w:spacing w:after="0"/>
              <w:rPr>
                <w:sz w:val="20"/>
                <w:szCs w:val="20"/>
                <w:color w:val="auto"/>
              </w:rPr>
            </w:pPr>
            <w:r>
              <w:rPr>
                <w:rFonts w:ascii="Courier New" w:cs="Courier New" w:eastAsia="Courier New" w:hAnsi="Courier New"/>
                <w:sz w:val="16"/>
                <w:szCs w:val="16"/>
                <w:color w:val="auto"/>
              </w:rPr>
              <w:t>INDEX</w:t>
            </w:r>
          </w:p>
        </w:tc>
        <w:tc>
          <w:tcPr>
            <w:tcW w:w="380" w:type="dxa"/>
            <w:vAlign w:val="bottom"/>
          </w:tcPr>
          <w:p>
            <w:pPr>
              <w:spacing w:after="0"/>
              <w:rPr>
                <w:sz w:val="15"/>
                <w:szCs w:val="15"/>
                <w:color w:val="auto"/>
              </w:rPr>
            </w:pPr>
          </w:p>
        </w:tc>
      </w:tr>
      <w:tr>
        <w:trPr>
          <w:trHeight w:val="752"/>
        </w:trPr>
        <w:tc>
          <w:tcPr>
            <w:tcW w:w="980" w:type="dxa"/>
            <w:vAlign w:val="bottom"/>
          </w:tcPr>
          <w:p>
            <w:pPr>
              <w:spacing w:after="0"/>
              <w:rPr>
                <w:sz w:val="24"/>
                <w:szCs w:val="24"/>
                <w:color w:val="auto"/>
              </w:rPr>
            </w:pPr>
          </w:p>
        </w:tc>
        <w:tc>
          <w:tcPr>
            <w:tcW w:w="6060" w:type="dxa"/>
            <w:vAlign w:val="bottom"/>
          </w:tcPr>
          <w:p>
            <w:pPr>
              <w:jc w:val="right"/>
              <w:ind w:right="2959"/>
              <w:spacing w:after="0"/>
              <w:rPr>
                <w:sz w:val="20"/>
                <w:szCs w:val="20"/>
                <w:color w:val="auto"/>
              </w:rPr>
            </w:pPr>
            <w:r>
              <w:rPr>
                <w:rFonts w:ascii="Courier New" w:cs="Courier New" w:eastAsia="Courier New" w:hAnsi="Courier New"/>
                <w:sz w:val="16"/>
                <w:szCs w:val="16"/>
                <w:color w:val="auto"/>
              </w:rPr>
              <w:t>PART I</w:t>
            </w:r>
          </w:p>
        </w:tc>
        <w:tc>
          <w:tcPr>
            <w:tcW w:w="380" w:type="dxa"/>
            <w:vAlign w:val="bottom"/>
          </w:tcPr>
          <w:p>
            <w:pPr>
              <w:spacing w:after="0"/>
              <w:rPr>
                <w:sz w:val="24"/>
                <w:szCs w:val="24"/>
                <w:color w:val="auto"/>
              </w:rPr>
            </w:pP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Identity of Directors, Senior Management and Advisors.......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Offer Statistics and Expected Timetable.....................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Key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Information on the Company..................................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5.</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Operating and Financial Review and Prospects................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Directors, Senior Management and Employees..................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7.</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Major Shareholders and Related Party Transactions...........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8.</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9.</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The Offer and Listing.......................................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10.</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Additional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11.</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Quantitative and Qualitative Disclosure about Market Risk...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12.</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Description of Securities Other than Equity Securities......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376"/>
        </w:trPr>
        <w:tc>
          <w:tcPr>
            <w:tcW w:w="980" w:type="dxa"/>
            <w:vAlign w:val="bottom"/>
          </w:tcPr>
          <w:p>
            <w:pPr>
              <w:spacing w:after="0"/>
              <w:rPr>
                <w:sz w:val="24"/>
                <w:szCs w:val="24"/>
                <w:color w:val="auto"/>
              </w:rPr>
            </w:pPr>
          </w:p>
        </w:tc>
        <w:tc>
          <w:tcPr>
            <w:tcW w:w="6060" w:type="dxa"/>
            <w:vAlign w:val="bottom"/>
          </w:tcPr>
          <w:p>
            <w:pPr>
              <w:jc w:val="right"/>
              <w:ind w:right="2959"/>
              <w:spacing w:after="0"/>
              <w:rPr>
                <w:sz w:val="20"/>
                <w:szCs w:val="20"/>
                <w:color w:val="auto"/>
              </w:rPr>
            </w:pPr>
            <w:r>
              <w:rPr>
                <w:rFonts w:ascii="Courier New" w:cs="Courier New" w:eastAsia="Courier New" w:hAnsi="Courier New"/>
                <w:sz w:val="16"/>
                <w:szCs w:val="16"/>
                <w:color w:val="auto"/>
              </w:rPr>
              <w:t>PART II</w:t>
            </w:r>
          </w:p>
        </w:tc>
        <w:tc>
          <w:tcPr>
            <w:tcW w:w="380" w:type="dxa"/>
            <w:vAlign w:val="bottom"/>
          </w:tcPr>
          <w:p>
            <w:pPr>
              <w:spacing w:after="0"/>
              <w:rPr>
                <w:sz w:val="24"/>
                <w:szCs w:val="24"/>
                <w:color w:val="auto"/>
              </w:rPr>
            </w:pPr>
          </w:p>
        </w:tc>
      </w:tr>
      <w:tr>
        <w:trPr>
          <w:trHeight w:val="376"/>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13.</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Defaults, Dividend Arrearages and Delinquencies.............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14.</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Material Modifications to the Rights of Security Holders and</w:t>
            </w:r>
          </w:p>
        </w:tc>
        <w:tc>
          <w:tcPr>
            <w:tcW w:w="38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Use of Proceeds.............................................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15.</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Controls and Procedures.....................................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16A.</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Audit Committee Financial Expert............................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16B.</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Code of Ethics..............................................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16C.</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Principal Accountant Fees and Services......................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16D.</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Exemption From the Listing Standards for Audit Committees...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16E.</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Purchases of Equity Securities by the Issuer and Affiliated</w:t>
            </w:r>
          </w:p>
        </w:tc>
        <w:tc>
          <w:tcPr>
            <w:tcW w:w="38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Purchasers..................................................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376"/>
        </w:trPr>
        <w:tc>
          <w:tcPr>
            <w:tcW w:w="980" w:type="dxa"/>
            <w:vAlign w:val="bottom"/>
          </w:tcPr>
          <w:p>
            <w:pPr>
              <w:spacing w:after="0"/>
              <w:rPr>
                <w:sz w:val="24"/>
                <w:szCs w:val="24"/>
                <w:color w:val="auto"/>
              </w:rPr>
            </w:pPr>
          </w:p>
        </w:tc>
        <w:tc>
          <w:tcPr>
            <w:tcW w:w="6060" w:type="dxa"/>
            <w:vAlign w:val="bottom"/>
          </w:tcPr>
          <w:p>
            <w:pPr>
              <w:jc w:val="right"/>
              <w:ind w:right="2859"/>
              <w:spacing w:after="0"/>
              <w:rPr>
                <w:sz w:val="20"/>
                <w:szCs w:val="20"/>
                <w:color w:val="auto"/>
              </w:rPr>
            </w:pPr>
            <w:r>
              <w:rPr>
                <w:rFonts w:ascii="Courier New" w:cs="Courier New" w:eastAsia="Courier New" w:hAnsi="Courier New"/>
                <w:sz w:val="16"/>
                <w:szCs w:val="16"/>
                <w:color w:val="auto"/>
              </w:rPr>
              <w:t>PART III</w:t>
            </w:r>
          </w:p>
        </w:tc>
        <w:tc>
          <w:tcPr>
            <w:tcW w:w="380" w:type="dxa"/>
            <w:vAlign w:val="bottom"/>
          </w:tcPr>
          <w:p>
            <w:pPr>
              <w:spacing w:after="0"/>
              <w:rPr>
                <w:sz w:val="24"/>
                <w:szCs w:val="24"/>
                <w:color w:val="auto"/>
              </w:rPr>
            </w:pPr>
          </w:p>
        </w:tc>
      </w:tr>
      <w:tr>
        <w:trPr>
          <w:trHeight w:val="376"/>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17.</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18.</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Item 19.</w:t>
            </w:r>
          </w:p>
        </w:tc>
        <w:tc>
          <w:tcPr>
            <w:tcW w:w="6060" w:type="dxa"/>
            <w:vAlign w:val="bottom"/>
          </w:tcPr>
          <w:p>
            <w:pPr>
              <w:ind w:left="100"/>
              <w:spacing w:after="0"/>
              <w:rPr>
                <w:sz w:val="20"/>
                <w:szCs w:val="20"/>
                <w:color w:val="auto"/>
              </w:rPr>
            </w:pPr>
            <w:r>
              <w:rPr>
                <w:rFonts w:ascii="Courier New" w:cs="Courier New" w:eastAsia="Courier New" w:hAnsi="Courier New"/>
                <w:sz w:val="16"/>
                <w:szCs w:val="16"/>
                <w:color w:val="auto"/>
              </w:rPr>
              <w:t>Exhibits....................................................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564"/>
        </w:trPr>
        <w:tc>
          <w:tcPr>
            <w:tcW w:w="980" w:type="dxa"/>
            <w:vAlign w:val="bottom"/>
          </w:tcPr>
          <w:p>
            <w:pPr>
              <w:spacing w:after="0"/>
              <w:rPr>
                <w:sz w:val="24"/>
                <w:szCs w:val="24"/>
                <w:color w:val="auto"/>
              </w:rPr>
            </w:pPr>
          </w:p>
        </w:tc>
        <w:tc>
          <w:tcPr>
            <w:tcW w:w="6060" w:type="dxa"/>
            <w:vAlign w:val="bottom"/>
          </w:tcPr>
          <w:p>
            <w:pPr>
              <w:jc w:val="right"/>
              <w:ind w:right="2959"/>
              <w:spacing w:after="0"/>
              <w:rPr>
                <w:sz w:val="20"/>
                <w:szCs w:val="20"/>
                <w:color w:val="auto"/>
              </w:rPr>
            </w:pPr>
            <w:r>
              <w:rPr>
                <w:rFonts w:ascii="Courier New" w:cs="Courier New" w:eastAsia="Courier New" w:hAnsi="Courier New"/>
                <w:sz w:val="16"/>
                <w:szCs w:val="16"/>
                <w:color w:val="auto"/>
              </w:rPr>
              <w:t>1</w:t>
            </w:r>
          </w:p>
        </w:tc>
        <w:tc>
          <w:tcPr>
            <w:tcW w:w="38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3" w:name="page4"/>
    <w:bookmarkEnd w:id="3"/>
    <w:p>
      <w:pPr>
        <w:ind w:right="2399" w:firstLine="489"/>
        <w:spacing w:after="0" w:line="249" w:lineRule="auto"/>
        <w:rPr>
          <w:sz w:val="20"/>
          <w:szCs w:val="20"/>
          <w:color w:val="auto"/>
        </w:rPr>
      </w:pPr>
      <w:r>
        <w:rPr>
          <w:rFonts w:ascii="Courier New" w:cs="Courier New" w:eastAsia="Courier New" w:hAnsi="Courier New"/>
          <w:sz w:val="16"/>
          <w:szCs w:val="16"/>
          <w:color w:val="auto"/>
        </w:rPr>
        <w:t>Unless the context otherwise requires, all references in this Annual Report on Form 20-F to "Amdocs", "we", "our", "us" and the "Company" refer to Amdocs Limited and its consolidated subsidiaries and their respective predecessors. Our consolidated financial statements are prepared in accordance with U.S. GAAP and are expressed in U.S. dollars. References to "dollars" or "$" are to U.S. dollars. Our fiscal year ends on September 30 of each year. References to any specific financial year refer to the year ended September 30 of the calendar year specified.</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We own or have rights to trademarks or trade names that we use in conjunction with the sale of our products and services, including, without limitation, each of the following: Amdocs(TM), Ensemble(TM), AmdocsEnabler(TM) and Clarify(TM).</w:t>
      </w:r>
    </w:p>
    <w:p>
      <w:pPr>
        <w:spacing w:after="0" w:line="1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FORWARD LOOKING STATEMENTS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Annual Report on Form 20-F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86"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4" w:name="page5"/>
    <w:bookmarkEnd w:id="4"/>
    <w:p>
      <w:pPr>
        <w:ind w:left="3620"/>
        <w:spacing w:after="0"/>
        <w:rPr>
          <w:sz w:val="20"/>
          <w:szCs w:val="20"/>
          <w:color w:val="auto"/>
        </w:rPr>
      </w:pPr>
      <w:r>
        <w:rPr>
          <w:rFonts w:ascii="Courier New" w:cs="Courier New" w:eastAsia="Courier New" w:hAnsi="Courier New"/>
          <w:sz w:val="16"/>
          <w:szCs w:val="16"/>
          <w:color w:val="auto"/>
        </w:rPr>
        <w:t>PART I</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IDENTITY OF DIRECTORS, SENIOR MANAGEMENT AND ADVISORS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OFFER STATISTICS AND EXPECTED TIMETABLE</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KEY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FINANCIAL DATA</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historical consolidated financial statements are prepared in accordance with U.S. generally accepted accounting principles ("GAAP") and presented in U.S. dollars. The selected historical consolidated financial information set forth below has been derived from our historical consolidated financial statements for the years presented. Historical information as of and for the five years ended September 30, 2005 is derived from our consolidated financial statements, which have been audited by Ernst &amp; Young LLP, our independent registered public accounting firm. You should read the information presented below in conjunction with those statements.</w:t>
      </w:r>
    </w:p>
    <w:p>
      <w:pPr>
        <w:spacing w:after="0" w:line="187" w:lineRule="exact"/>
        <w:rPr>
          <w:sz w:val="20"/>
          <w:szCs w:val="20"/>
          <w:color w:val="auto"/>
        </w:rPr>
      </w:pPr>
    </w:p>
    <w:p>
      <w:pPr>
        <w:ind w:right="3179" w:firstLine="489"/>
        <w:spacing w:after="0" w:line="249" w:lineRule="auto"/>
        <w:rPr>
          <w:sz w:val="20"/>
          <w:szCs w:val="20"/>
          <w:color w:val="auto"/>
        </w:rPr>
      </w:pPr>
      <w:r>
        <w:rPr>
          <w:rFonts w:ascii="Courier New" w:cs="Courier New" w:eastAsia="Courier New" w:hAnsi="Courier New"/>
          <w:sz w:val="16"/>
          <w:szCs w:val="16"/>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2005 2004 2003 2002 2001 -------</w:t>
      </w:r>
    </w:p>
    <w:p>
      <w:pPr>
        <w:spacing w:after="0" w:line="7" w:lineRule="exact"/>
        <w:rPr>
          <w:sz w:val="20"/>
          <w:szCs w:val="20"/>
          <w:color w:val="auto"/>
        </w:rPr>
      </w:pPr>
    </w:p>
    <w:p>
      <w:pPr>
        <w:ind w:left="440" w:hanging="394"/>
        <w:spacing w:after="0"/>
        <w:tabs>
          <w:tab w:leader="none" w:pos="4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ind w:left="640" w:hanging="496"/>
        <w:spacing w:after="0"/>
        <w:tabs>
          <w:tab w:leader="none" w:pos="6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Revenue..........................</w:t>
            </w: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8"/>
        </w:trPr>
        <w:tc>
          <w:tcPr>
            <w:tcW w:w="11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$2,038,621</w:t>
            </w:r>
          </w:p>
        </w:tc>
        <w:tc>
          <w:tcPr>
            <w:tcW w:w="20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$1,773,732 $1,483,327</w:t>
            </w:r>
          </w:p>
        </w:tc>
      </w:tr>
      <w:tr>
        <w:trPr>
          <w:trHeight w:val="188"/>
        </w:trPr>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$1,613,565</w:t>
            </w:r>
          </w:p>
        </w:tc>
        <w:tc>
          <w:tcPr>
            <w:tcW w:w="20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$1,533,910 Operating</w:t>
            </w:r>
          </w:p>
        </w:tc>
      </w:tr>
      <w:tr>
        <w:trPr>
          <w:trHeight w:val="188"/>
        </w:trPr>
        <w:tc>
          <w:tcPr>
            <w:tcW w:w="1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income.................</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338,492</w:t>
            </w:r>
          </w:p>
        </w:tc>
      </w:tr>
      <w:tr>
        <w:trPr>
          <w:trHeight w:val="188"/>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296,200</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210,418</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49,161</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159,281</w:t>
            </w:r>
          </w:p>
        </w:tc>
      </w:tr>
      <w:tr>
        <w:trPr>
          <w:trHeight w:val="188"/>
        </w:trPr>
        <w:tc>
          <w:tcPr>
            <w:tcW w:w="2440" w:type="dxa"/>
            <w:vAlign w:val="bottom"/>
            <w:gridSpan w:val="5"/>
          </w:tcPr>
          <w:p>
            <w:pPr>
              <w:jc w:val="center"/>
              <w:ind w:left="706"/>
              <w:spacing w:after="0"/>
              <w:rPr>
                <w:sz w:val="20"/>
                <w:szCs w:val="20"/>
                <w:color w:val="auto"/>
              </w:rPr>
            </w:pPr>
            <w:r>
              <w:rPr>
                <w:rFonts w:ascii="Courier New" w:cs="Courier New" w:eastAsia="Courier New" w:hAnsi="Courier New"/>
                <w:sz w:val="16"/>
                <w:szCs w:val="16"/>
                <w:color w:val="auto"/>
              </w:rPr>
              <w:t>Net income (loss)</w:t>
            </w:r>
          </w:p>
        </w:tc>
        <w:tc>
          <w:tcPr>
            <w:tcW w:w="740" w:type="dxa"/>
            <w:vAlign w:val="bottom"/>
          </w:tcPr>
          <w:p>
            <w:pPr>
              <w:spacing w:after="0"/>
              <w:rPr>
                <w:sz w:val="16"/>
                <w:szCs w:val="16"/>
                <w:color w:val="auto"/>
              </w:rPr>
            </w:pPr>
          </w:p>
        </w:tc>
      </w:tr>
      <w:tr>
        <w:trPr>
          <w:trHeight w:val="188"/>
        </w:trPr>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(1).............</w:t>
            </w:r>
          </w:p>
        </w:tc>
        <w:tc>
          <w:tcPr>
            <w:tcW w:w="5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288,636</w:t>
            </w:r>
          </w:p>
        </w:tc>
        <w:tc>
          <w:tcPr>
            <w:tcW w:w="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234,860</w:t>
            </w:r>
          </w:p>
        </w:tc>
      </w:tr>
      <w:tr>
        <w:trPr>
          <w:trHeight w:val="188"/>
        </w:trPr>
        <w:tc>
          <w:tcPr>
            <w:tcW w:w="24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168,883 (5,061) 66,386</w:t>
            </w:r>
          </w:p>
        </w:tc>
        <w:tc>
          <w:tcPr>
            <w:tcW w:w="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Basic</w:t>
            </w:r>
          </w:p>
        </w:tc>
      </w:tr>
      <w:tr>
        <w:trPr>
          <w:trHeight w:val="188"/>
        </w:trPr>
        <w:tc>
          <w:tcPr>
            <w:tcW w:w="318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earnings (loss) per</w:t>
            </w:r>
          </w:p>
        </w:tc>
      </w:tr>
      <w:tr>
        <w:trPr>
          <w:trHeight w:val="188"/>
        </w:trPr>
        <w:tc>
          <w:tcPr>
            <w:tcW w:w="11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share..........................</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820" w:type="dxa"/>
            <w:vAlign w:val="bottom"/>
          </w:tcPr>
          <w:p>
            <w:pPr>
              <w:jc w:val="center"/>
              <w:ind w:left="186"/>
              <w:spacing w:after="0"/>
              <w:rPr>
                <w:sz w:val="20"/>
                <w:szCs w:val="20"/>
                <w:color w:val="auto"/>
              </w:rPr>
            </w:pPr>
            <w:r>
              <w:rPr>
                <w:rFonts w:ascii="Courier New" w:cs="Courier New" w:eastAsia="Courier New" w:hAnsi="Courier New"/>
                <w:sz w:val="16"/>
                <w:szCs w:val="16"/>
                <w:color w:val="auto"/>
              </w:rPr>
              <w:t>1.44</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1.13 0.78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4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0.30</w:t>
            </w:r>
          </w:p>
        </w:tc>
      </w:tr>
      <w:tr>
        <w:trPr>
          <w:trHeight w:val="188"/>
        </w:trPr>
        <w:tc>
          <w:tcPr>
            <w:tcW w:w="318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Diluted earnings (loss) per</w:t>
            </w:r>
          </w:p>
        </w:tc>
      </w:tr>
      <w:tr>
        <w:trPr>
          <w:trHeight w:val="188"/>
        </w:trPr>
        <w:tc>
          <w:tcPr>
            <w:tcW w:w="17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5"/>
              </w:rPr>
              <w:t>share(2).......................</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820" w:type="dxa"/>
            <w:vAlign w:val="bottom"/>
          </w:tcPr>
          <w:p>
            <w:pPr>
              <w:jc w:val="center"/>
              <w:ind w:left="186"/>
              <w:spacing w:after="0"/>
              <w:rPr>
                <w:sz w:val="20"/>
                <w:szCs w:val="20"/>
                <w:color w:val="auto"/>
              </w:rPr>
            </w:pPr>
            <w:r>
              <w:rPr>
                <w:rFonts w:ascii="Courier New" w:cs="Courier New" w:eastAsia="Courier New" w:hAnsi="Courier New"/>
                <w:sz w:val="16"/>
                <w:szCs w:val="16"/>
                <w:color w:val="auto"/>
              </w:rPr>
              <w:t>1.35</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1.08 0.77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4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0.29</w:t>
            </w:r>
          </w:p>
        </w:tc>
      </w:tr>
      <w:tr>
        <w:trPr>
          <w:trHeight w:val="188"/>
        </w:trPr>
        <w:tc>
          <w:tcPr>
            <w:tcW w:w="318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Dividends declared per</w:t>
            </w:r>
          </w:p>
        </w:tc>
      </w:tr>
      <w:tr>
        <w:trPr>
          <w:trHeight w:val="188"/>
        </w:trPr>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w:t>
            </w:r>
          </w:p>
        </w:tc>
        <w:tc>
          <w:tcPr>
            <w:tcW w:w="2060" w:type="dxa"/>
            <w:vAlign w:val="bottom"/>
            <w:gridSpan w:val="4"/>
          </w:tcPr>
          <w:p>
            <w:pPr>
              <w:jc w:val="right"/>
              <w:ind w:right="259"/>
              <w:spacing w:after="0"/>
              <w:rPr>
                <w:sz w:val="20"/>
                <w:szCs w:val="20"/>
                <w:color w:val="auto"/>
              </w:rPr>
            </w:pPr>
            <w:r>
              <w:rPr>
                <w:rFonts w:ascii="Courier New" w:cs="Courier New" w:eastAsia="Courier New" w:hAnsi="Courier New"/>
                <w:sz w:val="16"/>
                <w:szCs w:val="16"/>
                <w:color w:val="auto"/>
              </w:rPr>
              <w:t>-- -- -- -- --</w:t>
            </w:r>
          </w:p>
        </w:tc>
      </w:tr>
      <w:tr>
        <w:trPr>
          <w:trHeight w:val="564"/>
        </w:trPr>
        <w:tc>
          <w:tcPr>
            <w:tcW w:w="24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2005 2004 2003 2002 2001</w:t>
            </w:r>
          </w:p>
        </w:tc>
        <w:tc>
          <w:tcPr>
            <w:tcW w:w="4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7" w:lineRule="exact"/>
        <w:rPr>
          <w:sz w:val="20"/>
          <w:szCs w:val="20"/>
          <w:color w:val="auto"/>
        </w:rPr>
      </w:pPr>
    </w:p>
    <w:p>
      <w:pPr>
        <w:ind w:left="640" w:hanging="595"/>
        <w:spacing w:after="0"/>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SHEET DATA:</w:t>
      </w:r>
    </w:p>
    <w:p>
      <w:pPr>
        <w:spacing w:after="0" w:line="6" w:lineRule="exact"/>
        <w:rPr>
          <w:rFonts w:ascii="Courier New" w:cs="Courier New" w:eastAsia="Courier New" w:hAnsi="Courier New"/>
          <w:sz w:val="16"/>
          <w:szCs w:val="16"/>
          <w:color w:val="auto"/>
        </w:rPr>
      </w:pPr>
    </w:p>
    <w:p>
      <w:pPr>
        <w:ind w:left="1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$3,202,468 $2,863,884</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$2,877,517 $2,540,094</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$2,624,436 Long term</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obligations 2% Convertible</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Notes due June 1,</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2008(1)..................</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272 272 400,454 445,054</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500,000 0.50% Convertible</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Senior Notes due</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2024(3).................</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450,000 450,000 -- -- --</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Long-term portion of</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capital lease</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obligations........... --</w:t>
      </w:r>
    </w:p>
    <w:p>
      <w:pPr>
        <w:spacing w:after="0" w:line="7"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4,112 23,825 15,138 24,779</w:t>
      </w:r>
    </w:p>
    <w:p>
      <w:pPr>
        <w:spacing w:after="0" w:line="195"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equity(4)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1,656,452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1,444,190</w:t>
            </w:r>
          </w:p>
        </w:tc>
      </w:tr>
      <w:tr>
        <w:trPr>
          <w:trHeight w:val="188"/>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1,591,600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1,416,275</w:t>
            </w:r>
          </w:p>
        </w:tc>
      </w:tr>
    </w:tbl>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1,512,091</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376" w:gutter="0" w:footer="0" w:header="0"/>
        </w:sectPr>
      </w:pPr>
    </w:p>
    <w:bookmarkStart w:id="5" w:name="page6"/>
    <w:bookmarkEnd w:id="5"/>
    <w:p>
      <w:pPr>
        <w:spacing w:after="0" w:line="1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ORDINARY SHARES ADDITIONAL -----</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PAID-IN SHARES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AMOUNT CAPITAL TREASURY STOCK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(IN THOUSANDS) STATEMENT</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OF CHANGES IN SHAREHOLDERS'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EQUITY DATA: Balance as of</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September 30,</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2001................. 222,628</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$3,560 $1,806,290 $ -- Employee</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stock options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exercised............... 687 12</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5,149 -- Tax benefit of stock</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 exercised......... -- --</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6,808 -- Expense related to</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vesting of stock options.... --</w:t>
      </w:r>
    </w:p>
    <w:p>
      <w:pPr>
        <w:spacing w:after="0" w:line="7" w:lineRule="exact"/>
        <w:rPr>
          <w:sz w:val="20"/>
          <w:szCs w:val="20"/>
          <w:color w:val="auto"/>
        </w:rPr>
      </w:pPr>
    </w:p>
    <w:p>
      <w:pPr>
        <w:ind w:right="6999" w:firstLine="535"/>
        <w:spacing w:after="0" w:line="248" w:lineRule="auto"/>
        <w:tabs>
          <w:tab w:leader="none" w:pos="82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98 -- Repurchase of shares(4)........................</w:t>
      </w:r>
    </w:p>
    <w:p>
      <w:pPr>
        <w:spacing w:after="0" w:line="1"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(7,732) -- -- (109,281) -------</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as of September 30,</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2002................. 215,583</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3,572 1,818,345 (109,281)</w:t>
      </w: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Employee stock options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exercised............... 475 8</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2,312 -- Tax benefit of stock</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 exercised......... -- --</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262 -- Expense related to</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vesting of stock options....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-- 37 -- ------- ------ --------</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 Balance as of</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September 30,</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2003................. 216,058</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3,580 1,820,956 (109,281)</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Issuance of ordinary shares</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related to acquisition,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net(5).........................</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561 -- 747 14,392 Employee stock</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 exercised...............</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1,157 21 12,056 -- Tax benefit</w:t>
      </w:r>
    </w:p>
    <w:p>
      <w:pPr>
        <w:spacing w:after="0" w:line="7"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of stock options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exercised......... -- -- 3,094 -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Stock options granted, net of</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forfeitures...... -- -- 749 --</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Repurchase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shares(4)........................</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(16,442) -- -- (407,527) Expense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related to vesting of stock</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 -- -- 6 -- ------- -</w:t>
      </w:r>
    </w:p>
    <w:p>
      <w:pPr>
        <w:spacing w:after="0" w:line="7" w:lineRule="exact"/>
        <w:rPr>
          <w:sz w:val="20"/>
          <w:szCs w:val="20"/>
          <w:color w:val="auto"/>
        </w:rPr>
      </w:pPr>
    </w:p>
    <w:p>
      <w:pPr>
        <w:ind w:left="920" w:hanging="580"/>
        <w:spacing w:after="0"/>
        <w:tabs>
          <w:tab w:leader="none" w:pos="9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as of September 30,</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77"/>
              </w:rPr>
              <w:t>2004.................</w:t>
            </w:r>
          </w:p>
        </w:tc>
        <w:tc>
          <w:tcPr>
            <w:tcW w:w="15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201,334</w:t>
            </w:r>
          </w:p>
        </w:tc>
      </w:tr>
      <w:tr>
        <w:trPr>
          <w:trHeight w:val="188"/>
        </w:trPr>
        <w:tc>
          <w:tcPr>
            <w:tcW w:w="1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3,601 1,837,608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(502,416) ------</w:t>
            </w:r>
          </w:p>
        </w:tc>
      </w:tr>
    </w:tbl>
    <w:p>
      <w:pPr>
        <w:spacing w:after="0" w:line="4" w:lineRule="exact"/>
        <w:rPr>
          <w:sz w:val="20"/>
          <w:szCs w:val="20"/>
          <w:color w:val="auto"/>
        </w:rPr>
      </w:pPr>
    </w:p>
    <w:p>
      <w:pPr>
        <w:ind w:left="380" w:hanging="187"/>
        <w:spacing w:after="0"/>
        <w:tabs>
          <w:tab w:leader="none" w:pos="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restricted stock and</w:t>
      </w:r>
    </w:p>
    <w:p>
      <w:pPr>
        <w:spacing w:after="0" w:line="7"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6"/>
          <w:szCs w:val="16"/>
          <w:color w:val="auto"/>
        </w:rPr>
        <w:t>stock options related to</w:t>
      </w:r>
    </w:p>
    <w:p>
      <w:pPr>
        <w:spacing w:after="0" w:line="7"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6"/>
          <w:szCs w:val="16"/>
          <w:color w:val="auto"/>
        </w:rPr>
        <w:t>acquisitions,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 144 2 6,034</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Employee stock options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exercised............... 2,229</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41 23,983 -- Tax benefit of</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 options exercised.........</w:t>
      </w:r>
    </w:p>
    <w:p>
      <w:pPr>
        <w:spacing w:after="0" w:line="7" w:lineRule="exact"/>
        <w:rPr>
          <w:sz w:val="20"/>
          <w:szCs w:val="20"/>
          <w:color w:val="auto"/>
        </w:rPr>
      </w:pPr>
    </w:p>
    <w:p>
      <w:pPr>
        <w:ind w:right="6999" w:firstLine="242"/>
        <w:spacing w:after="0" w:line="248" w:lineRule="auto"/>
        <w:tabs>
          <w:tab w:leader="none" w:pos="53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-- 3,147 -- Repurchase of shares(4)........................</w:t>
      </w:r>
    </w:p>
    <w:p>
      <w:pPr>
        <w:spacing w:after="0" w:line="1" w:lineRule="exact"/>
        <w:rPr>
          <w:rFonts w:ascii="Courier New" w:cs="Courier New" w:eastAsia="Courier New" w:hAnsi="Courier New"/>
          <w:sz w:val="16"/>
          <w:szCs w:val="16"/>
          <w:color w:val="auto"/>
        </w:rPr>
      </w:pPr>
    </w:p>
    <w:p>
      <w:pPr>
        <w:jc w:val="center"/>
        <w:ind w:left="300" w:right="7139" w:hanging="146"/>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(3,525) -- -- (99,976) Expense related to vesting of stock</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81"/>
              </w:rPr>
              <w:t>options....</w:t>
            </w: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rPr>
              <w:t>-- -- 150 -- -------</w:t>
            </w:r>
          </w:p>
        </w:tc>
      </w:tr>
      <w:tr>
        <w:trPr>
          <w:trHeight w:val="188"/>
        </w:trPr>
        <w:tc>
          <w:tcPr>
            <w:tcW w:w="314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 ---------- ---------</w:t>
            </w:r>
          </w:p>
        </w:tc>
      </w:tr>
      <w:tr>
        <w:trPr>
          <w:trHeight w:val="188"/>
        </w:trPr>
        <w:tc>
          <w:tcPr>
            <w:tcW w:w="314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Balance as of September 30,</w:t>
            </w:r>
          </w:p>
        </w:tc>
      </w:tr>
      <w:tr>
        <w:trPr>
          <w:trHeight w:val="188"/>
        </w:trPr>
        <w:tc>
          <w:tcPr>
            <w:tcW w:w="880" w:type="dxa"/>
            <w:vAlign w:val="bottom"/>
          </w:tcPr>
          <w:p>
            <w:pPr>
              <w:jc w:val="right"/>
              <w:spacing w:after="0"/>
              <w:rPr>
                <w:sz w:val="20"/>
                <w:szCs w:val="20"/>
                <w:color w:val="auto"/>
              </w:rPr>
            </w:pPr>
            <w:r>
              <w:rPr>
                <w:rFonts w:ascii="Courier New" w:cs="Courier New" w:eastAsia="Courier New" w:hAnsi="Courier New"/>
                <w:sz w:val="9"/>
                <w:szCs w:val="9"/>
                <w:color w:val="auto"/>
                <w:w w:val="75"/>
              </w:rPr>
              <w:t>2005.................</w:t>
            </w:r>
          </w:p>
        </w:tc>
        <w:tc>
          <w:tcPr>
            <w:tcW w:w="2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200,182</w:t>
            </w:r>
          </w:p>
        </w:tc>
      </w:tr>
      <w:tr>
        <w:trPr>
          <w:trHeight w:val="188"/>
        </w:trPr>
        <w:tc>
          <w:tcPr>
            <w:tcW w:w="880" w:type="dxa"/>
            <w:vAlign w:val="bottom"/>
          </w:tcPr>
          <w:p>
            <w:pPr>
              <w:jc w:val="right"/>
              <w:ind w:right="26"/>
              <w:spacing w:after="0"/>
              <w:rPr>
                <w:sz w:val="20"/>
                <w:szCs w:val="20"/>
                <w:color w:val="auto"/>
              </w:rPr>
            </w:pPr>
            <w:r>
              <w:rPr>
                <w:rFonts w:ascii="Courier New" w:cs="Courier New" w:eastAsia="Courier New" w:hAnsi="Courier New"/>
                <w:sz w:val="16"/>
                <w:szCs w:val="16"/>
                <w:color w:val="auto"/>
              </w:rPr>
              <w:t>$3,644</w:t>
            </w:r>
          </w:p>
        </w:tc>
        <w:tc>
          <w:tcPr>
            <w:tcW w:w="2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$1,870,922 $(602,392)</w:t>
            </w:r>
          </w:p>
        </w:tc>
      </w:tr>
    </w:tbl>
    <w:p>
      <w:pPr>
        <w:spacing w:after="0" w:line="4"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6"/>
          <w:szCs w:val="16"/>
          <w:color w:val="auto"/>
        </w:rPr>
        <w:t>======= ====== ==========</w:t>
      </w:r>
    </w:p>
    <w:p>
      <w:pPr>
        <w:spacing w:after="0" w:line="7"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2499" w:hanging="400"/>
        <w:spacing w:after="0" w:line="249"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In 2004, we purchased $395,110 in aggregate principal amount of 2% Notes that had</w:t>
      </w:r>
    </w:p>
    <w:p>
      <w:pPr>
        <w:sectPr>
          <w:pgSz w:w="11900" w:h="16858" w:orient="portrait"/>
          <w:cols w:equalWidth="0" w:num="1">
            <w:col w:w="10219"/>
          </w:cols>
          <w:pgMar w:left="240" w:top="680" w:right="1440" w:bottom="0" w:gutter="0" w:footer="0" w:header="0"/>
        </w:sectPr>
      </w:pPr>
    </w:p>
    <w:bookmarkStart w:id="6" w:name="page7"/>
    <w:bookmarkEnd w:id="6"/>
    <w:p>
      <w:pPr>
        <w:ind w:left="400" w:right="2399"/>
        <w:spacing w:after="0" w:line="249" w:lineRule="auto"/>
        <w:rPr>
          <w:sz w:val="20"/>
          <w:szCs w:val="20"/>
          <w:color w:val="auto"/>
        </w:rPr>
      </w:pPr>
      <w:r>
        <w:rPr>
          <w:rFonts w:ascii="Courier New" w:cs="Courier New" w:eastAsia="Courier New" w:hAnsi="Courier New"/>
          <w:sz w:val="16"/>
          <w:szCs w:val="16"/>
          <w:color w:val="auto"/>
        </w:rPr>
        <w:t>been tendered pursuant to the right of the holders to require us to purchase their 2% Notes on such date at a price equal to 100% of the principal amount plus accrued and unpaid interest. Of the $344 principal amount of untendered 2% Notes, we subsequently purchased $72 at a price of 100% of their principal amount and the balance remains as our outstanding obligations, in accordance with their terms.</w:t>
      </w:r>
    </w:p>
    <w:p>
      <w:pPr>
        <w:spacing w:after="0" w:line="187" w:lineRule="exact"/>
        <w:rPr>
          <w:sz w:val="20"/>
          <w:szCs w:val="20"/>
          <w:color w:val="auto"/>
        </w:rPr>
      </w:pPr>
    </w:p>
    <w:p>
      <w:pPr>
        <w:ind w:left="400" w:right="2499" w:hanging="400"/>
        <w:spacing w:after="0" w:line="249"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weighted average number of shares outstanding for the year ended September 30, 2004 has been restated, due to the adoption of Emerging Issue Task Force Issue No. 04-8, "The Effect of Contingently Convertible Instruments on Diluted Earnings per Share" ("EITF 04-8"), which requires that prior period earnings per share computations be restated to show the effect on weighted average shares of the conversion of contingently convertible debt into equity. As a result of the restatement,</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2" w:right="1440" w:bottom="1440" w:gutter="0" w:footer="0" w:header="0"/>
        </w:sectPr>
      </w:pPr>
    </w:p>
    <w:bookmarkStart w:id="7" w:name="page8"/>
    <w:bookmarkEnd w:id="7"/>
    <w:p>
      <w:pPr>
        <w:ind w:left="400" w:right="2499"/>
        <w:spacing w:after="0" w:line="252" w:lineRule="auto"/>
        <w:rPr>
          <w:sz w:val="20"/>
          <w:szCs w:val="20"/>
          <w:color w:val="auto"/>
        </w:rPr>
      </w:pPr>
      <w:r>
        <w:rPr>
          <w:rFonts w:ascii="Courier New" w:cs="Courier New" w:eastAsia="Courier New" w:hAnsi="Courier New"/>
          <w:sz w:val="16"/>
          <w:szCs w:val="16"/>
          <w:color w:val="auto"/>
        </w:rPr>
        <w:t>diluted earnings per share has been reduced by $0.02 per share for the year ended September 30, 2004.</w:t>
      </w:r>
    </w:p>
    <w:p>
      <w:pPr>
        <w:spacing w:after="0" w:line="183" w:lineRule="exact"/>
        <w:rPr>
          <w:sz w:val="20"/>
          <w:szCs w:val="20"/>
          <w:color w:val="auto"/>
        </w:rPr>
      </w:pPr>
    </w:p>
    <w:p>
      <w:pPr>
        <w:ind w:left="400" w:right="2499" w:hanging="400"/>
        <w:spacing w:after="0" w:line="252"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2004, we issued $450,000 aggregate principal amount of 0.50% Convertible Senior Notes due March 15, 2024 (the "0.50% Notes").</w:t>
      </w:r>
    </w:p>
    <w:p>
      <w:pPr>
        <w:spacing w:after="0" w:line="183" w:lineRule="exact"/>
        <w:rPr>
          <w:rFonts w:ascii="Courier New" w:cs="Courier New" w:eastAsia="Courier New" w:hAnsi="Courier New"/>
          <w:sz w:val="16"/>
          <w:szCs w:val="16"/>
          <w:color w:val="auto"/>
        </w:rPr>
      </w:pPr>
    </w:p>
    <w:p>
      <w:pPr>
        <w:ind w:left="400" w:right="2399" w:hanging="400"/>
        <w:spacing w:after="0" w:line="249"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our Board of Directors has authorized us to repurchase ordinary shares in open market or privately negotiated transactions and at times and prices we deem appropriate. During fiscal 2002, we repurchased 7,732 ordinary shares at an average price of $14.13 per share. During the first quarter of fiscal 2004, we repurchased 4,990 ordinary shares at an average price of $24.82 per share. In connection with our February 2004 acquisition of XACCT Technologies Ltd. ("XACCT"), we repurchased 484 ordinary shares at an average price of $27.67 per share to offset the dilutive effect of share issuances in the acquisition. Concurrently with our March 2004 issuance of the 0.50% Notes, we repurchased 6,074 ordinary shares sold short by purchasers of the 0.50% Notes for an aggregate purchase price of $170,061 to offset the dilutive effect of the ordinary shares issuable upon conversion of the 0.50% Notes. During the fourth quarter of fiscal 2004, we repurchased 4,894 ordinary shares at an average price of $20.40 per share. In fiscal 2005, we repurchased 3,525 ordinary shares at an average price of $28.33 per share.</w:t>
      </w:r>
    </w:p>
    <w:p>
      <w:pPr>
        <w:spacing w:after="0" w:line="186" w:lineRule="exact"/>
        <w:rPr>
          <w:rFonts w:ascii="Courier New" w:cs="Courier New" w:eastAsia="Courier New" w:hAnsi="Courier New"/>
          <w:sz w:val="16"/>
          <w:szCs w:val="16"/>
          <w:color w:val="auto"/>
        </w:rPr>
      </w:pPr>
    </w:p>
    <w:p>
      <w:pPr>
        <w:ind w:left="400" w:right="2499" w:hanging="400"/>
        <w:spacing w:after="0" w:line="249"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2004, we acquired XACCT, a privately-held provider of mediation software to communications service providers. We acquired XACCT's outstanding shares for $28,425, of which $13,286 was paid in cash and the balance in 561 of the Company's ordinary shares valued at $15,139.</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RISK FACTORS</w:t>
      </w:r>
    </w:p>
    <w:p>
      <w:pPr>
        <w:spacing w:after="0" w:line="195" w:lineRule="exact"/>
        <w:rPr>
          <w:sz w:val="20"/>
          <w:szCs w:val="20"/>
          <w:color w:val="auto"/>
        </w:rPr>
      </w:pPr>
    </w:p>
    <w:p>
      <w:pPr>
        <w:ind w:left="200" w:right="2499"/>
        <w:spacing w:after="0" w:line="252" w:lineRule="auto"/>
        <w:rPr>
          <w:sz w:val="20"/>
          <w:szCs w:val="20"/>
          <w:color w:val="auto"/>
        </w:rPr>
      </w:pPr>
      <w:r>
        <w:rPr>
          <w:rFonts w:ascii="Courier New" w:cs="Courier New" w:eastAsia="Courier New" w:hAnsi="Courier New"/>
          <w:sz w:val="16"/>
          <w:szCs w:val="16"/>
          <w:color w:val="auto"/>
        </w:rPr>
        <w:t>WE ARE EXPOSED TO GENERAL GLOBAL ECONOMIC AND MARKET CONDITIONS, PARTICULARLY THOSE IMPACTING THE COMMUNICATIONS INDUSTRY.</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fiscal 2003, the need for communications providers to control operating expenses and capital investment budgets resulted in slowed customer buying decisions, as well as price pressures. Due to adverse conditions in the business environment for communications companies, our revenues declined in the first quarter of fiscal 2003 and as a result, we undertook a restructuring program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reoccurrence of the slowdown in the buying decisions of communications providers could extend our sales cycle period and limit our ability to forecast our flow of new contracts.</w:t>
      </w:r>
    </w:p>
    <w:p>
      <w:pPr>
        <w:spacing w:after="0" w:line="187" w:lineRule="exact"/>
        <w:rPr>
          <w:sz w:val="20"/>
          <w:szCs w:val="20"/>
          <w:color w:val="auto"/>
        </w:rPr>
      </w:pPr>
    </w:p>
    <w:p>
      <w:pPr>
        <w:ind w:left="200" w:right="2599"/>
        <w:spacing w:after="0" w:line="252"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services, system modification, the provision of rating and billing services and communications facility management.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wireline and wireless services, systems integrators, service bureaus and companies that offer software systems in combination with the sale of network equipment.</w:t>
      </w:r>
    </w:p>
    <w:p>
      <w:pPr>
        <w:spacing w:after="0" w:line="187" w:lineRule="exact"/>
        <w:rPr>
          <w:sz w:val="20"/>
          <w:szCs w:val="20"/>
          <w:color w:val="auto"/>
        </w:rPr>
      </w:pPr>
    </w:p>
    <w:p>
      <w:pPr>
        <w:ind w:right="2879" w:firstLine="489"/>
        <w:spacing w:after="0" w:line="252" w:lineRule="auto"/>
        <w:rPr>
          <w:sz w:val="20"/>
          <w:szCs w:val="20"/>
          <w:color w:val="auto"/>
        </w:rPr>
      </w:pPr>
      <w:r>
        <w:rPr>
          <w:rFonts w:ascii="Courier New" w:cs="Courier New" w:eastAsia="Courier New" w:hAnsi="Courier New"/>
          <w:sz w:val="16"/>
          <w:szCs w:val="16"/>
          <w:color w:val="auto"/>
        </w:rPr>
        <w:t>We believe that our ability to compete depends on a number of factors, including:</w:t>
      </w:r>
    </w:p>
    <w:p>
      <w:pPr>
        <w:spacing w:after="0" w:line="183" w:lineRule="exact"/>
        <w:rPr>
          <w:sz w:val="20"/>
          <w:szCs w:val="20"/>
          <w:color w:val="auto"/>
        </w:rPr>
      </w:pPr>
    </w:p>
    <w:p>
      <w:pPr>
        <w:ind w:left="680" w:right="3079" w:hanging="191"/>
        <w:spacing w:after="0" w:line="252" w:lineRule="auto"/>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development by others of software that is competitive with our products and services,</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at which others offer competitive software and services,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responsiveness of our competitors to customer needs, and</w:t>
      </w:r>
    </w:p>
    <w:p>
      <w:pPr>
        <w:spacing w:after="0" w:line="194" w:lineRule="exact"/>
        <w:rPr>
          <w:rFonts w:ascii="Courier New" w:cs="Courier New" w:eastAsia="Courier New" w:hAnsi="Courier New"/>
          <w:sz w:val="16"/>
          <w:szCs w:val="16"/>
          <w:color w:val="auto"/>
        </w:rPr>
      </w:pPr>
    </w:p>
    <w:p>
      <w:pPr>
        <w:ind w:left="680" w:right="3379" w:hanging="191"/>
        <w:spacing w:after="0" w:line="252" w:lineRule="auto"/>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our competitors to hire, retain and motivate key personnel.</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9" w:name="page10"/>
    <w:bookmarkEnd w:id="9"/>
    <w:p>
      <w:pPr>
        <w:ind w:right="2499" w:firstLine="489"/>
        <w:spacing w:after="0" w:line="24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186" w:lineRule="exact"/>
        <w:rPr>
          <w:sz w:val="20"/>
          <w:szCs w:val="20"/>
          <w:color w:val="auto"/>
        </w:rPr>
      </w:pPr>
    </w:p>
    <w:p>
      <w:pPr>
        <w:ind w:left="200" w:right="2699"/>
        <w:spacing w:after="0" w:line="252"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375" w:lineRule="exact"/>
        <w:rPr>
          <w:sz w:val="20"/>
          <w:szCs w:val="20"/>
          <w:color w:val="auto"/>
        </w:rPr>
      </w:pPr>
    </w:p>
    <w:p>
      <w:pPr>
        <w:ind w:left="200" w:right="2599"/>
        <w:spacing w:after="0" w:line="250" w:lineRule="auto"/>
        <w:rPr>
          <w:sz w:val="20"/>
          <w:szCs w:val="20"/>
          <w:color w:val="auto"/>
        </w:rPr>
      </w:pPr>
      <w:r>
        <w:rPr>
          <w:rFonts w:ascii="Courier New" w:cs="Courier New" w:eastAsia="Courier New" w:hAnsi="Courier New"/>
          <w:sz w:val="16"/>
          <w:szCs w:val="16"/>
          <w:color w:val="auto"/>
        </w:rPr>
        <w:t>WE MAY SEEK TO ACQUIRE COMPANIES OR TECHNOLOGIES, THAT COULD DISRUPT OUR ONGOING BUSINESS, DISTRACT OUR MANAGEMENT AND EMPLOYEES AND ADVERSELY AFFECT OUR RESULTS OF OPERATIONS.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July 2005, we acquired from DST Systems, Inc., which we refer to as DST, its DST Innovis, Inc. and DST Interactive, Inc. subsidiaries, which we refer to collectively as DST Innovis, a leading provider of customer care and billing solutions to broadband media cable and satellite companies. In August 2005, we acquired Longshine Information Technology Company Ltd., or Longshine, a leading vendor of customer care and billing software in China. In the future, we may acquire other companies where we believe we can acquire new products or services or otherwise enhance our market position or strategic strengths. We cannot assure you that suitable future acquisition candidates can be found, that acquisitions can be consummated on favorable terms or that we will be able to complete otherwise favorable acquisitions because of antitrust or other regulatory concerns.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cannot assure you that our acquisitions of DST Innovis or Longshine, or any future acquisitions that we may make, will enhance our products or strengthen our competitive position. In addition, our acquisitions of DST Innovis and Longshine, and any future acquisitions that we may make, could lead to difficulties in integrating acquired personnel and operations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87" w:lineRule="exact"/>
        <w:rPr>
          <w:sz w:val="20"/>
          <w:szCs w:val="20"/>
          <w:color w:val="auto"/>
        </w:rPr>
      </w:pPr>
    </w:p>
    <w:p>
      <w:pPr>
        <w:jc w:val="both"/>
        <w:ind w:left="200" w:right="2699"/>
        <w:spacing w:after="0" w:line="250" w:lineRule="auto"/>
        <w:rPr>
          <w:sz w:val="20"/>
          <w:szCs w:val="20"/>
          <w:color w:val="auto"/>
        </w:rPr>
      </w:pPr>
      <w:r>
        <w:rPr>
          <w:rFonts w:ascii="Courier New" w:cs="Courier New" w:eastAsia="Courier New" w:hAnsi="Courier New"/>
          <w:sz w:val="16"/>
          <w:szCs w:val="16"/>
          <w:color w:val="auto"/>
        </w:rPr>
        <w:t>OUR BUSINESS IS DEPENDENT ON A LIMITED NUMBER OF SIGNIFICANT CUSTOMERS, AND THE LOSS OF ANY ONE OF OUR SIGNIFICANT CUSTOMERS COULD HARM OUR RESULTS OF OPERATIONS.</w:t>
      </w:r>
    </w:p>
    <w:p>
      <w:pPr>
        <w:spacing w:after="0" w:line="18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Our business is dependent on a limited number of significant customers. Our three largest groups of customers are comprised of AT&amp;T Inc., which was formerly known as SBC Communications Inc. and which we refer to as AT&amp;T, Bell Canada and Sprint Nextel Corporation, which we refer to as Sprint Nextel and certain of their subsidiaries, each of which accounted for approximately 10% or more of our revenue in fiscal 2005. Aggregate revenue derived from the multiple business arrangements we have with our six largest customer groups accounted for approximately 63% of our revenue in fiscal 2005. AT&amp;T has historically been one of our largest shareholders, and, as of December 16, 2005, it beneficially owned</w:t>
      </w:r>
    </w:p>
    <w:p>
      <w:pPr>
        <w:spacing w:after="0" w:line="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10" w:name="page11"/>
    <w:bookmarkEnd w:id="10"/>
    <w:p>
      <w:pPr>
        <w:ind w:right="3179"/>
        <w:spacing w:after="0" w:line="250" w:lineRule="auto"/>
        <w:rPr>
          <w:sz w:val="20"/>
          <w:szCs w:val="20"/>
          <w:color w:val="auto"/>
        </w:rPr>
      </w:pPr>
      <w:r>
        <w:rPr>
          <w:rFonts w:ascii="Courier New" w:cs="Courier New" w:eastAsia="Courier New" w:hAnsi="Courier New"/>
          <w:sz w:val="16"/>
          <w:szCs w:val="16"/>
          <w:color w:val="auto"/>
        </w:rPr>
        <w:t>approximately 5.3% of our outstanding ordinary shares. The loss of any significant customer or a significant decrease in business from any such customer could harm our results of operations and financial condition.</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187" w:lineRule="exact"/>
        <w:rPr>
          <w:sz w:val="20"/>
          <w:szCs w:val="20"/>
          <w:color w:val="auto"/>
        </w:rPr>
      </w:pPr>
    </w:p>
    <w:p>
      <w:pPr>
        <w:ind w:left="200" w:right="2599"/>
        <w:spacing w:after="0" w:line="250" w:lineRule="auto"/>
        <w:rPr>
          <w:sz w:val="20"/>
          <w:szCs w:val="20"/>
          <w:color w:val="auto"/>
        </w:rPr>
      </w:pPr>
      <w:r>
        <w:rPr>
          <w:rFonts w:ascii="Courier New" w:cs="Courier New" w:eastAsia="Courier New" w:hAnsi="Courier New"/>
          <w:sz w:val="16"/>
          <w:szCs w:val="16"/>
          <w:color w:val="auto"/>
        </w:rPr>
        <w:t>OUR FUTURE SUCCESS WILL DEPEND ON OUR ABILITY TO DEVELOP LONG-TERM RELATIONSHIPS WITH OUR CUSTOMERS AND TO MEET THEIR EXPECTATIONS IN PROVIDING PRODUCTS AND PERFORMING SERVICES.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7" w:lineRule="exact"/>
        <w:rPr>
          <w:sz w:val="20"/>
          <w:szCs w:val="20"/>
          <w:color w:val="auto"/>
        </w:rPr>
      </w:pPr>
    </w:p>
    <w:p>
      <w:pPr>
        <w:ind w:left="200" w:right="2799"/>
        <w:spacing w:after="0" w:line="252" w:lineRule="auto"/>
        <w:rPr>
          <w:sz w:val="20"/>
          <w:szCs w:val="20"/>
          <w:color w:val="auto"/>
        </w:rPr>
      </w:pPr>
      <w:r>
        <w:rPr>
          <w:rFonts w:ascii="Courier New" w:cs="Courier New" w:eastAsia="Courier New" w:hAnsi="Courier New"/>
          <w:sz w:val="16"/>
          <w:szCs w:val="16"/>
          <w:color w:val="auto"/>
        </w:rPr>
        <w:t>WE MAY BE EXPOSED TO THE CREDIT RISK OF CUSTOMERS THAT HAVE BEEN ADVERSELY AFFECTED BY WEAKENED MARKETS.</w:t>
      </w:r>
    </w:p>
    <w:p>
      <w:pPr>
        <w:spacing w:after="0" w:line="183"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187" w:lineRule="exact"/>
        <w:rPr>
          <w:sz w:val="20"/>
          <w:szCs w:val="20"/>
          <w:color w:val="auto"/>
        </w:rPr>
      </w:pPr>
    </w:p>
    <w:p>
      <w:pPr>
        <w:ind w:left="200" w:right="2499"/>
        <w:spacing w:after="0" w:line="249" w:lineRule="auto"/>
        <w:rPr>
          <w:sz w:val="20"/>
          <w:szCs w:val="20"/>
          <w:color w:val="auto"/>
        </w:rPr>
      </w:pPr>
      <w:r>
        <w:rPr>
          <w:rFonts w:ascii="Courier New" w:cs="Courier New" w:eastAsia="Courier New" w:hAnsi="Courier New"/>
          <w:sz w:val="16"/>
          <w:szCs w:val="16"/>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employees.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11" w:name="page12"/>
    <w:bookmarkEnd w:id="11"/>
    <w:p>
      <w:pPr>
        <w:ind w:right="2399"/>
        <w:spacing w:after="0" w:line="250" w:lineRule="auto"/>
        <w:rPr>
          <w:sz w:val="20"/>
          <w:szCs w:val="20"/>
          <w:color w:val="auto"/>
        </w:rPr>
      </w:pPr>
      <w:r>
        <w:rPr>
          <w:rFonts w:ascii="Courier New" w:cs="Courier New" w:eastAsia="Courier New" w:hAnsi="Courier New"/>
          <w:sz w:val="16"/>
          <w:szCs w:val="16"/>
          <w:color w:val="auto"/>
        </w:rPr>
        <w:t>OUR QUARTERLY OPERATING RESULTS MAY FLUCTUATE, AND A DECLINE IN REVENUE IN ANY QUARTER COULD RESULT IN LOWER PROFITABILITY FOR THAT QUARTER AND FLUCTUATIONS IN THE MARKET PRICE OF OUR ORDINARY SHARES.</w:t>
      </w:r>
    </w:p>
    <w:p>
      <w:pPr>
        <w:spacing w:after="0" w:line="18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We have experienced fluctuations in our quarterly operating results and anticipate that such movement may continue and could intensify. Fluctuations may result from many factors, including:</w:t>
      </w:r>
    </w:p>
    <w:p>
      <w:pPr>
        <w:spacing w:after="0" w:line="185" w:lineRule="exact"/>
        <w:rPr>
          <w:sz w:val="20"/>
          <w:szCs w:val="20"/>
          <w:color w:val="auto"/>
        </w:rPr>
      </w:pPr>
    </w:p>
    <w:p>
      <w:pPr>
        <w:ind w:left="680" w:right="2879" w:hanging="191"/>
        <w:spacing w:after="0" w:line="252" w:lineRule="auto"/>
        <w:tabs>
          <w:tab w:leader="none" w:pos="6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size and timing of significant customer projects and license and service fees,</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delays in or cancellations of significant projects by customers,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operating expenses,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competition,</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our strategy,</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personnel changes,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exchange rate fluctuations, and</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and political conditions.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8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OUR REVENUE, EARNINGS AND PROFITABILITY ARE IMPACTED BY THE LENGTH OF OUR SALES CYCLE, AND A LONGER SALES CYCLE COULD ADVERSELY AFFECT OUR RESULTS OF OPERATIONS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AND FINANCIAL CONDITION.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2003, buying decisions of communications providers were often delayed due to adverse conditions in the business environment, and our sales cycle period lengthened as a result. Although this trend improved in fiscal 2004 and 2005, the lengthening of our sales cycle could reduce growth in our revenue in the future. In addition, the lengthening of our sales cycle contributes to an increased cost of sales, thereby reducing our profitability.</w:t>
      </w:r>
    </w:p>
    <w:p>
      <w:pPr>
        <w:spacing w:after="0" w:line="374" w:lineRule="exact"/>
        <w:rPr>
          <w:sz w:val="20"/>
          <w:szCs w:val="20"/>
          <w:color w:val="auto"/>
        </w:rPr>
      </w:pPr>
    </w:p>
    <w:p>
      <w:pPr>
        <w:ind w:left="200" w:right="3379"/>
        <w:spacing w:after="0" w:line="252" w:lineRule="auto"/>
        <w:rPr>
          <w:sz w:val="20"/>
          <w:szCs w:val="20"/>
          <w:color w:val="auto"/>
        </w:rPr>
      </w:pPr>
      <w:r>
        <w:rPr>
          <w:rFonts w:ascii="Courier New" w:cs="Courier New" w:eastAsia="Courier New" w:hAnsi="Courier New"/>
          <w:sz w:val="16"/>
          <w:szCs w:val="16"/>
          <w:color w:val="auto"/>
        </w:rPr>
        <w:t>IF THE MARKET FOR OUR PRODUCTS DETERIORATES, WE MAY INCUR ADDITIONAL RESTRUCTURING CHARGES.</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the fourth quarter of fiscal 2005, we commenced a series of measures designed to align our operational structure to our expected future growth, to allow better integration of our recent DST Innovis and Longshine acquisitions and to improve efficiency, which included termination of employment of software and IT specialists and administrative professionals at various locations around the world. A</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127" w:gutter="0" w:footer="0" w:header="0"/>
        </w:sectPr>
      </w:pPr>
    </w:p>
    <w:bookmarkStart w:id="12" w:name="page13"/>
    <w:bookmarkEnd w:id="12"/>
    <w:p>
      <w:pPr>
        <w:ind w:right="2399"/>
        <w:spacing w:after="0" w:line="249" w:lineRule="auto"/>
        <w:rPr>
          <w:sz w:val="20"/>
          <w:szCs w:val="20"/>
          <w:color w:val="auto"/>
        </w:rPr>
      </w:pPr>
      <w:r>
        <w:rPr>
          <w:rFonts w:ascii="Courier New" w:cs="Courier New" w:eastAsia="Courier New" w:hAnsi="Courier New"/>
          <w:sz w:val="16"/>
          <w:szCs w:val="16"/>
          <w:color w:val="auto"/>
        </w:rPr>
        <w:t>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87" w:lineRule="exact"/>
        <w:rPr>
          <w:sz w:val="20"/>
          <w:szCs w:val="20"/>
          <w:color w:val="auto"/>
        </w:rPr>
      </w:pPr>
    </w:p>
    <w:p>
      <w:pPr>
        <w:ind w:left="100" w:right="3379"/>
        <w:spacing w:after="0" w:line="252" w:lineRule="auto"/>
        <w:rPr>
          <w:sz w:val="20"/>
          <w:szCs w:val="20"/>
          <w:color w:val="auto"/>
        </w:rPr>
      </w:pPr>
      <w:r>
        <w:rPr>
          <w:rFonts w:ascii="Courier New" w:cs="Courier New" w:eastAsia="Courier New" w:hAnsi="Courier New"/>
          <w:sz w:val="16"/>
          <w:szCs w:val="16"/>
          <w:color w:val="auto"/>
        </w:rPr>
        <w:t>IF WE FAIL TO SUCCESSFULLY PLAN AND MANAGE CHANGES IN THE SIZE OF OUR OPERATIONS OUR BUSINESS WILL SUFFER.</w:t>
      </w:r>
    </w:p>
    <w:p>
      <w:pPr>
        <w:spacing w:after="0" w:line="183"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restructurings and cost reduction measures reduced the size of our operations. On January 31, 2003, after implementation of personnel reductions, our workforce consisted of approximately 7,800 individuals in software and information technology positions, compared to approximately 9,100 on November 30, 2001. Our software and information technology workforce increased to approximately 9,000 positions as of November 30, 2003, primarily as a result of the Certen acquisition in July 2003 and a Managed Services agreement signed in January 2003, to approximately 9,600 positions as of September 30, 2004 and to approximately 12,000 as of September 30, 2005. The increase in technology workforce in fiscal 2005 was attributable to our DST Innovis and Longshine acquisitions, as well to organic growth in the size of our operations. During periods of contraction, we have disposed of office space and related obligations in efforts to keep pace with the changing size of our operations and we may do so in the future. These cost reduction measures have included, and may in the future include, consolidating and/or relocating certain of our operations to different geographic locations. These activities could lead to difficulties and significant expenses related to subleasing or assigning any surplus space. We have accrued the estimated expenses that will result from our past restructuring efforts. However, if it is determined that the amount accrued is insufficient, an additional charge could have an unfavorable impact on our consolidated financial statements in the period this was determined.</w:t>
      </w:r>
    </w:p>
    <w:p>
      <w:pPr>
        <w:spacing w:after="0" w:line="186" w:lineRule="exact"/>
        <w:rPr>
          <w:sz w:val="20"/>
          <w:szCs w:val="20"/>
          <w:color w:val="auto"/>
        </w:rPr>
      </w:pPr>
    </w:p>
    <w:p>
      <w:pPr>
        <w:ind w:left="100" w:right="2979"/>
        <w:spacing w:after="0" w:line="252" w:lineRule="auto"/>
        <w:rPr>
          <w:sz w:val="20"/>
          <w:szCs w:val="20"/>
          <w:color w:val="auto"/>
        </w:rPr>
      </w:pPr>
      <w:r>
        <w:rPr>
          <w:rFonts w:ascii="Courier New" w:cs="Courier New" w:eastAsia="Courier New" w:hAnsi="Courier New"/>
          <w:sz w:val="16"/>
          <w:szCs w:val="16"/>
          <w:color w:val="auto"/>
        </w:rPr>
        <w:t>OUR INTERNATIONAL PRESENCE EXPOSES US TO RISKS ASSOCIATED WITH VARIED AND CHANGING POLITICAL, CULTURAL, LEGAL AND ECONOMIC CONDITIONS WORLDWIDE.</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are affected by risks associated with conducting business internationally. We maintain development facilities in Canada, China, Cyprus, India, Ireland, Israel and the United States,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87" w:lineRule="exact"/>
        <w:rPr>
          <w:sz w:val="20"/>
          <w:szCs w:val="20"/>
          <w:color w:val="auto"/>
        </w:rPr>
      </w:pPr>
    </w:p>
    <w:p>
      <w:pPr>
        <w:ind w:left="680" w:hanging="191"/>
        <w:spacing w:after="0"/>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acceptance of non-localized products,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and cultural differences in the conduct of business,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staffing and managing foreign operations,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payment cycles,</w:t>
      </w:r>
    </w:p>
    <w:p>
      <w:pPr>
        <w:spacing w:after="0" w:line="194"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collecting accounts receivable and withholding taxes that limit the repatriation of earnings,</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barriers,</w:t>
      </w:r>
    </w:p>
    <w:p>
      <w:pPr>
        <w:spacing w:after="0" w:line="194"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complying with varied legal and regulatory requirements across jurisdictions,</w:t>
      </w:r>
    </w:p>
    <w:p>
      <w:pPr>
        <w:spacing w:after="0" w:line="183" w:lineRule="exact"/>
        <w:rPr>
          <w:rFonts w:ascii="Courier New" w:cs="Courier New" w:eastAsia="Courier New" w:hAnsi="Courier New"/>
          <w:sz w:val="16"/>
          <w:szCs w:val="16"/>
          <w:color w:val="auto"/>
        </w:rPr>
      </w:pPr>
    </w:p>
    <w:p>
      <w:pPr>
        <w:jc w:val="center"/>
        <w:ind w:left="3900" w:right="2599" w:hanging="3411"/>
        <w:spacing w:after="0" w:line="500" w:lineRule="auto"/>
        <w:tabs>
          <w:tab w:leader="none" w:pos="6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immigration regulations that limit our ability to deploy our employees, 10</w:t>
      </w:r>
    </w:p>
    <w:p>
      <w:pPr>
        <w:sectPr>
          <w:pgSz w:w="11900" w:h="16838" w:orient="portrait"/>
          <w:cols w:equalWidth="0" w:num="1">
            <w:col w:w="10219"/>
          </w:cols>
          <w:pgMar w:left="240" w:top="680" w:right="1440" w:bottom="1440" w:gutter="0" w:footer="0" w:header="0"/>
        </w:sectPr>
      </w:pPr>
    </w:p>
    <w:bookmarkStart w:id="13" w:name="page14"/>
    <w:bookmarkEnd w:id="13"/>
    <w:p>
      <w:pPr>
        <w:ind w:left="680" w:hanging="191"/>
        <w:spacing w:after="0"/>
        <w:tabs>
          <w:tab w:leader="none" w:pos="6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instability, and</w:t>
      </w:r>
    </w:p>
    <w:p>
      <w:pPr>
        <w:spacing w:after="0" w:line="194"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effective income tax rates among countries where we conduct business.</w:t>
      </w:r>
    </w:p>
    <w:p>
      <w:pPr>
        <w:spacing w:after="0" w:line="183"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One or more of these factors could have a material adverse effect on our international operations, which could harm our results of operations and financial condition.</w:t>
      </w:r>
    </w:p>
    <w:p>
      <w:pPr>
        <w:spacing w:after="0" w:line="185" w:lineRule="exact"/>
        <w:rPr>
          <w:sz w:val="20"/>
          <w:szCs w:val="20"/>
          <w:color w:val="auto"/>
        </w:rPr>
      </w:pPr>
    </w:p>
    <w:p>
      <w:pPr>
        <w:ind w:left="100" w:right="3279"/>
        <w:spacing w:after="0" w:line="252" w:lineRule="auto"/>
        <w:rPr>
          <w:sz w:val="20"/>
          <w:szCs w:val="20"/>
          <w:color w:val="auto"/>
        </w:rPr>
      </w:pPr>
      <w:r>
        <w:rPr>
          <w:rFonts w:ascii="Courier New" w:cs="Courier New" w:eastAsia="Courier New" w:hAnsi="Courier New"/>
          <w:sz w:val="16"/>
          <w:szCs w:val="16"/>
          <w:color w:val="auto"/>
        </w:rPr>
        <w:t>POLITICAL AND ECONOMIC CONDITIONS IN THE MIDDLE EAST, CYPRUS AND OTHER COUNTRIES MAY ADVERSELY AFFECT OUR BUSINESS.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Of the development centers we maintain worldwide, our largest development center is located in five different sites throughout Israel. Approximately 39%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did not result in an agreed-upon plan of reunification for Cyprus. Any major hostilities between Cyprus and Turkey or the failure of the parties to finalize a peaceful resolution may have a material adverse effect on our development facility in Cyprus.</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2004, we established a development center in India, and we have recently expanded our operations in Russia and China. Conducting business in each of these countries involves unique challenges, including political instability, the transparency, consistency and effectiveness of business regulation, the protection of intellectual property, and the availability of sufficient qualified local personnel. Any of these or other challenges associated with operating in these countries may adversely affect our business or operations.</w:t>
      </w:r>
    </w:p>
    <w:p>
      <w:pPr>
        <w:spacing w:after="0" w:line="187" w:lineRule="exact"/>
        <w:rPr>
          <w:sz w:val="20"/>
          <w:szCs w:val="20"/>
          <w:color w:val="auto"/>
        </w:rPr>
      </w:pPr>
    </w:p>
    <w:p>
      <w:pPr>
        <w:ind w:left="100" w:right="2399"/>
        <w:spacing w:after="0" w:line="252"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Although we have operations throughout the world, the majority of our revenues and approximately 50% of our costs are denominated in, or linked to, the U.S. dollar. Accordingly, we consider the U.S. dollar to be our functional currency. However, approximately 50% of our operating costs in fiscal 2005 were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14" w:name="page15"/>
    <w:bookmarkEnd w:id="14"/>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a portion of our revenue (approximately 30% in fiscal 2005)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approximately 50% of our operating costs are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7"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The imposition of exchange or price controls or other restrictions on the conversion of foreign currencies could also have a material adverse effect on our business, results of operations and financial condition.</w:t>
      </w:r>
    </w:p>
    <w:p>
      <w:pPr>
        <w:spacing w:after="0" w:line="185" w:lineRule="exact"/>
        <w:rPr>
          <w:sz w:val="20"/>
          <w:szCs w:val="20"/>
          <w:color w:val="auto"/>
        </w:rPr>
      </w:pPr>
    </w:p>
    <w:p>
      <w:pPr>
        <w:ind w:left="100" w:right="2599"/>
        <w:spacing w:after="0" w:line="252" w:lineRule="auto"/>
        <w:rPr>
          <w:sz w:val="20"/>
          <w:szCs w:val="20"/>
          <w:color w:val="auto"/>
        </w:rPr>
      </w:pPr>
      <w:r>
        <w:rPr>
          <w:rFonts w:ascii="Courier New" w:cs="Courier New" w:eastAsia="Courier New" w:hAnsi="Courier New"/>
          <w:sz w:val="16"/>
          <w:szCs w:val="16"/>
          <w:color w:val="auto"/>
        </w:rPr>
        <w:t>IF WE ARE UNABLE TO PROTECT OUR PROPRIETARY TECHNOLOGY FROM MISAPPROPRIATION, OUR BUSINESS MAY BE HARMED.</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also enter into non-disclosure and confidentiality agreements with our customers, employees and marketing representatives and with certain contractors with access to sensitive information and we also limit our customer access to the source codes of our software and our software systems. However, we do not include in our software any mechanisms to prevent or inhibit unauthorized use.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37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If we have to resort to legal proceedings to enforce our intellectual property rights, the proceedings could be burdensome, protracted and expensive and could involve a high degree of risk.</w:t>
      </w:r>
    </w:p>
    <w:p>
      <w:pPr>
        <w:spacing w:after="0" w:line="185" w:lineRule="exact"/>
        <w:rPr>
          <w:sz w:val="20"/>
          <w:szCs w:val="20"/>
          <w:color w:val="auto"/>
        </w:rPr>
      </w:pPr>
    </w:p>
    <w:p>
      <w:pPr>
        <w:ind w:left="100" w:right="2599"/>
        <w:spacing w:after="0" w:line="252" w:lineRule="auto"/>
        <w:rPr>
          <w:sz w:val="20"/>
          <w:szCs w:val="20"/>
          <w:color w:val="auto"/>
        </w:rPr>
      </w:pPr>
      <w:r>
        <w:rPr>
          <w:rFonts w:ascii="Courier New" w:cs="Courier New" w:eastAsia="Courier New" w:hAnsi="Courier New"/>
          <w:sz w:val="16"/>
          <w:szCs w:val="16"/>
          <w:color w:val="auto"/>
        </w:rPr>
        <w:t>CLAIMS BY OTHERS THAT WE INFRINGE THEIR PROPRIETARY TECHNOLOGY COULD HARM OUR BUSINESS.</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Our software and software systems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including our employees and contractors.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15" w:name="page16"/>
    <w:bookmarkEnd w:id="15"/>
    <w:p>
      <w:pPr>
        <w:ind w:right="2879"/>
        <w:spacing w:after="0" w:line="249" w:lineRule="auto"/>
        <w:rPr>
          <w:sz w:val="20"/>
          <w:szCs w:val="20"/>
          <w:color w:val="auto"/>
        </w:rPr>
      </w:pPr>
      <w:r>
        <w:rPr>
          <w:rFonts w:ascii="Courier New" w:cs="Courier New" w:eastAsia="Courier New" w:hAnsi="Courier New"/>
          <w:sz w:val="16"/>
          <w:szCs w:val="16"/>
          <w:color w:val="auto"/>
        </w:rPr>
        <w:t>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PRODUCT DEFECTS OR SOFTWARE ERRORS COULD ADVERSELY AFFECT OUR BUSINESS.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87" w:lineRule="exact"/>
        <w:rPr>
          <w:sz w:val="20"/>
          <w:szCs w:val="20"/>
          <w:color w:val="auto"/>
        </w:rPr>
      </w:pPr>
    </w:p>
    <w:p>
      <w:pPr>
        <w:ind w:left="100" w:right="3179"/>
        <w:spacing w:after="0" w:line="250" w:lineRule="auto"/>
        <w:rPr>
          <w:sz w:val="20"/>
          <w:szCs w:val="20"/>
          <w:color w:val="auto"/>
        </w:rPr>
      </w:pPr>
      <w:r>
        <w:rPr>
          <w:rFonts w:ascii="Courier New" w:cs="Courier New" w:eastAsia="Courier New" w:hAnsi="Courier New"/>
          <w:sz w:val="16"/>
          <w:szCs w:val="16"/>
          <w:color w:val="auto"/>
        </w:rPr>
        <w:t>SYSTEM DISRUPTIONS AND FAILURES MAY RESULT IN CUSTOMER DISSATISFACTION, CUSTOMER LOSS OR BOTH, WHICH COULD MATERIALLY AND ADVERSELY AFFECT OUR REPUTATION AND BUSINESS.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0" w:right="1440" w:bottom="1440" w:gutter="0" w:footer="0" w:header="0"/>
        </w:sectPr>
      </w:pPr>
    </w:p>
    <w:bookmarkStart w:id="16" w:name="page17"/>
    <w:bookmarkEnd w:id="16"/>
    <w:p>
      <w:pPr>
        <w:ind w:left="100" w:right="2699"/>
        <w:spacing w:after="0" w:line="252" w:lineRule="auto"/>
        <w:rPr>
          <w:sz w:val="20"/>
          <w:szCs w:val="20"/>
          <w:color w:val="auto"/>
        </w:rPr>
      </w:pPr>
      <w:r>
        <w:rPr>
          <w:rFonts w:ascii="Courier New" w:cs="Courier New" w:eastAsia="Courier New" w:hAnsi="Courier New"/>
          <w:sz w:val="16"/>
          <w:szCs w:val="16"/>
          <w:color w:val="auto"/>
        </w:rPr>
        <w:t>THE TERMINATION OR REDUCTION OF CERTAIN GOVERNMENT PROGRAMS AND TAX BENEFITS COULD ADVERSELY AFFECT OUR OVERALL EFFECTIVE TAX RATE.</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There can be no assurance that our effective tax rate of 20% for the year ended September 30, 2005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This tax rate will continue to apply to our Cypriot subsidiary until December 31, 2005. As of January 1, 2006 our Cypriot subsidiary will be subject to the generally applicable 10% corporate tax rate. Pursuant to legislation in 2004, Israeli companies are generally subject to a company tax rate on taxable income of 34% for 2005, 31% for 2006, 29% for 2007, 27% for 2008, 26% for 2009 and 25% for 2010 and thereafter. However, certain production and development facilities of our Israeli subsidiary have been granted "Approved Enterprise" status that allows for taxation at a rate of 25% or lower. The entitlement of these facilities to reduced taxation is subject to certain time limitations. The Law for the Encouragement of Capital Investments, 1959 ("Investment Law"), which allows the benefits granted for Approved Enterprises, was amended in 2005 to impose additional eligibility criteria for Approved Enterprise benefits. The Company's management does not believe that the new Investment Law would have a material effect on the Company in 2006.</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we fail to meet the conditions upon which certain favorable tax treatment is based, we would not be able to claim future tax benefits and could be required to refund tax benefits already received. Additionally, some of these programs and the related tax benefits are available to us for a limited number of years, and these benefits expire from time to time. For example, our favorable tax treatment in India expires in March 2009 and is limited to income derived from specific pre-approved information technology activities.</w:t>
      </w:r>
    </w:p>
    <w:p>
      <w:pPr>
        <w:spacing w:after="0" w:line="187"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Any of the following could have a material effect on our overall effective tax rate:</w:t>
      </w:r>
    </w:p>
    <w:p>
      <w:pPr>
        <w:spacing w:after="0" w:line="183" w:lineRule="exact"/>
        <w:rPr>
          <w:sz w:val="20"/>
          <w:szCs w:val="20"/>
          <w:color w:val="auto"/>
        </w:rPr>
      </w:pPr>
    </w:p>
    <w:p>
      <w:pPr>
        <w:ind w:left="680" w:hanging="191"/>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programs may be discontinued,</w:t>
      </w:r>
    </w:p>
    <w:p>
      <w:pPr>
        <w:spacing w:after="0" w:line="194"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be unable to meet the requirements for continuing to qualify for some programs,</w:t>
      </w:r>
    </w:p>
    <w:p>
      <w:pPr>
        <w:spacing w:after="0" w:line="183" w:lineRule="exact"/>
        <w:rPr>
          <w:rFonts w:ascii="Courier New" w:cs="Courier New" w:eastAsia="Courier New" w:hAnsi="Courier New"/>
          <w:sz w:val="16"/>
          <w:szCs w:val="16"/>
          <w:color w:val="auto"/>
        </w:rPr>
      </w:pPr>
    </w:p>
    <w:p>
      <w:pPr>
        <w:ind w:left="680" w:right="2979" w:hanging="191"/>
        <w:spacing w:after="0" w:line="252" w:lineRule="auto"/>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programs and tax benefits may be unavailable at their current levels,</w:t>
      </w:r>
    </w:p>
    <w:p>
      <w:pPr>
        <w:spacing w:after="0" w:line="183"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expiration of a particular benefit, we may not be eligible to participate in a new program or qualify for a new tax benefit that would offset the loss of the expiring tax benefit, or</w:t>
      </w:r>
    </w:p>
    <w:p>
      <w:pPr>
        <w:spacing w:after="0" w:line="185"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be required to refund previously recognized tax benefits if we are found to be in violation of the stipulated conditions.</w:t>
      </w:r>
    </w:p>
    <w:p>
      <w:pPr>
        <w:spacing w:after="0" w:line="183" w:lineRule="exact"/>
        <w:rPr>
          <w:sz w:val="20"/>
          <w:szCs w:val="20"/>
          <w:color w:val="auto"/>
        </w:rPr>
      </w:pPr>
    </w:p>
    <w:p>
      <w:pPr>
        <w:ind w:left="100" w:right="2399"/>
        <w:spacing w:after="0" w:line="252" w:lineRule="auto"/>
        <w:rPr>
          <w:sz w:val="20"/>
          <w:szCs w:val="20"/>
          <w:color w:val="auto"/>
        </w:rPr>
      </w:pPr>
      <w:r>
        <w:rPr>
          <w:rFonts w:ascii="Courier New" w:cs="Courier New" w:eastAsia="Courier New" w:hAnsi="Courier New"/>
          <w:sz w:val="16"/>
          <w:szCs w:val="16"/>
          <w:color w:val="auto"/>
        </w:rPr>
        <w:t>WE ARE CURRENTLY THE SUBJECT OF A SECURITIES EXCHANGE COMMISSION INVESTIGATION, WHICH COULD NEGATIVELY AFFECT OUR BUSINESS AND RESULTS OF OPERATIONS.</w:t>
      </w:r>
    </w:p>
    <w:p>
      <w:pPr>
        <w:spacing w:after="0" w:line="183"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In 2003, we were informed that the Midwest Regional Office of the Securities and Exchange Commission (the "SEC"), was conducting a private investigation into the events leading up to our announcement in June 2002 of revised projected revenue for the third and fourth quarters of fiscal 2002. The investigation appeared to be focused on, but was not explicitly limited to, our forecasting beginning with our April 23, 2002 press release. We responded to an initial document request by the SEC, but have not received any requests for additional information or had any substantive contacts with the SEC related to this investigation since 2003. We have cooperated with the SEC staff and believe that we would be able to satisfy any concerns the SEC staff may have as to the matters under investigation. However, we are unable to predict whether the SEC will actively pursue this investigation or what the outcome may be. At a minimum, this investigation may divert the attention of our management and other resources that would otherwise be engaged in operating our business.</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0" w:right="1440" w:bottom="1440" w:gutter="0" w:footer="0" w:header="0"/>
        </w:sectPr>
      </w:pPr>
    </w:p>
    <w:bookmarkStart w:id="17" w:name="page18"/>
    <w:bookmarkEnd w:id="17"/>
    <w:p>
      <w:pPr>
        <w:ind w:left="100" w:right="2979"/>
        <w:spacing w:after="0" w:line="252" w:lineRule="auto"/>
        <w:rPr>
          <w:sz w:val="20"/>
          <w:szCs w:val="20"/>
          <w:color w:val="auto"/>
        </w:rPr>
      </w:pPr>
      <w:r>
        <w:rPr>
          <w:rFonts w:ascii="Courier New" w:cs="Courier New" w:eastAsia="Courier New" w:hAnsi="Courier New"/>
          <w:sz w:val="16"/>
          <w:szCs w:val="16"/>
          <w:color w:val="auto"/>
        </w:rPr>
        <w:t>THE MARKET PRICE OF OUR ORDINARY SHARES HAS AND MAY CONTINUE TO FLUCTUATE WIDELY.</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market price of our ordinary shares has fluctuated widely and may continue to do so. During fiscal year 2005, our ordinary shares have traded as high as $30.96 per share and as low as $20.70 per share. Our ordinary shares traded as high as $80.50 per share in fiscal 2001 and as low as $5.85 per share in fiscal 2003. As of December 27, 2005, the closing price of our ordinary shares was $27.46 per share. Many factors could cause the market price of our ordinary shares to rise and fall, including:</w:t>
      </w:r>
    </w:p>
    <w:p>
      <w:pPr>
        <w:spacing w:after="0" w:line="187" w:lineRule="exact"/>
        <w:rPr>
          <w:sz w:val="20"/>
          <w:szCs w:val="20"/>
          <w:color w:val="auto"/>
        </w:rPr>
      </w:pPr>
    </w:p>
    <w:p>
      <w:pPr>
        <w:ind w:left="680" w:hanging="191"/>
        <w:spacing w:after="0"/>
        <w:tabs>
          <w:tab w:leader="none" w:pos="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in the industry and the economy as a whole,</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our quarterly operating results,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of technological innovations by us or our competitors,</w:t>
      </w:r>
    </w:p>
    <w:p>
      <w:pPr>
        <w:spacing w:after="0" w:line="194" w:lineRule="exact"/>
        <w:rPr>
          <w:rFonts w:ascii="Courier New" w:cs="Courier New" w:eastAsia="Courier New" w:hAnsi="Courier New"/>
          <w:sz w:val="16"/>
          <w:szCs w:val="16"/>
          <w:color w:val="auto"/>
        </w:rPr>
      </w:pPr>
    </w:p>
    <w:p>
      <w:pPr>
        <w:ind w:left="680" w:right="3079" w:hanging="191"/>
        <w:spacing w:after="0" w:line="252" w:lineRule="auto"/>
        <w:tabs>
          <w:tab w:leader="none" w:pos="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introductions of new products or new pricing policies by us or our competitors,</w:t>
      </w:r>
    </w:p>
    <w:p>
      <w:pPr>
        <w:spacing w:after="0" w:line="183"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trends in the communications or software industries, including industry consolidation,</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or strategic alliances by us or others in our industry,</w:t>
      </w:r>
    </w:p>
    <w:p>
      <w:pPr>
        <w:spacing w:after="0" w:line="194"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estimates of our performance or recommendations by financial analysts, and</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developments in the Middle East.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188" w:lineRule="exact"/>
        <w:rPr>
          <w:sz w:val="20"/>
          <w:szCs w:val="20"/>
          <w:color w:val="auto"/>
        </w:rPr>
      </w:pPr>
    </w:p>
    <w:p>
      <w:pPr>
        <w:ind w:left="100" w:right="2699"/>
        <w:spacing w:after="0" w:line="252"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OR OUR AFFILIATES.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INFORMATION ON THE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HISTORY, DEVELOPMENT AND ORGANIZATIONAL STRUCTURE OF AMDOCS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Amdocs Limited was organized under the laws of the Island of Guernsey in 1988. Since 1995, Amdocs Limited has been a holding company for the various subsidiaries that conduct our business on a worldwide basis. Our global business is providing software and services solutions to enable major services providers in North America, Europe and the rest of the world to move toward an integrated approach to customer management, which we refer to as Integrated Customer Management. Our registered office is Suite 5, Tower Hill House Le Bordage, St. Peter Port, Island of Guernsey, GY1 3QT Channel Islands, and the telephone number at that location is 011-44-1481-728444.</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the United States, our main sales and development center is in St. Louis, Missouri. The executive offices of our principal subsidiary in the United States are located at 1390 Timberlake Manor Parkway, Chesterfield, Missouri 63017, and the telephone number at that location is (314) 212-8328.</w:t>
      </w:r>
    </w:p>
    <w:p>
      <w:pPr>
        <w:spacing w:after="0" w:line="188" w:lineRule="exact"/>
        <w:rPr>
          <w:sz w:val="20"/>
          <w:szCs w:val="20"/>
          <w:color w:val="auto"/>
        </w:rPr>
      </w:pPr>
    </w:p>
    <w:p>
      <w:pPr>
        <w:jc w:val="both"/>
        <w:ind w:right="2699" w:firstLine="489"/>
        <w:spacing w:after="0" w:line="250" w:lineRule="auto"/>
        <w:rPr>
          <w:sz w:val="20"/>
          <w:szCs w:val="20"/>
          <w:color w:val="auto"/>
        </w:rPr>
      </w:pPr>
      <w:r>
        <w:rPr>
          <w:rFonts w:ascii="Courier New" w:cs="Courier New" w:eastAsia="Courier New" w:hAnsi="Courier New"/>
          <w:sz w:val="16"/>
          <w:szCs w:val="16"/>
          <w:color w:val="auto"/>
        </w:rPr>
        <w:t>Our subsidiaries are organized under and subject to the laws of several countries. Our principal operating subsidiaries are in Canada, China, Cyprus, India, Ireland, Israel, the United Kingdom and the United States.</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have pursued acquisitions in order to offer new products or services or otherwise enhance our market position or strategic strengths. Our 1999 acquisition of ITDS enabled us to expand our service offerings and enhanced our ability to provide Managed Services solutions to our customers. In 2000, we</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0" w:right="1440" w:bottom="1127" w:gutter="0" w:footer="0" w:header="0"/>
        </w:sectPr>
      </w:pPr>
    </w:p>
    <w:bookmarkStart w:id="18" w:name="page19"/>
    <w:bookmarkEnd w:id="18"/>
    <w:p>
      <w:pPr>
        <w:ind w:right="2399"/>
        <w:spacing w:after="0" w:line="249" w:lineRule="auto"/>
        <w:rPr>
          <w:sz w:val="20"/>
          <w:szCs w:val="20"/>
          <w:color w:val="auto"/>
        </w:rPr>
      </w:pPr>
      <w:r>
        <w:rPr>
          <w:rFonts w:ascii="Courier New" w:cs="Courier New" w:eastAsia="Courier New" w:hAnsi="Courier New"/>
          <w:sz w:val="16"/>
          <w:szCs w:val="16"/>
          <w:color w:val="auto"/>
        </w:rPr>
        <w:t>acquired Solect, which enhanced our ability to serve the growing Internet Protocol, or IP, needs of our customers. We believe our 2001 acquisition from Nortel Networks Corporation of substantially all of the assets of its Clarify business, which provided Customer Relationship Management, or CRM, software to communications services companies and other enterprise sectors, positioned us as a leading provider of CRM to the communications industry and, through our addition of Clarify's CRM software to our product offerings, reinforced our leadership in delivering a comprehensive portfolio of business software applications. In 2003, we purchased Bell Canada's 90% ownership interest in Certen, which we formed with Bell Canada in 2001. This acquisition expanded our Managed Services offerings and positioned us as a leading provider of Managed Services to the communications industry. As a result of the acquisition, Certen is now our wholly owned subsidiary. In 2004, we acquired XACCT, a provider of mediation software to communications service providers.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July 1, 2005, we acquired from DST all of the common stock of DST Innovis, a leading provider of customer care and billing solutions to broadband media cable and satellite companies, or the Broadband Industry. We believe that this acquisition has positioned us to offer a comprehensive set of solutions to companies in the Broadband Industry as they transition to ICM. We are continuing to integrate the DST Innovis products into our ICM Enabling Systems and to expand our ICM Enabling Systems offerings to the Broadband Industry. On August 3, 2005, we acquired Longshine, a privately-held leading vendor of customer care and billing software in China, which counts three of China's four largest communications service providers among its customers. This acquisition enables us to offer our products and services to Chinese service providers, and we believe it will allow us to expand our presence in this large and fast growing market.</w:t>
      </w:r>
    </w:p>
    <w:p>
      <w:pPr>
        <w:spacing w:after="0" w:line="37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In the future, we may consider, as part of our strategy, additional acquisitions and other initiatives in order to offer new products or services or otherwise enhance our market position or strategic strengths.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November 2002, we announced a series of measures designed to reduce costs and improve productivity. As part of this plan, we reduced our workforce by approximately 400 software and information technology specialists and administrative professionals and vacated facilities in different centers around the world. In addition, we implemented other cost reduction measures, including travel cuts and reductions in other discretionary costs. As a result of these cost reduction measures, our software and information technology workforce decreased from approximately 9,100 on November 30, 2001 to approximately 7,800 as of January 31, 2003. During fiscal 2003, we increased our software and information technology workforce by approximately 1,200 employees, primarily as a result of the Certen acquisition in July 2003 and a Managed Services agreement signed with AT&amp;T (formerly SBC) in January 2003. As of September 30, 2004, our software and information technology workforce had increased to approximately 9,600 employees. During fiscal 2005, we commenced a series of measures designed to align our operational structure to our expected future growth, to allow better integration of our recent acquisitions of DST Innovis and Longshine and to improve efficiency, which included termination of employment of software and IT specialists and administrative professionals at various locations around the world. As of September 30, 2005, our software and information technology workforce had increased to approximately 12,000 employees. The increase in software and information technology workforce in fiscal 2005 was attributable to our DST Innovis and Longshine acquisitions, as well to organic growth in the size of our operations.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principal capital expenditures for fiscal 2005, 2004 and 2003 have been for computer equipment, for which we spent approximately $57.6 million, $50.8 million and $50.5 million, respectively. We anticipate our principal capital expenditures in fiscal 2006 will consist of additional computer equipment, with the bulk of these expenditures for computer equipment to be located at our facilities in North America, India and Israel.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OVERVIEW</w:t>
      </w:r>
    </w:p>
    <w:p>
      <w:pPr>
        <w:spacing w:after="0" w:line="195" w:lineRule="exact"/>
        <w:rPr>
          <w:sz w:val="20"/>
          <w:szCs w:val="20"/>
          <w:color w:val="auto"/>
        </w:rPr>
      </w:pPr>
    </w:p>
    <w:p>
      <w:pPr>
        <w:jc w:val="both"/>
        <w:ind w:right="2499" w:firstLine="489"/>
        <w:spacing w:after="0" w:line="250" w:lineRule="auto"/>
        <w:rPr>
          <w:sz w:val="20"/>
          <w:szCs w:val="20"/>
          <w:color w:val="auto"/>
        </w:rPr>
      </w:pPr>
      <w:r>
        <w:rPr>
          <w:rFonts w:ascii="Courier New" w:cs="Courier New" w:eastAsia="Courier New" w:hAnsi="Courier New"/>
          <w:sz w:val="16"/>
          <w:szCs w:val="16"/>
          <w:color w:val="auto"/>
        </w:rPr>
        <w:t>We combine software and services with business knowledge to accelerate the adoption of Integrated Customer Management strategies by service providers. Our market focus is primarily Tier 1 and Tier 2</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0" w:right="1440" w:bottom="1440" w:gutter="0" w:footer="0" w:header="0"/>
        </w:sectPr>
      </w:pPr>
    </w:p>
    <w:bookmarkStart w:id="19" w:name="page20"/>
    <w:bookmarkEnd w:id="19"/>
    <w:p>
      <w:pPr>
        <w:ind w:right="2399"/>
        <w:spacing w:after="0" w:line="249" w:lineRule="auto"/>
        <w:rPr>
          <w:sz w:val="20"/>
          <w:szCs w:val="20"/>
          <w:color w:val="auto"/>
        </w:rPr>
      </w:pPr>
      <w:r>
        <w:rPr>
          <w:rFonts w:ascii="Courier New" w:cs="Courier New" w:eastAsia="Courier New" w:hAnsi="Courier New"/>
          <w:sz w:val="16"/>
          <w:szCs w:val="16"/>
          <w:color w:val="auto"/>
        </w:rPr>
        <w:t>companies in the communications industry, and we are a leading provider of software products and services to that industry. Our addressable market has now been expanded to include companies in the Broadband Industry, as a result of our recent acquisition of DST Innovis. The acquisition not only enlarges our customer base, but also allows us to offer a broader set of solutions to customers in the Broadband Industry. We are also leveraging our experience by working with service providers in the financial services sector, since certain of the challenges faced by companies in this sector are similar to those of communications service providers.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Our products and services help our customers move toward Integrated Customer Management. Our product offerings include CRM, order management, service fulfillment, mediation, and content revenue management products, which we collectively refer to as Integrated Customer Management Enabling Systems, or ICM Enabling Systems. In the past, we referred to ICM Enabling Systems as CC&amp;B Systems.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have designed ICM Enabling Systems to meet the mission-critical needs of leading communications service providers throughout the entire customer lifecycle. We support different lines of business, including wireline, wireless, cable and satellite, and a wide range of communications services, including voice, video, data, Internet Protocol, or IP, broadband, content, electronic and mobile commerce. We also support companies that offer multiple service packages which are commonly referred to as bundled or convergent service packages.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Due to the complexity of our customers' projects and the expertise required for system support, we also provide information technology, or IT, services, including extensive consulting, business strategy, system implementation, training, integration, modification, ongoing support, enhancement and maintenance services. In addition, we offer Managed Services, which include services such as system modernization and consolidation, the operation of data centers, ongoing support, maintenance services, system modification, the provision of rating and billing services and communications facility management services, in all cases on either, or a combination of, a fixed or unit charge basis to our customers.</w:t>
      </w:r>
    </w:p>
    <w:p>
      <w:pPr>
        <w:spacing w:after="0" w:line="37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INDUSTRY BACKGROUND</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Communications Industry</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It is our view that, for more than 20 years, competition in the global communications industry has increased as a result of deregulation and the development of new service technologies that allow introducing new products and services into the evolving market, including content and IP services, as well as bundling of wireline and wireless voice, video and data services. The industry is also undergoing transformation, mainly driven by the continued industry consolidation trend and the continuing increase in customer demands.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Competition in the U.S. market began to increase in 1984 when AT&amp;T was required to divest its local telephone operations and many new operators began to enter the long distance market. The Telecommunications Act of 1996 increased competition in the United States even further by allowing new and existing local, long distance and cable companies to offer competing services. Our experience tells us that many companies now compete by providing bundled or convergent services, offering combinations of</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0" w:right="1440" w:bottom="1440" w:gutter="0" w:footer="0" w:header="0"/>
        </w:sectPr>
      </w:pPr>
    </w:p>
    <w:bookmarkStart w:id="20" w:name="page21"/>
    <w:bookmarkEnd w:id="20"/>
    <w:p>
      <w:pPr>
        <w:ind w:right="2499"/>
        <w:spacing w:after="0" w:line="249" w:lineRule="auto"/>
        <w:rPr>
          <w:sz w:val="20"/>
          <w:szCs w:val="20"/>
          <w:color w:val="auto"/>
        </w:rPr>
      </w:pPr>
      <w:r>
        <w:rPr>
          <w:rFonts w:ascii="Courier New" w:cs="Courier New" w:eastAsia="Courier New" w:hAnsi="Courier New"/>
          <w:sz w:val="16"/>
          <w:szCs w:val="16"/>
          <w:color w:val="auto"/>
        </w:rPr>
        <w:t>local exchange, long distance, wireless, broadband access, content and electronic and mobile commerce services. Deregulation is also creating opportunities for new ways of doing business, such as wholesaling and reselling communications services. Privatization and deregulation continue to encourage increased competition worldwide. We believe that, as markets are opened to competition, new competitors within these markets typically compete for market share with more established carriers by operating at lower cost, offering competitive prices, introducing new features and services and being more responsive to customer needs. In parallel, the communications industry has undergone consolidation, as companies seek to broaden their global reach and expand service offerings and control costs. In addition, global expansion by multinational companies and concurrent technological advances are opening markets in less developed countries to enhanced communications services and competition.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recent years, there has also been a large increase of new communications technologies, including ATM (Asynchronous Transfer Mode), IP, xDSL (a type of Digital Subscriber Line), utilization of cable television infrastructure to provide Internet services, GPRS (General Packet Radio Services), UMTS (Universal Mobile Telecommunications System), WiFi (Wireless Fidelity) and WAP (Wireless Application Protocol) for wireless Internet, VoIP (Voice over Internet Protocol), IPTV (Internet Protocol Television) and intelligent networks. Additionally, the directory publishing industry, which we believe is currently dominated by communications companies that are owned by or affiliated with telecommunications carriers, is experiencing significant changes due to the introduction of new technologies and distribution platforms, especially Internet directories.</w:t>
      </w:r>
    </w:p>
    <w:p>
      <w:pPr>
        <w:spacing w:after="0" w:line="37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Information Systems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While the demand for products and services was negatively affected by the downturn in the communications industry during 2002 and 2003, many communications companies are currently seeking to upgrade their systems and install new systems that would enable them to move toward an Integrated Customer Management strategy and to offer new or bundled services. We believe that these communications companies are looking for systems that reduce IT and operational costs, enhance customer management to increase average revenue and profitability per user, support customer retention, and enable rapid rollout of new marketing packages and advanced data services, as well as the ability to provide customers with single-contact, single-invoice solutions for convergent or bundled services.</w:t>
      </w:r>
    </w:p>
    <w:p>
      <w:pPr>
        <w:spacing w:after="0" w:line="37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As a result, we believe communications companies require best-of-suite information systems that provide the level of integration, flexibility and scalability they need to improve operational efficiency and to differentiate them from their competitors in an increasingly competitive marketplace. To save scarce capital and operating expenditure resources, some carriers are investing in pre-configured open-architecture software products, which require limited customization, rather than highly customized solutions.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believe that, in order to implement efficient, flexible, cost-effective information systems on a timely basis, many new and existing communications companies are looking to buy ICM Enabling Systems from external vendors, rather than developing new systems with internal resources. Moreover, as many communications companies strive to become more customer-oriented, they are concentrating efforts and internal resources on servicing their customers and expanding their service offerings, and many are turning to third-party vendors for their information systems. These factors create significant opportunities for vendors of ICM Enabling Systems and providers of Managed Services, such as Amdocs.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AMDOCS OFFERINGS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believe that our product-driven approach, commitment to and support of quality personnel and deep industry knowledge and expertise permit us to create and deliver effective offerings that are both highly innovative and reliable. In addition, we offer solutions that address specific business issues of service providers. We believe that our success derives from a combination of the following factors that differentiate us from most of our competitors.</w:t>
      </w:r>
    </w:p>
    <w:p>
      <w:pPr>
        <w:spacing w:after="0" w:line="187" w:lineRule="exact"/>
        <w:rPr>
          <w:sz w:val="20"/>
          <w:szCs w:val="20"/>
          <w:color w:val="auto"/>
        </w:rPr>
      </w:pPr>
    </w:p>
    <w:p>
      <w:pPr>
        <w:ind w:left="680" w:right="2699" w:hanging="191"/>
        <w:spacing w:after="0" w:line="248" w:lineRule="auto"/>
        <w:tabs>
          <w:tab w:leader="none" w:pos="6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6 Portfolio of Pre-Integrated, Modular Products. We enable our customers to achieve Integrated Customer Management by providing a</w:t>
      </w:r>
    </w:p>
    <w:p>
      <w:pPr>
        <w:spacing w:after="0" w:line="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portfolio of pre-integrated software products that</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0" w:right="1440" w:bottom="1440" w:gutter="0" w:footer="0" w:header="0"/>
        </w:sectPr>
      </w:pPr>
    </w:p>
    <w:bookmarkStart w:id="21" w:name="page22"/>
    <w:bookmarkEnd w:id="21"/>
    <w:p>
      <w:pPr>
        <w:ind w:left="680" w:right="2399"/>
        <w:spacing w:after="0" w:line="249" w:lineRule="auto"/>
        <w:rPr>
          <w:sz w:val="20"/>
          <w:szCs w:val="20"/>
          <w:color w:val="auto"/>
        </w:rPr>
      </w:pPr>
      <w:r>
        <w:rPr>
          <w:rFonts w:ascii="Courier New" w:cs="Courier New" w:eastAsia="Courier New" w:hAnsi="Courier New"/>
          <w:sz w:val="16"/>
          <w:szCs w:val="16"/>
          <w:color w:val="auto"/>
        </w:rPr>
        <w:t>span the entire customer lifecycle launched in 2005 and named Amdocs 6. Our portfolio is designed to enable ICM across our customer's organization, and enable them to align its business processes around the customer, linking customer-facing business processes and touch points across back-office and front-office systems. Our products are designed to allow modular extension as a service provider moves toward achieving ICM and to ensure fast and reduced-cost implementations.</w:t>
      </w:r>
    </w:p>
    <w:p>
      <w:pPr>
        <w:spacing w:after="0" w:line="187" w:lineRule="exact"/>
        <w:rPr>
          <w:sz w:val="20"/>
          <w:szCs w:val="20"/>
          <w:color w:val="auto"/>
        </w:rPr>
      </w:pPr>
    </w:p>
    <w:p>
      <w:pPr>
        <w:ind w:left="680" w:right="2399" w:hanging="191"/>
        <w:spacing w:after="0" w:line="249" w:lineRule="auto"/>
        <w:tabs>
          <w:tab w:leader="none" w:pos="6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Solutions Combining Products, Services and Partner Technology, as needed. We offer our customers solutions that address specific business issues, such as customer profitability and segmentation or launching IP convergent services. Our solutions combine products with a broad range of services, including customization, implementation, integration, maintenance, ongoing support and Managed Services, as well as partner technology. By providing services directly to the customer, we are able to effectively utilize our intricate technical knowledge of our products in the overall execution of a project, helping to ensure delivery and significantly reducing project risk. Our solutions approach differs from the multi-party approach commonly used in the market, in which products developed by a software vendor are implemented by a third-party system integrator. We believe that our approach enhances our ability to provide our customers with timely, cost-effective, low-risk solutions at a consistent level of quality.</w:t>
      </w:r>
    </w:p>
    <w:p>
      <w:pPr>
        <w:spacing w:after="0" w:line="374"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Functional and Flexible Portfolio. Our Amdocs 6 products portfolio is based on an open architecture that provides the functionality, scalability, modularity and adaptability required by service providers in today's highly competitive market. The open, standard architecture allows products to operate as standalone within existing environments. The flexibility of our product portfolio enables our customers to achieve significant time-to-market advantages and reduce their dependence on technical and other staff.</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Deep Industry Expertise and Highly Skilled Personnel. We are able to offer our customers superior products and services on a worldwide basis in large part because of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reliably delivering quality solutions within agreed time frames and budgets. We have a global presence and recruitment capabilities and have development centers in Canada, China, Cyprus, India, Ireland, Israel and the United States.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BUSINESS STRATEGY</w:t>
      </w:r>
    </w:p>
    <w:p>
      <w:pPr>
        <w:spacing w:after="0" w:line="195" w:lineRule="exact"/>
        <w:rPr>
          <w:sz w:val="20"/>
          <w:szCs w:val="20"/>
          <w:color w:val="auto"/>
        </w:rPr>
      </w:pPr>
    </w:p>
    <w:p>
      <w:pPr>
        <w:jc w:val="both"/>
        <w:ind w:right="2699" w:firstLine="489"/>
        <w:spacing w:after="0" w:line="250"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service providers. We seek to accomplish our goal by pursuing the strategies described below.</w:t>
      </w:r>
    </w:p>
    <w:p>
      <w:pPr>
        <w:spacing w:after="0" w:line="185" w:lineRule="exact"/>
        <w:rPr>
          <w:sz w:val="20"/>
          <w:szCs w:val="20"/>
          <w:color w:val="auto"/>
        </w:rPr>
      </w:pPr>
    </w:p>
    <w:p>
      <w:pPr>
        <w:ind w:left="680" w:right="2499" w:hanging="191"/>
        <w:spacing w:after="0" w:line="249" w:lineRule="auto"/>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Focus on the Communications and Broadband Industries. We intend to continue to concentrate our main resources and efforts on providing strategic information systems to service providers in the communications and broadband industries. This strategy has enabled us to develop the specialized industry know-how and capability necessary to deliver the technologically advanced, large-scale, specifications-intensive information systems solutions required by the leading communications companies in the wireless, wireline, broadband cable and satellite service sectors. However, we are also expanding our experience by working with service providers in the financial services sector.</w:t>
      </w:r>
    </w:p>
    <w:p>
      <w:pPr>
        <w:spacing w:after="0" w:line="374"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Industry Leaders. We intend to continue to direct our marketing efforts principally toward the major communications companies that are undergoing continuous consolidation that decreases the number of overall potential clients in the market. We derive a significant portion of our revenues from our customer base of major service providers in North America, Europe and the Asia-Pacific region. We believe that the development of this premier customer base has helped position us as a market leader, while contributing to the core strength of our business. By targeting</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0" w:right="1440" w:bottom="1440" w:gutter="0" w:footer="0" w:header="0"/>
        </w:sectPr>
      </w:pPr>
    </w:p>
    <w:bookmarkStart w:id="22" w:name="page23"/>
    <w:bookmarkEnd w:id="22"/>
    <w:p>
      <w:pPr>
        <w:ind w:left="680" w:right="2499"/>
        <w:spacing w:after="0" w:line="250" w:lineRule="auto"/>
        <w:rPr>
          <w:sz w:val="20"/>
          <w:szCs w:val="20"/>
          <w:color w:val="auto"/>
        </w:rPr>
      </w:pPr>
      <w:r>
        <w:rPr>
          <w:rFonts w:ascii="Courier New" w:cs="Courier New" w:eastAsia="Courier New" w:hAnsi="Courier New"/>
          <w:sz w:val="16"/>
          <w:szCs w:val="16"/>
          <w:color w:val="auto"/>
        </w:rPr>
        <w:t>industry leaders that require the most sophisticated information systems solutions, we believe that we are best able to ensure that we remain at the forefront of developments in the industry.</w:t>
      </w:r>
    </w:p>
    <w:p>
      <w:pPr>
        <w:spacing w:after="0" w:line="185" w:lineRule="exact"/>
        <w:rPr>
          <w:sz w:val="20"/>
          <w:szCs w:val="20"/>
          <w:color w:val="auto"/>
        </w:rPr>
      </w:pPr>
    </w:p>
    <w:p>
      <w:pPr>
        <w:ind w:left="680" w:right="2499" w:hanging="191"/>
        <w:spacing w:after="0" w:line="249" w:lineRule="auto"/>
        <w:tabs>
          <w:tab w:leader="none" w:pos="6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Integrated Products and Services Solutions. Our strategy is to provide customers with total systems solutions consisting of our product portfolio and our specialized services. By leveraging our product and industry knowledge, we believe that we can provide more effective system integration and implementation services, as well as Managed Services, to our customers.</w:t>
      </w:r>
    </w:p>
    <w:p>
      <w:pPr>
        <w:spacing w:after="0" w:line="187"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Portfolio of Products. We seek to provide our customers with a broad portfolio of products, which we call Amdocs 6, to help them achieve Integrated Customer Management. For communications service providers, we seek to provide ICM Enabling Systems across all lines of their business, such as wireline, wireless, broadband cable and satellite.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6" w:lineRule="exact"/>
        <w:rPr>
          <w:rFonts w:ascii="Courier New" w:cs="Courier New" w:eastAsia="Courier New" w:hAnsi="Courier New"/>
          <w:sz w:val="16"/>
          <w:szCs w:val="16"/>
          <w:color w:val="auto"/>
        </w:rPr>
      </w:pPr>
    </w:p>
    <w:p>
      <w:pPr>
        <w:ind w:left="680" w:right="2599" w:hanging="191"/>
        <w:spacing w:after="0" w:line="249" w:lineRule="auto"/>
        <w:tabs>
          <w:tab w:leader="none" w:pos="6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TECHNOLOGY</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have developed core competencies in various advanced technologies that are used in our ICM Enabling Systems. By utilizing technologies such as rule and table-based design, multi-tier architecture, object-oriented techniques, data mining, web-enabling and open application program interfaces, we are able to provide communications companies with the flexibility required in a highly competitive, dynamic environment. For example, the use of rule and table-based technologies allows communications companies to rapidly implement changes to their marketing and customer service activities, such as new services, price plans, discount schemes and bill formats, without the need to modify system code. Similarly, by drawing on web-enabled, Internet technologies, we have been able to improve access to information by remote users, both internally within a communications company's organization and between the organization and its subscribers. These technologies are integrated in an open, multi-tier, service-oriented architecture. The architecture of our product portfolio includes the key characteristics described below.</w:t>
      </w:r>
    </w:p>
    <w:p>
      <w:pPr>
        <w:spacing w:after="0" w:line="187" w:lineRule="exact"/>
        <w:rPr>
          <w:sz w:val="20"/>
          <w:szCs w:val="20"/>
          <w:color w:val="auto"/>
        </w:rPr>
      </w:pPr>
    </w:p>
    <w:p>
      <w:pPr>
        <w:ind w:left="680" w:right="2499" w:hanging="191"/>
        <w:spacing w:after="0" w:line="249" w:lineRule="auto"/>
        <w:tabs>
          <w:tab w:leader="none" w:pos="6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Scalability. Our ICM Enabling Systems are designed to take full advantage of the proven scalability of the UNIX platform, allowing progressive system expansion, proportional with the customer's growth in business volumes. Using the same software, our ICM Enabling Systems can support operations for small, as well as very large service providers.</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Modularity. Our product portfolio is comprised of sets of functional modules. Each of our products can be installed on an individual standalone 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also preserves the customer's initial investment in products, while minimizing future disruptions and the overall cost of system implementation.</w:t>
      </w:r>
    </w:p>
    <w:p>
      <w:pPr>
        <w:spacing w:after="0" w:line="187" w:lineRule="exact"/>
        <w:rPr>
          <w:rFonts w:ascii="Courier New" w:cs="Courier New" w:eastAsia="Courier New" w:hAnsi="Courier New"/>
          <w:sz w:val="16"/>
          <w:szCs w:val="16"/>
          <w:color w:val="auto"/>
        </w:rPr>
      </w:pPr>
    </w:p>
    <w:p>
      <w:pPr>
        <w:ind w:left="680" w:right="2599" w:hanging="191"/>
        <w:spacing w:after="0" w:line="249" w:lineRule="auto"/>
        <w:tabs>
          <w:tab w:leader="none" w:pos="6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Portability. Utilization of the UNIX platform for our ICM Enabling Systems ensures that our customers are able to choose from a variety of hardware vendors, including Hewlett-Packard, IBM and Sun Microsystems. Certain applications can also be deployed on the MVS or Windows NT</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0" w:right="1440" w:bottom="1440" w:gutter="0" w:footer="0" w:header="0"/>
        </w:sectPr>
      </w:pPr>
    </w:p>
    <w:bookmarkStart w:id="23" w:name="page24"/>
    <w:bookmarkEnd w:id="23"/>
    <w:p>
      <w:pPr>
        <w:ind w:left="680" w:right="2399"/>
        <w:spacing w:after="0" w:line="252" w:lineRule="auto"/>
        <w:rPr>
          <w:sz w:val="20"/>
          <w:szCs w:val="20"/>
          <w:color w:val="auto"/>
        </w:rPr>
      </w:pPr>
      <w:r>
        <w:rPr>
          <w:rFonts w:ascii="Courier New" w:cs="Courier New" w:eastAsia="Courier New" w:hAnsi="Courier New"/>
          <w:sz w:val="16"/>
          <w:szCs w:val="16"/>
          <w:color w:val="auto"/>
        </w:rPr>
        <w:t>platforms. The ICM Enabling Systems utilize, where applicable, Java-based design and programming to augment cross-platform portability.</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PRODUCTS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Our product offerings include an extensive portfolio of software products that we have developed to provide comprehensive information systems functionality for communications service providers. Our software systems cover the full range of CRM, order management, mediation, real-time rating and billing, including enhanced support for a broad range of billing-related activities, content and partner relationship management, support and customer interaction products, as well as directory publishing services.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configure individual ICM Enabling Systems into families of solutions, which serve as marketing packages oriented to the needs of specific customer segments. We provide our main ICM Enabling Systems in a number of versions to serve the different needs of communications operators in the various network and business segments, such as wireline, wireless, cable, broadband and electronic and mobile commerce. Our products focus on the three main business challenges of our customers:</w:t>
      </w:r>
    </w:p>
    <w:p>
      <w:pPr>
        <w:spacing w:after="0" w:line="187" w:lineRule="exact"/>
        <w:rPr>
          <w:sz w:val="20"/>
          <w:szCs w:val="20"/>
          <w:color w:val="auto"/>
        </w:rPr>
      </w:pPr>
    </w:p>
    <w:p>
      <w:pPr>
        <w:jc w:val="both"/>
        <w:ind w:left="680" w:right="2399" w:hanging="191"/>
        <w:spacing w:after="0" w:line="250"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Management: Products that enable service providers to manage and track sources of revenue through any channel, from service consumption to cash in hand.</w:t>
      </w:r>
    </w:p>
    <w:p>
      <w:pPr>
        <w:spacing w:after="0" w:line="185" w:lineRule="exact"/>
        <w:rPr>
          <w:rFonts w:ascii="Courier New" w:cs="Courier New" w:eastAsia="Courier New" w:hAnsi="Courier New"/>
          <w:sz w:val="16"/>
          <w:szCs w:val="16"/>
          <w:color w:val="auto"/>
        </w:rPr>
      </w:pPr>
    </w:p>
    <w:p>
      <w:pPr>
        <w:ind w:left="680" w:right="2799" w:hanging="191"/>
        <w:spacing w:after="0" w:line="249"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Management: End-to-end customer management products for all operators, providing support for managing customer relationships, including service and support, sales and ordering, and marketing and analytics.</w:t>
      </w:r>
    </w:p>
    <w:p>
      <w:pPr>
        <w:spacing w:after="0" w:line="187" w:lineRule="exact"/>
        <w:rPr>
          <w:rFonts w:ascii="Courier New" w:cs="Courier New" w:eastAsia="Courier New" w:hAnsi="Courier New"/>
          <w:sz w:val="16"/>
          <w:szCs w:val="16"/>
          <w:color w:val="auto"/>
        </w:rPr>
      </w:pPr>
    </w:p>
    <w:p>
      <w:pPr>
        <w:ind w:left="680" w:right="2699" w:hanging="191"/>
        <w:spacing w:after="0" w:line="252"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Management: Products that define, orchestrate and execute the complete lifecycle of ordering and service fulfillment processes.</w:t>
      </w:r>
    </w:p>
    <w:p>
      <w:pPr>
        <w:spacing w:after="0" w:line="183"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Each individual module from the product families can be installed as an independent stand-alone application, interfacing with the customer's legacy and third-party systems, or as part of an integrated Amdocs platform.</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Revenue Management</w:t>
      </w:r>
    </w:p>
    <w:p>
      <w:pPr>
        <w:spacing w:after="0" w:line="195"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Our Revenue Management products include the following key application modules:</w:t>
      </w:r>
    </w:p>
    <w:p>
      <w:pPr>
        <w:spacing w:after="0" w:line="183" w:lineRule="exact"/>
        <w:rPr>
          <w:sz w:val="20"/>
          <w:szCs w:val="20"/>
          <w:color w:val="auto"/>
        </w:rPr>
      </w:pPr>
    </w:p>
    <w:p>
      <w:pPr>
        <w:ind w:left="680" w:right="2399" w:hanging="191"/>
        <w:spacing w:after="0" w:line="252" w:lineRule="auto"/>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Charging (formerly Amdocs Enabler) -- provides flexible, real time rating and billing for all voice, data, content and commerce services.</w:t>
      </w:r>
    </w:p>
    <w:p>
      <w:pPr>
        <w:spacing w:after="0" w:line="183" w:lineRule="exact"/>
        <w:rPr>
          <w:rFonts w:ascii="Courier New" w:cs="Courier New" w:eastAsia="Courier New" w:hAnsi="Courier New"/>
          <w:sz w:val="16"/>
          <w:szCs w:val="16"/>
          <w:color w:val="auto"/>
        </w:rPr>
      </w:pPr>
    </w:p>
    <w:p>
      <w:pPr>
        <w:ind w:left="680" w:right="3079" w:hanging="191"/>
        <w:spacing w:after="0" w:line="250" w:lineRule="auto"/>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Document Designer -- creates flexible, personalized bills, letters, invoices and statements for mass production, providing an optimal bill architecture.</w:t>
      </w:r>
    </w:p>
    <w:p>
      <w:pPr>
        <w:spacing w:after="0" w:line="185" w:lineRule="exact"/>
        <w:rPr>
          <w:rFonts w:ascii="Courier New" w:cs="Courier New" w:eastAsia="Courier New" w:hAnsi="Courier New"/>
          <w:sz w:val="16"/>
          <w:szCs w:val="16"/>
          <w:color w:val="auto"/>
        </w:rPr>
      </w:pPr>
    </w:p>
    <w:p>
      <w:pPr>
        <w:ind w:left="680" w:right="2979" w:hanging="191"/>
        <w:spacing w:after="0" w:line="252" w:lineRule="auto"/>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Balance Manager -- performs real-time balance management for prepaid accounts, including balance updates and reservations.</w:t>
      </w:r>
    </w:p>
    <w:p>
      <w:pPr>
        <w:spacing w:after="0" w:line="183"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Commerce Broker -- supports real-time sale and delivery of content and commerce transactions, rates and authorizes transactions, provides advice of charge, manages subscriptions and supports multiple payment options.</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Partner Manager (formerly Partner Relationship Manager) -- manages content, inter-carrier and dealer partnerships, including recruitment and contract definition, partner authorization and approval processes, revenue-share calculation, invoicing and settlement.</w:t>
      </w:r>
    </w:p>
    <w:p>
      <w:pPr>
        <w:spacing w:after="0" w:line="187" w:lineRule="exact"/>
        <w:rPr>
          <w:rFonts w:ascii="Courier New" w:cs="Courier New" w:eastAsia="Courier New" w:hAnsi="Courier New"/>
          <w:sz w:val="16"/>
          <w:szCs w:val="16"/>
          <w:color w:val="auto"/>
        </w:rPr>
      </w:pPr>
    </w:p>
    <w:p>
      <w:pPr>
        <w:jc w:val="both"/>
        <w:ind w:left="680" w:right="2879" w:hanging="191"/>
        <w:spacing w:after="0" w:line="252" w:lineRule="auto"/>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Service Mediation Manager -- removes barriers and ensures the accurate flow of information from the network to the billing system.</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80" w:right="1440" w:bottom="1440" w:gutter="0" w:footer="0" w:header="0"/>
        </w:sectPr>
      </w:pPr>
    </w:p>
    <w:bookmarkStart w:id="24" w:name="page25"/>
    <w:bookmarkEnd w:id="24"/>
    <w:p>
      <w:pPr>
        <w:ind w:left="480"/>
        <w:spacing w:after="0"/>
        <w:rPr>
          <w:sz w:val="20"/>
          <w:szCs w:val="20"/>
          <w:color w:val="auto"/>
        </w:rPr>
      </w:pPr>
      <w:r>
        <w:rPr>
          <w:rFonts w:ascii="Courier New" w:cs="Courier New" w:eastAsia="Courier New" w:hAnsi="Courier New"/>
          <w:sz w:val="16"/>
          <w:szCs w:val="16"/>
          <w:color w:val="auto"/>
        </w:rPr>
        <w:t>Customer Management</w:t>
      </w:r>
    </w:p>
    <w:p>
      <w:pPr>
        <w:spacing w:after="0" w:line="19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Our Customer Management products, substantially represented by the Amdocs CRM portfolio, include the following main modules:</w:t>
      </w:r>
    </w:p>
    <w:p>
      <w:pPr>
        <w:spacing w:after="0" w:line="183" w:lineRule="exact"/>
        <w:rPr>
          <w:sz w:val="20"/>
          <w:szCs w:val="20"/>
          <w:color w:val="auto"/>
        </w:rPr>
      </w:pPr>
    </w:p>
    <w:p>
      <w:pPr>
        <w:ind w:left="680" w:right="3079" w:hanging="191"/>
        <w:spacing w:after="0" w:line="250"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Customer Interaction Manager -- provides customer service representatives with a comprehensive view of customer accounts and activity.</w:t>
      </w:r>
    </w:p>
    <w:p>
      <w:pPr>
        <w:spacing w:after="0" w:line="185"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Self Service -- enables residential and corporate customers to use the Internet to self-manage interactions with their communications service providers.</w:t>
      </w:r>
    </w:p>
    <w:p>
      <w:pPr>
        <w:spacing w:after="0" w:line="185"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Support -- provides comprehensive, service request/case management for multi-level customer support, network management and support operations.</w:t>
      </w:r>
    </w:p>
    <w:p>
      <w:pPr>
        <w:spacing w:after="0" w:line="185" w:lineRule="exact"/>
        <w:rPr>
          <w:rFonts w:ascii="Courier New" w:cs="Courier New" w:eastAsia="Courier New" w:hAnsi="Courier New"/>
          <w:sz w:val="16"/>
          <w:szCs w:val="16"/>
          <w:color w:val="auto"/>
        </w:rPr>
      </w:pPr>
    </w:p>
    <w:p>
      <w:pPr>
        <w:ind w:left="680" w:right="2979" w:hanging="191"/>
        <w:spacing w:after="0" w:line="252"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SLA Manager -- provides system for measuring, monitoring and managing quality-of-service goals.</w:t>
      </w:r>
    </w:p>
    <w:p>
      <w:pPr>
        <w:spacing w:after="0" w:line="183"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Change Manager -- enables providers to achieve better predictability and control the risk associated with IT change, especially as it impacts customers.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Service Management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Service Management products include the following main modules:</w:t>
      </w:r>
    </w:p>
    <w:p>
      <w:pPr>
        <w:spacing w:after="0" w:line="195" w:lineRule="exact"/>
        <w:rPr>
          <w:sz w:val="20"/>
          <w:szCs w:val="20"/>
          <w:color w:val="auto"/>
        </w:rPr>
      </w:pPr>
    </w:p>
    <w:p>
      <w:pPr>
        <w:ind w:left="680" w:right="2499" w:hanging="191"/>
        <w:spacing w:after="0" w:line="252" w:lineRule="auto"/>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Ordering -- automates the entire ordering and fulfillment process through to completion, for all services and lines of business.</w:t>
      </w:r>
    </w:p>
    <w:p>
      <w:pPr>
        <w:spacing w:after="0" w:line="183" w:lineRule="exact"/>
        <w:rPr>
          <w:rFonts w:ascii="Courier New" w:cs="Courier New" w:eastAsia="Courier New" w:hAnsi="Courier New"/>
          <w:sz w:val="16"/>
          <w:szCs w:val="16"/>
          <w:color w:val="auto"/>
        </w:rPr>
      </w:pPr>
    </w:p>
    <w:p>
      <w:pPr>
        <w:ind w:left="680" w:right="2699" w:hanging="191"/>
        <w:spacing w:after="0" w:line="249" w:lineRule="auto"/>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Fulfillment Manager -- a telecom-focused process management and integration product that supports the modeling, automation, and orchestration of network provisioning, subscriber activation, and operational readiness processes.</w:t>
      </w:r>
    </w:p>
    <w:p>
      <w:pPr>
        <w:spacing w:after="0" w:line="187"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Activation Manager -- automates the activation of network services and individual subscribers.</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Directory Systems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main Directory Systems product offering is the ADS (NG) family of products. These products provide comprehensive support for yellow page and white page directory sales and publishing operations, as well as for Internet directories and catalogs. These systems support large directory publishing operations that employ a local sales force numbering thousands of representatives, serve customer bases of hundreds of millions of businesses and publish thousands of different directories each year. The directory line of products comprises a series of pre-integrated modules, including:</w:t>
      </w:r>
    </w:p>
    <w:p>
      <w:pPr>
        <w:spacing w:after="0" w:line="187" w:lineRule="exact"/>
        <w:rPr>
          <w:sz w:val="20"/>
          <w:szCs w:val="20"/>
          <w:color w:val="auto"/>
        </w:rPr>
      </w:pPr>
    </w:p>
    <w:p>
      <w:pPr>
        <w:ind w:left="680" w:right="2399" w:hanging="191"/>
        <w:spacing w:after="0" w:line="249" w:lineRule="auto"/>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Publishing -- supports the process of entering, proofing and extracting the telephone listing and advertising information that is to be published in the customer's yellow page or white page directory or electronic Internet directory. These modules encompass contract processing, service order processing, listing information management and directory extract in preparation for the actual production of the directory.</w:t>
      </w:r>
    </w:p>
    <w:p>
      <w:pPr>
        <w:spacing w:after="0" w:line="187" w:lineRule="exact"/>
        <w:rPr>
          <w:rFonts w:ascii="Courier New" w:cs="Courier New" w:eastAsia="Courier New" w:hAnsi="Courier New"/>
          <w:sz w:val="16"/>
          <w:szCs w:val="16"/>
          <w:color w:val="auto"/>
        </w:rPr>
      </w:pPr>
    </w:p>
    <w:p>
      <w:pPr>
        <w:ind w:left="680" w:right="2399" w:hanging="191"/>
        <w:spacing w:after="0" w:line="248" w:lineRule="auto"/>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and Information Analysis -- includes corporate data warehousing techniques, online analytical processing and data mining capabilities,</w:t>
      </w:r>
    </w:p>
    <w:p>
      <w:pPr>
        <w:spacing w:after="0" w:line="1" w:lineRule="exact"/>
        <w:rPr>
          <w:sz w:val="20"/>
          <w:szCs w:val="20"/>
          <w:color w:val="auto"/>
        </w:rPr>
      </w:pPr>
    </w:p>
    <w:p>
      <w:pPr>
        <w:ind w:left="680" w:right="2499"/>
        <w:spacing w:after="0" w:line="248" w:lineRule="auto"/>
        <w:rPr>
          <w:sz w:val="20"/>
          <w:szCs w:val="20"/>
          <w:color w:val="auto"/>
        </w:rPr>
      </w:pPr>
      <w:r>
        <w:rPr>
          <w:rFonts w:ascii="Courier New" w:cs="Courier New" w:eastAsia="Courier New" w:hAnsi="Courier New"/>
          <w:sz w:val="16"/>
          <w:szCs w:val="16"/>
          <w:color w:val="auto"/>
        </w:rPr>
        <w:t>oriented to the specific marketing needs of the directory publisher. For example, these modules can be used to identify changed patterns of</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80" w:right="1440" w:bottom="1440" w:gutter="0" w:footer="0" w:header="0"/>
        </w:sectPr>
      </w:pPr>
    </w:p>
    <w:bookmarkStart w:id="25" w:name="page26"/>
    <w:bookmarkEnd w:id="25"/>
    <w:p>
      <w:pPr>
        <w:ind w:left="680" w:right="2499"/>
        <w:spacing w:after="0" w:line="249" w:lineRule="auto"/>
        <w:rPr>
          <w:sz w:val="20"/>
          <w:szCs w:val="20"/>
          <w:color w:val="auto"/>
        </w:rPr>
      </w:pPr>
      <w:r>
        <w:rPr>
          <w:rFonts w:ascii="Courier New" w:cs="Courier New" w:eastAsia="Courier New" w:hAnsi="Courier New"/>
          <w:sz w:val="16"/>
          <w:szCs w:val="16"/>
          <w:color w:val="auto"/>
        </w:rPr>
        <w:t>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87" w:lineRule="exact"/>
        <w:rPr>
          <w:sz w:val="20"/>
          <w:szCs w:val="20"/>
          <w:color w:val="auto"/>
        </w:rPr>
      </w:pPr>
    </w:p>
    <w:p>
      <w:pPr>
        <w:ind w:left="680" w:right="2399" w:hanging="191"/>
        <w:spacing w:after="0" w:line="249" w:lineRule="auto"/>
        <w:tabs>
          <w:tab w:leader="none" w:pos="6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Production and Delivery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 Our product and delivery services also support online Internet directories.</w:t>
      </w:r>
    </w:p>
    <w:p>
      <w:pPr>
        <w:spacing w:after="0" w:line="187"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Service -- permits online support for handling customer inquiries and resolving customer complaints, including online correction of advertising data and billing adjustments.</w:t>
      </w:r>
    </w:p>
    <w:p>
      <w:pPr>
        <w:spacing w:after="0" w:line="185" w:lineRule="exact"/>
        <w:rPr>
          <w:rFonts w:ascii="Courier New" w:cs="Courier New" w:eastAsia="Courier New" w:hAnsi="Courier New"/>
          <w:sz w:val="16"/>
          <w:szCs w:val="16"/>
          <w:color w:val="auto"/>
        </w:rPr>
      </w:pPr>
    </w:p>
    <w:p>
      <w:pPr>
        <w:ind w:left="680" w:right="2979" w:hanging="191"/>
        <w:spacing w:after="0" w:line="252" w:lineRule="auto"/>
        <w:tabs>
          <w:tab w:leader="none" w:pos="6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Management -- specifically designed for the directory publisher's billing, accounts receivable and collections functions.</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SERVICES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believe that the methodology we employ to enable Integrated Customer Management and to deliver our products and services is one of the key factors that allows us to achieve the time-frame, budget and quality objectives of our customers' projects. Our methodology incorporates rigorous focus on the people, processes and technology of an organization (program management, customer-specific solution development, implementation and integration and operation), as well as active customer participation at all stages to help prioritize and implement time-critical information system solutions that address the customer's individual needs.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part of our effort to provide comprehensive solutions to our customers, we offer a broad suite of consulting, integration and Managed Services to support operation of our products. The Managed Services offered by Amdocs include services such as system modernization and consolidation, operation of data centers, ongoing support, maintenance, system modification, the provision of rating and billing and communications facility management. We have expanded our consulting capabilities and now offer the Amdocs ICM Blueprint Framework, a comprehensive and growing portfolio of consulting services and business-process support that enables our customers to achieve Integrated Customer Management. It includes optimization and improvement services for customer contact centers and other business processes, and implementation services for business support systems and operation support system applications.</w:t>
      </w:r>
    </w:p>
    <w:p>
      <w:pPr>
        <w:spacing w:after="0" w:line="187" w:lineRule="exact"/>
        <w:rPr>
          <w:sz w:val="20"/>
          <w:szCs w:val="20"/>
          <w:color w:val="auto"/>
        </w:rPr>
      </w:pPr>
    </w:p>
    <w:p>
      <w:pPr>
        <w:ind w:right="2799" w:firstLine="489"/>
        <w:spacing w:after="0" w:line="252" w:lineRule="auto"/>
        <w:rPr>
          <w:sz w:val="20"/>
          <w:szCs w:val="20"/>
          <w:color w:val="auto"/>
        </w:rPr>
      </w:pPr>
      <w:r>
        <w:rPr>
          <w:rFonts w:ascii="Courier New" w:cs="Courier New" w:eastAsia="Courier New" w:hAnsi="Courier New"/>
          <w:sz w:val="16"/>
          <w:szCs w:val="16"/>
          <w:color w:val="auto"/>
        </w:rPr>
        <w:t>Our suite of consulting integration capabilities includes the following main services:</w:t>
      </w:r>
    </w:p>
    <w:p>
      <w:pPr>
        <w:spacing w:after="0" w:line="183" w:lineRule="exact"/>
        <w:rPr>
          <w:sz w:val="20"/>
          <w:szCs w:val="20"/>
          <w:color w:val="auto"/>
        </w:rPr>
      </w:pPr>
    </w:p>
    <w:p>
      <w:pPr>
        <w:ind w:left="680" w:right="2699" w:hanging="191"/>
        <w:spacing w:after="0" w:line="250"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Contact Center Optimization Service -- focuses on improving the efficiency and effectiveness of contact center operations and self-service capabilities.</w:t>
      </w:r>
    </w:p>
    <w:p>
      <w:pPr>
        <w:spacing w:after="0" w:line="185"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ICM Benchmark Service -- assists customers to define their own Integrated Customer Management vision and strategy and to measure their ICM maturity versus industry best practices across people, processes and technology.</w:t>
      </w:r>
    </w:p>
    <w:p>
      <w:pPr>
        <w:spacing w:after="0" w:line="187" w:lineRule="exact"/>
        <w:rPr>
          <w:rFonts w:ascii="Courier New" w:cs="Courier New" w:eastAsia="Courier New" w:hAnsi="Courier New"/>
          <w:sz w:val="16"/>
          <w:szCs w:val="16"/>
          <w:color w:val="auto"/>
        </w:rPr>
      </w:pPr>
    </w:p>
    <w:p>
      <w:pPr>
        <w:ind w:left="680" w:right="2879" w:hanging="191"/>
        <w:spacing w:after="0" w:line="249"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Billing Operations Improvement Service -- improves the effectiveness and efficiency of existing operations in areas such as bill-cycle time, hardware and software performance, error handling, service time-to-market and quality.</w:t>
      </w:r>
    </w:p>
    <w:p>
      <w:pPr>
        <w:spacing w:after="0" w:line="187"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Program Management Services -- assists customers to effectively manage their mission-critical projects through an approach that includes the planning, monitoring and control of all aspects of a project.</w:t>
      </w:r>
    </w:p>
    <w:p>
      <w:pPr>
        <w:spacing w:after="0" w:line="185" w:lineRule="exact"/>
        <w:rPr>
          <w:rFonts w:ascii="Courier New" w:cs="Courier New" w:eastAsia="Courier New" w:hAnsi="Courier New"/>
          <w:sz w:val="16"/>
          <w:szCs w:val="16"/>
          <w:color w:val="auto"/>
        </w:rPr>
      </w:pPr>
    </w:p>
    <w:p>
      <w:pPr>
        <w:jc w:val="both"/>
        <w:ind w:left="680" w:right="2499" w:hanging="191"/>
        <w:spacing w:after="0" w:line="250"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Learning and Workforce Readiness Services -- ensures the transfer of critical knowledge and best practices enabling customers to apply new or existing Amdocs' systems.</w:t>
      </w:r>
    </w:p>
    <w:p>
      <w:pPr>
        <w:spacing w:after="0" w:line="185"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Testing -- acceptance testing services for our products, including test planning, functional testing, data testing, interface testing and non-functional testing.</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0" w:right="1440" w:bottom="1440" w:gutter="0" w:footer="0" w:header="0"/>
        </w:sectPr>
      </w:pPr>
    </w:p>
    <w:bookmarkStart w:id="26" w:name="page27"/>
    <w:bookmarkEnd w:id="26"/>
    <w:p>
      <w:pPr>
        <w:jc w:val="both"/>
        <w:ind w:left="680" w:right="2879" w:hanging="191"/>
        <w:spacing w:after="0" w:line="250"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Business Process Integration Services -- ensures key business processes' alignment through a comprehensive methodology, innovative tools, and synchronization to key frameworks.</w:t>
      </w:r>
    </w:p>
    <w:p>
      <w:pPr>
        <w:spacing w:after="0" w:line="185" w:lineRule="exact"/>
        <w:rPr>
          <w:rFonts w:ascii="Courier New" w:cs="Courier New" w:eastAsia="Courier New" w:hAnsi="Courier New"/>
          <w:sz w:val="16"/>
          <w:szCs w:val="16"/>
          <w:color w:val="auto"/>
        </w:rPr>
      </w:pPr>
    </w:p>
    <w:p>
      <w:pPr>
        <w:ind w:left="680" w:right="2599" w:hanging="191"/>
        <w:spacing w:after="0" w:line="249"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Service Fulfillment Improvement Service -- focuses on optimizing order-to-activation processes for delivering the intentional customer experience in the converged next generation service fulfillment environment.</w:t>
      </w:r>
    </w:p>
    <w:p>
      <w:pPr>
        <w:spacing w:after="0" w:line="187" w:lineRule="exact"/>
        <w:rPr>
          <w:rFonts w:ascii="Courier New" w:cs="Courier New" w:eastAsia="Courier New" w:hAnsi="Courier New"/>
          <w:sz w:val="16"/>
          <w:szCs w:val="16"/>
          <w:color w:val="auto"/>
        </w:rPr>
      </w:pPr>
    </w:p>
    <w:p>
      <w:pPr>
        <w:ind w:left="680" w:right="2599" w:hanging="191"/>
        <w:spacing w:after="0" w:line="250"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Service Assurance Service -- provides customers with the ability to guarantee the availability of services once they have been launched and activated for their customers.</w:t>
      </w:r>
    </w:p>
    <w:p>
      <w:pPr>
        <w:spacing w:after="0" w:line="185"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Network Assurance Service -- focuses on improving the efficiency, effectiveness, and utilization of the customer's network.</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extent of services provided varies from customer to customer. Some communications service providers prefer a highly customized approach, with extensive modifications to our products and a significant level of ongoing support. In recent years, more of our customers have chosen to implement standard, pre-configured products with less customization and ongoing support. We have invested considerable research and development efforts in upgrading our applications suite to address this market requirement and to meet our customers' unique needs.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process of customizing a system involves creating tailored products to address a customer's specific technical and business requirements. System implementation and integration activities are conducted by joint teams from Amdocs and the customer in parallel with the customization effort. Implementation and integration activities include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system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business is conducted on a global basis. We maintain development facilities in Canada, China, Cyprus, India, Ireland, Israel and the United States, operate a support center in Brazil and have operations in North America, Europe, Latin America and the Asia-Pacific region. Support for implementation and integration activities is typically performed at the customer site. Once the system is operational or is in production, we provide ongoing support and maintenance through a combination of remote support from the development centers and local support at the customer site.</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SALES AND MARKETING</w:t>
      </w:r>
    </w:p>
    <w:p>
      <w:pPr>
        <w:spacing w:after="0" w:line="195"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Our sales and marketing activities are primarily directed at major communications, broadband cable and satellite companies. As a result of the strategic importance of our information systems to the operations of such companies, a number of constituencies within a customer's organization are typically involved in purchasing decisions, including senior management, information systems personnel and user groups, such as the finance, customer service and marketing departments.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maintain sales offices in the United States, the United Kingdom and several other countries. Our sales activities are supported by marketing efforts, including marketing communications, product management, market research and strategic alliances. The management of our operating subsidiaries is closely involved in establishing sales policies and overseeing sales activities. Management's role includes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0" w:right="1440" w:bottom="1440" w:gutter="0" w:footer="0" w:header="0"/>
        </w:sectPr>
      </w:pPr>
    </w:p>
    <w:bookmarkStart w:id="27" w:name="page28"/>
    <w:bookmarkEnd w:id="27"/>
    <w:p>
      <w:pPr>
        <w:ind w:right="2399"/>
        <w:spacing w:after="0" w:line="249" w:lineRule="auto"/>
        <w:rPr>
          <w:sz w:val="20"/>
          <w:szCs w:val="20"/>
          <w:color w:val="auto"/>
        </w:rPr>
      </w:pPr>
      <w:r>
        <w:rPr>
          <w:rFonts w:ascii="Courier New" w:cs="Courier New" w:eastAsia="Courier New" w:hAnsi="Courier New"/>
          <w:sz w:val="16"/>
          <w:szCs w:val="16"/>
          <w:color w:val="auto"/>
        </w:rPr>
        <w:t>setting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also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CUSTOMERS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target market is comprised of communications, broadband cable and satellite companies that require information systems with advanced functionality and technology. The companies in our target segment are typically market leaders. By working with such companies, we help ensure that we remain at the forefront of developments in the communications and broadband industries and that our product offerings continue to address the market's most sophisticated needs. We have an international orientation, focusing on potential customers in the developed, industrialized countries in North America and Europe, as well as customers in Latin America and the Asia-Pacific region. We are also expanding on our experience by working with service providers in the financial services sector, since the challenges faced by companies in this sector are similar to those of the communications service providers.</w:t>
      </w:r>
    </w:p>
    <w:p>
      <w:pPr>
        <w:spacing w:after="0" w:line="187"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Our customers include global communications leaders and leading network operators and service providers, as well as directory publishers in the United States and around the world. Our customers include:</w:t>
      </w:r>
    </w:p>
    <w:p>
      <w:pPr>
        <w:sectPr>
          <w:pgSz w:w="11900" w:h="16838" w:orient="portrait"/>
          <w:cols w:equalWidth="0" w:num="1">
            <w:col w:w="10219"/>
          </w:cols>
          <w:pgMar w:left="240" w:top="680"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ABN AMRO</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AT&amp;T (formerly SBC)</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Bell Canada</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BT</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China Mobile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Cingular Wireless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Comcast</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Deutsche Telekom</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Dex Media</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DIRECTV</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Elisa</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Group Cegetel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Sprint Nextel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Svyazinvest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R.H. Donnelley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Rogers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Telefonica de Espana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Telkom South Africa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Telstra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T-Mobile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Verizon Communications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Vodafone</w:t>
      </w:r>
    </w:p>
    <w:p>
      <w:pPr>
        <w:spacing w:after="0" w:line="200" w:lineRule="exact"/>
        <w:rPr>
          <w:sz w:val="20"/>
          <w:szCs w:val="20"/>
          <w:color w:val="auto"/>
        </w:rPr>
      </w:pPr>
    </w:p>
    <w:p>
      <w:pPr>
        <w:sectPr>
          <w:pgSz w:w="11900" w:h="16838" w:orient="portrait"/>
          <w:cols w:equalWidth="0" w:num="2">
            <w:col w:w="4560" w:space="720"/>
            <w:col w:w="4939"/>
          </w:cols>
          <w:pgMar w:left="240" w:top="680" w:right="1440" w:bottom="1440" w:gutter="0" w:footer="0" w:header="0"/>
          <w:type w:val="continuous"/>
        </w:sectPr>
      </w:pP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three largest groups of customers are comprised of AT&amp;T (formerly SBC), Bell Canada and Sprint Nextel and certain of their subsidiaries, each of which accounted for approximately 10% or more of our revenue in fiscal 2005. Aggregate revenue derived from the multiple business arrangements we have with our six largest customer groups accounted for approximately 63% of our revenue in fiscal 2005.</w:t>
      </w:r>
    </w:p>
    <w:p>
      <w:pPr>
        <w:spacing w:after="0" w:line="187"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The following is a summary of revenue by geographic area. Revenue is attributed to geographic region based on the location of the customer: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jc w:val="right"/>
              <w:ind w:right="5"/>
              <w:spacing w:after="0"/>
              <w:rPr>
                <w:sz w:val="20"/>
                <w:szCs w:val="20"/>
                <w:color w:val="auto"/>
              </w:rPr>
            </w:pPr>
            <w:r>
              <w:rPr>
                <w:rFonts w:ascii="Courier New" w:cs="Courier New" w:eastAsia="Courier New" w:hAnsi="Courier New"/>
                <w:sz w:val="16"/>
                <w:szCs w:val="16"/>
                <w:color w:val="auto"/>
              </w:rPr>
              <w:t>2005 2004 2003</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2480" w:type="dxa"/>
            <w:vAlign w:val="bottom"/>
          </w:tcPr>
          <w:p>
            <w:pPr>
              <w:jc w:val="right"/>
              <w:ind w:right="939"/>
              <w:spacing w:after="0"/>
              <w:rPr>
                <w:sz w:val="20"/>
                <w:szCs w:val="20"/>
                <w:color w:val="auto"/>
              </w:rPr>
            </w:pPr>
            <w:r>
              <w:rPr>
                <w:rFonts w:ascii="Courier New" w:cs="Courier New" w:eastAsia="Courier New" w:hAnsi="Courier New"/>
                <w:sz w:val="16"/>
                <w:szCs w:val="16"/>
                <w:color w:val="auto"/>
                <w:w w:val="99"/>
              </w:rPr>
              <w:t>---- ---- North</w:t>
            </w:r>
          </w:p>
        </w:tc>
      </w:tr>
      <w:tr>
        <w:trPr>
          <w:trHeight w:val="188"/>
        </w:trPr>
        <w:tc>
          <w:tcPr>
            <w:tcW w:w="31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America...............................................</w:t>
            </w:r>
          </w:p>
        </w:tc>
        <w:tc>
          <w:tcPr>
            <w:tcW w:w="2480" w:type="dxa"/>
            <w:vAlign w:val="bottom"/>
          </w:tcPr>
          <w:p>
            <w:pPr>
              <w:spacing w:after="0"/>
              <w:rPr>
                <w:sz w:val="16"/>
                <w:szCs w:val="16"/>
                <w:color w:val="auto"/>
              </w:rPr>
            </w:pPr>
          </w:p>
        </w:tc>
      </w:tr>
      <w:tr>
        <w:trPr>
          <w:trHeight w:val="188"/>
        </w:trPr>
        <w:tc>
          <w:tcPr>
            <w:tcW w:w="2680" w:type="dxa"/>
            <w:vAlign w:val="bottom"/>
          </w:tcPr>
          <w:p>
            <w:pPr>
              <w:jc w:val="right"/>
              <w:ind w:right="5"/>
              <w:spacing w:after="0"/>
              <w:rPr>
                <w:sz w:val="20"/>
                <w:szCs w:val="20"/>
                <w:color w:val="auto"/>
              </w:rPr>
            </w:pPr>
            <w:r>
              <w:rPr>
                <w:rFonts w:ascii="Courier New" w:cs="Courier New" w:eastAsia="Courier New" w:hAnsi="Courier New"/>
                <w:sz w:val="16"/>
                <w:szCs w:val="16"/>
                <w:color w:val="auto"/>
              </w:rPr>
              <w:t>68.3%</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65.9%</w:t>
            </w:r>
          </w:p>
        </w:tc>
        <w:tc>
          <w:tcPr>
            <w:tcW w:w="2480" w:type="dxa"/>
            <w:vAlign w:val="bottom"/>
          </w:tcPr>
          <w:p>
            <w:pPr>
              <w:jc w:val="right"/>
              <w:ind w:right="1819"/>
              <w:spacing w:after="0"/>
              <w:rPr>
                <w:sz w:val="20"/>
                <w:szCs w:val="20"/>
                <w:color w:val="auto"/>
              </w:rPr>
            </w:pPr>
            <w:r>
              <w:rPr>
                <w:rFonts w:ascii="Courier New" w:cs="Courier New" w:eastAsia="Courier New" w:hAnsi="Courier New"/>
                <w:sz w:val="16"/>
                <w:szCs w:val="16"/>
                <w:color w:val="auto"/>
              </w:rPr>
              <w:t>62.0%</w:t>
            </w:r>
          </w:p>
        </w:tc>
      </w:tr>
      <w:tr>
        <w:trPr>
          <w:trHeight w:val="188"/>
        </w:trPr>
        <w:tc>
          <w:tcPr>
            <w:tcW w:w="31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Europe......................................................</w:t>
            </w:r>
          </w:p>
        </w:tc>
        <w:tc>
          <w:tcPr>
            <w:tcW w:w="2480" w:type="dxa"/>
            <w:vAlign w:val="bottom"/>
          </w:tcPr>
          <w:p>
            <w:pPr>
              <w:spacing w:after="0"/>
              <w:rPr>
                <w:sz w:val="16"/>
                <w:szCs w:val="16"/>
                <w:color w:val="auto"/>
              </w:rPr>
            </w:pPr>
          </w:p>
        </w:tc>
      </w:tr>
      <w:tr>
        <w:trPr>
          <w:trHeight w:val="188"/>
        </w:trPr>
        <w:tc>
          <w:tcPr>
            <w:tcW w:w="5660" w:type="dxa"/>
            <w:vAlign w:val="bottom"/>
            <w:gridSpan w:val="3"/>
          </w:tcPr>
          <w:p>
            <w:pPr>
              <w:jc w:val="right"/>
              <w:ind w:right="1379"/>
              <w:spacing w:after="0"/>
              <w:rPr>
                <w:sz w:val="20"/>
                <w:szCs w:val="20"/>
                <w:color w:val="auto"/>
              </w:rPr>
            </w:pPr>
            <w:r>
              <w:rPr>
                <w:rFonts w:ascii="Courier New" w:cs="Courier New" w:eastAsia="Courier New" w:hAnsi="Courier New"/>
                <w:sz w:val="16"/>
                <w:szCs w:val="16"/>
                <w:color w:val="auto"/>
              </w:rPr>
              <w:t>24.0 27.1 29.8 Rest of the</w:t>
            </w:r>
          </w:p>
        </w:tc>
      </w:tr>
      <w:tr>
        <w:trPr>
          <w:trHeight w:val="188"/>
        </w:trPr>
        <w:tc>
          <w:tcPr>
            <w:tcW w:w="3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World...........................................</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7.7 7.0</w:t>
            </w:r>
          </w:p>
        </w:tc>
      </w:tr>
      <w:tr>
        <w:trPr>
          <w:trHeight w:val="188"/>
        </w:trPr>
        <w:tc>
          <w:tcPr>
            <w:tcW w:w="2680" w:type="dxa"/>
            <w:vAlign w:val="bottom"/>
          </w:tcPr>
          <w:p>
            <w:pPr>
              <w:spacing w:after="0"/>
              <w:rPr>
                <w:sz w:val="16"/>
                <w:szCs w:val="16"/>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w:t>
            </w:r>
          </w:p>
        </w:tc>
        <w:tc>
          <w:tcPr>
            <w:tcW w:w="2480" w:type="dxa"/>
            <w:vAlign w:val="bottom"/>
          </w:tcPr>
          <w:p>
            <w:pPr>
              <w:spacing w:after="0"/>
              <w:rPr>
                <w:sz w:val="16"/>
                <w:szCs w:val="16"/>
                <w:color w:val="auto"/>
              </w:rPr>
            </w:pPr>
          </w:p>
        </w:tc>
      </w:tr>
    </w:tbl>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COMPETITION</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market for information systems in the communications and broadband media industries, is highly competitive and fragmented. We observe changes in the competitive landscape that derive from the continued industry consolidation trend. We compete with many independent providers of information</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80" w:right="1440" w:bottom="1440" w:gutter="0" w:footer="0" w:header="0"/>
          <w:type w:val="continuous"/>
        </w:sectPr>
      </w:pPr>
    </w:p>
    <w:bookmarkStart w:id="28" w:name="page29"/>
    <w:bookmarkEnd w:id="28"/>
    <w:p>
      <w:pPr>
        <w:ind w:right="2399"/>
        <w:spacing w:after="0" w:line="249" w:lineRule="auto"/>
        <w:rPr>
          <w:sz w:val="20"/>
          <w:szCs w:val="20"/>
          <w:color w:val="auto"/>
        </w:rPr>
      </w:pPr>
      <w:r>
        <w:rPr>
          <w:rFonts w:ascii="Courier New" w:cs="Courier New" w:eastAsia="Courier New" w:hAnsi="Courier New"/>
          <w:sz w:val="16"/>
          <w:szCs w:val="16"/>
          <w:color w:val="auto"/>
        </w:rPr>
        <w:t>systems and services, including CGI Group, Comverse, Convergys, CSG Systems International, Intec Telecom Systems, Portal Software, and Siebel Systems, which Oracle Corporation has agreed to acquire, with system integrators and providers of IT services, such as Accenture, EDS and IBM Global Services, and with internal information systems departments of large communication companies. We also cooperate in certain opportunities and projects with some of the system integrators above mentioned. We expect continued competition in the communications industry and the entrance of new competitors into the software information systems market in the future.</w:t>
      </w:r>
    </w:p>
    <w:p>
      <w:pPr>
        <w:spacing w:after="0" w:line="187"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We believe that we are able to differentiate ourselves from the competition by, among other things:</w:t>
      </w:r>
    </w:p>
    <w:p>
      <w:pPr>
        <w:spacing w:after="0" w:line="183" w:lineRule="exact"/>
        <w:rPr>
          <w:sz w:val="20"/>
          <w:szCs w:val="20"/>
          <w:color w:val="auto"/>
        </w:rPr>
      </w:pPr>
    </w:p>
    <w:p>
      <w:pPr>
        <w:ind w:left="680" w:right="2979" w:hanging="191"/>
        <w:spacing w:after="0" w:line="252" w:lineRule="auto"/>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focusing all efforts, from R&amp;D to product delivery, on enabling our customers to achieve Integrated Customer Management,</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customers a total information system from a single vendor,</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high quality, reliable, scalable and modular products,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effectively managing the timely implementation of products, and</w:t>
      </w:r>
    </w:p>
    <w:p>
      <w:pPr>
        <w:spacing w:after="0" w:line="194" w:lineRule="exact"/>
        <w:rPr>
          <w:rFonts w:ascii="Courier New" w:cs="Courier New" w:eastAsia="Courier New" w:hAnsi="Courier New"/>
          <w:sz w:val="16"/>
          <w:szCs w:val="16"/>
          <w:color w:val="auto"/>
        </w:rPr>
      </w:pPr>
    </w:p>
    <w:p>
      <w:pPr>
        <w:ind w:left="680" w:right="3079" w:hanging="191"/>
        <w:spacing w:after="0" w:line="252" w:lineRule="auto"/>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responding to customer service and support needs through a skilled professional organization.</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can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EMPLOYEES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invest significant resources in training, retention and motivation of high quality personnel. Training programs cover areas such as technology, applications, development methodology, project methodology, programming standards, industry background and management development. Our management development efforts are reinforced by an organizational structure that provides opportunities for talented managers to gain experience in general management roles at the division level.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w:t>
      </w:r>
    </w:p>
    <w:p>
      <w:pPr>
        <w:spacing w:after="0" w:line="187"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See "Directors, Senior Management and Employees -- Employees" for further details regarding our employees and our relationships with them.</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RESEARCH AND DEVELOPMENT, PATENTS AND LICENSES</w:t>
      </w:r>
    </w:p>
    <w:p>
      <w:pPr>
        <w:spacing w:after="0" w:line="19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 In fiscal 2004 and 2005, we have focused significant research and development efforts on the integration between our products and a unified user interface in order to enable our customers to adopt an Integrated Customer Management approach. As part of these efforts, in February 2005 we launched a comprehensive portfolio of products, which we refer to as Amdocs 6. Amdocs 6 is our pre-integrated</w:t>
      </w:r>
    </w:p>
    <w:p>
      <w:pPr>
        <w:spacing w:after="0" w:line="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80" w:right="1440" w:bottom="1440" w:gutter="0" w:footer="0" w:header="0"/>
        </w:sectPr>
      </w:pPr>
    </w:p>
    <w:bookmarkStart w:id="29" w:name="page30"/>
    <w:bookmarkEnd w:id="29"/>
    <w:p>
      <w:pPr>
        <w:ind w:right="2399"/>
        <w:spacing w:after="0" w:line="249" w:lineRule="auto"/>
        <w:rPr>
          <w:sz w:val="20"/>
          <w:szCs w:val="20"/>
          <w:color w:val="auto"/>
        </w:rPr>
      </w:pPr>
      <w:r>
        <w:rPr>
          <w:rFonts w:ascii="Courier New" w:cs="Courier New" w:eastAsia="Courier New" w:hAnsi="Courier New"/>
          <w:sz w:val="16"/>
          <w:szCs w:val="16"/>
          <w:color w:val="auto"/>
        </w:rPr>
        <w:t>portfolio of modular, billing, CRM, self-service, order management, mediation and content revenue management software products. The majority of our research and development expenditures is directed at our ICM Enabling Systems, and the remainder to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 In the near-term, we intend to continue to make substantial investments in our research and development activities. We believe that this ongoing investment will position us to capitalize on future potential opportunities in the communications industry.</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software and software systems are largely comprised of software and systems that we have developed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are taking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374" w:lineRule="exact"/>
        <w:rPr>
          <w:sz w:val="20"/>
          <w:szCs w:val="20"/>
          <w:color w:val="auto"/>
        </w:rPr>
      </w:pPr>
    </w:p>
    <w:p>
      <w:pPr>
        <w:ind w:right="3859" w:firstLine="489"/>
        <w:spacing w:after="0" w:line="252" w:lineRule="auto"/>
        <w:rPr>
          <w:sz w:val="20"/>
          <w:szCs w:val="20"/>
          <w:color w:val="auto"/>
        </w:rPr>
      </w:pPr>
      <w:r>
        <w:rPr>
          <w:rFonts w:ascii="Courier New" w:cs="Courier New" w:eastAsia="Courier New" w:hAnsi="Courier New"/>
          <w:sz w:val="16"/>
          <w:szCs w:val="16"/>
          <w:color w:val="auto"/>
        </w:rPr>
        <w:t>See the discussion under "Operating and Financial Review and Prospects -- Research and Development, Patents and Licenses."</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80" w:right="1440" w:bottom="1440" w:gutter="0" w:footer="0" w:header="0"/>
        </w:sectPr>
      </w:pPr>
    </w:p>
    <w:bookmarkStart w:id="30" w:name="page31"/>
    <w:bookmarkEnd w:id="30"/>
    <w:p>
      <w:pPr>
        <w:ind w:left="200"/>
        <w:spacing w:after="0"/>
        <w:rPr>
          <w:sz w:val="20"/>
          <w:szCs w:val="20"/>
          <w:color w:val="auto"/>
        </w:rPr>
      </w:pPr>
      <w:r>
        <w:rPr>
          <w:rFonts w:ascii="Courier New" w:cs="Courier New" w:eastAsia="Courier New" w:hAnsi="Courier New"/>
          <w:sz w:val="16"/>
          <w:szCs w:val="16"/>
          <w:color w:val="auto"/>
        </w:rPr>
        <w:t>PROPERTY, PLANTS AND EQUIPMENT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Facilities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lease land and buildings for our executive offices, sales, marketing, administrative, development and support centers. We lease an aggregate of approximately 2,886,000 square feet worldwide, including significant leases in the United States, Israel, Canada, China, Cyprus, India and the United Kingdom. Our aggregate annual lease costs with respect to our properties as of November 30, 2005, including maintenance and other related costs, are approximately $61.4 million. The following table summarizes information with respect to the principal facilities leased by us and our subsidiaries as of November 30, 2005: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AREA LOCATION (SQ. FEET) - --------</w:t>
            </w:r>
          </w:p>
        </w:tc>
        <w:tc>
          <w:tcPr>
            <w:tcW w:w="1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United</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States: St. Louis,</w:t>
            </w:r>
          </w:p>
        </w:tc>
        <w:tc>
          <w:tcPr>
            <w:tcW w:w="1960" w:type="dxa"/>
            <w:vAlign w:val="bottom"/>
          </w:tcPr>
          <w:p>
            <w:pPr>
              <w:spacing w:after="0"/>
              <w:rPr>
                <w:sz w:val="16"/>
                <w:szCs w:val="16"/>
                <w:color w:val="auto"/>
              </w:rPr>
            </w:pP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w w:val="85"/>
              </w:rPr>
              <w:t>MO(*)..........................................</w:t>
            </w:r>
          </w:p>
        </w:tc>
        <w:tc>
          <w:tcPr>
            <w:tcW w:w="196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161,000 San</w:t>
            </w: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Jose, CA..............................................</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129,000 Champaign,</w:t>
            </w:r>
          </w:p>
        </w:tc>
        <w:tc>
          <w:tcPr>
            <w:tcW w:w="1960" w:type="dxa"/>
            <w:vAlign w:val="bottom"/>
          </w:tcPr>
          <w:p>
            <w:pPr>
              <w:spacing w:after="0"/>
              <w:rPr>
                <w:sz w:val="16"/>
                <w:szCs w:val="16"/>
                <w:color w:val="auto"/>
              </w:rPr>
            </w:pP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w w:val="85"/>
              </w:rPr>
              <w:t>IL.............................................</w:t>
            </w:r>
          </w:p>
        </w:tc>
        <w:tc>
          <w:tcPr>
            <w:tcW w:w="1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123,000</w:t>
            </w: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Sacramento, CA............................................</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113,000</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Others(*).................................................</w:t>
            </w:r>
          </w:p>
        </w:tc>
      </w:tr>
      <w:tr>
        <w:trPr>
          <w:trHeight w:val="188"/>
        </w:trPr>
        <w:tc>
          <w:tcPr>
            <w:tcW w:w="3860" w:type="dxa"/>
            <w:vAlign w:val="bottom"/>
          </w:tcPr>
          <w:p>
            <w:pPr>
              <w:jc w:val="center"/>
              <w:ind w:left="1919"/>
              <w:spacing w:after="0"/>
              <w:rPr>
                <w:sz w:val="20"/>
                <w:szCs w:val="20"/>
                <w:color w:val="auto"/>
              </w:rPr>
            </w:pPr>
            <w:r>
              <w:rPr>
                <w:rFonts w:ascii="Courier New" w:cs="Courier New" w:eastAsia="Courier New" w:hAnsi="Courier New"/>
                <w:sz w:val="16"/>
                <w:szCs w:val="16"/>
                <w:color w:val="auto"/>
              </w:rPr>
              <w:t>323,000 ---------</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3860" w:type="dxa"/>
            <w:vAlign w:val="bottom"/>
          </w:tcPr>
          <w:p>
            <w:pPr>
              <w:jc w:val="center"/>
              <w:ind w:left="1919"/>
              <w:spacing w:after="0"/>
              <w:rPr>
                <w:sz w:val="20"/>
                <w:szCs w:val="20"/>
                <w:color w:val="auto"/>
              </w:rPr>
            </w:pPr>
            <w:r>
              <w:rPr>
                <w:rFonts w:ascii="Courier New" w:cs="Courier New" w:eastAsia="Courier New" w:hAnsi="Courier New"/>
                <w:sz w:val="16"/>
                <w:szCs w:val="16"/>
                <w:color w:val="auto"/>
              </w:rPr>
              <w:t>849,000 Israel:</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Ra'anana..................................................</w:t>
            </w:r>
          </w:p>
        </w:tc>
      </w:tr>
      <w:tr>
        <w:trPr>
          <w:trHeight w:val="188"/>
        </w:trPr>
        <w:tc>
          <w:tcPr>
            <w:tcW w:w="3860" w:type="dxa"/>
            <w:vAlign w:val="bottom"/>
          </w:tcPr>
          <w:p>
            <w:pPr>
              <w:jc w:val="center"/>
              <w:ind w:left="1919"/>
              <w:spacing w:after="0"/>
              <w:rPr>
                <w:sz w:val="20"/>
                <w:szCs w:val="20"/>
                <w:color w:val="auto"/>
              </w:rPr>
            </w:pPr>
            <w:r>
              <w:rPr>
                <w:rFonts w:ascii="Courier New" w:cs="Courier New" w:eastAsia="Courier New" w:hAnsi="Courier New"/>
                <w:sz w:val="16"/>
                <w:szCs w:val="16"/>
                <w:color w:val="auto"/>
              </w:rPr>
              <w:t>618,000 Hod-</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Hasharon..............................................</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217,000</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Haifa(*)..................................................</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133,000</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Others....................................................</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85,000 ---------</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3860" w:type="dxa"/>
            <w:vAlign w:val="bottom"/>
          </w:tcPr>
          <w:p>
            <w:pPr>
              <w:jc w:val="center"/>
              <w:ind w:left="1919"/>
              <w:spacing w:after="0"/>
              <w:rPr>
                <w:sz w:val="20"/>
                <w:szCs w:val="20"/>
                <w:color w:val="auto"/>
              </w:rPr>
            </w:pPr>
            <w:r>
              <w:rPr>
                <w:rFonts w:ascii="Courier New" w:cs="Courier New" w:eastAsia="Courier New" w:hAnsi="Courier New"/>
                <w:sz w:val="16"/>
                <w:szCs w:val="16"/>
                <w:color w:val="auto"/>
              </w:rPr>
              <w:t>1,053,000 Canada:</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Toronto(*)................................................</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243,000</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Montreal..................................................</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107,000</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Others....................................................</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68,000 ---------</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418,000</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China.......................................................</w:t>
            </w:r>
          </w:p>
        </w:tc>
      </w:tr>
      <w:tr>
        <w:trPr>
          <w:trHeight w:val="188"/>
        </w:trPr>
        <w:tc>
          <w:tcPr>
            <w:tcW w:w="3860" w:type="dxa"/>
            <w:vAlign w:val="bottom"/>
          </w:tcPr>
          <w:p>
            <w:pPr>
              <w:jc w:val="center"/>
              <w:ind w:left="1919"/>
              <w:spacing w:after="0"/>
              <w:rPr>
                <w:sz w:val="20"/>
                <w:szCs w:val="20"/>
                <w:color w:val="auto"/>
              </w:rPr>
            </w:pPr>
            <w:r>
              <w:rPr>
                <w:rFonts w:ascii="Courier New" w:cs="Courier New" w:eastAsia="Courier New" w:hAnsi="Courier New"/>
                <w:sz w:val="16"/>
                <w:szCs w:val="16"/>
                <w:color w:val="auto"/>
              </w:rPr>
              <w:t>75,000 Cyprus</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(Limassol)...........................................</w:t>
            </w:r>
          </w:p>
        </w:tc>
      </w:tr>
      <w:tr>
        <w:trPr>
          <w:trHeight w:val="188"/>
        </w:trPr>
        <w:tc>
          <w:tcPr>
            <w:tcW w:w="3860" w:type="dxa"/>
            <w:vAlign w:val="bottom"/>
          </w:tcPr>
          <w:p>
            <w:pPr>
              <w:jc w:val="center"/>
              <w:ind w:left="1919"/>
              <w:spacing w:after="0"/>
              <w:rPr>
                <w:sz w:val="20"/>
                <w:szCs w:val="20"/>
                <w:color w:val="auto"/>
              </w:rPr>
            </w:pPr>
            <w:r>
              <w:rPr>
                <w:rFonts w:ascii="Courier New" w:cs="Courier New" w:eastAsia="Courier New" w:hAnsi="Courier New"/>
                <w:sz w:val="16"/>
                <w:szCs w:val="16"/>
                <w:color w:val="auto"/>
              </w:rPr>
              <w:t>113,000 India</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(Pune)................................................</w:t>
            </w:r>
          </w:p>
        </w:tc>
      </w:tr>
      <w:tr>
        <w:trPr>
          <w:trHeight w:val="188"/>
        </w:trPr>
        <w:tc>
          <w:tcPr>
            <w:tcW w:w="3860" w:type="dxa"/>
            <w:vAlign w:val="bottom"/>
          </w:tcPr>
          <w:p>
            <w:pPr>
              <w:jc w:val="center"/>
              <w:ind w:left="1919"/>
              <w:spacing w:after="0"/>
              <w:rPr>
                <w:sz w:val="20"/>
                <w:szCs w:val="20"/>
                <w:color w:val="auto"/>
              </w:rPr>
            </w:pPr>
            <w:r>
              <w:rPr>
                <w:rFonts w:ascii="Courier New" w:cs="Courier New" w:eastAsia="Courier New" w:hAnsi="Courier New"/>
                <w:sz w:val="16"/>
                <w:szCs w:val="16"/>
                <w:color w:val="auto"/>
              </w:rPr>
              <w:t>166,000 United</w:t>
            </w:r>
          </w:p>
        </w:tc>
        <w:tc>
          <w:tcPr>
            <w:tcW w:w="1960" w:type="dxa"/>
            <w:vAlign w:val="bottom"/>
          </w:tcPr>
          <w:p>
            <w:pPr>
              <w:spacing w:after="0"/>
              <w:rPr>
                <w:sz w:val="16"/>
                <w:szCs w:val="16"/>
                <w:color w:val="auto"/>
              </w:rPr>
            </w:pPr>
          </w:p>
        </w:tc>
      </w:tr>
      <w:tr>
        <w:trPr>
          <w:trHeight w:val="188"/>
        </w:trPr>
        <w:tc>
          <w:tcPr>
            <w:tcW w:w="58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Kingdom(*)...........................................</w:t>
            </w:r>
          </w:p>
        </w:tc>
      </w:tr>
      <w:tr>
        <w:trPr>
          <w:trHeight w:val="188"/>
        </w:trPr>
        <w:tc>
          <w:tcPr>
            <w:tcW w:w="3860" w:type="dxa"/>
            <w:vAlign w:val="bottom"/>
          </w:tcPr>
          <w:p>
            <w:pPr>
              <w:jc w:val="center"/>
              <w:ind w:left="1939"/>
              <w:spacing w:after="0"/>
              <w:rPr>
                <w:sz w:val="20"/>
                <w:szCs w:val="20"/>
                <w:color w:val="auto"/>
              </w:rPr>
            </w:pPr>
            <w:r>
              <w:rPr>
                <w:rFonts w:ascii="Courier New" w:cs="Courier New" w:eastAsia="Courier New" w:hAnsi="Courier New"/>
                <w:sz w:val="16"/>
                <w:szCs w:val="16"/>
                <w:color w:val="auto"/>
              </w:rPr>
              <w:t>87,000 Rest of the</w:t>
            </w:r>
          </w:p>
        </w:tc>
        <w:tc>
          <w:tcPr>
            <w:tcW w:w="1960" w:type="dxa"/>
            <w:vAlign w:val="bottom"/>
          </w:tcPr>
          <w:p>
            <w:pPr>
              <w:spacing w:after="0"/>
              <w:rPr>
                <w:sz w:val="16"/>
                <w:szCs w:val="16"/>
                <w:color w:val="auto"/>
              </w:rPr>
            </w:pP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w w:val="83"/>
              </w:rPr>
              <w:t>world(**).......................................</w:t>
            </w:r>
          </w:p>
        </w:tc>
        <w:tc>
          <w:tcPr>
            <w:tcW w:w="19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125,000</w:t>
            </w:r>
          </w:p>
        </w:tc>
      </w:tr>
    </w:tbl>
    <w:p>
      <w:pPr>
        <w:spacing w:after="0" w:line="380" w:lineRule="exact"/>
        <w:rPr>
          <w:sz w:val="20"/>
          <w:szCs w:val="20"/>
          <w:color w:val="auto"/>
        </w:rPr>
      </w:pPr>
    </w:p>
    <w:p>
      <w:pPr>
        <w:ind w:left="200" w:hanging="200"/>
        <w:spacing w:after="0"/>
        <w:tabs>
          <w:tab w:leader="none" w:pos="2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480" w:hanging="382"/>
        <w:spacing w:after="0"/>
        <w:tabs>
          <w:tab w:leader="none" w:pos="4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space sublet to third parties.</w:t>
      </w:r>
    </w:p>
    <w:p>
      <w:pPr>
        <w:spacing w:after="0" w:line="195" w:lineRule="exact"/>
        <w:rPr>
          <w:sz w:val="20"/>
          <w:szCs w:val="20"/>
          <w:color w:val="auto"/>
        </w:rPr>
      </w:pPr>
    </w:p>
    <w:p>
      <w:pPr>
        <w:ind w:left="480" w:right="2599" w:hanging="480"/>
        <w:spacing w:after="0" w:line="250" w:lineRule="auto"/>
        <w:tabs>
          <w:tab w:leader="none" w:pos="4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Australia, Brazil, Czech Republic, France, Germany, Greece, Hong Kong, Hungary, Indonesia, Ireland, Italy, Japan, Mexico, Poland, Russia, South Africa, Spain, Sweden, Switzerland, Thailand and The Netherlands.</w:t>
      </w:r>
    </w:p>
    <w:p>
      <w:pPr>
        <w:spacing w:after="0" w:line="185" w:lineRule="exact"/>
        <w:rPr>
          <w:sz w:val="20"/>
          <w:szCs w:val="20"/>
          <w:color w:val="auto"/>
        </w:rPr>
      </w:pPr>
    </w:p>
    <w:p>
      <w:pPr>
        <w:ind w:right="2799" w:firstLine="489"/>
        <w:spacing w:after="0" w:line="252" w:lineRule="auto"/>
        <w:rPr>
          <w:sz w:val="20"/>
          <w:szCs w:val="20"/>
          <w:color w:val="auto"/>
        </w:rPr>
      </w:pPr>
      <w:r>
        <w:rPr>
          <w:rFonts w:ascii="Courier New" w:cs="Courier New" w:eastAsia="Courier New" w:hAnsi="Courier New"/>
          <w:sz w:val="16"/>
          <w:szCs w:val="16"/>
          <w:color w:val="auto"/>
        </w:rPr>
        <w:t>Our leases expire on various dates between 2005 and 2015, not including various options to extend lease terms.</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Equipment</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develop our Integrated Customer Management products over a system of UNIX, MVS and Windows 2000/2003 servers owned or leased by us. We use a variety of software products in our development centers, including products by Microsoft, Oracle, Synscsort, CA, Merant, IBM, HP, SUN</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80" w:right="1440" w:bottom="1440" w:gutter="0" w:footer="0" w:header="0"/>
        </w:sectPr>
      </w:pPr>
    </w:p>
    <w:bookmarkStart w:id="31" w:name="page32"/>
    <w:bookmarkEnd w:id="31"/>
    <w:p>
      <w:pPr>
        <w:ind w:right="2599"/>
        <w:spacing w:after="0" w:line="250" w:lineRule="auto"/>
        <w:rPr>
          <w:sz w:val="20"/>
          <w:szCs w:val="20"/>
          <w:color w:val="auto"/>
        </w:rPr>
      </w:pPr>
      <w:r>
        <w:rPr>
          <w:rFonts w:ascii="Courier New" w:cs="Courier New" w:eastAsia="Courier New" w:hAnsi="Courier New"/>
          <w:sz w:val="16"/>
          <w:szCs w:val="16"/>
          <w:color w:val="auto"/>
        </w:rPr>
        <w:t>and BEA. Our data storage is based on equipment from EMC, SUN, NetApp and Hewlett-Packard. Our development servers are connected to approximately 18,000 personal computers owned or leased by us.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Automatic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or WAN, using telecommunication equipment manufactured by, among others, Cisco and Nortel.</w:t>
      </w:r>
    </w:p>
    <w:p>
      <w:pPr>
        <w:spacing w:after="0" w:line="187"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The distributed development sites that we operate worldwide are also connected by a high speed WAN.</w:t>
      </w:r>
    </w:p>
    <w:p>
      <w:pPr>
        <w:spacing w:after="0" w:line="18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OPERATING AND FINANCIAL REVIEW AND PROSPECTS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95"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In this section, we discuss the general financial condition and the results of operations for Amdocs Limited and its subsidiaries, including:</w:t>
      </w:r>
    </w:p>
    <w:p>
      <w:pPr>
        <w:spacing w:after="0" w:line="183" w:lineRule="exact"/>
        <w:rPr>
          <w:sz w:val="20"/>
          <w:szCs w:val="20"/>
          <w:color w:val="auto"/>
        </w:rPr>
      </w:pPr>
    </w:p>
    <w:p>
      <w:pPr>
        <w:ind w:left="680" w:hanging="191"/>
        <w:spacing w:after="0"/>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factors that affect our business,</w:t>
      </w:r>
    </w:p>
    <w:p>
      <w:pPr>
        <w:spacing w:after="0" w:line="194"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revenue and costs for the fiscal years ended September 30, 2005, 2004 and 2003,</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reasons why such revenue and costs were different from year to year,</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revenue,</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all of this affects our overall financial condition,</w:t>
      </w:r>
    </w:p>
    <w:p>
      <w:pPr>
        <w:spacing w:after="0" w:line="194"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capital expenditures for the fiscal years ended September 30, 2005, 2004 and 2003, and</w:t>
      </w:r>
    </w:p>
    <w:p>
      <w:pPr>
        <w:spacing w:after="0" w:line="183" w:lineRule="exact"/>
        <w:rPr>
          <w:rFonts w:ascii="Courier New" w:cs="Courier New" w:eastAsia="Courier New" w:hAnsi="Courier New"/>
          <w:sz w:val="16"/>
          <w:szCs w:val="16"/>
          <w:color w:val="auto"/>
        </w:rPr>
      </w:pPr>
    </w:p>
    <w:p>
      <w:pPr>
        <w:ind w:left="680" w:right="3079" w:hanging="191"/>
        <w:spacing w:after="0" w:line="252"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cash to pay for future capital expenditures and possible acquisitions.</w:t>
      </w:r>
    </w:p>
    <w:p>
      <w:pPr>
        <w:spacing w:after="0" w:line="183"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In this section, we also analyze and explain the annual changes in the specific line items in our consolidated statements of income. You should read this section in conjunction with our consolidated financial statements and the notes thereto, which follow.</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 OF BUSINESS AND TREND INFORMATION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combine software and services with business knowledge to accelerate the adoption of integrated customer management by service providers. Our market focus is primarily the Tier 1 and Tier 2 communications industry, and we are a leading provider of software products and services to that industry. Our addressable market has been expanded to include broadband media cable and satellite companies, which we refer to as the Broadband Industry, as a result of our recent acquisition of DST Innovis. The acquisition not only enlarges our customer base, but also allows us to offer a broader set of solutions to customers in the Broadband Industry. We are also leveraging our experience by working with service providers in the financial services sector, since certain of the challenges faced by companies in this sector are similar to those of communications service providers. Our products and services help our customers move toward an integrated approach to customer management, which we refer to as Integrated Customer Management, or ICM. Our portfolio of product offerings includes billing, customer relationship management, or CRM, order management, service fulfillment, mediation, and content revenue management products, which we collectively refer to as Integrated Customer Management Enabling Systems, or ICM Enabling Systems. In the past, we referred to ICM Enabling Systems as CC&amp;B Systems. In fiscal 2005, our total revenue was $2,038.6 million. Revenue attributable to the sale of ICM Enabling Systems was $1,776.5 million, or 87.1%, of our total revenue.</w:t>
      </w:r>
    </w:p>
    <w:p>
      <w:pPr>
        <w:spacing w:after="0" w:line="374"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80" w:right="1440" w:bottom="1440" w:gutter="0" w:footer="0" w:header="0"/>
        </w:sectPr>
      </w:pPr>
    </w:p>
    <w:bookmarkStart w:id="32" w:name="page33"/>
    <w:bookmarkEnd w:id="32"/>
    <w:p>
      <w:pPr>
        <w:ind w:right="2399" w:firstLine="489"/>
        <w:spacing w:after="0" w:line="249" w:lineRule="auto"/>
        <w:rPr>
          <w:sz w:val="20"/>
          <w:szCs w:val="20"/>
          <w:color w:val="auto"/>
        </w:rPr>
      </w:pPr>
      <w:r>
        <w:rPr>
          <w:rFonts w:ascii="Courier New" w:cs="Courier New" w:eastAsia="Courier New" w:hAnsi="Courier New"/>
          <w:sz w:val="16"/>
          <w:szCs w:val="16"/>
          <w:color w:val="auto"/>
        </w:rPr>
        <w:t>We have designed ICM Enabling Systems to meet the mission-critical needs of leading communications service providers throughout the entire customer lifecycle. We support different lines of business, including wireline, wireless, cable and satellite, and a wide range of communications services, including voice, video, data, Internet Protocol ("IP") broadband, content, electronic and mobile commerce and IP-based services. We also support companies that offer multiple service packages that are commonly referred to as bundled or convergent service packages. Due to the complexity of our customers' projects and the expertise required for systems support, we also provide information technology, or IT, services, including extensive consulting, business strategy, system implementation, training, integration, modification, ongoing support, enhancement and maintenance services. In addition, we offer Managed Services, which include services such as system modernization and consolidation, the operation of data centers, ongoing support, maintenance services, system modification, the provision of rating and billing services and communications facility management services, in all cases on either or a combination of a fixed or unit charge basis to our customers.</w:t>
      </w:r>
    </w:p>
    <w:p>
      <w:pPr>
        <w:spacing w:after="0" w:line="186"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We believe we are a leading global provider of ICM Enabling Systems. We provide a broad set of products, with proven functionality and scalability, accompanied by a comprehensive range of business consulting, system implementation and integration services.</w:t>
      </w:r>
    </w:p>
    <w:p>
      <w:pPr>
        <w:spacing w:after="0" w:line="188" w:lineRule="exact"/>
        <w:rPr>
          <w:sz w:val="20"/>
          <w:szCs w:val="20"/>
          <w:color w:val="auto"/>
        </w:rPr>
      </w:pPr>
    </w:p>
    <w:p>
      <w:pPr>
        <w:ind w:right="2799" w:firstLine="489"/>
        <w:spacing w:after="0" w:line="252" w:lineRule="auto"/>
        <w:rPr>
          <w:sz w:val="20"/>
          <w:szCs w:val="20"/>
          <w:color w:val="auto"/>
        </w:rPr>
      </w:pPr>
      <w:r>
        <w:rPr>
          <w:rFonts w:ascii="Courier New" w:cs="Courier New" w:eastAsia="Courier New" w:hAnsi="Courier New"/>
          <w:sz w:val="16"/>
          <w:szCs w:val="16"/>
          <w:color w:val="auto"/>
        </w:rPr>
        <w:t>We believe that demand for our ICM Enabling Systems is driven by, among other key factors:</w:t>
      </w:r>
    </w:p>
    <w:p>
      <w:pPr>
        <w:spacing w:after="0" w:line="183" w:lineRule="exact"/>
        <w:rPr>
          <w:sz w:val="20"/>
          <w:szCs w:val="20"/>
          <w:color w:val="auto"/>
        </w:rPr>
      </w:pPr>
    </w:p>
    <w:p>
      <w:pPr>
        <w:ind w:left="680" w:hanging="191"/>
        <w:spacing w:after="0"/>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use of communications services,</w:t>
      </w:r>
    </w:p>
    <w:p>
      <w:pPr>
        <w:spacing w:after="0" w:line="194"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emergence of new communications products and services, especially video, broadband, data and content services and IP convergence services, such as Internet Protocol Television, or IPTV, Voice over IP, or VoIP and services based on IP Multimedia Subsystem systems,</w:t>
      </w:r>
    </w:p>
    <w:p>
      <w:pPr>
        <w:spacing w:after="0" w:line="187" w:lineRule="exact"/>
        <w:rPr>
          <w:rFonts w:ascii="Courier New" w:cs="Courier New" w:eastAsia="Courier New" w:hAnsi="Courier New"/>
          <w:sz w:val="16"/>
          <w:szCs w:val="16"/>
          <w:color w:val="auto"/>
        </w:rPr>
      </w:pPr>
    </w:p>
    <w:p>
      <w:pPr>
        <w:ind w:left="680" w:right="2799" w:hanging="191"/>
        <w:spacing w:after="0" w:line="250" w:lineRule="auto"/>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changes, such as the introduction of 3G wireless technology, next-generation content systems, and WiFi and WiMax based access technologies,</w:t>
      </w:r>
    </w:p>
    <w:p>
      <w:pPr>
        <w:spacing w:after="0" w:line="185"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ongoing consolidation within the communications industry,</w:t>
      </w:r>
    </w:p>
    <w:p>
      <w:pPr>
        <w:spacing w:after="0" w:line="194" w:lineRule="exact"/>
        <w:rPr>
          <w:rFonts w:ascii="Courier New" w:cs="Courier New" w:eastAsia="Courier New" w:hAnsi="Courier New"/>
          <w:sz w:val="16"/>
          <w:szCs w:val="16"/>
          <w:color w:val="auto"/>
        </w:rPr>
      </w:pPr>
    </w:p>
    <w:p>
      <w:pPr>
        <w:ind w:left="680" w:right="2799" w:hanging="191"/>
        <w:spacing w:after="0" w:line="252" w:lineRule="auto"/>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convergence of communications services, broadband cable and satellite industries,</w:t>
      </w:r>
    </w:p>
    <w:p>
      <w:pPr>
        <w:spacing w:after="0" w:line="183" w:lineRule="exact"/>
        <w:rPr>
          <w:rFonts w:ascii="Courier New" w:cs="Courier New" w:eastAsia="Courier New" w:hAnsi="Courier New"/>
          <w:sz w:val="16"/>
          <w:szCs w:val="16"/>
          <w:color w:val="auto"/>
        </w:rPr>
      </w:pPr>
    </w:p>
    <w:p>
      <w:pPr>
        <w:ind w:left="680" w:right="2699" w:hanging="191"/>
        <w:spacing w:after="0" w:line="252" w:lineRule="auto"/>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needs of communications service providers to reduce costs and retain high value customers in a highly competitive environment, and</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shift from in-house management to vendor solutions.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also believe that additional drivers of demand are the continuing trend for communications service providers to offer their customers multiple service packages, commonly referred to as bundled or convergent services (combinations of voice, broadband, electronic and mobile commerce and IP services), and the ability of our ICM Enabling Systems to improve customer satisfaction, loyalty, profitability and overall productivity.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Revenue from Managed Services arrangements is included in both license and service revenue from the sale of ICM Enabling Systems and Directory Systems. Managed Services projects are a significant part of our business, accounting for approximately 40% of our fiscal 2005 and 2004 revenues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life of the relationships.</w:t>
      </w:r>
    </w:p>
    <w:p>
      <w:pPr>
        <w:spacing w:after="0" w:line="187" w:lineRule="exact"/>
        <w:rPr>
          <w:sz w:val="20"/>
          <w:szCs w:val="20"/>
          <w:color w:val="auto"/>
        </w:rPr>
      </w:pPr>
    </w:p>
    <w:p>
      <w:pPr>
        <w:ind w:right="2599" w:firstLine="489"/>
        <w:spacing w:after="0" w:line="248" w:lineRule="auto"/>
        <w:rPr>
          <w:sz w:val="20"/>
          <w:szCs w:val="20"/>
          <w:color w:val="auto"/>
        </w:rPr>
      </w:pPr>
      <w:r>
        <w:rPr>
          <w:rFonts w:ascii="Courier New" w:cs="Courier New" w:eastAsia="Courier New" w:hAnsi="Courier New"/>
          <w:sz w:val="16"/>
          <w:szCs w:val="16"/>
          <w:color w:val="auto"/>
        </w:rPr>
        <w:t>We conduct our business globally, and, as a result, we are subject to the effects of general global economic conditions and, in particular, market conditions in the communications industry. In fiscal 2005, customers in North America accounted for 68.3% of our revenue, while customers in Europe and the rest of the world accounted for 24.0% and 7.7%, respectively. Recently we expanded our operations in China as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80" w:right="1440" w:bottom="1440" w:gutter="0" w:footer="0" w:header="0"/>
        </w:sectPr>
      </w:pPr>
    </w:p>
    <w:bookmarkStart w:id="33" w:name="page34"/>
    <w:bookmarkEnd w:id="33"/>
    <w:p>
      <w:pPr>
        <w:ind w:right="2599"/>
        <w:spacing w:after="0" w:line="249" w:lineRule="auto"/>
        <w:rPr>
          <w:sz w:val="20"/>
          <w:szCs w:val="20"/>
          <w:color w:val="auto"/>
        </w:rPr>
      </w:pPr>
      <w:r>
        <w:rPr>
          <w:rFonts w:ascii="Courier New" w:cs="Courier New" w:eastAsia="Courier New" w:hAnsi="Courier New"/>
          <w:sz w:val="16"/>
          <w:szCs w:val="16"/>
          <w:color w:val="auto"/>
        </w:rPr>
        <w:t>a result of the acquisition of Longshine Information Technology Company, Ltd., or Longshine, a leading vendor of customer care and billing software in China. We maintain development facilities in Canada, Cyprus, India, Ireland, China, Israel and the United States.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telecommunications industry is being transformed by continued consolidation and the convergence of the telecommunications, broadband cable and satellite industries. We believe consolidation and convergence are accelerating carriers' needs to operate systems at significantly lower costs, and we believe we have positioned ourselves to take advantage of these trends. At the same time, the acquisition of DST Innovis has expanded our addressable markets and propelled us, we believe, into a leadership position in the Broadband Industry. As a result, and despite the uncertainties that still exist in the market, including those associated with the consolidation in the industry, we expect continued growth in fiscal 2006.</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As part of our strategy, we may continue to pursue acquisitions and other initiatives in order to offer new products or services or otherwise enhance our market position or strategic strengths.</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On July 1, 2005, we acquired from DST Systems, Inc., which we refer to as DST, all of the common stock of DST's wholly owned subsidiaries, DST Innovis Inc. and DST Interactive, Inc. We refer to these acquired subsidiaries together as DST Innovis, a leading provider of customer care and billing solutions to broadband media cable and satellite companies. The purchase price for DST Innovis was approximately $237.5 million. We believe that this acquisition has positioned us to offer a comprehensive set of solutions to companies in the Broadband Industry as they transition to ICM. DST Innovis contributed approximately $51.4 million to our revenue in fiscal 2005. We are continuing to integrate the DST Innovis products into our ICM Enabling Systems and to expand our ICM Enabling Systems offerings to the Broadband Industry.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connection with the DST Innovis acquisition, we signed a long-term agreement with DST, pursuant to which DST will continue to support the printing and mailing of bills for the DST Innovis customer base. Under the terms of that agreement, DST will be a preferred vendor of billing, printing, and mailing for projects that combine those services with billing support, and DST is expected to be selected as the provider of these services for additional Amdocs customers in North America.</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On August 3, 2005, we acquired Longshine, a privately-held leading vendor of customer care and billing software in China, which counts three of China's four largest communications service providers among its customers. This acquisition enables us to offer our products and services to Chinese service providers, and we believe it will allow us to expand our presence in this large and fast growing market. The purchase price for Longshine was approximately $34.1 million. We may also be obligated to pay up to approximately $16.0 million, in additional purchase price, over the next two years based on the achievement of specified performance targets.</w:t>
      </w:r>
    </w:p>
    <w:p>
      <w:pPr>
        <w:spacing w:after="0" w:line="187"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Please see Note 3 to the consolidated financial statements included in this Annual Report.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 PATENTS AND LICENSES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$144.5 million, $126.4 million and $119.3 million in the fiscal years ended September 30, 2005, 2004 and 2003, respectively, representing 7.1%, 7.1% and 8.0%, respectively, of our revenue in these fiscal years.</w:t>
      </w:r>
    </w:p>
    <w:p>
      <w:pPr>
        <w:spacing w:after="0" w:line="187" w:lineRule="exact"/>
        <w:rPr>
          <w:sz w:val="20"/>
          <w:szCs w:val="20"/>
          <w:color w:val="auto"/>
        </w:rPr>
      </w:pPr>
    </w:p>
    <w:p>
      <w:pPr>
        <w:ind w:right="2599" w:firstLine="489"/>
        <w:spacing w:after="0" w:line="248" w:lineRule="auto"/>
        <w:rPr>
          <w:sz w:val="20"/>
          <w:szCs w:val="20"/>
          <w:color w:val="auto"/>
        </w:rPr>
      </w:pPr>
      <w:r>
        <w:rPr>
          <w:rFonts w:ascii="Courier New" w:cs="Courier New" w:eastAsia="Courier New" w:hAnsi="Courier New"/>
          <w:sz w:val="16"/>
          <w:szCs w:val="16"/>
          <w:color w:val="auto"/>
        </w:rPr>
        <w:t>While we continue to upgrade our existing systems, we also devoted significant research and development efforts in fiscal 2005 to the integration between our products and a unified user interface in</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80" w:right="1440" w:bottom="1440" w:gutter="0" w:footer="0" w:header="0"/>
        </w:sectPr>
      </w:pPr>
    </w:p>
    <w:bookmarkStart w:id="34" w:name="page35"/>
    <w:bookmarkEnd w:id="34"/>
    <w:p>
      <w:pPr>
        <w:ind w:right="2799"/>
        <w:spacing w:after="0" w:line="249" w:lineRule="auto"/>
        <w:rPr>
          <w:sz w:val="20"/>
          <w:szCs w:val="20"/>
          <w:color w:val="auto"/>
        </w:rPr>
      </w:pPr>
      <w:r>
        <w:rPr>
          <w:rFonts w:ascii="Courier New" w:cs="Courier New" w:eastAsia="Courier New" w:hAnsi="Courier New"/>
          <w:sz w:val="16"/>
          <w:szCs w:val="16"/>
          <w:color w:val="auto"/>
        </w:rPr>
        <w:t>order to enable our customers to adopt an ICM approach. As part of these efforts, in February 2005 we launched a comprehensive portfolio of products, which we refer to as Amdocs 6. Amdocs 6 is our pre-integrated portfolio of modular, billing, CRM, self-service, order management, mediation and content revenue management software products.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majority of our research and development expenditures is directed at our ICM Enabling Systems, and the remainder to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 In the near-term, we intend to continue to make substantial investments in our research and development activities. We believe that this ongoing investment will position us to capitalize on future potential opportunities in the communications industry.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software and software systems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are taking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OPERATIONAL EFFICIENCY AND COST REDUCTION PROGRAMS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the fourth quarter of fiscal 2005, we commenced a series of measures designed to align our operational structure to our expected future growth, to allow better integration of our recent acquisitions of DST Innovis and Longshine and to improve efficiency. As part of this plan we recorded a charge of $8.1 million in connection with the termination of employment of software and information technology specialists and administrative professionals at various locations around the world.</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connection with the DST Innovis acquisition, we commenced integration activities that included a plan to exit specific research and development activities and to terminate employees associated with these activities. The liability associated with this plan, which was recorded as part of the purchase accounting, consisted of $6.3 million associated with employee separation costs and $7.8 million associated with assumed contractual and other obligations.</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During the first quarter of fiscal 2005, we decreased the accrual related to our unused facilities, recorded in connection with our cost reduction program in 2002, by approximately $1.8 million due to changes in previous estimates.</w:t>
      </w:r>
    </w:p>
    <w:p>
      <w:pPr>
        <w:spacing w:after="0" w:line="185" w:lineRule="exact"/>
        <w:rPr>
          <w:sz w:val="20"/>
          <w:szCs w:val="20"/>
          <w:color w:val="auto"/>
        </w:rPr>
      </w:pPr>
    </w:p>
    <w:p>
      <w:pPr>
        <w:jc w:val="both"/>
        <w:ind w:right="2499" w:firstLine="489"/>
        <w:spacing w:after="0" w:line="250" w:lineRule="auto"/>
        <w:rPr>
          <w:sz w:val="20"/>
          <w:szCs w:val="20"/>
          <w:color w:val="auto"/>
        </w:rPr>
      </w:pPr>
      <w:r>
        <w:rPr>
          <w:rFonts w:ascii="Courier New" w:cs="Courier New" w:eastAsia="Courier New" w:hAnsi="Courier New"/>
          <w:sz w:val="16"/>
          <w:szCs w:val="16"/>
          <w:color w:val="auto"/>
        </w:rPr>
        <w:t>During the fourth quarter of fiscal 2004, we increased the accrual related to our unused facilities in Stamford, Connecticut by approximately $4.0 million to reflect the current subleasing market in Stamford.</w:t>
      </w:r>
    </w:p>
    <w:p>
      <w:pPr>
        <w:spacing w:after="0" w:line="18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For more information on our operational efficiency and cost reduction programs, see Notes 3 and 21 to the consolidated financial statements included in this Annual Report.</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80"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OPERATING RESULTS</w:t>
      </w:r>
    </w:p>
    <w:p>
      <w:pPr>
        <w:spacing w:after="0" w:line="19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The following table sets forth for the fiscal years ended September 30, 2005, 2004 and 2003 certain items in our consolidated statements of operations reflected as a percentage of total revenue:</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YEAR ENDED SEPTEMBER 30, ------------------------ 2005</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2004 2003 ------ ------ ------ Revenue: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License...................................................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4.9% 4.3% 4.4%</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Service...................................................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95.1 95.7 95.6 ----- ----- ----- 100.0 100.0 100.0 -----</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 ----- Operating expenses: Cost of</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license........................................... 0.2</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0.3 0.4 Cost of</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service........................................... 63.4</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63.0 61.2 Research and</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development.................................. 7.1 7.1 8.0</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Selling, general and</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administrative....................... 11.3 11.9 13.9</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Amortization of purchased intangible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assets............... 0.8 1.0 1.4 Restructuring charges,</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in-process research and development, and</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other................................. 0.6 -- 0.9 ----- -</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 ----- 83.4 83.3 85.8 ----- ----- ----- Operating</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income.......................................... 16.6</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16.7 14.2 Interest income and other,</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net............................ 1.1 0.3 1.0 ----- ----- -</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 Income before income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taxes................................ 17.7 17.0 15.2</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taxes.............................................. 3.5</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3.7 3.8 ----- ----- ----- Net</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14.2% 13.3% 11.4% ===== ===== =====</w:t>
      </w:r>
    </w:p>
    <w:p>
      <w:pPr>
        <w:spacing w:after="0" w:line="3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FISCAL YEARS ENDED SEPTEMBER 30, 2005 AND 2004</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The following is a tabular presentation of our results of operations for the fiscal year ended September 30, 2005, compared to the fiscal year ended September 30, 2004. Following the table is a discussion and analysis of our business and results of operations for such years.</w:t>
      </w:r>
    </w:p>
    <w:p>
      <w:pPr>
        <w:spacing w:after="0" w:line="188"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YEAR ENDED SEPTEMBER 30, INCREASE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(DECREASE)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----------------- 2005 2004 AMOUNT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 -------</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(IN THOUSANDS)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License..................................</w:t>
      </w:r>
    </w:p>
    <w:p>
      <w:pPr>
        <w:spacing w:after="0" w:line="7" w:lineRule="exact"/>
        <w:rPr>
          <w:sz w:val="20"/>
          <w:szCs w:val="20"/>
          <w:color w:val="auto"/>
        </w:rPr>
      </w:pPr>
    </w:p>
    <w:p>
      <w:pPr>
        <w:ind w:right="6219" w:firstLine="435"/>
        <w:spacing w:after="0" w:line="248" w:lineRule="auto"/>
        <w:tabs>
          <w:tab w:leader="none" w:pos="63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100,044 $ 76,586 $ 23,458 30.6 Service..................................</w:t>
      </w:r>
    </w:p>
    <w:p>
      <w:pPr>
        <w:spacing w:after="0" w:line="1"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1,938,577 1,697,146 241,431 14.2 -------</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21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-------- 2,038,621</w:t>
            </w:r>
          </w:p>
        </w:tc>
      </w:tr>
      <w:tr>
        <w:trPr>
          <w:trHeight w:val="188"/>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1,773,732 264,889</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14.9 ---------- ------</w:t>
            </w:r>
          </w:p>
        </w:tc>
      </w:tr>
    </w:tbl>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Operating expenses: Cost</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of license..........................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4,083 5,022 (939) (18.7) Cost of</w:t>
      </w:r>
    </w:p>
    <w:p>
      <w:pPr>
        <w:spacing w:after="0" w:line="7"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service..........................</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8"/>
        </w:trPr>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1,291,572</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1,117,810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173,762</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15.5</w:t>
            </w:r>
          </w:p>
        </w:tc>
      </w:tr>
      <w:tr>
        <w:trPr>
          <w:trHeight w:val="188"/>
        </w:trPr>
        <w:tc>
          <w:tcPr>
            <w:tcW w:w="11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Research and</w:t>
            </w:r>
          </w:p>
        </w:tc>
        <w:tc>
          <w:tcPr>
            <w:tcW w:w="680" w:type="dxa"/>
            <w:vAlign w:val="bottom"/>
          </w:tcPr>
          <w:p>
            <w:pPr>
              <w:spacing w:after="0"/>
              <w:rPr>
                <w:sz w:val="16"/>
                <w:szCs w:val="16"/>
                <w:color w:val="auto"/>
              </w:rPr>
            </w:pPr>
          </w:p>
        </w:tc>
      </w:tr>
      <w:tr>
        <w:trPr>
          <w:trHeight w:val="188"/>
        </w:trPr>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development.................</w:t>
            </w:r>
          </w:p>
        </w:tc>
        <w:tc>
          <w:tcPr>
            <w:tcW w:w="7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144,457</w:t>
            </w:r>
          </w:p>
        </w:tc>
      </w:tr>
    </w:tbl>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126,407 18,050 14.3 Selling, general and</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administrative...... 232,066 210,384</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21,682 10.3 Amortization of purchased</w:t>
      </w:r>
    </w:p>
    <w:p>
      <w:pPr>
        <w:spacing w:after="0" w:line="7"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intangible</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assets................................</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15,356 17,909 (2,553) (14.3)</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Restructuring charges, in-process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research and development and other....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12,595 -- 12,595 -- ----------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-------- 1,700,129 1,477,532 222,597</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15.1 ---------- ---------- --------</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Operating</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338,492 296,200 42,292 14.3 Interest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income and other, net.............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22,303 4,903 17,400 354.9 ---------- ---</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 Income before income</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taxes................. 360,795 301,103</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59,692 19.8 Income</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taxes...............................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72,159 66,243 5,916 8.9 ---------- -----</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 -------- Net</w:t>
      </w:r>
    </w:p>
    <w:p>
      <w:pPr>
        <w:sectPr>
          <w:pgSz w:w="11900" w:h="16838" w:orient="portrait"/>
          <w:cols w:equalWidth="0" w:num="1">
            <w:col w:w="10219"/>
          </w:cols>
          <w:pgMar w:left="240" w:top="680" w:right="1440" w:bottom="0" w:gutter="0" w:footer="0" w:header="0"/>
        </w:sectPr>
      </w:pPr>
    </w:p>
    <w:bookmarkStart w:id="36" w:name="page37"/>
    <w:bookmarkEnd w:id="36"/>
    <w:p>
      <w:pPr>
        <w:ind w:left="200" w:hanging="194"/>
        <w:spacing w:after="0"/>
        <w:tabs>
          <w:tab w:leader="none" w:pos="2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288,636 $ 234,860 $ 53,776 22.9</w:t>
      </w:r>
    </w:p>
    <w:p>
      <w:pPr>
        <w:spacing w:after="0" w:line="6"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83"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839"/>
          </w:cols>
          <w:pgMar w:left="620" w:top="142" w:right="1440" w:bottom="1440" w:gutter="0" w:footer="0" w:header="0"/>
        </w:sectPr>
      </w:pPr>
    </w:p>
    <w:bookmarkStart w:id="37" w:name="page38"/>
    <w:bookmarkEnd w:id="37"/>
    <w:p>
      <w:pPr>
        <w:ind w:right="2499" w:firstLine="489"/>
        <w:spacing w:after="0" w:line="249" w:lineRule="auto"/>
        <w:rPr>
          <w:sz w:val="20"/>
          <w:szCs w:val="20"/>
          <w:color w:val="auto"/>
        </w:rPr>
      </w:pPr>
      <w:r>
        <w:rPr>
          <w:rFonts w:ascii="Courier New" w:cs="Courier New" w:eastAsia="Courier New" w:hAnsi="Courier New"/>
          <w:sz w:val="16"/>
          <w:szCs w:val="16"/>
          <w:color w:val="auto"/>
        </w:rPr>
        <w:t>Revenue. Total revenue increased by $264.9 million, or 14.9%, in fiscal 2005 to $2,038.6 million from $1,773.7 million in fiscal 2004. Approximately 32.0% of the increase in total revenue in fiscal 2005 was due to an increase in business related to Managed Services customers, approximately 19.4% was attributable to revenue contributed by DST Innovis and the remainder was attributable to additional revenue from existing and new customers.</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License and service revenue from the sale of ICM Enabling Systems was</w:t>
      </w:r>
    </w:p>
    <w:p>
      <w:pPr>
        <w:spacing w:after="0" w:line="7" w:lineRule="exact"/>
        <w:rPr>
          <w:sz w:val="20"/>
          <w:szCs w:val="20"/>
          <w:color w:val="auto"/>
        </w:rPr>
      </w:pPr>
    </w:p>
    <w:p>
      <w:pPr>
        <w:ind w:right="2499"/>
        <w:spacing w:after="0" w:line="248" w:lineRule="auto"/>
        <w:rPr>
          <w:sz w:val="20"/>
          <w:szCs w:val="20"/>
          <w:color w:val="auto"/>
        </w:rPr>
      </w:pPr>
      <w:r>
        <w:rPr>
          <w:rFonts w:ascii="Courier New" w:cs="Courier New" w:eastAsia="Courier New" w:hAnsi="Courier New"/>
          <w:sz w:val="16"/>
          <w:szCs w:val="16"/>
          <w:color w:val="auto"/>
        </w:rPr>
        <w:t>$1,776.5 million for fiscal 2005, an increase of $239.5 million, or 15.6%, from fiscal 2004. Approximately 23.2% of the increase was attributable to revenues from Managed Services customers. Approximately 21.5% of the increase was attributable to revenues contributed by DST Innovis, and the remainder was attributable to additional revenue from existing and new customers. License and service revenue from the sale of ICM Enabling Systems represented 87.1% and</w:t>
      </w:r>
    </w:p>
    <w:p>
      <w:pPr>
        <w:spacing w:after="0" w:line="4"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86.7% of our total revenue in fiscal 2005 and 2004, respectively. The demand for our ICM Enabling Systems is primarily driven by the need for communications service providers to continue to integrate their billing, CRM and order management systems into Integrated Customer Management products and services.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License and service revenue from the sale of Directory Systems was $262.1 million for fiscal 2005, an increase of $25.3 million, or 10.7%, from fiscal 2004. Approximately 88.2% of the increase in Directory Systems revenue in fiscal 2005 was attributable to an increase in business related to Managed Services customers and the remainder was attributable to additional revenue from existing and new customers. License and service revenue from the sale of Directory Systems represented 12.9% and 13.3% of our total revenue in fiscal 2005 and 2004, respectively. We believe that we are a leading provider of Directory Systems in most of the markets we serve. We expect that our revenue from Directory Systems in absolute amount will slightly increase in fiscal 2006.</w:t>
      </w:r>
    </w:p>
    <w:p>
      <w:pPr>
        <w:spacing w:after="0" w:line="187" w:lineRule="exact"/>
        <w:rPr>
          <w:sz w:val="20"/>
          <w:szCs w:val="20"/>
          <w:color w:val="auto"/>
        </w:rPr>
      </w:pPr>
    </w:p>
    <w:p>
      <w:pPr>
        <w:jc w:val="both"/>
        <w:ind w:right="2699" w:firstLine="489"/>
        <w:spacing w:after="0" w:line="248" w:lineRule="auto"/>
        <w:rPr>
          <w:sz w:val="20"/>
          <w:szCs w:val="20"/>
          <w:color w:val="auto"/>
        </w:rPr>
      </w:pPr>
      <w:r>
        <w:rPr>
          <w:rFonts w:ascii="Courier New" w:cs="Courier New" w:eastAsia="Courier New" w:hAnsi="Courier New"/>
          <w:sz w:val="16"/>
          <w:szCs w:val="16"/>
          <w:color w:val="auto"/>
        </w:rPr>
        <w:t>In fiscal 2005, revenue from customers in North America, Europe and the rest of the world accounted for 68.3%, 24.0% and 7.7%, respectively, of total revenue compared to 65.9%, 27.1% and 7.0%, respectively, for fiscal 2004.</w:t>
      </w:r>
    </w:p>
    <w:p>
      <w:pPr>
        <w:spacing w:after="0" w:line="2"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Approximately 35.9% of the increase in revenue from customers in North America was attributable to Managed Services agreements, approximately 21.9% of the increase was attributable to revenues contributed by DST Innovis, and the remainder was attributable to additional revenue from existing and new customers in North America. Revenue from customers in Europe, in absolute amounts, was relatively stable compared to fiscal 2004, and this resulted in a decrease as a percentage of total revenue. The increase in revenue from customers outside of North America and Europe was attributable to additional revenue from existing and new customers.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Cost of License. Cost of license mainly includes amortization of purchased computer software and intellectual property rights. Such amortization is relatively stable from period to period and, absent items that were fully amortized or impaired, is generally fixed in amount, therefore an increase or decrease in license revenue could cause a significant fluctuation in cost of license as a percentage of license revenue. In fiscal 2005, cost of license, as a percentage of license revenue, was 4.1% compared to 6.6% in fiscal 2004.</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Cost of Service. Cost of service increased by 15.5% in fiscal 2005 as compared to fiscal 2004. This increase in cost of service was slightly higher than the 14.9% increase in our total revenue in fiscal 2005. As a percentage of revenue, cost of service was 63.4% in fiscal 2005 compared to 63.0% in fiscal 2004. Our gross margin may vary depending on the types and geographic locations of projects that we undertake.</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Research and Development. As a percentage of revenue, research and development expense was 7.1% in fiscal 2005 and 2004. Research and development expense increased by $18.1 million, or 14.3%, in fiscal 2005 to $144.5 million from $126.4 million in fiscal 2004. Approximately 85.4% of the increase, in absolute amounts, was attributable to the acquisition of DST Innovis. While we continue to upgrade our existing systems, we also devoted significant research and development efforts in fiscal 2005 to the integration between our products and a unified user interface in order to enable our customers to adopt an ICM approach. As part of these efforts, in February 2005 we launched a comprehensive portfolio of products, which we refer to as Amdocs 6. Amdocs 6 is our pre-integrated portfolio of modular, billing, CRM, self-service, order management, mediation and content revenue management software products. The</w:t>
      </w:r>
    </w:p>
    <w:p>
      <w:pPr>
        <w:spacing w:after="0" w:line="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80" w:right="1440" w:bottom="1440" w:gutter="0" w:footer="0" w:header="0"/>
        </w:sectPr>
      </w:pPr>
    </w:p>
    <w:bookmarkStart w:id="38" w:name="page39"/>
    <w:bookmarkEnd w:id="38"/>
    <w:p>
      <w:pPr>
        <w:ind w:right="2499"/>
        <w:spacing w:after="0" w:line="249" w:lineRule="auto"/>
        <w:rPr>
          <w:sz w:val="20"/>
          <w:szCs w:val="20"/>
          <w:color w:val="auto"/>
        </w:rPr>
      </w:pPr>
      <w:r>
        <w:rPr>
          <w:rFonts w:ascii="Courier New" w:cs="Courier New" w:eastAsia="Courier New" w:hAnsi="Courier New"/>
          <w:sz w:val="16"/>
          <w:szCs w:val="16"/>
          <w:color w:val="auto"/>
        </w:rPr>
        <w:t>majority of our research and development expenditures is directed at our ICM Enabling Systems, and the remainder to Directory Systems.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 Please see the discussion above under the caption "Research and Development, Patents and Licenses."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increased by $21.7 million, or 10.3%, in fiscal 2005 to $232.1 million, from $210.4 million in fiscal 2004. Selling, general and administrative expense primarily consisted of compensation expense. The increase in selling, general and administrative expense was attributable to an overall increase in our operations, as well as to the increase in our selling and marketing efforts, although the 10.3% increase was less than the 14.9% increase in our total revenue.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Amortization of Purchased Intangible Assets. Amortization of purchased intangible assets for fiscal 2005 was $15.4 million, compared to $17.9 million in fiscal 2004. The decrease in amortization of purchased intangible assets was due to purchased intangible assets that were fully amortized in fiscal 2004 and in the first three months of fiscal 2005 offset by $5.4 million in amortization of purchased intangible assets acquired in the DST Innovis and Longshine acquisitions.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Restructuring Charges, In-Process Research and Development and</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Other. Restructuring charges, in-process research and development and other in fiscal 2005 consisted of an $8.1 million restructuring charge related to our restructuring plan in the fourth quarter of fiscal 2005, and a charge of $4.5 million for the write-off of purchased in-process research and development and other costs related to our acquisition of DST Innovis. Please see the discussion above under the caption "Operational Efficiency and Cost Reduction Programs."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Operating Income. Operating income increased by $42.3 million, or 14.3%, in fiscal 2005, to $338.5 million, from $296.2 million in fiscal 2004. Operating income in fiscal 2005 was negatively affected by $12.6 million in restructuring charges, in-process research and development and other and by the slight increase of cost of service as a percentage of revenue. These negative effects were partially offset by the decrease, as a percentage of revenue, in selling, general and administrative expense.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Interest Income and Other, Net. Interest income and other, net increased by $17.4 million, or 354.9%, in fiscal 2005 to $22.3 million from $4.9 million in fiscal 2004. The increase in interest income and other, net, was primarily attributable to the increase in market interest rates on our short-term interest-bearing investments, and to the decrease in our interest expense due to our June 2004 redemption of our 2% Convertible Notes, due 2008, which we refer to as our 2% Notes, partially offset by interest expense on our 0.50% Convertible Senior Notes due 2024, or our 0.50% Notes, which we issued in March 2004.</w:t>
      </w:r>
    </w:p>
    <w:p>
      <w:pPr>
        <w:spacing w:after="0" w:line="37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Income Taxes. Income taxes for fiscal 2005 were $72.2 million on pretax income of $360.8 million, which resulted in an effective tax rate of 20% compared to 22% in fiscal 2004. Our effective tax rate is dependent on the corporate income tax rates in the various countries in which we operate and the relative magnitude of our business in those countries. The reduction in our effective tax rate in fiscal 2005 was due to our continued expansion into countries with lower income tax rates. See the discussion below under the caption "Effective Tax Rate."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Net Income. Net income was $288.6 million in fiscal 2005, compared to net income of $234.9 million in fiscal 2004. The increase in net income was attributable to the 14.3% increase in our operating income, the increase in interest income and other, net and the decrease in our effective tax rate during fiscal 2005.</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Diluted Earnings Per Share. Diluted earnings per share were $1.35 for fiscal 2005, compared to $1.08 in fiscal 2004. The increase in diluted earnings per share resulted from the increase in net income and from the reduction in diluted weighted average number of shares outstanding due to our share</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81" w:right="1440" w:bottom="1440" w:gutter="0" w:footer="0" w:header="0"/>
        </w:sectPr>
      </w:pPr>
    </w:p>
    <w:bookmarkStart w:id="39" w:name="page40"/>
    <w:bookmarkEnd w:id="39"/>
    <w:p>
      <w:pPr>
        <w:ind w:right="2399"/>
        <w:spacing w:after="0" w:line="250" w:lineRule="auto"/>
        <w:rPr>
          <w:sz w:val="20"/>
          <w:szCs w:val="20"/>
          <w:color w:val="auto"/>
        </w:rPr>
      </w:pPr>
      <w:r>
        <w:rPr>
          <w:rFonts w:ascii="Courier New" w:cs="Courier New" w:eastAsia="Courier New" w:hAnsi="Courier New"/>
          <w:sz w:val="16"/>
          <w:szCs w:val="16"/>
          <w:color w:val="auto"/>
        </w:rPr>
        <w:t>repurchases during fiscal 2004 and 2005, partially offset by the dilutive effect of our convertible notes. Please see Note 19 to the consolidated financial statements included in this Annual Report.</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FISCAL YEARS ENDED SEPTEMBER 30, 2004 AND 2003</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The following is a tabular presentation of our results of operations for the fiscal year ended September 30, 2004, compared to the fiscal year ended September 30, 2003. Following the table is a discussion and analysis of our business and results of operations for such years.</w:t>
      </w:r>
    </w:p>
    <w:p>
      <w:pPr>
        <w:spacing w:after="0" w:line="188"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YEAR ENDED SEPTEMBER 30, INCREASE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(DECREASE)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----------------- 2004 2003 AMOUNT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w:t>
      </w:r>
    </w:p>
    <w:p>
      <w:pPr>
        <w:spacing w:after="0" w:line="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(IN THOUSANDS)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License.................................</w:t>
      </w:r>
    </w:p>
    <w:p>
      <w:pPr>
        <w:spacing w:after="0" w:line="7" w:lineRule="exact"/>
        <w:rPr>
          <w:sz w:val="20"/>
          <w:szCs w:val="20"/>
          <w:color w:val="auto"/>
        </w:rPr>
      </w:pPr>
    </w:p>
    <w:p>
      <w:pPr>
        <w:ind w:right="6319" w:firstLine="440"/>
        <w:spacing w:after="0" w:line="248" w:lineRule="auto"/>
        <w:tabs>
          <w:tab w:leader="none" w:pos="63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76,586 $ 65,582 $ 11,004 16.8 Service.................................</w:t>
      </w:r>
    </w:p>
    <w:p>
      <w:pPr>
        <w:spacing w:after="0" w:line="1"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1,697,146 1,417,745 279,401 19.7 ------</w:t>
      </w:r>
    </w:p>
    <w:p>
      <w:pPr>
        <w:spacing w:after="0" w:line="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 ---------- -------- 1,773,732</w:t>
      </w:r>
    </w:p>
    <w:p>
      <w:pPr>
        <w:spacing w:after="0" w:line="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1,483,327 290,405 19.6 ---------- -----</w:t>
      </w:r>
    </w:p>
    <w:p>
      <w:pPr>
        <w:spacing w:after="0" w:line="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 -------- Operating expenses: Cost</w:t>
      </w:r>
    </w:p>
    <w:p>
      <w:pPr>
        <w:spacing w:after="0" w:line="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of license.........................</w:t>
      </w:r>
    </w:p>
    <w:p>
      <w:pPr>
        <w:spacing w:after="0" w:line="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5,022 5,752 (730) (12.7) Cost of</w:t>
      </w:r>
    </w:p>
    <w:p>
      <w:pPr>
        <w:spacing w:after="0" w:line="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service.........................</w:t>
      </w:r>
    </w:p>
    <w:p>
      <w:pPr>
        <w:spacing w:after="0" w:line="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1,117,810 907,607 210,203 23.2 Research</w:t>
      </w:r>
    </w:p>
    <w:p>
      <w:pPr>
        <w:spacing w:after="0" w:line="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and development................ 126,407</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119,256 7,151 6.0 Selling, general and</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administrative.....</w:t>
            </w:r>
          </w:p>
        </w:tc>
        <w:tc>
          <w:tcPr>
            <w:tcW w:w="19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210,384 206,265</w:t>
            </w:r>
          </w:p>
        </w:tc>
      </w:tr>
      <w:tr>
        <w:trPr>
          <w:trHeight w:val="188"/>
        </w:trPr>
        <w:tc>
          <w:tcPr>
            <w:tcW w:w="382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4,119 2.0 Amortization of purchased</w:t>
            </w:r>
          </w:p>
        </w:tc>
      </w:tr>
      <w:tr>
        <w:trPr>
          <w:trHeight w:val="188"/>
        </w:trPr>
        <w:tc>
          <w:tcPr>
            <w:tcW w:w="980" w:type="dxa"/>
            <w:vAlign w:val="bottom"/>
          </w:tcPr>
          <w:p>
            <w:pPr>
              <w:spacing w:after="0"/>
              <w:rPr>
                <w:sz w:val="16"/>
                <w:szCs w:val="16"/>
                <w:color w:val="auto"/>
              </w:rPr>
            </w:pPr>
          </w:p>
        </w:tc>
        <w:tc>
          <w:tcPr>
            <w:tcW w:w="1720" w:type="dxa"/>
            <w:vAlign w:val="bottom"/>
            <w:gridSpan w:val="2"/>
          </w:tcPr>
          <w:p>
            <w:pPr>
              <w:jc w:val="center"/>
              <w:ind w:left="59"/>
              <w:spacing w:after="0"/>
              <w:rPr>
                <w:sz w:val="20"/>
                <w:szCs w:val="20"/>
                <w:color w:val="auto"/>
              </w:rPr>
            </w:pPr>
            <w:r>
              <w:rPr>
                <w:rFonts w:ascii="Courier New" w:cs="Courier New" w:eastAsia="Courier New" w:hAnsi="Courier New"/>
                <w:sz w:val="16"/>
                <w:szCs w:val="16"/>
                <w:color w:val="auto"/>
              </w:rPr>
              <w:t>intangible</w:t>
            </w:r>
          </w:p>
        </w:tc>
        <w:tc>
          <w:tcPr>
            <w:tcW w:w="1120" w:type="dxa"/>
            <w:vAlign w:val="bottom"/>
          </w:tcPr>
          <w:p>
            <w:pPr>
              <w:spacing w:after="0"/>
              <w:rPr>
                <w:sz w:val="16"/>
                <w:szCs w:val="16"/>
                <w:color w:val="auto"/>
              </w:rPr>
            </w:pPr>
          </w:p>
        </w:tc>
      </w:tr>
      <w:tr>
        <w:trPr>
          <w:trHeight w:val="188"/>
        </w:trPr>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assets...............................</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1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17,909 19,940</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(2,031)</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(10.2)</w:t>
            </w:r>
          </w:p>
        </w:tc>
      </w:tr>
      <w:tr>
        <w:trPr>
          <w:trHeight w:val="188"/>
        </w:trPr>
        <w:tc>
          <w:tcPr>
            <w:tcW w:w="382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Restructuring charges and</w:t>
            </w:r>
          </w:p>
        </w:tc>
      </w:tr>
      <w:tr>
        <w:trPr>
          <w:trHeight w:val="188"/>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71"/>
              </w:rPr>
              <w:t>other.........</w:t>
            </w:r>
          </w:p>
        </w:tc>
        <w:tc>
          <w:tcPr>
            <w:tcW w:w="2840" w:type="dxa"/>
            <w:vAlign w:val="bottom"/>
            <w:gridSpan w:val="3"/>
          </w:tcPr>
          <w:p>
            <w:pPr>
              <w:jc w:val="right"/>
              <w:ind w:right="219"/>
              <w:spacing w:after="0"/>
              <w:rPr>
                <w:sz w:val="20"/>
                <w:szCs w:val="20"/>
                <w:color w:val="auto"/>
              </w:rPr>
            </w:pPr>
            <w:r>
              <w:rPr>
                <w:rFonts w:ascii="Courier New" w:cs="Courier New" w:eastAsia="Courier New" w:hAnsi="Courier New"/>
                <w:sz w:val="16"/>
                <w:szCs w:val="16"/>
                <w:color w:val="auto"/>
              </w:rPr>
              <w:t>-- 14,089 (14,089)</w:t>
            </w:r>
          </w:p>
        </w:tc>
      </w:tr>
      <w:tr>
        <w:trPr>
          <w:trHeight w:val="188"/>
        </w:trPr>
        <w:tc>
          <w:tcPr>
            <w:tcW w:w="1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(100.0) ----------</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9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1,477,532</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1,272,909 204,623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16.1 ------</w:t>
            </w:r>
          </w:p>
        </w:tc>
      </w:tr>
      <w:tr>
        <w:trPr>
          <w:trHeight w:val="188"/>
        </w:trPr>
        <w:tc>
          <w:tcPr>
            <w:tcW w:w="27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 --------</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Operating</w:t>
            </w:r>
          </w:p>
        </w:tc>
      </w:tr>
    </w:tbl>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296,200 210,418 85,782 40.8 Interest</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2540" w:type="dxa"/>
            <w:vAlign w:val="bottom"/>
            <w:gridSpan w:val="2"/>
          </w:tcPr>
          <w:p>
            <w:pPr>
              <w:spacing w:after="0"/>
              <w:rPr>
                <w:sz w:val="20"/>
                <w:szCs w:val="20"/>
                <w:color w:val="auto"/>
              </w:rPr>
            </w:pPr>
            <w:r>
              <w:rPr>
                <w:rFonts w:ascii="Courier New" w:cs="Courier New" w:eastAsia="Courier New" w:hAnsi="Courier New"/>
                <w:sz w:val="16"/>
                <w:szCs w:val="16"/>
                <w:color w:val="auto"/>
              </w:rPr>
              <w:t>and other, net............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4,903</w:t>
            </w:r>
          </w:p>
        </w:tc>
      </w:tr>
      <w:tr>
        <w:trPr>
          <w:trHeight w:val="188"/>
        </w:trPr>
        <w:tc>
          <w:tcPr>
            <w:tcW w:w="700" w:type="dxa"/>
            <w:vAlign w:val="bottom"/>
          </w:tcPr>
          <w:p>
            <w:pPr>
              <w:spacing w:after="0"/>
              <w:rPr>
                <w:sz w:val="20"/>
                <w:szCs w:val="20"/>
                <w:color w:val="auto"/>
              </w:rPr>
            </w:pPr>
            <w:r>
              <w:rPr>
                <w:rFonts w:ascii="Courier New" w:cs="Courier New" w:eastAsia="Courier New" w:hAnsi="Courier New"/>
                <w:sz w:val="16"/>
                <w:szCs w:val="16"/>
                <w:color w:val="auto"/>
              </w:rPr>
              <w:t>14,759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(9,856)</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(66.8)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85"/>
              </w:rPr>
              <w:t>--------</w:t>
            </w:r>
          </w:p>
        </w:tc>
        <w:tc>
          <w:tcPr>
            <w:tcW w:w="2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Income before income</w:t>
            </w:r>
          </w:p>
        </w:tc>
      </w:tr>
      <w:tr>
        <w:trPr>
          <w:trHeight w:val="188"/>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taxes................</w:t>
            </w:r>
          </w:p>
        </w:tc>
        <w:tc>
          <w:tcPr>
            <w:tcW w:w="24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301,103 225,177</w:t>
            </w:r>
          </w:p>
        </w:tc>
      </w:tr>
      <w:tr>
        <w:trPr>
          <w:trHeight w:val="188"/>
        </w:trPr>
        <w:tc>
          <w:tcPr>
            <w:tcW w:w="700" w:type="dxa"/>
            <w:vAlign w:val="bottom"/>
          </w:tcPr>
          <w:p>
            <w:pPr>
              <w:spacing w:after="0"/>
              <w:rPr>
                <w:sz w:val="16"/>
                <w:szCs w:val="16"/>
                <w:color w:val="auto"/>
              </w:rPr>
            </w:pPr>
          </w:p>
        </w:tc>
        <w:tc>
          <w:tcPr>
            <w:tcW w:w="25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75,926 33.7 Income</w:t>
            </w:r>
          </w:p>
        </w:tc>
        <w:tc>
          <w:tcPr>
            <w:tcW w:w="580" w:type="dxa"/>
            <w:vAlign w:val="bottom"/>
          </w:tcPr>
          <w:p>
            <w:pPr>
              <w:spacing w:after="0"/>
              <w:rPr>
                <w:sz w:val="16"/>
                <w:szCs w:val="16"/>
                <w:color w:val="auto"/>
              </w:rPr>
            </w:pPr>
          </w:p>
        </w:tc>
      </w:tr>
      <w:tr>
        <w:trPr>
          <w:trHeight w:val="188"/>
        </w:trPr>
        <w:tc>
          <w:tcPr>
            <w:tcW w:w="700" w:type="dxa"/>
            <w:vAlign w:val="bottom"/>
          </w:tcPr>
          <w:p>
            <w:pPr>
              <w:jc w:val="center"/>
              <w:ind w:left="125"/>
              <w:spacing w:after="0"/>
              <w:rPr>
                <w:sz w:val="20"/>
                <w:szCs w:val="20"/>
                <w:color w:val="auto"/>
              </w:rPr>
            </w:pPr>
            <w:r>
              <w:rPr>
                <w:rFonts w:ascii="Courier New" w:cs="Courier New" w:eastAsia="Courier New" w:hAnsi="Courier New"/>
                <w:sz w:val="16"/>
                <w:szCs w:val="16"/>
                <w:color w:val="auto"/>
              </w:rPr>
              <w:t>taxes</w:t>
            </w:r>
          </w:p>
        </w:tc>
        <w:tc>
          <w:tcPr>
            <w:tcW w:w="2540" w:type="dxa"/>
            <w:vAlign w:val="bottom"/>
            <w:gridSpan w:val="2"/>
          </w:tcPr>
          <w:p>
            <w:pPr>
              <w:spacing w:after="0"/>
              <w:rPr>
                <w:sz w:val="20"/>
                <w:szCs w:val="20"/>
                <w:color w:val="auto"/>
              </w:rPr>
            </w:pPr>
            <w:r>
              <w:rPr>
                <w:rFonts w:ascii="Courier New" w:cs="Courier New" w:eastAsia="Courier New" w:hAnsi="Courier New"/>
                <w:sz w:val="16"/>
                <w:szCs w:val="16"/>
                <w:color w:val="auto"/>
                <w:w w:val="87"/>
              </w:rPr>
              <w:t>..............................</w:t>
            </w:r>
          </w:p>
        </w:tc>
        <w:tc>
          <w:tcPr>
            <w:tcW w:w="580" w:type="dxa"/>
            <w:vAlign w:val="bottom"/>
          </w:tcPr>
          <w:p>
            <w:pPr>
              <w:spacing w:after="0"/>
              <w:rPr>
                <w:sz w:val="16"/>
                <w:szCs w:val="16"/>
                <w:color w:val="auto"/>
              </w:rPr>
            </w:pPr>
          </w:p>
        </w:tc>
      </w:tr>
      <w:tr>
        <w:trPr>
          <w:trHeight w:val="188"/>
        </w:trPr>
        <w:tc>
          <w:tcPr>
            <w:tcW w:w="700" w:type="dxa"/>
            <w:vAlign w:val="bottom"/>
          </w:tcPr>
          <w:p>
            <w:pPr>
              <w:spacing w:after="0"/>
              <w:rPr>
                <w:sz w:val="20"/>
                <w:szCs w:val="20"/>
                <w:color w:val="auto"/>
              </w:rPr>
            </w:pPr>
            <w:r>
              <w:rPr>
                <w:rFonts w:ascii="Courier New" w:cs="Courier New" w:eastAsia="Courier New" w:hAnsi="Courier New"/>
                <w:sz w:val="16"/>
                <w:szCs w:val="16"/>
                <w:color w:val="auto"/>
              </w:rPr>
              <w:t>66,243</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56,294</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9,949 17.7 ---------- ---</w:t>
            </w:r>
          </w:p>
        </w:tc>
      </w:tr>
      <w:tr>
        <w:trPr>
          <w:trHeight w:val="188"/>
        </w:trPr>
        <w:tc>
          <w:tcPr>
            <w:tcW w:w="7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rPr>
              <w:t>-------- Net</w:t>
            </w:r>
          </w:p>
        </w:tc>
        <w:tc>
          <w:tcPr>
            <w:tcW w:w="580" w:type="dxa"/>
            <w:vAlign w:val="bottom"/>
          </w:tcPr>
          <w:p>
            <w:pPr>
              <w:spacing w:after="0"/>
              <w:rPr>
                <w:sz w:val="16"/>
                <w:szCs w:val="16"/>
                <w:color w:val="auto"/>
              </w:rPr>
            </w:pPr>
          </w:p>
        </w:tc>
      </w:tr>
      <w:tr>
        <w:trPr>
          <w:trHeight w:val="188"/>
        </w:trPr>
        <w:tc>
          <w:tcPr>
            <w:tcW w:w="13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income................................</w:t>
            </w: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4" w:lineRule="exact"/>
        <w:rPr>
          <w:sz w:val="20"/>
          <w:szCs w:val="20"/>
          <w:color w:val="auto"/>
        </w:rPr>
      </w:pPr>
    </w:p>
    <w:p>
      <w:pPr>
        <w:ind w:left="540" w:hanging="198"/>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234,860 $ 168,883 $ 65,977 39.1</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Revenue. Total revenue increased by $290.4 million, or 19.6%, in fiscal 2004 to $1,773.7 million from $1,483.3 million in fiscal 2003. The increase in total revenue in fiscal 2004 was due to an increase in service revenue attributable to the Managed Services agreements signed during fiscal 2003 and additional revenue resulting from our acquisition of Certen in the fourth quarter of fiscal 2003. Revenue related to Managed Services agreements was approximately 40% of total revenue in fiscal 2004. Revenue from the Managed Services agreements entered into during fiscal 2003, including the effect of the Certen acquisition, increased total revenue by approximately $211 million in the year ended September 30, 2004.</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License and service revenue from the sale of ICM Enabling Systems was</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$1,537.0 million for fiscal 2004, an increase of $256.6 million, or 20.0%, from fiscal 2003. Approximately 60% of the increase was attributable to our acquisition of Certen in the fourth quarter of fiscal 2003, approximately $8 million resulted from our acquisition of XACCT in February 2004 and the remainder was attributable to additional revenue from existing and new customers. License and service revenue from the sale of ICM Enabling Systems represented 86.7% and 86.3% of our total revenue in fiscal 2004 and 2003, respectively. In fiscal 2003, many communications companies reduced or delayed expenditures on system upgrades as a result of the slowdown in the communications industry. In 2004, however, there was an improvement in market conditions contributing to the increase in revenue in fiscal 2004. Please see Note 3 to the consolidated financial statements included in this Annual Report for a description of the Certen and XACCT acquisitions.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License and service revenue from the sale of Directory Systems was $236.7 million for fiscal 2004, an increase of $33.8 million, or 16.7%, from fiscal 2003. Approximately $62 million of the increase in Directory Systems revenue in fiscal 2004 was attributable to Managed Services agreements. This revenue</w:t>
      </w:r>
    </w:p>
    <w:p>
      <w:pPr>
        <w:sectPr>
          <w:pgSz w:w="11900" w:h="16838" w:orient="portrait"/>
          <w:cols w:equalWidth="0" w:num="1">
            <w:col w:w="10219"/>
          </w:cols>
          <w:pgMar w:left="240" w:top="680" w:right="1440" w:bottom="0" w:gutter="0" w:footer="0" w:header="0"/>
        </w:sectPr>
      </w:pPr>
    </w:p>
    <w:bookmarkStart w:id="40" w:name="page41"/>
    <w:bookmarkEnd w:id="40"/>
    <w:p>
      <w:pPr>
        <w:ind w:left="270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9019"/>
          </w:cols>
          <w:pgMar w:left="1440" w:top="330" w:right="1440" w:bottom="1440" w:gutter="0" w:footer="0" w:header="0"/>
        </w:sectPr>
      </w:pPr>
    </w:p>
    <w:bookmarkStart w:id="41" w:name="page42"/>
    <w:bookmarkEnd w:id="41"/>
    <w:p>
      <w:pPr>
        <w:ind w:right="2399"/>
        <w:spacing w:after="0" w:line="249" w:lineRule="auto"/>
        <w:rPr>
          <w:sz w:val="20"/>
          <w:szCs w:val="20"/>
          <w:color w:val="auto"/>
        </w:rPr>
      </w:pPr>
      <w:r>
        <w:rPr>
          <w:rFonts w:ascii="Courier New" w:cs="Courier New" w:eastAsia="Courier New" w:hAnsi="Courier New"/>
          <w:sz w:val="16"/>
          <w:szCs w:val="16"/>
          <w:color w:val="auto"/>
        </w:rPr>
        <w:t>was partially offset by the completion of certain implementation projects that accounted for $27 million of revenue in the comparable period of fiscal 2003. License and service revenue from the sale of Directory Systems represented 13.3% and 13.7% of our total revenue in fiscal 2004 and 2003, respectively.</w:t>
      </w:r>
    </w:p>
    <w:p>
      <w:pPr>
        <w:spacing w:after="0" w:line="188" w:lineRule="exact"/>
        <w:rPr>
          <w:sz w:val="20"/>
          <w:szCs w:val="20"/>
          <w:color w:val="auto"/>
        </w:rPr>
      </w:pPr>
    </w:p>
    <w:p>
      <w:pPr>
        <w:jc w:val="both"/>
        <w:ind w:right="2699" w:firstLine="489"/>
        <w:spacing w:after="0" w:line="248" w:lineRule="auto"/>
        <w:rPr>
          <w:sz w:val="20"/>
          <w:szCs w:val="20"/>
          <w:color w:val="auto"/>
        </w:rPr>
      </w:pPr>
      <w:r>
        <w:rPr>
          <w:rFonts w:ascii="Courier New" w:cs="Courier New" w:eastAsia="Courier New" w:hAnsi="Courier New"/>
          <w:sz w:val="16"/>
          <w:szCs w:val="16"/>
          <w:color w:val="auto"/>
        </w:rPr>
        <w:t>In fiscal 2004, revenue from customers in North America, Europe and the rest of the world accounted for 65.9%, 27.1% and 7.0%, respectively, of total revenue compared to 62.0%, 29.8% and 8.2%, respectively, for fiscal 2003.</w:t>
      </w:r>
    </w:p>
    <w:p>
      <w:pPr>
        <w:spacing w:after="0" w:line="2"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Approximately 85% of the increase in revenue from customers in North America was attributable to Managed Services agreements, including the acquisition of Certen, which expanded our activity and revenue from customers in North America, and approximately 15% was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fiscal 2004. Revenue from customers outside of North America and Europe, in absolute amount, was relatively stable in fiscal 2004 compared to fiscal 2003.</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could cause a significant fluctuation in cost of license as a percentage of license revenue. In fiscal 2004, cost of license, as a percentage of license revenue, was 6.6% compared to 8.8% in fiscal 2003.</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Cost of Service. The increase in cost of service in fiscal 2004 was 23.2%, which was higher than the 19.6% increase in our total revenue in fiscal 2004, and resulted in a 1.7% decrease in our gross margin, as a percentage of revenue. Our gross margin was affected by the Managed Services agreements signed during fiscal 2003, which we expect to be less profitable in their initial period. The increase in cost of service was also attributable to the $4.0 million increase in the accrual related mainly to our unused facilities in Stamford, Connecticut, which we made in the fourth quarter of fiscal 2004, to reflect the current subleasing market in Stamford. See the discussion above under the caption "Operational Efficiency and Cost Reduction Programs."</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Research and Development. Research and development expense increased by $7.2 million, or 6.0%, in fiscal 2004 to $126.4 million from $119.3 million in fiscal 2003. Such increase in research and development expense was proportionally less than the increase in our total revenue, and research and development decreased, as a percentage of revenue, from 8.0% of revenue in fiscal 2003 to 7.1% of revenue in fiscal 2004.</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increased by $4.1 million, or 2.0%, in fiscal 2004 to $210.4 million, from $206.3 million in fiscal 2003. Selling, general and administrative expense was primarily comprised of compensation expense. The increase in selling, general and administrative expense was attributable to the overall increase in our operations, as well as to the increase in our selling and marketing efforts, although the 2% increase was significantly less than the 19.6% increase in our total revenue, due to the impact of the cost reduction programs implemented in fiscal 2003 and 2002.</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Amortization of Purchased Intangible Assets. Amortization of purchased intangible assets for fiscal 2004 was $17.9 million, compared to $19.9 million in fiscal 2003. The decrease in amortization of purchased intangible assets was due to purchased intangible assets that were fully amortized in fiscal 2003, which was partially offset by amortization of purchased intangible assets acquired in the Certen and XACCT acquisitions.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Restructuring Charges and Other. The restructuring charges and other in fiscal 2003 consisted of a restructuring charge of $10.0 million related to the cost reduction program we implemented in the first quarter of fiscal 2003 and a $4.1 million charge reflecting the cumulative effect, in the fourth quarter of fiscal 2003, of our 10% share in Certen's results prior to our acquisition of Certen.</w:t>
      </w:r>
    </w:p>
    <w:p>
      <w:pPr>
        <w:spacing w:after="0" w:line="187" w:lineRule="exact"/>
        <w:rPr>
          <w:sz w:val="20"/>
          <w:szCs w:val="20"/>
          <w:color w:val="auto"/>
        </w:rPr>
      </w:pPr>
    </w:p>
    <w:p>
      <w:pPr>
        <w:ind w:right="2499" w:firstLine="489"/>
        <w:spacing w:after="0" w:line="248" w:lineRule="auto"/>
        <w:rPr>
          <w:sz w:val="20"/>
          <w:szCs w:val="20"/>
          <w:color w:val="auto"/>
        </w:rPr>
      </w:pPr>
      <w:r>
        <w:rPr>
          <w:rFonts w:ascii="Courier New" w:cs="Courier New" w:eastAsia="Courier New" w:hAnsi="Courier New"/>
          <w:sz w:val="16"/>
          <w:szCs w:val="16"/>
          <w:color w:val="auto"/>
        </w:rPr>
        <w:t>Operating Income. Operating income increased by $85.8 million, or 40.8%, in fiscal 2004, to $296.2 million, or 16.7% of revenue, from $210.4 million, or 14.2% of revenue, in fiscal 2003. The increase</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80" w:right="1440" w:bottom="1440" w:gutter="0" w:footer="0" w:header="0"/>
        </w:sectPr>
      </w:pPr>
    </w:p>
    <w:bookmarkStart w:id="42" w:name="page43"/>
    <w:bookmarkEnd w:id="42"/>
    <w:p>
      <w:pPr>
        <w:ind w:right="2399"/>
        <w:spacing w:after="0" w:line="249" w:lineRule="auto"/>
        <w:rPr>
          <w:sz w:val="20"/>
          <w:szCs w:val="20"/>
          <w:color w:val="auto"/>
        </w:rPr>
      </w:pPr>
      <w:r>
        <w:rPr>
          <w:rFonts w:ascii="Courier New" w:cs="Courier New" w:eastAsia="Courier New" w:hAnsi="Courier New"/>
          <w:sz w:val="16"/>
          <w:szCs w:val="16"/>
          <w:color w:val="auto"/>
        </w:rPr>
        <w:t>in operating income in fiscal 2004 resulted from the 19.6% increase in our total revenue, which was partially offset by the 1.7% decrease in our gross margin, as a percentage of revenue, attributable to the relatively lower gross margin of our Managed Services projects in their early stages of implementation, and to the effect of the $14.1 million of restructuring charges and other in fiscal 2003.</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Interest Income and Other, Net. Interest income and other, net decreased by $9.9 million, or 66.8%, in fiscal 2004 to $4.9 million from $14.8 million in fiscal 2003. The decrease in interest income and other, net was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 In addition, interest income and other, net decreased as a result of capital lease obligations acquired in the Certen acquisition, and, to a lesser extent, to changes in exchange rates of currencies other than the dollar. Although we hedge significant exposures in currencies other than the dollar, currency fluctuations partially affect our interest income and other, net. The decrease in interest income and other, net was partially offset by the net decrease in interest expense related to the repurchase of our 2% Notes in June 2004 and the issuance of the 0.50% Notes in March 2004. Please see the discussion below under the caption "Liquidity and Capital Resources."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Income Taxes. Income taxes for fiscal 2004 were $66.2 million on pretax income of $301.1 million, an effective tax rate of 22% compared to 25% in fiscal 2003. Our effective tax rate is dependent on the corporate income tax rates in the various countries in which we operate and the relative magnitude of our business in those countries. The reduction in our effective tax rate in fiscal 2004 was due to our continued expansion into countries with lower income tax rates. See the discussion below under the caption "Effective Tax Rate."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Net Income. Net income was $234.9 million in fiscal 2004, compared to a net income of $168.9 million in fiscal 2003. The increase in net income was attributable to the 19.6% increase in our total revenue and to the effect of the $14.1 million restructuring charges and other in fiscal 2003. The increase was partially offset by the 1.7% decrease in our gross margin, as a percentage of revenue, attributable to the relatively lower gross margin of our Managed Services projects in their early stages of implementation.</w:t>
      </w:r>
    </w:p>
    <w:p>
      <w:pPr>
        <w:spacing w:after="0" w:line="187" w:lineRule="exact"/>
        <w:rPr>
          <w:sz w:val="20"/>
          <w:szCs w:val="20"/>
          <w:color w:val="auto"/>
        </w:rPr>
      </w:pPr>
    </w:p>
    <w:p>
      <w:pPr>
        <w:ind w:right="2879" w:firstLine="489"/>
        <w:spacing w:after="0" w:line="250" w:lineRule="auto"/>
        <w:rPr>
          <w:sz w:val="20"/>
          <w:szCs w:val="20"/>
          <w:color w:val="auto"/>
        </w:rPr>
      </w:pPr>
      <w:r>
        <w:rPr>
          <w:rFonts w:ascii="Courier New" w:cs="Courier New" w:eastAsia="Courier New" w:hAnsi="Courier New"/>
          <w:sz w:val="16"/>
          <w:szCs w:val="16"/>
          <w:color w:val="auto"/>
        </w:rPr>
        <w:t>Diluted Earnings Per Share. Diluted earnings per share were $1.08 for fiscal 2004, compared to $0.77 in fiscal 2003. Please see Note 19 to the consolidated financial statements included in this Annual Report.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Cash, cash equivalents and short-term interest-bearing investments totaled $1,145.6 million as of September 30, 2005, compared to $1,190.7 million as of September 30, 2004. The decrease during fiscal 2005 is attributable to the use of approximately $262.3 million in cash paid in connection with our DST Innovis and Longshine acquisitions, approximately $100.0 million to repurchase ordinary shares pursuant to our share repurchase program during fiscal 2005 and the use of $71.4 million in cash for capital expenditures, partially offset by positive cash flows from operations. Net cash provided by operating activities amounted to $381.8 million for fiscal 2005 and $344.4 million for fiscal 2004. We currently intend to retain our future operating cash flows to support the further expansion of our business, including acquisitions.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88"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In March 2004, we issued $450.0 million aggregate principal amount of our 0.50% Notes through a private placement to qualified institutional buyers pursuant to Rule 144A under the Securities Act. We used approximately $170.1 million of the net proceeds from the sale of the 0.50% Notes to repurchase</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80" w:right="1440" w:bottom="1440" w:gutter="0" w:footer="0" w:header="0"/>
        </w:sectPr>
      </w:pPr>
    </w:p>
    <w:bookmarkStart w:id="43" w:name="page44"/>
    <w:bookmarkEnd w:id="43"/>
    <w:p>
      <w:pPr>
        <w:spacing w:after="0" w:line="12"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approximately 6.1 million ordinary shares sold short by purchasers of the 0.50% Notes in negotiated transactions concurrently with the offering. We also used net proceeds and other cash resources to repurchase $400.2 million principal amount of our 2% Notes in 2004. As of September 30, 2005, $0.3 and $450.0 million aggregate principal amount of our 2% Notes and 0.50% Notes were outstanding, respectively.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of September 30, 2005, we had available short-term general revolving lines of credit totaling $31.0 million, pursuant to which $1.0 million of loans were outstanding. In addition, as of September 30, 2005, we had outstanding letters of credit and bank guarantees from various banks totaling $12.3 million.</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As of September 30, 2005, we had outstanding short term loans of $5.4 million, which are secured by specified pledges and guaranties. The following table summarizes our contractual obligations as of September 30, 2005, and the effect such obligations are expected to have on our liquidity and cash flows in future periods (in millions):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CASH PAYMENTS DUE BY PERIOD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both"/>
        <w:ind w:left="140" w:right="7299" w:hanging="47"/>
        <w:spacing w:after="0" w:line="248" w:lineRule="auto"/>
        <w:tabs>
          <w:tab w:leader="none" w:pos="38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OVER CONTRACTUAL OBLIGATIONS TOTAL 1 YEAR 1-3</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YEARS 4-5 YEARS 5 YEARS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 ------------ Convertible</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notes......................</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$458.1 $ 2.5 $455.6 $ -- $ --</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Financing</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arrangements.................</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6.4 6.4 -- -- -- Capital lease</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obligations.............. 2.1</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2.1 -- -- -- Pension</w:t>
      </w:r>
    </w:p>
    <w:p>
      <w:pPr>
        <w:spacing w:after="0" w:line="7"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funding........................</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35.4 3.0 9.7 6.9 15.8 Non-</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cancelable operating</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leases........ 244.2 62.9</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111.8 39.8 29.7 ------ ----- -</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 ----- ----- $746.2 $76.9</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$577.1 $46.7 $45.5 ======</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 ===== =====</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capital expenditures were approximately $71.4 million in fiscal 2005. Approximately 80% of these expenditures consisted of purchases of computer equipment, with the remainder attributable to leasehold improvements. Our policy is to fund our capital expenditures principally from operating cash flows and we do not anticipate any changes to this policy in the foreseeable future.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From time to time, we have engaged in share repurchase programs in which we repurchase our shares in the open market or privately negotiated transactions and at times and prices we deem appropriate. During fiscal 2004, we purchased approximately 9.9 million of our ordinary shares at a weighted average price of $22.64 per share. In December 2004, we extended our share repurchase program for the additional repurchase of up to $100.0 million of our ordinary shares. In accordance with this extension, we repurchased in fiscal 2005 approximately 3.5 million ordinary shares, at an average price of $28.33 per share and an aggregate purchase price of approximately $100.0 million.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DEFERRED TAX ASSETS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of September 30, 2005, deferred tax assets of $14.3 million, derived from net capital and operating loss carry forwards related to some of our subsidiaries, were offset by valuation allowances due to the uncertainty of the realizing any tax benefit for such losses. When realization of the tax benefits associated with such net capital and operating losses is deemed more likely than not, the valuation allowance will be released through income taxes. In September 2003, we released $13.3 million of valuation allowances related to deferred tax assets derived from carry forward operating losses incurred by our Canadian subsidiary.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TAX RATE</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Our effective tax rate for fiscal year 2005 was 20%, compared to 22% in fiscal 2004, due to the corporate income tax rates in the various countries in which we operate and the relative magnitude of our business in those countries.</w:t>
      </w:r>
    </w:p>
    <w:p>
      <w:pPr>
        <w:spacing w:after="0" w:line="185" w:lineRule="exact"/>
        <w:rPr>
          <w:sz w:val="20"/>
          <w:szCs w:val="20"/>
          <w:color w:val="auto"/>
        </w:rPr>
      </w:pPr>
    </w:p>
    <w:p>
      <w:pPr>
        <w:jc w:val="both"/>
        <w:ind w:right="2879" w:firstLine="489"/>
        <w:spacing w:after="0" w:line="250" w:lineRule="auto"/>
        <w:rPr>
          <w:sz w:val="20"/>
          <w:szCs w:val="20"/>
          <w:color w:val="auto"/>
        </w:rPr>
      </w:pPr>
      <w:r>
        <w:rPr>
          <w:rFonts w:ascii="Courier New" w:cs="Courier New" w:eastAsia="Courier New" w:hAnsi="Courier New"/>
          <w:sz w:val="16"/>
          <w:szCs w:val="16"/>
          <w:color w:val="auto"/>
        </w:rPr>
        <w:t>Following the adoption of SFAS No. 142, we no longer amortize goodwill resulting from acquisitions. As a result, goodwill amortization that is not tax-deductible no longer affects our effective tax rate.</w:t>
      </w:r>
    </w:p>
    <w:p>
      <w:pPr>
        <w:spacing w:after="0" w:line="18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We expect our effective tax rate in fiscal 2006 to be between 18% and 20%.</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39</w:t>
      </w:r>
    </w:p>
    <w:p>
      <w:pPr>
        <w:sectPr>
          <w:pgSz w:w="11900" w:h="16850" w:orient="portrait"/>
          <w:cols w:equalWidth="0" w:num="1">
            <w:col w:w="10219"/>
          </w:cols>
          <w:pgMar w:left="240" w:top="680" w:right="1440" w:bottom="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discussion and analysis of our consolidated financial condition and results of operations are based upon our consolidated financial statements, which have been prepared in accordance with U.S. generally accepted accounting principles.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critical accounting policies are as follows:</w:t>
      </w:r>
    </w:p>
    <w:p>
      <w:pPr>
        <w:spacing w:after="0" w:line="195" w:lineRule="exact"/>
        <w:rPr>
          <w:sz w:val="20"/>
          <w:szCs w:val="20"/>
          <w:color w:val="auto"/>
        </w:rPr>
      </w:pPr>
    </w:p>
    <w:p>
      <w:pPr>
        <w:ind w:left="680" w:hanging="191"/>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 and contract accounting</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accounting</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Derivative and hedge accounting</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and intangible assets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Realizability of long-lived assets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reserves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REVENUE RECOGNITION AND CONTRACT ACCOUNTING</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derive our revenue principally from:</w:t>
      </w:r>
    </w:p>
    <w:p>
      <w:pPr>
        <w:spacing w:after="0" w:line="195" w:lineRule="exact"/>
        <w:rPr>
          <w:sz w:val="20"/>
          <w:szCs w:val="20"/>
          <w:color w:val="auto"/>
        </w:rPr>
      </w:pPr>
    </w:p>
    <w:p>
      <w:pPr>
        <w:ind w:left="680" w:right="2599" w:hanging="191"/>
        <w:spacing w:after="0" w:line="252" w:lineRule="auto"/>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sales of licenses to use our products and related services, including modification, implementation and integration services,</w:t>
      </w:r>
    </w:p>
    <w:p>
      <w:pPr>
        <w:spacing w:after="0" w:line="183"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Managed Services and other related services for our solutions, and</w:t>
      </w:r>
    </w:p>
    <w:p>
      <w:pPr>
        <w:spacing w:after="0" w:line="183"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recurring revenue from ongoing support and maintenance provided to our customers, and from incremental license fees resulting from increases in a customer's business volume.</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80" w:right="1440" w:bottom="1440" w:gutter="0" w:footer="0" w:header="0"/>
        </w:sectPr>
      </w:pPr>
    </w:p>
    <w:bookmarkStart w:id="45" w:name="page46"/>
    <w:bookmarkEnd w:id="45"/>
    <w:p>
      <w:pPr>
        <w:ind w:right="2399"/>
        <w:spacing w:after="0" w:line="249" w:lineRule="auto"/>
        <w:rPr>
          <w:sz w:val="20"/>
          <w:szCs w:val="20"/>
          <w:color w:val="auto"/>
        </w:rPr>
      </w:pPr>
      <w:r>
        <w:rPr>
          <w:rFonts w:ascii="Courier New" w:cs="Courier New" w:eastAsia="Courier New" w:hAnsi="Courier New"/>
          <w:sz w:val="16"/>
          <w:szCs w:val="16"/>
          <w:color w:val="auto"/>
        </w:rPr>
        <w:t>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87" w:lineRule="exact"/>
        <w:rPr>
          <w:sz w:val="20"/>
          <w:szCs w:val="20"/>
          <w:color w:val="auto"/>
        </w:rPr>
      </w:pPr>
    </w:p>
    <w:p>
      <w:pPr>
        <w:ind w:right="2799" w:firstLine="489"/>
        <w:spacing w:after="0" w:line="250" w:lineRule="auto"/>
        <w:rPr>
          <w:sz w:val="20"/>
          <w:szCs w:val="20"/>
          <w:color w:val="auto"/>
        </w:rPr>
      </w:pPr>
      <w:r>
        <w:rPr>
          <w:rFonts w:ascii="Courier New" w:cs="Courier New" w:eastAsia="Courier New" w:hAnsi="Courier New"/>
          <w:sz w:val="16"/>
          <w:szCs w:val="16"/>
          <w:color w:val="auto"/>
        </w:rPr>
        <w:t>We follow very specific and detailed guidelines, several of which are discussed above, in measuring revenue; however, certain judgments affect the application of our revenue recognition policy.</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significant portion of our revenue is recognized over the course of long-term projects, under the percentage of completion method of accounting. The percentage of completion method requires significant judgment, such as estimations of progress-to-completion, contract revenue, loss contracts and contract costs.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For arrangements with multiple deliverables, we allocate revenue to each component based upon its relative fair value, which is determined in reliance on the specific objective evidence for that element. Such determination is judgmental and for most contracts is based on normal pricing and discounting practices for those elements in similar arrangements.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Revenue from third-party hardware and software sales is recorded at a gross or net amount according to certain indicators. The application of these indicators for gross and net reporting of revenue depends on the relative facts and circumstances of each sale and requires significant judgment.</w:t>
      </w:r>
    </w:p>
    <w:p>
      <w:pPr>
        <w:spacing w:after="0" w:line="188"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Please see Note 2 to the consolidated financial statements included in this Annual Report.</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TAX ACCOUNTING</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This process involves us estimating our actual current tax exposure, which is accrued as taxes payable, together with assessing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which are reflected in our historical income tax provisions and accruals. Such differences could have a material effect on our income tax provision, net income and cash balances in the period in which such determination is made.</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80" w:right="1440" w:bottom="1440" w:gutter="0" w:footer="0" w:header="0"/>
        </w:sectPr>
      </w:pPr>
    </w:p>
    <w:bookmarkStart w:id="46" w:name="page47"/>
    <w:bookmarkEnd w:id="46"/>
    <w:p>
      <w:pPr>
        <w:ind w:right="2399" w:firstLine="489"/>
        <w:spacing w:after="0" w:line="249" w:lineRule="auto"/>
        <w:rPr>
          <w:sz w:val="20"/>
          <w:szCs w:val="20"/>
          <w:color w:val="auto"/>
        </w:rPr>
      </w:pPr>
      <w:r>
        <w:rPr>
          <w:rFonts w:ascii="Courier New" w:cs="Courier New" w:eastAsia="Courier New" w:hAnsi="Courier New"/>
          <w:sz w:val="16"/>
          <w:szCs w:val="16"/>
          <w:color w:val="auto"/>
        </w:rPr>
        <w:t>We have filed or are in the process of filing federal, state and foreign tax returns that are subject to audit by the respective tax authorities. Although the ultimate outcome is unknown, we believe that adequate amounts have been provided for and any adjustments that may result from tax return audits are not likely to have a material, adverse effect on our consolidated results of operations, financial condition or cash flows.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DERIVATIVE AND HEDGE ACCOUNTING</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Approximately 70% of our revenue and 50% of our operating expenses are denominated in U.S. dollar or linked to the U.S. dollar. We enter into foreign exchange forward contracts to hedge a significant portion of our foreign currency exposure to lower fluctuations in revenue and expenses. The majority of our hedging arrangements are classified as cash flow hedges. Accordingly, changes in the fair value of these forward exchange contracts are recorded in other comprehensive income. We estimate the fair value of such derivative contracts by reference to forward and spot rates quoted in active markets.</w:t>
      </w:r>
    </w:p>
    <w:p>
      <w:pPr>
        <w:spacing w:after="0" w:line="187"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Establishing and accounting for foreign exchange contracts involve judgments, such as determining the nature of the exposure, assessing its amount and timing, and evaluating the effectiveness of the hedging arrangement.</w:t>
      </w:r>
    </w:p>
    <w:p>
      <w:pPr>
        <w:spacing w:after="0" w:line="18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Although we believe that our estimates are accurate and meet the requirement of hedge accounting, actual results differ from these estimates, and such difference could cause fluctuation of our recorded revenue and expenses.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GOODWILL AND INTANGIBLE ASSETS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follow SFAS No. 142, "Goodwill and Other Intangible Assets." Under SFAS No. 142, goodwill and intangible assets deemed to have indefinite lives are no longer amortized but are subject to periodic impairment tests in accordance with the Statement. Goodwill impairment is deemed to exist if the net book value of a reporting unit exceeds its estimated fair value. 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perform an annual impairment test during the fourth quarter of each fiscal year, or more frequently if impairment indicators are present. We operate in one operating segment, and this segment comprises our only reporting unit. In calculating the fair value of the reporting unit, we used a discounted cash flow methodology. There was no impairment of goodwill upon adoption of SFAS No. 142 and there was no impairment at the annual impairment test dates.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REALIZABILITY OF LONG-LIVED ASSETS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are required to assess the impairment of long-lived assets, other than goodwill, tangible and intangible under SFAS No. 144, "Accounting for the Impairment or Disposal of Long-Lived Assets," on a periodic basis, and if events or changes in circumstances indicate that the carrying value may not be recoverable. Impairment indicators include any significant changes in the manner of our use of the assets or the strategy of our overall business, significant negative industry or economic trends and significant decline in our share price for a sustained period.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Upon determination that the carrying value of a long-lived asset may not be recoverable based upon a comparison of fair value to the carrying amount of the asset, an impairment charge is recorded. We measure fair value using an undiscounted projected future cash flow.</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ACCOUNTS RECEIVABLE RESERVES</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The allowance for doubtful accounts is for estimated losses resulting from the inability of our customers to make required payments. We evaluate accounts receivable to determine if they will</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80" w:right="1440" w:bottom="1440" w:gutter="0" w:footer="0" w:header="0"/>
        </w:sectPr>
      </w:pPr>
    </w:p>
    <w:bookmarkStart w:id="47" w:name="page48"/>
    <w:bookmarkEnd w:id="47"/>
    <w:p>
      <w:pPr>
        <w:ind w:right="2399"/>
        <w:spacing w:after="0" w:line="249" w:lineRule="auto"/>
        <w:rPr>
          <w:sz w:val="20"/>
          <w:szCs w:val="20"/>
          <w:color w:val="auto"/>
        </w:rPr>
      </w:pPr>
      <w:r>
        <w:rPr>
          <w:rFonts w:ascii="Courier New" w:cs="Courier New" w:eastAsia="Courier New" w:hAnsi="Courier New"/>
          <w:sz w:val="16"/>
          <w:szCs w:val="16"/>
          <w:color w:val="auto"/>
        </w:rPr>
        <w:t>ultimately be collected. In performing this evaluation, significant judgments and estimates are involved, such as past experience, credit quality of the customer, age of the receivable balance and current economic conditions that may affect a customer's ability to pay. If collection is not reasonably assured at the time the transaction is consummated, we do not recognize revenue until collection becomes reasonably assured. If the financial condition of our customers were to deteriorate, resulting in an impairment of their ability to make payments, additional allowances may be required. The allowance for doubtful accounts is established through a charge to selling, general and administrative expenses.</w:t>
      </w:r>
    </w:p>
    <w:p>
      <w:pPr>
        <w:spacing w:after="0" w:line="375" w:lineRule="exact"/>
        <w:rPr>
          <w:sz w:val="20"/>
          <w:szCs w:val="20"/>
          <w:color w:val="auto"/>
        </w:rPr>
      </w:pPr>
    </w:p>
    <w:p>
      <w:pPr>
        <w:ind w:right="2879" w:firstLine="489"/>
        <w:spacing w:after="0" w:line="250" w:lineRule="auto"/>
        <w:rPr>
          <w:sz w:val="20"/>
          <w:szCs w:val="20"/>
          <w:color w:val="auto"/>
        </w:rPr>
      </w:pPr>
      <w:r>
        <w:rPr>
          <w:rFonts w:ascii="Courier New" w:cs="Courier New" w:eastAsia="Courier New" w:hAnsi="Courier New"/>
          <w:sz w:val="16"/>
          <w:szCs w:val="16"/>
          <w:color w:val="auto"/>
        </w:rPr>
        <w:t>Within the context of these critical accounting policies, we are not currently aware of any reasonably likely events or circumstances that would result in materially different amounts being reported.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ACCOUNTING PRONOUNCEMENTS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STOCK-BASED COMPENSATION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December 2004, the Financial Accounting Standards Board (FASB) issued FASB Statement No. 123 (revised 2004), "Share-Based Payment," which is a revision of SFAS No. 123 (SFAS 123(R)). SFAS 123(R) supersedes APB No. 25, and amends FASB Statement No. 95, "Statement of Cash Flows." Generally, the approach in Statement 123(R) is similar to the approach described in Statement 123. However, SFAS 123(R) requires all share-based payments to employees, including grants of employee stock options, to be recognized in the income statement based on their fair values. Pro forma disclosure is no longer an alternative. In March 2005, the Security and Exchange Commission issued Staff Accounting Bulletin No. 107 ("SAB 107"), which provides supplemental implementation guidance on SFAS 123(R).</w:t>
      </w:r>
    </w:p>
    <w:p>
      <w:pPr>
        <w:spacing w:after="0" w:line="37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We have adopted SFAS 123(R) effective October 1, 2005 using the modified prospective method. We have selected the Black-Scholes option pricing model as the most appropriate fair value method for our awards and will recognize compensation costs using the graded vesting attribution method.</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permitted by SFAS No. 123, we currently account for share-based payments to employees using APB No. 25's intrinsic value method and, as such, generally recognize no compensation cost for employee stock options. Accordingly, the adoption of the SFAS 123(R) fair value method will have a significant impact on our consolidated results of operations, although it will have no impact on our overall consolidated financial position or consolidated cash flows. We expect the compensation charges under SFAS 123(R) to reduce diluted net income per share by approximately $0.16 to $0.20 per share for fiscal 2006. However, our assessment of the estimated compensation charges is affected by our stock price as well as assumptions regarding a number of complex and subjective variables and the related tax impact. These variables include, but are not limited to, the volatility of our stock price and employee stock option exercise behaviors. Had we adopted SFAS 123(R) in prior periods, the impact of that standard would have approximated the impact of SFAS No. 123 as described in the disclosure of pro forma net income and earnings per share in Note 2 to the consolidated financial statements. SFAS 123(R) also requires the benefits of tax deductions in excess of recognized compensation cost to be reported as a financing cash flow, rather than as an operating cash flow as required under current literature. This requirement will reduce net operating cash flows and increase net financing cash flows in periods after adoption. While we cannot estimate what those amounts will be in the future (because they depend on, among other things, when employees exercise stock options), the amount of operating cash flows recognized in prior periods for such excess tax deductions were $3.1 million, $3.1 million, and $0 in fiscal years 2005, 2004 and 2003, respectively.</w:t>
      </w:r>
    </w:p>
    <w:p>
      <w:pPr>
        <w:spacing w:after="0" w:line="186" w:lineRule="exact"/>
        <w:rPr>
          <w:sz w:val="20"/>
          <w:szCs w:val="20"/>
          <w:color w:val="auto"/>
        </w:rPr>
      </w:pPr>
    </w:p>
    <w:p>
      <w:pPr>
        <w:ind w:left="200" w:right="2399"/>
        <w:spacing w:after="0" w:line="252" w:lineRule="auto"/>
        <w:rPr>
          <w:sz w:val="20"/>
          <w:szCs w:val="20"/>
          <w:color w:val="auto"/>
        </w:rPr>
      </w:pPr>
      <w:r>
        <w:rPr>
          <w:rFonts w:ascii="Courier New" w:cs="Courier New" w:eastAsia="Courier New" w:hAnsi="Courier New"/>
          <w:sz w:val="16"/>
          <w:szCs w:val="16"/>
          <w:color w:val="auto"/>
        </w:rPr>
        <w:t>ACCOUNTING FOR MODIFICATIONS TO CONVERSION OPTIONS EMBEDDED IN DEBT SECURITIES AND RELATED ISSUES</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September 2005, the Emerging Issues Task Force ("EITF") reached a consensus on EITF Issue No. 05-7 "Accounting for Modifications to Conversion Options Embedded in Debt Securities and Related Issues" ("Issue 05-7"). Under Issue 05-7 the following consensus have been reached: 1. A change in fair value of a conversion option upon modification should be included in the analysis to determine whether a debt instrument has been extinguished in accordance with Issue 96-19. The incremental fair value resulting</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80" w:right="1440" w:bottom="1440" w:gutter="0" w:footer="0" w:header="0"/>
        </w:sectPr>
      </w:pPr>
    </w:p>
    <w:bookmarkStart w:id="48" w:name="page49"/>
    <w:bookmarkEnd w:id="48"/>
    <w:p>
      <w:pPr>
        <w:ind w:right="2399"/>
        <w:spacing w:after="0" w:line="249" w:lineRule="auto"/>
        <w:rPr>
          <w:sz w:val="20"/>
          <w:szCs w:val="20"/>
          <w:color w:val="auto"/>
        </w:rPr>
      </w:pPr>
      <w:r>
        <w:rPr>
          <w:rFonts w:ascii="Courier New" w:cs="Courier New" w:eastAsia="Courier New" w:hAnsi="Courier New"/>
          <w:sz w:val="16"/>
          <w:szCs w:val="16"/>
          <w:color w:val="auto"/>
        </w:rPr>
        <w:t>from the modification of the conversion option should be included as an upfront cash flow; 2. The incremental fair value of the modification of the conversion option should be recognized as a discount on the convertible debt (with an offsetting entry to additional paid-in capital) that would be accreted to interest expense; 3. The issuer should not recognize a new beneficial conversion feature (BCF) or reassess an existing BCF upon modification of the conversion option in a debt instrument. The consensus should be applied prospectively for interim or annual periods beginning after December 15, 2005. We do not expect the adoption of Issue 05-7 to have a material impact on our consolidated results of operations or financial condition.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LITIGATION AND SECURITIES AND EXCHANGE COMMISSION INVESTIGATION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December 2003, we announced that the United States District Court for the Eastern District of Missouri had issued an order granting our motion to dismiss the securities class action lawsuit that had been pending against us and several of our directors and officers since June 2002. The court's order also directed that judgment be entered in our favor. In December 2004, the United States Court of Appeals for the Eighth Circuit affirmed per curiam the dismissal of the lawsuit.</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2003, we were informed that the Midwest Regional Office of the SEC was conducting a private investigation into the events leading up to our announcement in June 2002 of revised projected revenue for the third and fourth quarters of fiscal 2002. The investigation appeared to be focused on, but was not explicitly limited to, our forecasting beginning with our April 23, 2002 press release. We responded to an initial document request by the SEC but have not received any requests for additional information or had any substantive contact with the SEC with respect to this investigation since 2003. We have cooperated with the SEC staff and believe that we would be able to satisfy any concerns the SEC staff may have as to the matters under investigation. However, given the current status of the investigation, we are still unable to predict the duration, scope, or outcome of the investigation.</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80" w:right="1440" w:bottom="1440" w:gutter="0" w:footer="0" w:header="0"/>
        </w:sectPr>
      </w:pPr>
    </w:p>
    <w:bookmarkStart w:id="49" w:name="page50"/>
    <w:bookmarkEnd w:id="49"/>
    <w:p>
      <w:pPr>
        <w:spacing w:after="0" w:line="1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DIRECTORS, SENIOR MANAGEMENT AND EMPLOYEES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SENIOR MANAGEMENT</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We rely on the executive officers of our principal operating subsidiaries to manage our business. In addition, Amdocs Management Limited, our management subsidiary, performs certain executive coordination functions for all of our operating subsidiaries.</w:t>
      </w:r>
    </w:p>
    <w:p>
      <w:pPr>
        <w:spacing w:after="0" w:line="188"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As of November 30, 2005, our directors, senior managers and key employees upon whose work we are dependent were as follows:</w:t>
      </w:r>
    </w:p>
    <w:p>
      <w:pPr>
        <w:spacing w:after="0" w:line="183"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NAME AGE POSITION - ---- ---- --------</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Bruce K. Anderson(2)</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(4)...................... 65 Chairman of</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the Board, Amdocs Limited Adrian</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Gardner(1)(3).........................</w:t>
      </w:r>
    </w:p>
    <w:p>
      <w:pPr>
        <w:spacing w:after="0" w:line="38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3360" w:type="dxa"/>
            <w:vAlign w:val="bottom"/>
          </w:tcPr>
          <w:p>
            <w:pPr>
              <w:spacing w:after="0"/>
              <w:rPr>
                <w:sz w:val="20"/>
                <w:szCs w:val="20"/>
                <w:color w:val="auto"/>
              </w:rPr>
            </w:pPr>
            <w:r>
              <w:rPr>
                <w:rFonts w:ascii="Courier New" w:cs="Courier New" w:eastAsia="Courier New" w:hAnsi="Courier New"/>
                <w:sz w:val="16"/>
                <w:szCs w:val="16"/>
                <w:color w:val="auto"/>
              </w:rPr>
              <w:t>Foster(1)(3)......................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tabs>
          <w:tab w:leader="dot" w:pos="3640" w:val="left"/>
        </w:tabs>
        <w:rPr>
          <w:sz w:val="20"/>
          <w:szCs w:val="20"/>
          <w:color w:val="auto"/>
        </w:rPr>
      </w:pPr>
      <w:r>
        <w:rPr>
          <w:rFonts w:ascii="Courier New" w:cs="Courier New" w:eastAsia="Courier New" w:hAnsi="Courier New"/>
          <w:sz w:val="16"/>
          <w:szCs w:val="16"/>
          <w:color w:val="auto"/>
        </w:rPr>
        <w:t>Brodsky(3)</w:t>
      </w:r>
      <w:r>
        <w:rPr>
          <w:sz w:val="20"/>
          <w:szCs w:val="20"/>
          <w:color w:val="auto"/>
        </w:rPr>
        <w:tab/>
      </w:r>
      <w:r>
        <w:rPr>
          <w:rFonts w:ascii="Courier New" w:cs="Courier New" w:eastAsia="Courier New" w:hAnsi="Courier New"/>
          <w:sz w:val="16"/>
          <w:szCs w:val="16"/>
          <w:color w:val="auto"/>
        </w:rPr>
        <w:t>72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Director, Amdocs Limited Nehemia</w:t>
      </w:r>
    </w:p>
    <w:p>
      <w:pPr>
        <w:spacing w:after="0" w:line="7" w:lineRule="exact"/>
        <w:rPr>
          <w:sz w:val="20"/>
          <w:szCs w:val="20"/>
          <w:color w:val="auto"/>
        </w:rPr>
      </w:pPr>
    </w:p>
    <w:p>
      <w:pPr>
        <w:ind w:left="40"/>
        <w:spacing w:after="0"/>
        <w:tabs>
          <w:tab w:leader="dot" w:pos="3740" w:val="left"/>
        </w:tabs>
        <w:rPr>
          <w:sz w:val="20"/>
          <w:szCs w:val="20"/>
          <w:color w:val="auto"/>
        </w:rPr>
      </w:pPr>
      <w:r>
        <w:rPr>
          <w:rFonts w:ascii="Courier New" w:cs="Courier New" w:eastAsia="Courier New" w:hAnsi="Courier New"/>
          <w:sz w:val="16"/>
          <w:szCs w:val="16"/>
          <w:color w:val="auto"/>
        </w:rPr>
        <w:t>Lemelbaum(4)</w:t>
      </w:r>
      <w:r>
        <w:rPr>
          <w:sz w:val="20"/>
          <w:szCs w:val="20"/>
          <w:color w:val="auto"/>
        </w:rPr>
        <w:tab/>
      </w:r>
      <w:r>
        <w:rPr>
          <w:rFonts w:ascii="Courier New" w:cs="Courier New" w:eastAsia="Courier New" w:hAnsi="Courier New"/>
          <w:sz w:val="16"/>
          <w:szCs w:val="16"/>
          <w:color w:val="auto"/>
        </w:rPr>
        <w:t>63</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Director, Amdocs Limited John T.</w:t>
      </w:r>
    </w:p>
    <w:p>
      <w:pPr>
        <w:spacing w:after="0" w:line="7" w:lineRule="exact"/>
        <w:rPr>
          <w:sz w:val="20"/>
          <w:szCs w:val="20"/>
          <w:color w:val="auto"/>
        </w:rPr>
      </w:pPr>
    </w:p>
    <w:p>
      <w:pPr>
        <w:ind w:left="40"/>
        <w:spacing w:after="0"/>
        <w:tabs>
          <w:tab w:leader="dot" w:pos="3740" w:val="left"/>
        </w:tabs>
        <w:rPr>
          <w:sz w:val="20"/>
          <w:szCs w:val="20"/>
          <w:color w:val="auto"/>
        </w:rPr>
      </w:pPr>
      <w:r>
        <w:rPr>
          <w:rFonts w:ascii="Courier New" w:cs="Courier New" w:eastAsia="Courier New" w:hAnsi="Courier New"/>
          <w:sz w:val="16"/>
          <w:szCs w:val="16"/>
          <w:color w:val="auto"/>
        </w:rPr>
        <w:t>McLennan(1)</w:t>
      </w:r>
      <w:r>
        <w:rPr>
          <w:sz w:val="20"/>
          <w:szCs w:val="20"/>
          <w:color w:val="auto"/>
        </w:rPr>
        <w:tab/>
      </w:r>
      <w:r>
        <w:rPr>
          <w:rFonts w:ascii="Courier New" w:cs="Courier New" w:eastAsia="Courier New" w:hAnsi="Courier New"/>
          <w:sz w:val="16"/>
          <w:szCs w:val="16"/>
          <w:color w:val="auto"/>
        </w:rPr>
        <w:t>60</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Director, Amdocs Limited Robert A.</w:t>
      </w:r>
    </w:p>
    <w:p>
      <w:pPr>
        <w:spacing w:after="0" w:line="7" w:lineRule="exact"/>
        <w:rPr>
          <w:sz w:val="20"/>
          <w:szCs w:val="20"/>
          <w:color w:val="auto"/>
        </w:rPr>
      </w:pPr>
    </w:p>
    <w:p>
      <w:pPr>
        <w:ind w:left="140"/>
        <w:spacing w:after="0"/>
        <w:tabs>
          <w:tab w:leader="dot" w:pos="3640" w:val="left"/>
        </w:tabs>
        <w:rPr>
          <w:sz w:val="20"/>
          <w:szCs w:val="20"/>
          <w:color w:val="auto"/>
        </w:rPr>
      </w:pPr>
      <w:r>
        <w:rPr>
          <w:rFonts w:ascii="Courier New" w:cs="Courier New" w:eastAsia="Courier New" w:hAnsi="Courier New"/>
          <w:sz w:val="16"/>
          <w:szCs w:val="16"/>
          <w:color w:val="auto"/>
        </w:rPr>
        <w:t>Minicucci(2)(4)</w:t>
      </w:r>
      <w:r>
        <w:rPr>
          <w:sz w:val="20"/>
          <w:szCs w:val="20"/>
          <w:color w:val="auto"/>
        </w:rPr>
        <w:tab/>
      </w:r>
      <w:r>
        <w:rPr>
          <w:rFonts w:ascii="Courier New" w:cs="Courier New" w:eastAsia="Courier New" w:hAnsi="Courier New"/>
          <w:sz w:val="16"/>
          <w:szCs w:val="16"/>
          <w:color w:val="auto"/>
        </w:rPr>
        <w:t>53</w:t>
      </w: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Director, Amdocs Limited Simon</w:t>
      </w:r>
    </w:p>
    <w:p>
      <w:pPr>
        <w:spacing w:after="0" w:line="7" w:lineRule="exact"/>
        <w:rPr>
          <w:sz w:val="20"/>
          <w:szCs w:val="20"/>
          <w:color w:val="auto"/>
        </w:rPr>
      </w:pPr>
    </w:p>
    <w:p>
      <w:pPr>
        <w:ind w:left="100"/>
        <w:spacing w:after="0"/>
        <w:tabs>
          <w:tab w:leader="none" w:pos="1060" w:val="left"/>
        </w:tabs>
        <w:rPr>
          <w:sz w:val="20"/>
          <w:szCs w:val="20"/>
          <w:color w:val="auto"/>
        </w:rPr>
      </w:pPr>
      <w:r>
        <w:rPr>
          <w:rFonts w:ascii="Courier New" w:cs="Courier New" w:eastAsia="Courier New" w:hAnsi="Courier New"/>
          <w:sz w:val="16"/>
          <w:szCs w:val="16"/>
          <w:color w:val="auto"/>
        </w:rPr>
        <w:t>Olswang(1)</w:t>
        <w:tab/>
        <w:t>.............................</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62 Director, Amdocs Limited Mario</w:t>
      </w:r>
    </w:p>
    <w:p>
      <w:pPr>
        <w:spacing w:after="0" w:line="7" w:lineRule="exact"/>
        <w:rPr>
          <w:sz w:val="20"/>
          <w:szCs w:val="20"/>
          <w:color w:val="auto"/>
        </w:rPr>
      </w:pPr>
    </w:p>
    <w:p>
      <w:pPr>
        <w:ind w:left="100"/>
        <w:spacing w:after="0"/>
        <w:tabs>
          <w:tab w:leader="none" w:pos="560" w:val="left"/>
        </w:tabs>
        <w:rPr>
          <w:sz w:val="20"/>
          <w:szCs w:val="20"/>
          <w:color w:val="auto"/>
        </w:rPr>
      </w:pPr>
      <w:r>
        <w:rPr>
          <w:rFonts w:ascii="Courier New" w:cs="Courier New" w:eastAsia="Courier New" w:hAnsi="Courier New"/>
          <w:sz w:val="16"/>
          <w:szCs w:val="16"/>
          <w:color w:val="auto"/>
        </w:rPr>
        <w:t>Segal</w:t>
        <w:tab/>
        <w:t>..................................</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58 Director, Amdocs Limited Dov</w:t>
      </w:r>
    </w:p>
    <w:p>
      <w:pPr>
        <w:spacing w:after="0" w:line="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Baharav(4)</w:t>
        <w:tab/>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55 Director, Amdocs Limited; President</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and Chief Executive Officer, Amdocs</w:t>
      </w:r>
    </w:p>
    <w:p>
      <w:pPr>
        <w:spacing w:after="0" w:line="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Management Limited Eli</w:t>
      </w:r>
    </w:p>
    <w:p>
      <w:pPr>
        <w:spacing w:after="0" w:line="7"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Gelman</w:t>
        <w:tab/>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47 Director, Amdocs Limited; Executive</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Vice President, Amdocs Management</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Limited Ron</w:t>
      </w:r>
    </w:p>
    <w:p>
      <w:pPr>
        <w:spacing w:after="0" w:line="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Moskovitz</w:t>
        <w:tab/>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42 Senior Vice President and Chief</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Financial Officer, Amdocs Management</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Limited Harel</w:t>
      </w:r>
    </w:p>
    <w:p>
      <w:pPr>
        <w:spacing w:after="0" w:line="7" w:lineRule="exact"/>
        <w:rPr>
          <w:sz w:val="20"/>
          <w:szCs w:val="20"/>
          <w:color w:val="auto"/>
        </w:rPr>
      </w:pPr>
    </w:p>
    <w:p>
      <w:pPr>
        <w:ind w:left="100"/>
        <w:spacing w:after="0"/>
        <w:tabs>
          <w:tab w:leader="none" w:pos="660" w:val="left"/>
        </w:tabs>
        <w:rPr>
          <w:sz w:val="20"/>
          <w:szCs w:val="20"/>
          <w:color w:val="auto"/>
        </w:rPr>
      </w:pPr>
      <w:r>
        <w:rPr>
          <w:rFonts w:ascii="Courier New" w:cs="Courier New" w:eastAsia="Courier New" w:hAnsi="Courier New"/>
          <w:sz w:val="16"/>
          <w:szCs w:val="16"/>
          <w:color w:val="auto"/>
        </w:rPr>
        <w:t>Kodesh</w:t>
        <w:tab/>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47 Senior Vice President and Chief</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Products Officer, Amdocs Management</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Limited Michael</w:t>
      </w:r>
    </w:p>
    <w:p>
      <w:pPr>
        <w:spacing w:after="0" w:line="7" w:lineRule="exact"/>
        <w:rPr>
          <w:sz w:val="20"/>
          <w:szCs w:val="20"/>
          <w:color w:val="auto"/>
        </w:rPr>
      </w:pPr>
    </w:p>
    <w:p>
      <w:pPr>
        <w:ind w:left="40"/>
        <w:spacing w:after="0"/>
        <w:tabs>
          <w:tab w:leader="dot" w:pos="3740" w:val="left"/>
        </w:tabs>
        <w:rPr>
          <w:sz w:val="20"/>
          <w:szCs w:val="20"/>
          <w:color w:val="auto"/>
        </w:rPr>
      </w:pPr>
      <w:r>
        <w:rPr>
          <w:rFonts w:ascii="Courier New" w:cs="Courier New" w:eastAsia="Courier New" w:hAnsi="Courier New"/>
          <w:sz w:val="16"/>
          <w:szCs w:val="16"/>
          <w:color w:val="auto"/>
        </w:rPr>
        <w:t>Matthews</w:t>
      </w:r>
      <w:r>
        <w:rPr>
          <w:sz w:val="20"/>
          <w:szCs w:val="20"/>
          <w:color w:val="auto"/>
        </w:rPr>
        <w:tab/>
      </w:r>
      <w:r>
        <w:rPr>
          <w:rFonts w:ascii="Courier New" w:cs="Courier New" w:eastAsia="Courier New" w:hAnsi="Courier New"/>
          <w:sz w:val="16"/>
          <w:szCs w:val="16"/>
          <w:color w:val="auto"/>
        </w:rPr>
        <w:t>49</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Senior Vice President and Chief</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Marketing Officer, Amdocs Management</w:t>
      </w:r>
    </w:p>
    <w:p>
      <w:pPr>
        <w:spacing w:after="0" w:line="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Limited Thomas G.</w:t>
      </w:r>
    </w:p>
    <w:p>
      <w:pPr>
        <w:spacing w:after="0" w:line="7" w:lineRule="exact"/>
        <w:rPr>
          <w:sz w:val="20"/>
          <w:szCs w:val="20"/>
          <w:color w:val="auto"/>
        </w:rPr>
      </w:pPr>
    </w:p>
    <w:p>
      <w:pPr>
        <w:ind w:left="140"/>
        <w:spacing w:after="0"/>
        <w:tabs>
          <w:tab w:leader="dot" w:pos="3640" w:val="left"/>
        </w:tabs>
        <w:rPr>
          <w:sz w:val="20"/>
          <w:szCs w:val="20"/>
          <w:color w:val="auto"/>
        </w:rPr>
      </w:pPr>
      <w:r>
        <w:rPr>
          <w:rFonts w:ascii="Courier New" w:cs="Courier New" w:eastAsia="Courier New" w:hAnsi="Courier New"/>
          <w:sz w:val="16"/>
          <w:szCs w:val="16"/>
          <w:color w:val="auto"/>
        </w:rPr>
        <w:t>O'Brien</w:t>
      </w:r>
      <w:r>
        <w:rPr>
          <w:sz w:val="20"/>
          <w:szCs w:val="20"/>
          <w:color w:val="auto"/>
        </w:rPr>
        <w:tab/>
      </w:r>
      <w:r>
        <w:rPr>
          <w:rFonts w:ascii="Courier New" w:cs="Courier New" w:eastAsia="Courier New" w:hAnsi="Courier New"/>
          <w:sz w:val="16"/>
          <w:szCs w:val="16"/>
          <w:color w:val="auto"/>
        </w:rPr>
        <w:t>45</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Treasurer and Secretary, Amdocs Limited</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Melinos</w:t>
      </w:r>
    </w:p>
    <w:p>
      <w:pPr>
        <w:spacing w:after="0" w:line="7" w:lineRule="exact"/>
        <w:rPr>
          <w:sz w:val="20"/>
          <w:szCs w:val="20"/>
          <w:color w:val="auto"/>
        </w:rPr>
      </w:pPr>
    </w:p>
    <w:p>
      <w:pPr>
        <w:ind w:left="40"/>
        <w:spacing w:after="0"/>
        <w:tabs>
          <w:tab w:leader="dot" w:pos="3740" w:val="left"/>
        </w:tabs>
        <w:rPr>
          <w:sz w:val="20"/>
          <w:szCs w:val="20"/>
          <w:color w:val="auto"/>
        </w:rPr>
      </w:pPr>
      <w:r>
        <w:rPr>
          <w:rFonts w:ascii="Courier New" w:cs="Courier New" w:eastAsia="Courier New" w:hAnsi="Courier New"/>
          <w:sz w:val="16"/>
          <w:szCs w:val="16"/>
          <w:color w:val="auto"/>
        </w:rPr>
        <w:t>Pissourios</w:t>
      </w:r>
      <w:r>
        <w:rPr>
          <w:sz w:val="20"/>
          <w:szCs w:val="20"/>
          <w:color w:val="auto"/>
        </w:rPr>
        <w:tab/>
      </w:r>
      <w:r>
        <w:rPr>
          <w:rFonts w:ascii="Courier New" w:cs="Courier New" w:eastAsia="Courier New" w:hAnsi="Courier New"/>
          <w:sz w:val="16"/>
          <w:szCs w:val="16"/>
          <w:color w:val="auto"/>
        </w:rPr>
        <w:t>37</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Managing Director and General Manager,</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Amdocs Development Limited</w:t>
      </w:r>
    </w:p>
    <w:p>
      <w:pPr>
        <w:spacing w:after="0" w:line="383" w:lineRule="exact"/>
        <w:rPr>
          <w:sz w:val="20"/>
          <w:szCs w:val="20"/>
          <w:color w:val="auto"/>
        </w:rPr>
      </w:pPr>
    </w:p>
    <w:p>
      <w:pPr>
        <w:ind w:left="200" w:hanging="200"/>
        <w:spacing w:after="0"/>
        <w:tabs>
          <w:tab w:leader="none" w:pos="20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Committee</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Nominating and Corporate Governance Committee</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Executive Committee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Bruce K. Anderson has been Chairman of the Board of Directors of Amdocs since September 1997. Since August 1978, Mr. Anderson has been a general partner of Welsh, Carson, Anderson &amp; Stowe ("WCAS"), an investment firm that specializes in the acquisition of companies in the information and business services and health care industries. Until September 2003, investment partnerships affiliated with WCAS had been among our largest shareholders. Mr. Anderson served for nine years with Automated</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45</w:t>
      </w:r>
    </w:p>
    <w:p>
      <w:pPr>
        <w:sectPr>
          <w:pgSz w:w="11900" w:h="16850" w:orient="portrait"/>
          <w:cols w:equalWidth="0" w:num="1">
            <w:col w:w="10219"/>
          </w:cols>
          <w:pgMar w:left="240" w:top="680" w:right="1440" w:bottom="0" w:gutter="0" w:footer="0" w:header="0"/>
        </w:sectPr>
      </w:pPr>
    </w:p>
    <w:bookmarkStart w:id="50" w:name="page51"/>
    <w:bookmarkEnd w:id="50"/>
    <w:p>
      <w:pPr>
        <w:ind w:right="2499"/>
        <w:spacing w:after="0" w:line="249" w:lineRule="auto"/>
        <w:rPr>
          <w:sz w:val="20"/>
          <w:szCs w:val="20"/>
          <w:color w:val="auto"/>
        </w:rPr>
      </w:pPr>
      <w:r>
        <w:rPr>
          <w:rFonts w:ascii="Courier New" w:cs="Courier New" w:eastAsia="Courier New" w:hAnsi="Courier New"/>
          <w:sz w:val="16"/>
          <w:szCs w:val="16"/>
          <w:color w:val="auto"/>
        </w:rPr>
        <w:t>Data Processing, Inc. ("ADP") until his resignation as Executive Vice President and a director of ADP, and President of ADP International, effective August 1978. Mr. Anderson serves on the board of Alliance Data Systems, Inc., a publicly held company that provides transaction, credit and marketing services to large consumer based businesses, and Headstrong, Inc., a global consultancy firm.</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Adrian Gardner has been a director of Amdocs since April 1998 and is Chairman of the Audit Committee. Mr. Gardner is the Chief Financial Officer and a director of ProStrakan Group plc, a pharmaceuticals company based in the United Kingdom and listed on the London Stock Exchange, which he joined in April 2002.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Charles E. Foster has been a director of Amdocs since December 2001 and is Chairman of the Nominating and Corporate Governance Committee.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On November 18, 2005, SBC acquired AT&amp;T Corp. and became AT&amp;T Inc., which we refer to as AT&amp;T. AT&amp;T, together with its affiliates, holds 5.3% of our outstanding ordinary shares and is a significant customer of ours. Mr. Foster serves as trustee of the Southwest Foundation for Bio-Medical Research, a non-profit research institute. Mr. Foster is a member of the Texas Society of Professional Engineers.</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James S. Kahan has been a director of Amdocs since April 1998 and is Chairman of the Compensation Committee. Since 1983, he has worked at SBC, which is now known as AT&amp;T, and currently serves as a Senior Executive Vice President, a position he has held since 1992. AT&amp;T, together with its affiliates, holds</w:t>
      </w:r>
    </w:p>
    <w:p>
      <w:pPr>
        <w:spacing w:after="0" w:line="3"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5.3% of our outstanding ordinary shares and is a significant customer of ours. Prior to joining AT&amp;T, Mr. Kahan held various positions at several telecommunications companies, including Western Electric, Bell Laboratories, South Central Bell and AT&amp;T Corp.</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Julian A. Brodsky has been a director of Amdocs since July 2003. Mr. Brodsky has served as a director and as Vice Chairman of Comcast Corporation for more than five years. Prior to November 2002, he served as a director and Vice Chairman of Comcast Holdings for more than five years. For five years prior to May 2004, Mr. Brodsky was Chairman of Comcast Interactive Capital, LP, a venture fund affiliated with Comcast. He is also a director of RBB Fund, Inc.</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Nehemia Lemelbaum has been a director of Amdocs since December 2001 and was a Senior Vice President of Amdocs Management Limited from 1985 until January 2005. He joined Amdocs in 1985, with initial responsibility for U.S. operations. Mr. Lemelbaum led our development of graphic products for the yellow pages industry and later led our development of customer care and billing systems, as well as our penetration into that market. Prior to joining Amdocs, he served for nine years with Contahal Ltd., a leading Israeli software company, first as a senior consultant, and later as Managing Director. From 1967 to 1976, Mr. Lemelbaum was employed by the Ministry of Communications of Israel (the organization that predated Bezeq, the Israel Telecommunication Corp. Ltd.), with responsibility for computer technology in the area of business data processing.</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John T. McLennan has been a director of Amdocs since November 1999.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Manitoba Telephone Systems, Air Canada Enterprises, Emera Inc., a Canadian publicly held energy services company, Hummingbird Ltd., a</w:t>
      </w:r>
    </w:p>
    <w:p>
      <w:pPr>
        <w:spacing w:after="0" w:line="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80" w:right="1440" w:bottom="1440" w:gutter="0" w:footer="0" w:header="0"/>
        </w:sectPr>
      </w:pPr>
    </w:p>
    <w:bookmarkStart w:id="51" w:name="page52"/>
    <w:bookmarkEnd w:id="51"/>
    <w:p>
      <w:pPr>
        <w:ind w:right="2499"/>
        <w:spacing w:after="0" w:line="250" w:lineRule="auto"/>
        <w:rPr>
          <w:sz w:val="20"/>
          <w:szCs w:val="20"/>
          <w:color w:val="auto"/>
        </w:rPr>
      </w:pPr>
      <w:r>
        <w:rPr>
          <w:rFonts w:ascii="Courier New" w:cs="Courier New" w:eastAsia="Courier New" w:hAnsi="Courier New"/>
          <w:sz w:val="16"/>
          <w:szCs w:val="16"/>
          <w:color w:val="auto"/>
        </w:rPr>
        <w:t>Canadian publicly held enterprise management software company, Medisys Health Group Inc., a Canadian publicly held health services company, and several other private software and communication companies.</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Robert A. Minicucci has been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twelve years with Lehman Brothers (and its predecessors) until his resignation as a Managing Director in 1991. Mr. Minicucci is also a director of Alliance Data Systems, Inc., a publicly held company, and several private companies.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Simon Olswang has been a director of Amdocs since November 2004. He recently retired as Chairman of Olswang, a media and communications law firm in the United Kingdom that he founded in 1981. He is a member of the Board of Directors of The British Library, DIC Entertainment Corporation, the Intellectual Property Institute, London, and the British Screen Advisory Council and has served as a non-executive director of a number of companies and organizations, including Aegis Group plc, The Press Association and the British Film Institute. Mr. Olswang serves as Chairman of Governors of Langdon College of Further (Special) Education in Salford, of which he is a co-founder and trustee.</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Mario Segal has been a director of Amdocs since December 2001 and served as a Senior Vice President and the Chief Operating Officer of Amdocs Management Limited from 1995 until July 2002. He joined Amdocs in 1984 as Senior Vice President and was a leading member of the team that developed our directory automation systems and our customer care and billing systems platform. Prior to joining Amdocs, Mr. Segal was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Dov Baharav has been a director of Amdocs and the President and Chief Executive Officer of Amdocs Management Limited, our wholly owned subsidiary, since July 2002. Mr. Baharav has overall coordination responsibilities for the operations and activities of our operating subsidiaries. In 1991, Mr. Baharav joined Amdocs Inc., our principal wholly owned U.S. subsidiary, serving as its Vice President and then President in St. Louis, Missouri until 1995. From 1995 until July 2002, Mr. Baharav was a Senior Vice President and the Chief Financial Officer of Amdocs Management Limited. Prior to joining Amdocs, Mr. Baharav served as Chief Operating Officer of Optrotech Ltd., a publicly held company that develops, manufactures and markets electro-optical devices.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Eli Gelman has been a director of Amdocs and the Executive Vice President of Amdocs Management Limited since July 2002. Mr. Gelman has responsibility for sales, strategic alliances and corporate and business development. He has more than 27 years of experience in the software industry, including the last 16 years with Amdocs. Prior to his current position, he was a division president, where he headed our United States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Ron Moskovitz has been Senior Vice President and the Chief Financial Officer of Amdocs Management Limited since July 2002, and has overall coordination responsibility for the financial reporting of our operating subsidiaries. Mr. Moskovitz joined Amdocs in 1998 and served until July 2002 as Vice President of Finance. He has been responsible for the Company's financial organization, and was involved in Amdocs' initial public offering, merger and acquisition activities and various other financial operations. Prior to joining Amdocs, Mr. Moskovitz served in various senior financial positions with Tower Semiconductor, a publicly held semiconductor manufacturer. Mr. Moskovitz is a Certified Public Accountant (Isr) and holds an MBA degree.</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80" w:right="1440" w:bottom="1440" w:gutter="0" w:footer="0" w:header="0"/>
        </w:sectPr>
      </w:pPr>
    </w:p>
    <w:bookmarkStart w:id="52" w:name="page53"/>
    <w:bookmarkEnd w:id="52"/>
    <w:p>
      <w:pPr>
        <w:ind w:right="2599" w:firstLine="489"/>
        <w:spacing w:after="0" w:line="249" w:lineRule="auto"/>
        <w:rPr>
          <w:sz w:val="20"/>
          <w:szCs w:val="20"/>
          <w:color w:val="auto"/>
        </w:rPr>
      </w:pPr>
      <w:r>
        <w:rPr>
          <w:rFonts w:ascii="Courier New" w:cs="Courier New" w:eastAsia="Courier New" w:hAnsi="Courier New"/>
          <w:sz w:val="16"/>
          <w:szCs w:val="16"/>
          <w:color w:val="auto"/>
        </w:rPr>
        <w:t>Harel Kodesh has been the Chief Products Officer of Amdocs Management Limited since 2003. Mr. Kodesh oversees Amdocs' product activities and is responsible for the company's technological vision and execution. From 2000 until 2003, Mr. Kodesh served as president and chief executive officer of Wingcast LLC, a joint venture between Qualcomm Inc. and Ford Motor Company formed to offer telecommunications and other technology services for vehicles. Between 1990 and 2000, Mr. Kodesh held executive positions at Microsoft Corp., where he served from 1998 until 2000 as vice president of its information appliances division.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Michael Matthews has been with Amdocs since February 2003 and is the Chief Marketing Officer of Amdocs Management Limited. He has more than twenty-five years experience across a broad spectrum of disciplines in high technology companies. From 1999 until February 2003, he was an early investor, strategist and operating executive at Groove Networks, a privately held start-up technology company. From 1996 through 1999, Mr. Matthews was executive vice president, worldwide marketing for PLATINUM Technology Inc., a database management company that has since been acquired by Computer Associates International Inc. Mr. Matthews began his career in Australia selling computers for NCR Corporation and has also worked with Digital Equipment Corp. and Sterling Software Inc. as sales and marketing manager and vice president, business development, respectively. He holds a degree in Civil Engineering from the University of Queensland (Australia).</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Thomas G. O'Brien has been Treasurer and Secretary of Amdocs Limited since</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1998 and has held other financial management positions within Amdocs since 1995. From 1993 to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 Mr. O'Brien is a member of the American Institute of Certified Public Accountants.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Melinos Pissourios has been the Managing Director and General Manager of Amdocs Development Limited since April 1998. Mr. Pissourios is also the Financial Controller of Amdocs Development Limited in Cyprus. Prior to joining Amdocs, Mr. Pissourios was the Group Financial Controller at AEC Holland Group. He also worked for KPMG Peat Marwick for four years. Mr. Pissourios is a member of the Institute of Chartered Accountants of England &amp; Wales and of the Cyprus Institute of Certified Public Accountants and he is a registered auditor in Cyprus.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directors who are not employees of the Company, which we refer to as our Non-Employee Directors, receive compensation for their services as directors in the form of cash and options to purchase ordinary shares. Our compensation policy provides that each Non-Employee Director receives an annual cash payment of $35,000. Each member of our Audit and Executive Committees receives an annual cash payment of $10,000. In addition, the chairmen of our Audit and Executive Committees each receive an annual cash payment of $10,000 and the chairmen of our Compensation and Nominating and Corporate Governance Committees each receive an annual cash payment of $5,000. Upon election or appointment to our Board of Directors, each Non-Employee Directors also receives an initial option grant for the purchase of 12,000 ordinary shares. Thereafter, Non-Employee Directors receive an annual option grant for the purchase of 7,500 ordinary shares. All option grants to our Non-Employee Directors vest as to one-quarter of the shares immediately, with the remainder vesting annually in three equal installments. The exercise price of all options granted to our Non-Employee Directors is the market price of our shares on the last trading day preceding the grant date. Each Non-Employee Director receives $1,500 per meeting of the Board of Directors and $1,000 per meeting of a committee of the Board of Directors, except for Non-Employee Directors who are members of our Audit Committee or Executive Committee, who each receive $2,000 per meeting. We reimburse all of our directors for their reasonable travel expenses incurred in connection with attending Board or committee meetings.</w:t>
      </w:r>
    </w:p>
    <w:p>
      <w:pPr>
        <w:spacing w:after="0" w:line="186"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During fiscal 2005, we granted to nine Non-Employee Directors options to purchase an aggregate of 78,000 ordinary shares at a weighted average price of $24.45 per share, with vesting over three year terms.</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81" w:right="1440" w:bottom="1440" w:gutter="0" w:footer="0" w:header="0"/>
        </w:sectPr>
      </w:pPr>
    </w:p>
    <w:bookmarkStart w:id="53" w:name="page54"/>
    <w:bookmarkEnd w:id="53"/>
    <w:p>
      <w:pPr>
        <w:jc w:val="both"/>
        <w:ind w:right="2699" w:firstLine="489"/>
        <w:spacing w:after="0" w:line="250" w:lineRule="auto"/>
        <w:rPr>
          <w:sz w:val="20"/>
          <w:szCs w:val="20"/>
          <w:color w:val="auto"/>
        </w:rPr>
      </w:pPr>
      <w:r>
        <w:rPr>
          <w:rFonts w:ascii="Courier New" w:cs="Courier New" w:eastAsia="Courier New" w:hAnsi="Courier New"/>
          <w:sz w:val="16"/>
          <w:szCs w:val="16"/>
          <w:color w:val="auto"/>
        </w:rPr>
        <w:t>All options were granted pursuant to our 1998 Stock Option and Incentive Plan, as amended. See discussion below -- "Share Ownership -- Employee Stock Option and Incentive Plan".</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total of 18 persons who served either as directors of Amdocs or members of its administrative, supervisory or management bodies during all or part of fiscal 2005 received remuneration from Amdocs. The aggregate remuneration paid by us to such persons was approximately $9.3 million, which includes amounts set aside or accrued to provide pension, retirement or similar benefits, but does not include amounts expended by us for automobiles made available to such persons, expenses (including business travel, professional and business association dues) or other fringe benefits. Included in this amount is remuneration to one former officer for the applicable portion of fiscal 2005.</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PRACTICES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Board of Directors is comprised of 12 directors, each of whom was elected to our Board of Directors at our annual meeting of shareholders on January 20, 2005, and our Board of Directors has one vacancy. 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Executive officers of Amdocs are elected by the Board of Directors on an annual basis and serve until the next annual meeting of the Board of Directors or until their respective successors have been duly elected and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and qualified or their positions are earlier vacated by resignation or otherwise.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Other than the employment agreements between us and the President and Chief Executive Officer of Amdocs Management Limited, and the Executive Vice President of Amdocs Management Limited, which provide for immediate cash severance upon termination of employment, there are currently no service contracts in effect between us and any of our directors providing for immediate cash severance upon termination of their employment.</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BOARD COMMITTEES</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Our Board of Directors has formed four committees set forth below. Members of each committee are appointed by the Board of Directors.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Audit Committee reviews, acts on and reports to the Board of Directors with respect to various auditing and accounting matters, including the selection of our auditors, the scope of the annual audits, fees to be paid to the auditors, the performance of our independent auditors, and assists with the Board of Directors' oversight of our accounting practices, financial statement integrity and compliance with legal and regulatory requirements. The current members of our Audit Committee are Messrs. Gardner (Chair), Foster, McLennan and Olswang, all of whom are independent directors, as defined by the rules of the NYSE,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the NYSE. The Audit Committee written charter is available on our website at www.amdocs.com.</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Brodsky, Gardner and Kahan, all of whom are independent directors, as required by the NYSE listing standards, and pursuant to the categorical</w:t>
      </w:r>
    </w:p>
    <w:p>
      <w:pPr>
        <w:spacing w:after="0" w:line="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80" w:right="1440" w:bottom="1440" w:gutter="0" w:footer="0" w:header="0"/>
        </w:sectPr>
      </w:pPr>
    </w:p>
    <w:bookmarkStart w:id="54" w:name="page55"/>
    <w:bookmarkEnd w:id="54"/>
    <w:p>
      <w:pPr>
        <w:ind w:right="2399"/>
        <w:spacing w:after="0" w:line="249" w:lineRule="auto"/>
        <w:rPr>
          <w:sz w:val="20"/>
          <w:szCs w:val="20"/>
          <w:color w:val="auto"/>
        </w:rPr>
      </w:pPr>
      <w:r>
        <w:rPr>
          <w:rFonts w:ascii="Courier New" w:cs="Courier New" w:eastAsia="Courier New" w:hAnsi="Courier New"/>
          <w:sz w:val="16"/>
          <w:szCs w:val="16"/>
          <w:color w:val="auto"/>
        </w:rPr>
        <w:t>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 whom are independent directors, as defined by the rules of the NYSE, and pursuant to the categorical director independence standards adopted by our Board of Directors. The Compensation Committee written charter is available on our website at www.amdocs.com.</w:t>
      </w:r>
    </w:p>
    <w:p>
      <w:pPr>
        <w:spacing w:after="0" w:line="187" w:lineRule="exact"/>
        <w:rPr>
          <w:sz w:val="20"/>
          <w:szCs w:val="20"/>
          <w:color w:val="auto"/>
        </w:rPr>
      </w:pPr>
    </w:p>
    <w:p>
      <w:pPr>
        <w:ind w:right="2399" w:firstLine="489"/>
        <w:spacing w:after="0" w:line="251" w:lineRule="auto"/>
        <w:rPr>
          <w:sz w:val="20"/>
          <w:szCs w:val="20"/>
          <w:color w:val="auto"/>
        </w:rPr>
      </w:pPr>
      <w:r>
        <w:rPr>
          <w:rFonts w:ascii="Courier New" w:cs="Courier New" w:eastAsia="Courier New" w:hAnsi="Courier New"/>
          <w:sz w:val="16"/>
          <w:szCs w:val="16"/>
          <w:color w:val="auto"/>
        </w:rPr>
        <w:t>The Executive Committee has such responsibilities as may be delegated to it from time to time by the Board of Directors. The current members of our Executive Committee are Messrs. Anderson (Chair), Baharav, Kahan, Lemelbaum and Minicucci.</w:t>
      </w:r>
    </w:p>
    <w:p>
      <w:pPr>
        <w:spacing w:after="0" w:line="371"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Our independent directors receive no compensation from the Company, except in connection with their membership on the Board of Directors and its committees as described above regarding Non-Employee Directors under "-- Compensation".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FULL-TIME WORKFORCE PERSONNEL</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following table presents the approximate number of our full-time</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workforce as of each date indicated, by function and by geographical location:</w:t>
      </w:r>
    </w:p>
    <w:p>
      <w:pPr>
        <w:spacing w:after="0" w:line="19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AS OF SEPTEMBER 30, ---------------------- 2005 2004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2003 ------</w:t>
            </w:r>
          </w:p>
        </w:tc>
        <w:tc>
          <w:tcPr>
            <w:tcW w:w="382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 ----- Software and Information</w:t>
            </w:r>
          </w:p>
        </w:tc>
      </w:tr>
      <w:tr>
        <w:trPr>
          <w:trHeight w:val="188"/>
        </w:trPr>
        <w:tc>
          <w:tcPr>
            <w:tcW w:w="14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Courier New" w:cs="Courier New" w:eastAsia="Courier New" w:hAnsi="Courier New"/>
                <w:sz w:val="16"/>
                <w:szCs w:val="16"/>
                <w:color w:val="auto"/>
              </w:rPr>
              <w:t>Technology</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3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Israel.................................................</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14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Courier New" w:cs="Courier New" w:eastAsia="Courier New" w:hAnsi="Courier New"/>
                <w:sz w:val="16"/>
                <w:szCs w:val="16"/>
                <w:color w:val="auto"/>
              </w:rPr>
              <w:t>4,090 3,835 4,007 North</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3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3"/>
              </w:rPr>
              <w:t>America..........................................</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14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Courier New" w:cs="Courier New" w:eastAsia="Courier New" w:hAnsi="Courier New"/>
                <w:sz w:val="16"/>
                <w:szCs w:val="16"/>
                <w:color w:val="auto"/>
              </w:rPr>
              <w:t>4,173 3,180 3,420 Rest of</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3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World..........................................</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3,747</w:t>
            </w:r>
          </w:p>
        </w:tc>
      </w:tr>
      <w:tr>
        <w:trPr>
          <w:trHeight w:val="188"/>
        </w:trPr>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1,965 1,564</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 ----- ----- 12,010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8,980</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8,991</w:t>
            </w:r>
          </w:p>
        </w:tc>
      </w:tr>
      <w:tr>
        <w:trPr>
          <w:trHeight w:val="188"/>
        </w:trPr>
        <w:tc>
          <w:tcPr>
            <w:tcW w:w="14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Courier New" w:cs="Courier New" w:eastAsia="Courier New" w:hAnsi="Courier New"/>
                <w:sz w:val="16"/>
                <w:szCs w:val="16"/>
                <w:color w:val="auto"/>
              </w:rPr>
              <w:t>Management and</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3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Administration.............................</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1,190 908</w:t>
            </w:r>
          </w:p>
        </w:tc>
      </w:tr>
      <w:tr>
        <w:trPr>
          <w:trHeight w:val="188"/>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900 ------</w:t>
            </w:r>
          </w:p>
        </w:tc>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Total full-time</w:t>
            </w:r>
          </w:p>
        </w:tc>
        <w:tc>
          <w:tcPr>
            <w:tcW w:w="720" w:type="dxa"/>
            <w:vAlign w:val="bottom"/>
          </w:tcPr>
          <w:p>
            <w:pPr>
              <w:spacing w:after="0"/>
              <w:rPr>
                <w:sz w:val="16"/>
                <w:szCs w:val="16"/>
                <w:color w:val="auto"/>
              </w:rPr>
            </w:pPr>
          </w:p>
        </w:tc>
      </w:tr>
      <w:tr>
        <w:trPr>
          <w:trHeight w:val="188"/>
        </w:trPr>
        <w:tc>
          <w:tcPr>
            <w:tcW w:w="3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workforce...................................</w:t>
            </w:r>
          </w:p>
        </w:tc>
        <w:tc>
          <w:tcPr>
            <w:tcW w:w="60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13,200</w:t>
            </w:r>
          </w:p>
        </w:tc>
      </w:tr>
      <w:tr>
        <w:trPr>
          <w:trHeight w:val="188"/>
        </w:trPr>
        <w:tc>
          <w:tcPr>
            <w:tcW w:w="456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9,888 9,891 ====== ===== =====</w:t>
            </w:r>
          </w:p>
        </w:tc>
        <w:tc>
          <w:tcPr>
            <w:tcW w:w="720" w:type="dxa"/>
            <w:vAlign w:val="bottom"/>
          </w:tcPr>
          <w:p>
            <w:pPr>
              <w:spacing w:after="0"/>
              <w:rPr>
                <w:sz w:val="16"/>
                <w:szCs w:val="16"/>
                <w:color w:val="auto"/>
              </w:rPr>
            </w:pPr>
          </w:p>
        </w:tc>
      </w:tr>
    </w:tbl>
    <w:p>
      <w:pPr>
        <w:spacing w:after="0" w:line="380"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During fiscal 2002 and the first quarter of fiscal 2003, we took steps to reduce our costs and achieve increased operational efficiency, including by making reductions in our workforce. At the end of fiscal 2003, as a result of our acquisition of Certen and our Managed Services agreement with AT&amp;T, we had increased our workforce by approximately 1,200 personnel. As of September 30, 2005, our full-time workforce consisted of approximately 12,000 software and information technology specialists, engaged in research, development, maintenance and support activities, and approximately 1,190 management and administrative professionals.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a company with global operations, we are required to comply with various labor and immigration laws throughout the world, including laws and regulations in Australia, Brazil, Canada, China, Europe, India, Israel, Japan, Mexico, South Africa and the United States. Our employees in Europe are protected, in some countries, by mandatory collective bargaining agreements. To date, compliance with such laws has not been a material burden for us. As the number of our employees increases over time in particular countries, our compliance with such regulations could become more burdensome.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principal operating subsidiaries are not party to any collective bargaining agreements. However, our Israeli subsidiaries are subject to certain labor-related statutes and to certain provisions of general extension orders issued by the Israeli Ministry of Labor and Welfare. A significant provision applicable to all employees in Israel under collective bargaining agreements and extension orders is an adjustment of</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80" w:right="1440" w:bottom="1440" w:gutter="0" w:footer="0" w:header="0"/>
        </w:sectPr>
      </w:pPr>
    </w:p>
    <w:bookmarkStart w:id="55" w:name="page56"/>
    <w:bookmarkEnd w:id="55"/>
    <w:p>
      <w:pPr>
        <w:ind w:right="2599"/>
        <w:spacing w:after="0" w:line="252" w:lineRule="auto"/>
        <w:rPr>
          <w:sz w:val="20"/>
          <w:szCs w:val="20"/>
          <w:color w:val="auto"/>
        </w:rPr>
      </w:pPr>
      <w:r>
        <w:rPr>
          <w:rFonts w:ascii="Courier New" w:cs="Courier New" w:eastAsia="Courier New" w:hAnsi="Courier New"/>
          <w:sz w:val="16"/>
          <w:szCs w:val="16"/>
          <w:color w:val="auto"/>
        </w:rPr>
        <w:t>wages in relation to increases in the consumer price index, or CPI. The amount and frequency of these adjustments are modified from time to time.</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Some employees in Canada have union representation. In addition, all employees in Brazil, including members of management, are represented by unions. Collective bargaining between employers and unions is mandatory, negotiated annually, and covers work conditions, including cost of living increases, minimum wages that exceed government thresholds and overtime pay.</w:t>
      </w:r>
    </w:p>
    <w:p>
      <w:pPr>
        <w:spacing w:after="0" w:line="187"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We consider our relationship with our employees to be good and have never experienced an organized labor dispute, strike or work stoppage.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OWNERSHIP</w:t>
      </w:r>
    </w:p>
    <w:p>
      <w:pPr>
        <w:spacing w:after="0" w:line="195" w:lineRule="exact"/>
        <w:rPr>
          <w:sz w:val="20"/>
          <w:szCs w:val="20"/>
          <w:color w:val="auto"/>
        </w:rPr>
      </w:pPr>
    </w:p>
    <w:p>
      <w:pPr>
        <w:ind w:left="200" w:right="3279"/>
        <w:spacing w:after="0" w:line="252" w:lineRule="auto"/>
        <w:rPr>
          <w:sz w:val="20"/>
          <w:szCs w:val="20"/>
          <w:color w:val="auto"/>
        </w:rPr>
      </w:pPr>
      <w:r>
        <w:rPr>
          <w:rFonts w:ascii="Courier New" w:cs="Courier New" w:eastAsia="Courier New" w:hAnsi="Courier New"/>
          <w:sz w:val="16"/>
          <w:szCs w:val="16"/>
          <w:color w:val="auto"/>
        </w:rPr>
        <w:t>SECURITY OWNERSHIP OF DIRECTORS AND SENIOR MANAGEMENT AND CERTAIN KEY EMPLOYEES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of December 16, 2005, the aggregate number of our ordinary shares beneficially owned by our directors, senior managers and certain key employees was 19,328,025 shares. This number includes 10,747,698 ordinary shares held by AT&amp;T, since Mr. Kahan, Senior Executive Vice President of AT&amp;T, serves on our Board of Directors, and accordingly, he may be deemed to be the beneficial owner of the shares held by AT&amp;T. Mr. Kahan disclaims beneficial ownership of such shares. Historically, this number also included shares held by WCAS, since Messrs. Anderson and Minicucci, affiliates of WCAS, serve on our Board of Directors. As of September 24, 2003, various investment partnerships affiliated with WCAS ceased to be shareholders of the Company. See "Major Shareholders and Related Party Transactions". As of December 16, 2005, other than Mr. Kahan, none of our directors, senior managers or key employees beneficially owned 1% or more of our outstanding ordinary shares.</w:t>
      </w:r>
    </w:p>
    <w:p>
      <w:pPr>
        <w:spacing w:after="0" w:line="187" w:lineRule="exact"/>
        <w:rPr>
          <w:sz w:val="20"/>
          <w:szCs w:val="20"/>
          <w:color w:val="auto"/>
        </w:rPr>
      </w:pPr>
    </w:p>
    <w:p>
      <w:pPr>
        <w:jc w:val="both"/>
        <w:ind w:right="2879" w:firstLine="489"/>
        <w:spacing w:after="0" w:line="250" w:lineRule="auto"/>
        <w:rPr>
          <w:sz w:val="20"/>
          <w:szCs w:val="20"/>
          <w:color w:val="auto"/>
        </w:rPr>
      </w:pPr>
      <w:r>
        <w:rPr>
          <w:rFonts w:ascii="Courier New" w:cs="Courier New" w:eastAsia="Courier New" w:hAnsi="Courier New"/>
          <w:sz w:val="16"/>
          <w:szCs w:val="16"/>
          <w:color w:val="auto"/>
        </w:rPr>
        <w:t>Beneficial ownership by a person, as of a particular date, assumes the exercise of all options and warrants held by such person that are currently exercisable or are exercisable within 60 days of such date.</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STOCK OPTION AND INCENTIVE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November 9, 2005, our Board of Directors adopted, subject to shareholder approval, an amendment to our 1998 Stock Option and Incentive Plan, as amended (the "1998 Plan"), increasing from 38,300,000 to 46,300,000 the maximum number of Ordinary Shares issuable under the 1998 Plan, continuing the term of the 1998 Plan for an additional 10-year term until January 17, 2016, and making certain other changes. This amendment, which is more fully described in our Notice and Proxy Statement that was been mailed to our shareholders beginning on December 19, 2006 and furnished in our Form 6-K Report of Foreign Private Issuer dated December 19, 2006, will be considered by our shareholders at our January 2006 Annual General Meeting.</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1998 Plan provides for the grant of restricted shares, stock options and other stock-based awards to our directors, officers, employees and consultants. The purpose of the 1998 Plan is to enable us to attract and retain qualified personnel and to motivate such persons by providing them with an equity participation in the Company. As of September 30, 2005, of the 38,300,000 ordinary shares available for issuance under the 1998 Plan, 6,315,808 ordinary shares had been issued as a result of option exercises and restricted shares issuance, under the provisions of the 1998 Plan, and 6,331,467 ordinary shares remained available for future grants. As of November 30, 2005, there were outstanding options to purchase an aggregate of 26,240,080 ordinary shares at exercise prices ranging from $0 to $78.31 per share and 430,247 restricted shares had been awarded.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1998 Plan is administered by a committee, which determines all the terms of the awards (subject to the above), including which employees, directors or consultants are granted awards. The Board of Directors may amend or terminate the 1998 Plan, provided that shareholder approval is required to increase the number of ordinary shares available under the 1998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acquired</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80" w:right="1440" w:bottom="1440" w:gutter="0" w:footer="0" w:header="0"/>
        </w:sectPr>
      </w:pPr>
    </w:p>
    <w:bookmarkStart w:id="56" w:name="page57"/>
    <w:bookmarkEnd w:id="56"/>
    <w:p>
      <w:pPr>
        <w:ind w:right="2499"/>
        <w:spacing w:after="0" w:line="252" w:lineRule="auto"/>
        <w:rPr>
          <w:sz w:val="20"/>
          <w:szCs w:val="20"/>
          <w:color w:val="auto"/>
        </w:rPr>
      </w:pPr>
      <w:r>
        <w:rPr>
          <w:rFonts w:ascii="Courier New" w:cs="Courier New" w:eastAsia="Courier New" w:hAnsi="Courier New"/>
          <w:sz w:val="16"/>
          <w:szCs w:val="16"/>
          <w:color w:val="auto"/>
        </w:rPr>
        <w:t>upon exercise of an award are subject to certain restrictions on sale, transfer or hypothecation No awards may be granted after January 2016.</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a result of acquisitions, as of September 30, 2005, we are obligated to issue (and have reserved for issuance) an additional 154,657 ordinary shares upon exercise of options that had previously been granted under the option plans of the acquired companies (the "Predecessor Plans") and were exchanged for options to purchase our ordinary shares. These options have exercise prices ranging from $2.35 to $71.97 per share. No additional options have been or will be granted under the predecessor plans.</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MAJOR SHAREHOLDERS AND RELATED PARTY TRANSACTIONS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MAJOR SHAREHOLDERS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following table sets forth specified information with respect to the beneficial ownership of the ordinary shares as of December 16, 2005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201,342,466 ordinary shares outstanding as of December 16, 2005.</w:t>
      </w:r>
    </w:p>
    <w:p>
      <w:pPr>
        <w:spacing w:after="0" w:line="18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SHARES BENEFICIALLY PERCENTAGE NAME AND ADDRESS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OWNED OWNERSHIP - ---------------- ------------ --</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Massachusetts Financial Services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Company(1)................. 17,486,630 8.7% 500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Boylston Street, 15th Floor Boston, Massachusetts</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02116 AT&amp;T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10,747,698 5.3% 175 E. Houston Street San Antonio,</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Texas 78205-2233 All directors and executive</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officers as a group (17 persons)</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(3)...........................................</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19,328,025 9.4%</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2399" w:hanging="400"/>
        <w:spacing w:after="0" w:line="249" w:lineRule="auto"/>
        <w:tabs>
          <w:tab w:leader="none" w:pos="4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Massachusetts Financial Services Company ("MFS") is 500 Boylston Street, Boston, Massachusetts 02116. Based on a Schedule 13G filed by MFS with the SEC on February 10, 2005, as of December 31, 2004, MFS has sole voting power over 17,177,360 of our ordinary shares and no voting power over 309,270 ordinary shares. The Schedule 13G indicates that MFS has sole dispositive power over 17,486,630 ordinary shares.</w:t>
      </w:r>
    </w:p>
    <w:p>
      <w:pPr>
        <w:spacing w:after="0" w:line="187" w:lineRule="exact"/>
        <w:rPr>
          <w:rFonts w:ascii="Courier New" w:cs="Courier New" w:eastAsia="Courier New" w:hAnsi="Courier New"/>
          <w:sz w:val="16"/>
          <w:szCs w:val="16"/>
          <w:color w:val="auto"/>
        </w:rPr>
      </w:pPr>
    </w:p>
    <w:p>
      <w:pPr>
        <w:ind w:left="400" w:right="2399" w:hanging="400"/>
        <w:spacing w:after="0" w:line="249" w:lineRule="auto"/>
        <w:tabs>
          <w:tab w:leader="none" w:pos="4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AT&amp;T Inc. is 175 East Houston, San Antonio, Texas 78205. Based upon information provided to us by AT&amp;T, as of December 16, 2005, AT&amp;T beneficially owned 10,747,698 of our ordinary shares. James S. Kahan, Senior Executive Vice President of AT&amp;T, serves on our Board of Directors. On November 18, 2005, SBC Communications, Inc. acquired AT&amp;T Corp. and became AT&amp;T Inc.</w:t>
      </w:r>
    </w:p>
    <w:p>
      <w:pPr>
        <w:spacing w:after="0" w:line="187" w:lineRule="exact"/>
        <w:rPr>
          <w:rFonts w:ascii="Courier New" w:cs="Courier New" w:eastAsia="Courier New" w:hAnsi="Courier New"/>
          <w:sz w:val="16"/>
          <w:szCs w:val="16"/>
          <w:color w:val="auto"/>
        </w:rPr>
      </w:pPr>
    </w:p>
    <w:p>
      <w:pPr>
        <w:ind w:left="400" w:right="2599" w:hanging="400"/>
        <w:spacing w:after="0" w:line="249" w:lineRule="auto"/>
        <w:tabs>
          <w:tab w:leader="none" w:pos="4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ordinary shares held by AT&amp;T. See footnote 2 above. Mr. Kahan, Senior Executive Vice President of AT&amp;T, serves on our Board of Directors and, accordingly, may be deemed to be the beneficial owner of the ordinary shares held by AT&amp;T. Mr. Kahan disclaims beneficial ownership of such shares. Also includes options granted to our directors and executive officers that are exercisable within 60 days of December 16, 2005.</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80" w:right="1440" w:bottom="1440" w:gutter="0" w:footer="0" w:header="0"/>
        </w:sectPr>
      </w:pPr>
    </w:p>
    <w:bookmarkStart w:id="57" w:name="page58"/>
    <w:bookmarkEnd w:id="57"/>
    <w:p>
      <w:pPr>
        <w:ind w:right="2399" w:firstLine="489"/>
        <w:spacing w:after="0" w:line="249" w:lineRule="auto"/>
        <w:rPr>
          <w:sz w:val="20"/>
          <w:szCs w:val="20"/>
          <w:color w:val="auto"/>
        </w:rPr>
      </w:pPr>
      <w:r>
        <w:rPr>
          <w:rFonts w:ascii="Courier New" w:cs="Courier New" w:eastAsia="Courier New" w:hAnsi="Courier New"/>
          <w:sz w:val="16"/>
          <w:szCs w:val="16"/>
          <w:color w:val="auto"/>
        </w:rPr>
        <w:t>Over the last three years, our major shareholders have included our directors and executive officers as a group, AT&amp;T, WCAS, Fidelity Management and Research, or FMR, which became a major shareholder in fiscal 2003, MFS, which became a major shareholder in September 2003, and other institutional investors. AT&amp;T's share ownership has decreased to 5.3% as of December 16, 2005 from 9.1% in November 2002. FMR ceased to be a major shareholder in fiscal 2004. Investment partnerships affiliated with WCAS, which had been major shareholders in the three fiscal years ending September 30, 2003, ceased to be shareholders of the Company in September 2003 as a result of distributions made to the partners of such investment partnerships. Southeastern Asset Management, which had been a major shareholder in fiscal 2002, ceased to be a major shareholder in June 2003.</w:t>
      </w:r>
    </w:p>
    <w:p>
      <w:pPr>
        <w:spacing w:after="0" w:line="37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As of December 16, 2005, our ordinary shares were held by 224 recordholders. Based on a review of the information provided to us by our transfer agent, 151 recordholders, holding approximately 98% of our outstanding ordinary shares, were residents of the United States.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PARTY TRANSACTIONS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to being a major shareholder, AT&amp;T, and some of its operating subsidiaries, are also significant customers of ours. During fiscal 2005, 2004 and 2003, AT&amp;T and those subsidiaries accounted for approximately 10% or more of our revenue in each of these years. We expect that revenue attributable to AT&amp;T entities will remain a significant portion of our revenue in fiscal 2006. Mr. Kahan, a member of our Board of Directors, is also Senior Executive Vice President of AT&amp;T.</w:t>
      </w:r>
    </w:p>
    <w:p>
      <w:pPr>
        <w:spacing w:after="0" w:line="187" w:lineRule="exact"/>
        <w:rPr>
          <w:sz w:val="20"/>
          <w:szCs w:val="20"/>
          <w:color w:val="auto"/>
        </w:rPr>
      </w:pPr>
    </w:p>
    <w:p>
      <w:pPr>
        <w:ind w:right="3379" w:firstLine="489"/>
        <w:spacing w:after="0" w:line="252" w:lineRule="auto"/>
        <w:rPr>
          <w:sz w:val="20"/>
          <w:szCs w:val="20"/>
          <w:color w:val="auto"/>
        </w:rPr>
      </w:pPr>
      <w:r>
        <w:rPr>
          <w:rFonts w:ascii="Courier New" w:cs="Courier New" w:eastAsia="Courier New" w:hAnsi="Courier New"/>
          <w:sz w:val="16"/>
          <w:szCs w:val="16"/>
          <w:color w:val="auto"/>
        </w:rPr>
        <w:t>AT&amp;T is also a beneficial owner of companies that provide certain miscellaneous support services to us in United States.</w:t>
      </w:r>
    </w:p>
    <w:p>
      <w:pPr>
        <w:spacing w:after="0" w:line="18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8.</w:t>
        <w:tab/>
        <w:t>FINANCIAL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195"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See "Financial Statements" for our audited Consolidated Financial Statements and Financial Statement Schedule filed as part of this Annual Report.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is involved in various legal proceedings arising in the normal course of its business. The Company does not believe that the ultimate resolution of these matters will have a material adverse effect on the Company's consolidated financial position, results of operations or cash flows.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POLICY</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After the payment of dividends in 1998 that followed a corporate reorganization, we decided in general to retain earnings to finance the development of our business, and we have not paid any cash dividends on our ordinary shares since that time. The payment of any future dividends will be paid by us based on conditions then existing, including our earnings, financial condition and capital requirements, as well as other conditions we deem relevant. The terms of any debt that we may incur could effectively limit our ability to pay dividends.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80" w:right="1440" w:bottom="1440" w:gutter="0" w:footer="0" w:header="0"/>
        </w:sectPr>
      </w:pPr>
    </w:p>
    <w:bookmarkStart w:id="58" w:name="page59"/>
    <w:bookmarkEnd w:id="58"/>
    <w:p>
      <w:pPr>
        <w:spacing w:after="0"/>
        <w:tabs>
          <w:tab w:leader="none" w:pos="860" w:val="left"/>
        </w:tabs>
        <w:rPr>
          <w:sz w:val="20"/>
          <w:szCs w:val="20"/>
          <w:color w:val="auto"/>
        </w:rPr>
      </w:pPr>
      <w:r>
        <w:rPr>
          <w:rFonts w:ascii="Courier New" w:cs="Courier New" w:eastAsia="Courier New" w:hAnsi="Courier New"/>
          <w:sz w:val="16"/>
          <w:szCs w:val="16"/>
          <w:color w:val="auto"/>
        </w:rPr>
        <w:t>ITEM 9.</w:t>
        <w:tab/>
        <w:t>THE OFFER AND LISTING</w:t>
      </w:r>
    </w:p>
    <w:p>
      <w:pPr>
        <w:spacing w:after="0" w:line="195"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Our ordinary shares have been quoted on the NYSE since June 19, 1998, under the symbol "DOX". The following table sets forth the high and low reported sale prices for our ordinary shares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HIGH LOW ------- -------</w:t>
            </w:r>
          </w:p>
        </w:tc>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FISCAL YEAR ENDED SEPTEMBER 30</w:t>
            </w:r>
          </w:p>
        </w:tc>
        <w:tc>
          <w:tcPr>
            <w:tcW w:w="200" w:type="dxa"/>
            <w:vAlign w:val="bottom"/>
          </w:tcPr>
          <w:p>
            <w:pPr>
              <w:spacing w:after="0"/>
              <w:rPr>
                <w:sz w:val="15"/>
                <w:szCs w:val="15"/>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2001........................................................</w:t>
            </w:r>
          </w:p>
        </w:tc>
        <w:tc>
          <w:tcPr>
            <w:tcW w:w="4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$ 80.50</w:t>
            </w:r>
          </w:p>
        </w:tc>
        <w:tc>
          <w:tcPr>
            <w:tcW w:w="2660" w:type="dxa"/>
            <w:vAlign w:val="bottom"/>
          </w:tcPr>
          <w:p>
            <w:pPr>
              <w:jc w:val="center"/>
              <w:ind w:right="1859"/>
              <w:spacing w:after="0"/>
              <w:rPr>
                <w:sz w:val="20"/>
                <w:szCs w:val="20"/>
                <w:color w:val="auto"/>
              </w:rPr>
            </w:pPr>
            <w:r>
              <w:rPr>
                <w:rFonts w:ascii="Courier New" w:cs="Courier New" w:eastAsia="Courier New" w:hAnsi="Courier New"/>
                <w:sz w:val="16"/>
                <w:szCs w:val="16"/>
                <w:color w:val="auto"/>
              </w:rPr>
              <w:t>$ 25.85</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2002........................................................</w:t>
            </w:r>
          </w:p>
        </w:tc>
        <w:tc>
          <w:tcPr>
            <w:tcW w:w="4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$ 39.25</w:t>
            </w:r>
          </w:p>
        </w:tc>
        <w:tc>
          <w:tcPr>
            <w:tcW w:w="2660" w:type="dxa"/>
            <w:vAlign w:val="bottom"/>
          </w:tcPr>
          <w:p>
            <w:pPr>
              <w:jc w:val="center"/>
              <w:ind w:right="1839"/>
              <w:spacing w:after="0"/>
              <w:rPr>
                <w:sz w:val="20"/>
                <w:szCs w:val="20"/>
                <w:color w:val="auto"/>
              </w:rPr>
            </w:pPr>
            <w:r>
              <w:rPr>
                <w:rFonts w:ascii="Courier New" w:cs="Courier New" w:eastAsia="Courier New" w:hAnsi="Courier New"/>
                <w:sz w:val="16"/>
                <w:szCs w:val="16"/>
                <w:color w:val="auto"/>
              </w:rPr>
              <w:t>$ 6.10</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2003........................................................</w:t>
            </w:r>
          </w:p>
        </w:tc>
        <w:tc>
          <w:tcPr>
            <w:tcW w:w="4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$ 27.25</w:t>
            </w:r>
          </w:p>
        </w:tc>
        <w:tc>
          <w:tcPr>
            <w:tcW w:w="2660" w:type="dxa"/>
            <w:vAlign w:val="bottom"/>
          </w:tcPr>
          <w:p>
            <w:pPr>
              <w:jc w:val="center"/>
              <w:ind w:right="1839"/>
              <w:spacing w:after="0"/>
              <w:rPr>
                <w:sz w:val="20"/>
                <w:szCs w:val="20"/>
                <w:color w:val="auto"/>
              </w:rPr>
            </w:pPr>
            <w:r>
              <w:rPr>
                <w:rFonts w:ascii="Courier New" w:cs="Courier New" w:eastAsia="Courier New" w:hAnsi="Courier New"/>
                <w:sz w:val="16"/>
                <w:szCs w:val="16"/>
                <w:color w:val="auto"/>
              </w:rPr>
              <w:t>$ 5.85</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2004........................................................</w:t>
            </w:r>
          </w:p>
        </w:tc>
        <w:tc>
          <w:tcPr>
            <w:tcW w:w="4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$ 30.69</w:t>
            </w:r>
          </w:p>
        </w:tc>
        <w:tc>
          <w:tcPr>
            <w:tcW w:w="2660" w:type="dxa"/>
            <w:vAlign w:val="bottom"/>
          </w:tcPr>
          <w:p>
            <w:pPr>
              <w:jc w:val="center"/>
              <w:ind w:right="1859"/>
              <w:spacing w:after="0"/>
              <w:rPr>
                <w:sz w:val="20"/>
                <w:szCs w:val="20"/>
                <w:color w:val="auto"/>
              </w:rPr>
            </w:pPr>
            <w:r>
              <w:rPr>
                <w:rFonts w:ascii="Courier New" w:cs="Courier New" w:eastAsia="Courier New" w:hAnsi="Courier New"/>
                <w:sz w:val="16"/>
                <w:szCs w:val="16"/>
                <w:color w:val="auto"/>
              </w:rPr>
              <w:t>$ 18.08</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2005........................................................</w:t>
            </w:r>
          </w:p>
        </w:tc>
        <w:tc>
          <w:tcPr>
            <w:tcW w:w="4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8"/>
        </w:trPr>
        <w:tc>
          <w:tcPr>
            <w:tcW w:w="1660" w:type="dxa"/>
            <w:vAlign w:val="bottom"/>
          </w:tcPr>
          <w:p>
            <w:pPr>
              <w:jc w:val="right"/>
              <w:ind w:right="41"/>
              <w:spacing w:after="0"/>
              <w:rPr>
                <w:sz w:val="20"/>
                <w:szCs w:val="20"/>
                <w:color w:val="auto"/>
              </w:rPr>
            </w:pPr>
            <w:r>
              <w:rPr>
                <w:rFonts w:ascii="Courier New" w:cs="Courier New" w:eastAsia="Courier New" w:hAnsi="Courier New"/>
                <w:sz w:val="16"/>
                <w:szCs w:val="16"/>
                <w:color w:val="auto"/>
              </w:rPr>
              <w:t>$ 30.96</w:t>
            </w:r>
          </w:p>
        </w:tc>
        <w:tc>
          <w:tcPr>
            <w:tcW w:w="3960" w:type="dxa"/>
            <w:vAlign w:val="bottom"/>
            <w:gridSpan w:val="3"/>
          </w:tcPr>
          <w:p>
            <w:pPr>
              <w:jc w:val="right"/>
              <w:ind w:right="559"/>
              <w:spacing w:after="0"/>
              <w:rPr>
                <w:sz w:val="20"/>
                <w:szCs w:val="20"/>
                <w:color w:val="auto"/>
              </w:rPr>
            </w:pPr>
            <w:r>
              <w:rPr>
                <w:rFonts w:ascii="Courier New" w:cs="Courier New" w:eastAsia="Courier New" w:hAnsi="Courier New"/>
                <w:sz w:val="16"/>
                <w:szCs w:val="16"/>
                <w:color w:val="auto"/>
              </w:rPr>
              <w:t>$ 20.70 QUARTER Fiscal 2004: First</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Quarter.............................................</w:t>
            </w:r>
          </w:p>
        </w:tc>
        <w:tc>
          <w:tcPr>
            <w:tcW w:w="46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27.10</w:t>
            </w:r>
          </w:p>
        </w:tc>
        <w:tc>
          <w:tcPr>
            <w:tcW w:w="3120" w:type="dxa"/>
            <w:vAlign w:val="bottom"/>
            <w:gridSpan w:val="2"/>
          </w:tcPr>
          <w:p>
            <w:pPr>
              <w:jc w:val="center"/>
              <w:ind w:right="1599"/>
              <w:spacing w:after="0"/>
              <w:rPr>
                <w:sz w:val="20"/>
                <w:szCs w:val="20"/>
                <w:color w:val="auto"/>
              </w:rPr>
            </w:pPr>
            <w:r>
              <w:rPr>
                <w:rFonts w:ascii="Courier New" w:cs="Courier New" w:eastAsia="Courier New" w:hAnsi="Courier New"/>
                <w:sz w:val="16"/>
                <w:szCs w:val="16"/>
                <w:color w:val="auto"/>
              </w:rPr>
              <w:t>$ 18.90 Second</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Quarter............................................</w:t>
            </w:r>
          </w:p>
        </w:tc>
        <w:tc>
          <w:tcPr>
            <w:tcW w:w="460" w:type="dxa"/>
            <w:vAlign w:val="bottom"/>
          </w:tcPr>
          <w:p>
            <w:pPr>
              <w:spacing w:after="0"/>
              <w:rPr>
                <w:sz w:val="16"/>
                <w:szCs w:val="16"/>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$ 29.74</w:t>
            </w:r>
          </w:p>
        </w:tc>
      </w:tr>
      <w:tr>
        <w:trPr>
          <w:trHeight w:val="188"/>
        </w:trPr>
        <w:tc>
          <w:tcPr>
            <w:tcW w:w="1660" w:type="dxa"/>
            <w:vAlign w:val="bottom"/>
          </w:tcPr>
          <w:p>
            <w:pPr>
              <w:spacing w:after="0"/>
              <w:rPr>
                <w:sz w:val="16"/>
                <w:szCs w:val="16"/>
                <w:color w:val="auto"/>
              </w:rPr>
            </w:pPr>
          </w:p>
        </w:tc>
        <w:tc>
          <w:tcPr>
            <w:tcW w:w="3960" w:type="dxa"/>
            <w:vAlign w:val="bottom"/>
            <w:gridSpan w:val="3"/>
          </w:tcPr>
          <w:p>
            <w:pPr>
              <w:jc w:val="center"/>
              <w:ind w:right="1339"/>
              <w:spacing w:after="0"/>
              <w:rPr>
                <w:sz w:val="20"/>
                <w:szCs w:val="20"/>
                <w:color w:val="auto"/>
              </w:rPr>
            </w:pPr>
            <w:r>
              <w:rPr>
                <w:rFonts w:ascii="Courier New" w:cs="Courier New" w:eastAsia="Courier New" w:hAnsi="Courier New"/>
                <w:sz w:val="16"/>
                <w:szCs w:val="16"/>
                <w:color w:val="auto"/>
              </w:rPr>
              <w:t>$ 22.17 Third</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Quarter.............................................</w:t>
            </w:r>
          </w:p>
        </w:tc>
        <w:tc>
          <w:tcPr>
            <w:tcW w:w="46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30.69</w:t>
            </w:r>
          </w:p>
        </w:tc>
        <w:tc>
          <w:tcPr>
            <w:tcW w:w="3120" w:type="dxa"/>
            <w:vAlign w:val="bottom"/>
            <w:gridSpan w:val="2"/>
          </w:tcPr>
          <w:p>
            <w:pPr>
              <w:jc w:val="center"/>
              <w:ind w:right="1599"/>
              <w:spacing w:after="0"/>
              <w:rPr>
                <w:sz w:val="20"/>
                <w:szCs w:val="20"/>
                <w:color w:val="auto"/>
              </w:rPr>
            </w:pPr>
            <w:r>
              <w:rPr>
                <w:rFonts w:ascii="Courier New" w:cs="Courier New" w:eastAsia="Courier New" w:hAnsi="Courier New"/>
                <w:sz w:val="16"/>
                <w:szCs w:val="16"/>
                <w:color w:val="auto"/>
              </w:rPr>
              <w:t>$ 22.65 Fourth</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Quarter............................................</w:t>
            </w:r>
          </w:p>
        </w:tc>
        <w:tc>
          <w:tcPr>
            <w:tcW w:w="460" w:type="dxa"/>
            <w:vAlign w:val="bottom"/>
          </w:tcPr>
          <w:p>
            <w:pPr>
              <w:spacing w:after="0"/>
              <w:rPr>
                <w:sz w:val="16"/>
                <w:szCs w:val="16"/>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$ 24.00</w:t>
            </w:r>
          </w:p>
        </w:tc>
      </w:tr>
      <w:tr>
        <w:trPr>
          <w:trHeight w:val="188"/>
        </w:trPr>
        <w:tc>
          <w:tcPr>
            <w:tcW w:w="1660" w:type="dxa"/>
            <w:vAlign w:val="bottom"/>
          </w:tcPr>
          <w:p>
            <w:pPr>
              <w:spacing w:after="0"/>
              <w:rPr>
                <w:sz w:val="16"/>
                <w:szCs w:val="16"/>
                <w:color w:val="auto"/>
              </w:rPr>
            </w:pPr>
          </w:p>
        </w:tc>
        <w:tc>
          <w:tcPr>
            <w:tcW w:w="3960" w:type="dxa"/>
            <w:vAlign w:val="bottom"/>
            <w:gridSpan w:val="3"/>
          </w:tcPr>
          <w:p>
            <w:pPr>
              <w:jc w:val="center"/>
              <w:ind w:right="1339"/>
              <w:spacing w:after="0"/>
              <w:rPr>
                <w:sz w:val="20"/>
                <w:szCs w:val="20"/>
                <w:color w:val="auto"/>
              </w:rPr>
            </w:pPr>
            <w:r>
              <w:rPr>
                <w:rFonts w:ascii="Courier New" w:cs="Courier New" w:eastAsia="Courier New" w:hAnsi="Courier New"/>
                <w:sz w:val="16"/>
                <w:szCs w:val="16"/>
                <w:color w:val="auto"/>
              </w:rPr>
              <w:t>$ 18.08 Fiscal 2005: First</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Quarter.............................................</w:t>
            </w:r>
          </w:p>
        </w:tc>
        <w:tc>
          <w:tcPr>
            <w:tcW w:w="46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27.56</w:t>
            </w:r>
          </w:p>
        </w:tc>
        <w:tc>
          <w:tcPr>
            <w:tcW w:w="3120" w:type="dxa"/>
            <w:vAlign w:val="bottom"/>
            <w:gridSpan w:val="2"/>
          </w:tcPr>
          <w:p>
            <w:pPr>
              <w:jc w:val="center"/>
              <w:ind w:right="1599"/>
              <w:spacing w:after="0"/>
              <w:rPr>
                <w:sz w:val="20"/>
                <w:szCs w:val="20"/>
                <w:color w:val="auto"/>
              </w:rPr>
            </w:pPr>
            <w:r>
              <w:rPr>
                <w:rFonts w:ascii="Courier New" w:cs="Courier New" w:eastAsia="Courier New" w:hAnsi="Courier New"/>
                <w:sz w:val="16"/>
                <w:szCs w:val="16"/>
                <w:color w:val="auto"/>
              </w:rPr>
              <w:t>$ 20.70 Second</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Quarter............................................</w:t>
            </w:r>
          </w:p>
        </w:tc>
        <w:tc>
          <w:tcPr>
            <w:tcW w:w="460" w:type="dxa"/>
            <w:vAlign w:val="bottom"/>
          </w:tcPr>
          <w:p>
            <w:pPr>
              <w:spacing w:after="0"/>
              <w:rPr>
                <w:sz w:val="16"/>
                <w:szCs w:val="16"/>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$ 30.66</w:t>
            </w:r>
          </w:p>
        </w:tc>
      </w:tr>
      <w:tr>
        <w:trPr>
          <w:trHeight w:val="188"/>
        </w:trPr>
        <w:tc>
          <w:tcPr>
            <w:tcW w:w="1660" w:type="dxa"/>
            <w:vAlign w:val="bottom"/>
          </w:tcPr>
          <w:p>
            <w:pPr>
              <w:spacing w:after="0"/>
              <w:rPr>
                <w:sz w:val="16"/>
                <w:szCs w:val="16"/>
                <w:color w:val="auto"/>
              </w:rPr>
            </w:pPr>
          </w:p>
        </w:tc>
        <w:tc>
          <w:tcPr>
            <w:tcW w:w="3960" w:type="dxa"/>
            <w:vAlign w:val="bottom"/>
            <w:gridSpan w:val="3"/>
          </w:tcPr>
          <w:p>
            <w:pPr>
              <w:jc w:val="center"/>
              <w:ind w:right="1339"/>
              <w:spacing w:after="0"/>
              <w:rPr>
                <w:sz w:val="20"/>
                <w:szCs w:val="20"/>
                <w:color w:val="auto"/>
              </w:rPr>
            </w:pPr>
            <w:r>
              <w:rPr>
                <w:rFonts w:ascii="Courier New" w:cs="Courier New" w:eastAsia="Courier New" w:hAnsi="Courier New"/>
                <w:sz w:val="16"/>
                <w:szCs w:val="16"/>
                <w:color w:val="auto"/>
              </w:rPr>
              <w:t>$ 24.29 Third</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Quarter.............................................</w:t>
            </w:r>
          </w:p>
        </w:tc>
        <w:tc>
          <w:tcPr>
            <w:tcW w:w="46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30.96</w:t>
            </w:r>
          </w:p>
        </w:tc>
        <w:tc>
          <w:tcPr>
            <w:tcW w:w="3120" w:type="dxa"/>
            <w:vAlign w:val="bottom"/>
            <w:gridSpan w:val="2"/>
          </w:tcPr>
          <w:p>
            <w:pPr>
              <w:jc w:val="center"/>
              <w:ind w:right="1599"/>
              <w:spacing w:after="0"/>
              <w:rPr>
                <w:sz w:val="20"/>
                <w:szCs w:val="20"/>
                <w:color w:val="auto"/>
              </w:rPr>
            </w:pPr>
            <w:r>
              <w:rPr>
                <w:rFonts w:ascii="Courier New" w:cs="Courier New" w:eastAsia="Courier New" w:hAnsi="Courier New"/>
                <w:sz w:val="16"/>
                <w:szCs w:val="16"/>
                <w:color w:val="auto"/>
              </w:rPr>
              <w:t>$ 25.48 Fourth</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Quarter............................................</w:t>
            </w:r>
          </w:p>
        </w:tc>
        <w:tc>
          <w:tcPr>
            <w:tcW w:w="460" w:type="dxa"/>
            <w:vAlign w:val="bottom"/>
          </w:tcPr>
          <w:p>
            <w:pPr>
              <w:spacing w:after="0"/>
              <w:rPr>
                <w:sz w:val="16"/>
                <w:szCs w:val="16"/>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$ 30.30</w:t>
            </w:r>
          </w:p>
        </w:tc>
      </w:tr>
      <w:tr>
        <w:trPr>
          <w:trHeight w:val="188"/>
        </w:trPr>
        <w:tc>
          <w:tcPr>
            <w:tcW w:w="5820" w:type="dxa"/>
            <w:vAlign w:val="bottom"/>
            <w:gridSpan w:val="5"/>
          </w:tcPr>
          <w:p>
            <w:pPr>
              <w:jc w:val="center"/>
              <w:spacing w:after="0"/>
              <w:rPr>
                <w:sz w:val="20"/>
                <w:szCs w:val="20"/>
                <w:color w:val="auto"/>
              </w:rPr>
            </w:pPr>
            <w:r>
              <w:rPr>
                <w:rFonts w:ascii="Courier New" w:cs="Courier New" w:eastAsia="Courier New" w:hAnsi="Courier New"/>
                <w:sz w:val="16"/>
                <w:szCs w:val="16"/>
                <w:color w:val="auto"/>
              </w:rPr>
              <w:t>$ 25.97 Fiscal 2006: First Quarter (through December 27,</w:t>
            </w: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2005).................</w:t>
            </w:r>
          </w:p>
        </w:tc>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$ 28.91 $ 24.30 MOST RECENT SIX</w:t>
            </w: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3960" w:type="dxa"/>
            <w:vAlign w:val="bottom"/>
            <w:gridSpan w:val="3"/>
          </w:tcPr>
          <w:p>
            <w:pPr>
              <w:jc w:val="center"/>
              <w:ind w:right="1339"/>
              <w:spacing w:after="0"/>
              <w:rPr>
                <w:sz w:val="20"/>
                <w:szCs w:val="20"/>
                <w:color w:val="auto"/>
              </w:rPr>
            </w:pPr>
            <w:r>
              <w:rPr>
                <w:rFonts w:ascii="Courier New" w:cs="Courier New" w:eastAsia="Courier New" w:hAnsi="Courier New"/>
                <w:sz w:val="16"/>
                <w:szCs w:val="16"/>
                <w:color w:val="auto"/>
              </w:rPr>
              <w:t>MONTHS June,</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2005................................................</w:t>
            </w:r>
          </w:p>
        </w:tc>
        <w:tc>
          <w:tcPr>
            <w:tcW w:w="46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27.64</w:t>
            </w:r>
          </w:p>
        </w:tc>
        <w:tc>
          <w:tcPr>
            <w:tcW w:w="3120" w:type="dxa"/>
            <w:vAlign w:val="bottom"/>
            <w:gridSpan w:val="2"/>
          </w:tcPr>
          <w:p>
            <w:pPr>
              <w:jc w:val="center"/>
              <w:ind w:right="1579"/>
              <w:spacing w:after="0"/>
              <w:rPr>
                <w:sz w:val="20"/>
                <w:szCs w:val="20"/>
                <w:color w:val="auto"/>
              </w:rPr>
            </w:pPr>
            <w:r>
              <w:rPr>
                <w:rFonts w:ascii="Courier New" w:cs="Courier New" w:eastAsia="Courier New" w:hAnsi="Courier New"/>
                <w:sz w:val="16"/>
                <w:szCs w:val="16"/>
                <w:color w:val="auto"/>
              </w:rPr>
              <w:t>$ 25.48 July,</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2005................................................</w:t>
            </w:r>
          </w:p>
        </w:tc>
        <w:tc>
          <w:tcPr>
            <w:tcW w:w="46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29.97</w:t>
            </w:r>
          </w:p>
        </w:tc>
        <w:tc>
          <w:tcPr>
            <w:tcW w:w="3120" w:type="dxa"/>
            <w:vAlign w:val="bottom"/>
            <w:gridSpan w:val="2"/>
          </w:tcPr>
          <w:p>
            <w:pPr>
              <w:jc w:val="center"/>
              <w:ind w:right="1579"/>
              <w:spacing w:after="0"/>
              <w:rPr>
                <w:sz w:val="20"/>
                <w:szCs w:val="20"/>
                <w:color w:val="auto"/>
              </w:rPr>
            </w:pPr>
            <w:r>
              <w:rPr>
                <w:rFonts w:ascii="Courier New" w:cs="Courier New" w:eastAsia="Courier New" w:hAnsi="Courier New"/>
                <w:sz w:val="16"/>
                <w:szCs w:val="16"/>
                <w:color w:val="auto"/>
              </w:rPr>
              <w:t>$ 26.44 August,</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2005..............................................</w:t>
            </w:r>
          </w:p>
        </w:tc>
        <w:tc>
          <w:tcPr>
            <w:tcW w:w="460" w:type="dxa"/>
            <w:vAlign w:val="bottom"/>
          </w:tcPr>
          <w:p>
            <w:pPr>
              <w:spacing w:after="0"/>
              <w:rPr>
                <w:sz w:val="16"/>
                <w:szCs w:val="16"/>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$ 30.30</w:t>
            </w:r>
          </w:p>
        </w:tc>
      </w:tr>
      <w:tr>
        <w:trPr>
          <w:trHeight w:val="188"/>
        </w:trPr>
        <w:tc>
          <w:tcPr>
            <w:tcW w:w="1660" w:type="dxa"/>
            <w:vAlign w:val="bottom"/>
          </w:tcPr>
          <w:p>
            <w:pPr>
              <w:spacing w:after="0"/>
              <w:rPr>
                <w:sz w:val="16"/>
                <w:szCs w:val="16"/>
                <w:color w:val="auto"/>
              </w:rPr>
            </w:pPr>
          </w:p>
        </w:tc>
        <w:tc>
          <w:tcPr>
            <w:tcW w:w="3960" w:type="dxa"/>
            <w:vAlign w:val="bottom"/>
            <w:gridSpan w:val="3"/>
          </w:tcPr>
          <w:p>
            <w:pPr>
              <w:jc w:val="center"/>
              <w:ind w:right="1319"/>
              <w:spacing w:after="0"/>
              <w:rPr>
                <w:sz w:val="20"/>
                <w:szCs w:val="20"/>
                <w:color w:val="auto"/>
              </w:rPr>
            </w:pPr>
            <w:r>
              <w:rPr>
                <w:rFonts w:ascii="Courier New" w:cs="Courier New" w:eastAsia="Courier New" w:hAnsi="Courier New"/>
                <w:sz w:val="16"/>
                <w:szCs w:val="16"/>
                <w:color w:val="auto"/>
              </w:rPr>
              <w:t>$ 27.60 September,</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2005...........................................</w:t>
            </w:r>
          </w:p>
        </w:tc>
        <w:tc>
          <w:tcPr>
            <w:tcW w:w="460" w:type="dxa"/>
            <w:vAlign w:val="bottom"/>
          </w:tcPr>
          <w:p>
            <w:pPr>
              <w:spacing w:after="0"/>
              <w:rPr>
                <w:sz w:val="16"/>
                <w:szCs w:val="16"/>
                <w:color w:val="auto"/>
              </w:rPr>
            </w:pPr>
          </w:p>
        </w:tc>
        <w:tc>
          <w:tcPr>
            <w:tcW w:w="2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$ 29.76</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1660" w:type="dxa"/>
            <w:vAlign w:val="bottom"/>
          </w:tcPr>
          <w:p>
            <w:pPr>
              <w:spacing w:after="0"/>
              <w:rPr>
                <w:sz w:val="16"/>
                <w:szCs w:val="16"/>
                <w:color w:val="auto"/>
              </w:rPr>
            </w:pPr>
          </w:p>
        </w:tc>
        <w:tc>
          <w:tcPr>
            <w:tcW w:w="3960" w:type="dxa"/>
            <w:vAlign w:val="bottom"/>
            <w:gridSpan w:val="3"/>
          </w:tcPr>
          <w:p>
            <w:pPr>
              <w:jc w:val="center"/>
              <w:ind w:right="1339"/>
              <w:spacing w:after="0"/>
              <w:rPr>
                <w:sz w:val="20"/>
                <w:szCs w:val="20"/>
                <w:color w:val="auto"/>
              </w:rPr>
            </w:pPr>
            <w:r>
              <w:rPr>
                <w:rFonts w:ascii="Courier New" w:cs="Courier New" w:eastAsia="Courier New" w:hAnsi="Courier New"/>
                <w:sz w:val="16"/>
                <w:szCs w:val="16"/>
                <w:color w:val="auto"/>
              </w:rPr>
              <w:t>25.97 October,</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2005.............................................</w:t>
            </w:r>
          </w:p>
        </w:tc>
        <w:tc>
          <w:tcPr>
            <w:tcW w:w="46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$ 27.80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1660" w:type="dxa"/>
            <w:vAlign w:val="bottom"/>
          </w:tcPr>
          <w:p>
            <w:pPr>
              <w:spacing w:after="0"/>
              <w:rPr>
                <w:sz w:val="16"/>
                <w:szCs w:val="16"/>
                <w:color w:val="auto"/>
              </w:rPr>
            </w:pPr>
          </w:p>
        </w:tc>
        <w:tc>
          <w:tcPr>
            <w:tcW w:w="3960" w:type="dxa"/>
            <w:vAlign w:val="bottom"/>
            <w:gridSpan w:val="3"/>
          </w:tcPr>
          <w:p>
            <w:pPr>
              <w:jc w:val="center"/>
              <w:ind w:right="1339"/>
              <w:spacing w:after="0"/>
              <w:rPr>
                <w:sz w:val="20"/>
                <w:szCs w:val="20"/>
                <w:color w:val="auto"/>
              </w:rPr>
            </w:pPr>
            <w:r>
              <w:rPr>
                <w:rFonts w:ascii="Courier New" w:cs="Courier New" w:eastAsia="Courier New" w:hAnsi="Courier New"/>
                <w:sz w:val="16"/>
                <w:szCs w:val="16"/>
                <w:color w:val="auto"/>
              </w:rPr>
              <w:t>24.30 November,</w:t>
            </w:r>
          </w:p>
        </w:tc>
        <w:tc>
          <w:tcPr>
            <w:tcW w:w="200" w:type="dxa"/>
            <w:vAlign w:val="bottom"/>
          </w:tcPr>
          <w:p>
            <w:pPr>
              <w:spacing w:after="0"/>
              <w:rPr>
                <w:sz w:val="16"/>
                <w:szCs w:val="16"/>
                <w:color w:val="auto"/>
              </w:rPr>
            </w:pPr>
          </w:p>
        </w:tc>
      </w:tr>
      <w:tr>
        <w:trPr>
          <w:trHeight w:val="188"/>
        </w:trPr>
        <w:tc>
          <w:tcPr>
            <w:tcW w:w="2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2005............................................</w:t>
            </w:r>
          </w:p>
        </w:tc>
        <w:tc>
          <w:tcPr>
            <w:tcW w:w="46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$ 28.91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20" w:type="dxa"/>
            <w:vAlign w:val="bottom"/>
            <w:gridSpan w:val="2"/>
          </w:tcPr>
          <w:p>
            <w:pPr>
              <w:jc w:val="center"/>
              <w:ind w:right="2179"/>
              <w:spacing w:after="0"/>
              <w:rPr>
                <w:sz w:val="20"/>
                <w:szCs w:val="20"/>
                <w:color w:val="auto"/>
              </w:rPr>
            </w:pPr>
            <w:r>
              <w:rPr>
                <w:rFonts w:ascii="Courier New" w:cs="Courier New" w:eastAsia="Courier New" w:hAnsi="Courier New"/>
                <w:sz w:val="16"/>
                <w:szCs w:val="16"/>
                <w:color w:val="auto"/>
              </w:rPr>
              <w:t>25.63</w:t>
            </w:r>
          </w:p>
        </w:tc>
        <w:tc>
          <w:tcPr>
            <w:tcW w:w="200" w:type="dxa"/>
            <w:vAlign w:val="bottom"/>
          </w:tcPr>
          <w:p>
            <w:pPr>
              <w:spacing w:after="0"/>
              <w:rPr>
                <w:sz w:val="16"/>
                <w:szCs w:val="16"/>
                <w:color w:val="auto"/>
              </w:rPr>
            </w:pPr>
          </w:p>
        </w:tc>
      </w:tr>
    </w:tbl>
    <w:p>
      <w:pPr>
        <w:spacing w:after="0" w:line="38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10.</w:t>
        <w:tab/>
        <w:t>ADDITIONAL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MEMORANDUM AND ARTICLES OF ASSOCIATION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is registered at the Greffe (Companies Registry) in Guernsey, the Channel Islands and has been assigned company number 19528, with its registered office situated at Suite 5, Tower Hill House, Le Bordage, St Peter Port, Island of Guernsey, GY1 3QT, Channel Islands. The telephone number at that location is 011-44-1481-728444.</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purpose of the Company is to perform any and all corporate activities permissible under Guernsey law, as forth in detail at Clause 3(1) to (37) of the Memorandum of Association of the Company (the "Memorandum of Association").</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Article 21(2) of the Amended and Restated Articles of Association of the Company (the "Articles of Association") provides that a director may vote in respect of any contract or arrangement in which such director has an interest notwithstanding such director's interest and an interested director will not be liable to the Company for any profit realized through any such contract or arrangement by reason of such director holding the office of director. Article 20 of the Articles of Association provides that the remuneration of the directors shall from time to time be determined by the Company by ordinary resolution, but that the directors are authorized to determine from time to time the remuneration for any outside or unaffiliated directors. Article 22 provides that directors may exercise all the powers of the</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80" w:right="1440" w:bottom="1440" w:gutter="0" w:footer="0" w:header="0"/>
        </w:sectPr>
      </w:pPr>
    </w:p>
    <w:bookmarkStart w:id="59" w:name="page60"/>
    <w:bookmarkEnd w:id="59"/>
    <w:p>
      <w:pPr>
        <w:ind w:right="2399"/>
        <w:spacing w:after="0" w:line="249" w:lineRule="auto"/>
        <w:rPr>
          <w:sz w:val="20"/>
          <w:szCs w:val="20"/>
          <w:color w:val="auto"/>
        </w:rPr>
      </w:pPr>
      <w:r>
        <w:rPr>
          <w:rFonts w:ascii="Courier New" w:cs="Courier New" w:eastAsia="Courier New" w:hAnsi="Courier New"/>
          <w:sz w:val="16"/>
          <w:szCs w:val="16"/>
          <w:color w:val="auto"/>
        </w:rPr>
        <w:t>Company to borrow money, and to mortgage or charge its undertaking, property and uncalled capital or any part thereof, and to issue securities whether outright or as security for any debt, liability or obligation of the Company for any third party. Such borrowing powers can only be altered through an amendment to the Articles of Association. Directors of the Company are not required to own shares of the Company in order to serve as directors.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As of September 30, 2005, 200,181,700 ordinary shares were outstanding (net of treasury shares) and no non-voting ordinary shares or preferred shares were outstanding. The rights, preferences and restrictions attaching to each class of the shares are as follows: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PREFERRED SHARES</w:t>
      </w:r>
    </w:p>
    <w:p>
      <w:pPr>
        <w:spacing w:after="0" w:line="195" w:lineRule="exact"/>
        <w:rPr>
          <w:sz w:val="20"/>
          <w:szCs w:val="20"/>
          <w:color w:val="auto"/>
        </w:rPr>
      </w:pPr>
    </w:p>
    <w:p>
      <w:pPr>
        <w:ind w:left="680" w:right="2599" w:hanging="191"/>
        <w:spacing w:after="0" w:line="252"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 the preferred shares may be issued from time to time in one or more series of any number of shares up to the amount authorized.</w:t>
      </w:r>
    </w:p>
    <w:p>
      <w:pPr>
        <w:spacing w:after="0" w:line="183"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7"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 in the event of any liquidation, dissolution or winding-up of the Company, the holders of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187"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except as otherwise provided for by the directors upon the issue of any new series of preferred shares, the holders of preferred shares have no right or power to vote on any question or in any proceeding or to be represented at, or to receive notice of, any meeting of members.</w:t>
      </w:r>
    </w:p>
    <w:p>
      <w:pPr>
        <w:spacing w:after="0" w:line="37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ORDINARY SHARES AND NON-VOTING ORDINARY SHARES</w:t>
      </w:r>
    </w:p>
    <w:p>
      <w:pPr>
        <w:spacing w:after="0" w:line="195"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Except as otherwise provided by the Memorandum of Association and Articles of Association, the ordinary shares and non-voting ordinary shares are identical and entitle holders thereof to the same rights and privileges.</w:t>
      </w:r>
    </w:p>
    <w:p>
      <w:pPr>
        <w:spacing w:after="0" w:line="185" w:lineRule="exact"/>
        <w:rPr>
          <w:sz w:val="20"/>
          <w:szCs w:val="20"/>
          <w:color w:val="auto"/>
        </w:rPr>
      </w:pPr>
    </w:p>
    <w:p>
      <w:pPr>
        <w:ind w:left="680" w:right="2399" w:hanging="191"/>
        <w:spacing w:after="0" w:line="249" w:lineRule="auto"/>
        <w:tabs>
          <w:tab w:leader="none" w:pos="6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 when and as dividends are declared on the shares of the Company the holders of voting ordinary shares and non-voting shares are entitled to share equally, share for share, in such dividends except that if dividends are declared that are payable in voting ordinary shares or non-voting ordinary shares, dividends must be declared that are payable at the same rate in both classes of shares.</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Non-Voting Ordinary Shares into Voting Ordinary Shares -- upon the transfer of non-voting ordinary shares from the original holder thereof to any third party not affiliated with such original holder, non-voting ordinary shares are redesignated in the books of the Company as voting ordinary shares and automatically convert into the same number of voting ordinary shares.</w:t>
      </w:r>
    </w:p>
    <w:p>
      <w:pPr>
        <w:spacing w:after="0" w:line="187" w:lineRule="exact"/>
        <w:rPr>
          <w:rFonts w:ascii="Courier New" w:cs="Courier New" w:eastAsia="Courier New" w:hAnsi="Courier New"/>
          <w:sz w:val="16"/>
          <w:szCs w:val="16"/>
          <w:color w:val="auto"/>
        </w:rPr>
      </w:pPr>
    </w:p>
    <w:p>
      <w:pPr>
        <w:ind w:left="680" w:right="2799" w:hanging="191"/>
        <w:spacing w:after="0" w:line="248" w:lineRule="auto"/>
        <w:tabs>
          <w:tab w:leader="none" w:pos="6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 upon any liquidation, dissolution or winding-up of the Company, the assets of the Company remaining after creditors and the holders of any preferred shares have been paid in full</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80" w:right="1440" w:bottom="1440" w:gutter="0" w:footer="0" w:header="0"/>
        </w:sectPr>
      </w:pPr>
    </w:p>
    <w:bookmarkStart w:id="60" w:name="page61"/>
    <w:bookmarkEnd w:id="60"/>
    <w:p>
      <w:pPr>
        <w:ind w:left="680" w:right="3179"/>
        <w:spacing w:after="0" w:line="252" w:lineRule="auto"/>
        <w:rPr>
          <w:sz w:val="20"/>
          <w:szCs w:val="20"/>
          <w:color w:val="auto"/>
        </w:rPr>
      </w:pPr>
      <w:r>
        <w:rPr>
          <w:rFonts w:ascii="Courier New" w:cs="Courier New" w:eastAsia="Courier New" w:hAnsi="Courier New"/>
          <w:sz w:val="16"/>
          <w:szCs w:val="16"/>
          <w:color w:val="auto"/>
        </w:rPr>
        <w:t>shall be distributed to the holders of voting ordinary shares and non-voting ordinary shares equally share for share.</w:t>
      </w:r>
    </w:p>
    <w:p>
      <w:pPr>
        <w:spacing w:after="0" w:line="183" w:lineRule="exact"/>
        <w:rPr>
          <w:sz w:val="20"/>
          <w:szCs w:val="20"/>
          <w:color w:val="auto"/>
        </w:rPr>
      </w:pPr>
    </w:p>
    <w:p>
      <w:pPr>
        <w:ind w:left="680" w:right="2699" w:hanging="191"/>
        <w:spacing w:after="0" w:line="250" w:lineRule="auto"/>
        <w:tabs>
          <w:tab w:leader="none" w:pos="6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85"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Preferences -- the voting ordinary shares and non-voting ordinary shares are subject to all the powers, rights, privileges, preferences and priorities of the preferred shares as are set out in the Articles of Association.</w:t>
      </w:r>
    </w:p>
    <w:p>
      <w:pPr>
        <w:spacing w:after="0" w:line="188"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As regards both preferred shares and voting and non-voting ordinary shares, the Company has power to purchase any of its own shares, whether or not they are redeemable and may make a payment out of capital for such purchase, however the terms of such repurchases must be approved in advance by a special resolution of the holders of our ordinary shares.</w:t>
      </w:r>
    </w:p>
    <w:p>
      <w:pPr>
        <w:spacing w:after="0" w:line="187" w:lineRule="exact"/>
        <w:rPr>
          <w:sz w:val="20"/>
          <w:szCs w:val="20"/>
          <w:color w:val="auto"/>
        </w:rPr>
      </w:pPr>
    </w:p>
    <w:p>
      <w:pPr>
        <w:ind w:right="3279" w:firstLine="489"/>
        <w:spacing w:after="0" w:line="252" w:lineRule="auto"/>
        <w:rPr>
          <w:sz w:val="20"/>
          <w:szCs w:val="20"/>
          <w:color w:val="auto"/>
        </w:rPr>
      </w:pPr>
      <w:r>
        <w:rPr>
          <w:rFonts w:ascii="Courier New" w:cs="Courier New" w:eastAsia="Courier New" w:hAnsi="Courier New"/>
          <w:sz w:val="16"/>
          <w:szCs w:val="16"/>
          <w:color w:val="auto"/>
        </w:rPr>
        <w:t>There are no provisions for a classified Board of Directors or for cumulative voting for directors.</w:t>
      </w:r>
    </w:p>
    <w:p>
      <w:pPr>
        <w:spacing w:after="0" w:line="183"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Article 8 of the Articles of Association provides that all or any of the rights, privileges, or conditions attached to any class or group of shares may be changed as follows:</w:t>
      </w:r>
    </w:p>
    <w:p>
      <w:pPr>
        <w:spacing w:after="0" w:line="185" w:lineRule="exact"/>
        <w:rPr>
          <w:sz w:val="20"/>
          <w:szCs w:val="20"/>
          <w:color w:val="auto"/>
        </w:rPr>
      </w:pPr>
    </w:p>
    <w:p>
      <w:pPr>
        <w:ind w:left="680" w:right="2399" w:hanging="191"/>
        <w:spacing w:after="0" w:line="249" w:lineRule="auto"/>
        <w:tabs>
          <w:tab w:leader="none" w:pos="6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 agreement between the Company and any person purporting to contract on behalf of the holders of shares of the class or group affected, provided that such agreement is ratified in writing by the holders of at least two-thirds of the issued shares of the class affected; or</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consent in writing of the holders of three-fourths of the issued shares of that class or with the sanction of an extraordinary resolution passed by majority of three-fourths of the votes of the holders of shares of the class or group affected entitled to vote and voting in person or by attorney or proxy and passed at a separate meeting of the holders of such shares but not otherwise.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Companies (Guernsey) Law, 1994 (the "Companies Law") provides that, where not provided for in the Articles of Association, a special resolution of the shareholders is required to alter the Articles of Association. A special resolution must be passed by not less than three-quarters of the votes recorded at a meeting called for purposes of voting on the matter. As such, the conditions set out above are as significant as the requirements of Guernsey law.</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Provisions in respect of the holding of general meetings and extraordinary general meetings are set out at Articles 14, 15 and 16 of the Articles of Association. The Articles of Association provide that an annual general meeting must be held once in every calendar year (provided that not more than 15 months have elapsed since the last such meeting) at such time and place as the directors appoint and, in default, an annual general meeting may be convened by any two members holding at least 10% in the aggregate of the Company's share capital. The directors may, whenever they deem fit, convene an extraordinary general meeting, and extraordinary general meetings will also be convened on the requisition in writing of holders of at least 20% of the issued share capital of the Company carrying voting rights or, if the directors fail upon such requisition to convene such meeting within 21 days, then such meeting may be convened by such holders in such manner as provided by the Companies Law. A minimum of 10 days' written notice is required in connection with an annual general meeting and a minimum of 14 days' written notice is required in connection with any other meeting. The notice shall specify the place, the day and the hour of the meeting, and in the case of any special business, the general nature of that business to such persons as are entitled by the Articles of Association to receive such notices from the Company provided that a meeting of the Company shall, notwithstanding that it is called by shorter notice than that specified in the Articles, be deemed to have been duly called if it is so agreed by all the members entitled to attend and vote thereat.</w:t>
      </w:r>
    </w:p>
    <w:p>
      <w:pPr>
        <w:spacing w:after="0" w:line="186"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There are no limitations on the rights to own securities, including the rights of non-resident or foreign shareholders to hold or exercise voting rights on the securities.</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81" w:right="1440" w:bottom="1440" w:gutter="0" w:footer="0" w:header="0"/>
        </w:sectPr>
      </w:pPr>
    </w:p>
    <w:bookmarkStart w:id="61" w:name="page62"/>
    <w:bookmarkEnd w:id="61"/>
    <w:p>
      <w:pPr>
        <w:ind w:right="2499" w:firstLine="489"/>
        <w:spacing w:after="0" w:line="249" w:lineRule="auto"/>
        <w:rPr>
          <w:sz w:val="20"/>
          <w:szCs w:val="20"/>
          <w:color w:val="auto"/>
        </w:rPr>
      </w:pPr>
      <w:r>
        <w:rPr>
          <w:rFonts w:ascii="Courier New" w:cs="Courier New" w:eastAsia="Courier New" w:hAnsi="Courier New"/>
          <w:sz w:val="16"/>
          <w:szCs w:val="16"/>
          <w:color w:val="auto"/>
        </w:rPr>
        <w:t>There are no provisions in the Memorandum of Association or Articles of Association that would have the effect of delaying, deferring or preventing a change in control of the Company and that would operate only with respect to a merger, acquisition or corporate restructuring involving the Company (or any of its subsidiaries).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There are no provisions in the Memorandum of Association or Articles of Association governing the ownership threshold above which shareholder ownership must be disclosed. United States federal law, however, requires that all directors, executive officers and holders of 10% or more of the stock of a company that has a class of stock registered under the Securities Exchange Act of 1934, as amended (other than a foreign private issuer, such as Amdocs), disclose such ownership. In addition, holders of more than 5% of a registered equity security of a company (including a foreign private issuer) must disclose such ownership.</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Pursuant to Article 13 of the Articles of Association, the Company may from time to time by ordinary resolution increase the share capital by such sum, to be divided into shares of such amount, as the resolution prescribes. A restructuring of the existing share capital must be done by extraordinary resolution (which requires the same vote as a special resolution), and the Company may by special resolution reduce its share capital, any capital redemption reserve fund or any share premium account in accordance with Guernsey law. These provisions in relation to the alteration of the Company's capital are in accordance with but no more onerous than the Companies Law.</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CONTRACTS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On July 1, 2005, we and a wholly owned subsidiary of ours entered into a Share Sale and Purchase Agreement, dated as of July 1, 2005, with DST, pursuant to which we acquired on that date all of the capital stock of DST Interactive, Inc. and DST Innovis, Inc., which we refer to collectively as DST Innovis.</w:t>
      </w:r>
    </w:p>
    <w:p>
      <w:pPr>
        <w:spacing w:after="0" w:line="188"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Under the agreement, we paid a purchase price of approximately $237.5 million in cash, subject to upward or downward adjustment based upon the working capital of DST Innovis.</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As part of the acquisition, we and DST also entered to several ancillary and related agreements designed to ensure a smooth transition of DST Innovis from DST to us, including customary transition service and license agreements. In addition, we signed a long-term agreement with a subsidiary of DST, pursuant to which that subsidiary will continue to support the printing and mailing of bills for the DST Innovis customer base. Under the terms of that agreement, the DST subsidiary will be a preferred vendor of billing printing and mailing for projects that combine those services with billing support, and the DST subsidiary is expected to be selected as the provider of these services for additional Amdocs customers in North America.</w:t>
      </w:r>
    </w:p>
    <w:p>
      <w:pPr>
        <w:spacing w:after="0" w:line="187"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The description of this agreement is not complete and is qualified in its entirety by reference to the full text of agreement, which was filed as Exhibit 99.1 to our July 5, 2005 Form 6-K Report of Foreign Private Issuer.</w:t>
      </w:r>
    </w:p>
    <w:p>
      <w:pPr>
        <w:spacing w:after="0" w:line="185" w:lineRule="exact"/>
        <w:rPr>
          <w:sz w:val="20"/>
          <w:szCs w:val="20"/>
          <w:color w:val="auto"/>
        </w:rPr>
      </w:pPr>
    </w:p>
    <w:p>
      <w:pPr>
        <w:ind w:right="3079" w:firstLine="489"/>
        <w:spacing w:after="0" w:line="250" w:lineRule="auto"/>
        <w:rPr>
          <w:sz w:val="20"/>
          <w:szCs w:val="20"/>
          <w:color w:val="auto"/>
        </w:rPr>
      </w:pPr>
      <w:r>
        <w:rPr>
          <w:rFonts w:ascii="Courier New" w:cs="Courier New" w:eastAsia="Courier New" w:hAnsi="Courier New"/>
          <w:sz w:val="16"/>
          <w:szCs w:val="16"/>
          <w:color w:val="auto"/>
        </w:rPr>
        <w:t>In the past two years, we have not entered into any other materials contracts other than contracts entered into in the ordinary course of our business.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TAXATION</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TAXATION OF THE COMPANY</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80" w:right="1440" w:bottom="1440" w:gutter="0" w:footer="0" w:header="0"/>
        </w:sectPr>
      </w:pPr>
    </w:p>
    <w:bookmarkStart w:id="62" w:name="page63"/>
    <w:bookmarkEnd w:id="62"/>
    <w:p>
      <w:pPr>
        <w:ind w:left="48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Our effective tax rate was 20% for the year ended September 30, 2005, compared to 22% for fiscal 2004 and 25% for fiscal 2003. Effective October 1, 2002, following the adoption of SFAS No. 142, we no longer amortize goodwill resulting from acquisitions. See the discussion above under the caption "Operating and Financial Review and Prospects -- Critical Accounting Policies -- Goodwill". As a result, goodwill amortization that is not tax-deductible no longer affects our effective tax rate.</w:t>
      </w:r>
    </w:p>
    <w:p>
      <w:pPr>
        <w:spacing w:after="0" w:line="187"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We expect our effective tax rate in fiscal 2006 to be between 18% and 20%. This reduction is due to our continued expansion into countries with lower effective tax rates.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the Company and certain of our subsidiaries have been granted certain special tax benefits, discussed below, in Cyprus, India, Ireland and Israel. The loss of any such tax benefits could have an adverse effect on our effective tax rate.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Certain Guernsey Tax Considerations</w:t>
      </w:r>
    </w:p>
    <w:p>
      <w:pPr>
        <w:spacing w:after="0" w:line="19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We qualify as an exempt company (i.e., our shareholders are not Guernsey residents and we do not carry on business in Guernsey) so we generally are not subject to taxation in Guernsey.</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Certain Cypriot Tax Considerations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Cyprus subsidiary operates a development center. Corporations resident in Cyprus are taxed on income at 10% commencing January 1, 2003 (previously at a 25% corporate tax rate) following the Income Tax law enacted in July 2002, that introduced a number of changes to the current system in an attempt to harmonize the regulations with E.U. provisions and abandon any harmful tax practices as defined by the Organization for Economic Co-operation and Development. The Government of Cyprus had issued a permit to our Cypriot subsidiary pursuant to which the activities conducted by it were deemed to be offshore activities for the purpose of Cypriot taxation. As a result, our Cypriot subsidiary will be subject, until December 31, 2005, to an effective tax rate in Cyprus of 4.25%, as long as certain requirements imposed by the Government of Cyprus are met. Thereafter, our subsidiary will be taxed at the 10% corporate tax rate.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Certain Indian Tax Considerations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Through subsidiaries, we operate a development center and a business processing operations center in India. In 2005, the corporation tax rate applicable in India on trading activities was slightly reduced to 33.66%. Our subsidiaries in India operate under a specific favorable tax entitlement that is based upon pre-approved information technology related services activity. As a result, our subsidiaries are entitled to corporate income tax exemptions on all income derived from such pre-approved information technology activity, provided they continue to meet the conditions required for such tax benefits. The benefits are scheduled to expire April 1, 2009.</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Certain Irish Tax Considerations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Irish subsidiary operates a development center. The corporation tax rate on this subsidiary's trading activities was 16% for 2002 and declined to 12.5% in 2003. The subsidiary has entered into an agreement with the Irish Industrial Development Agency pursuant to which it qualifies for certain job creation grants and, consequently, certain activities conducted by it are deemed to be manufacturing activities for the purpose of Irish taxation. As a result, the subsidiary was subject to a corporation tax rate in Ireland of 10% with respect to its manufacturing activities. This tax rate on manufacturing activities was</w:t>
      </w:r>
    </w:p>
    <w:p>
      <w:pPr>
        <w:spacing w:after="0" w:line="37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80"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available</w:t>
            </w:r>
          </w:p>
        </w:tc>
        <w:tc>
          <w:tcPr>
            <w:tcW w:w="6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to our Irish subsidiary until December 31, 2002. As of January 1,</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2003, our</w:t>
            </w:r>
          </w:p>
        </w:tc>
        <w:tc>
          <w:tcPr>
            <w:tcW w:w="6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Irish subsidiary was subject to a single corporation tax rate of 12.5%</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on all of</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its trading</w:t>
            </w:r>
          </w:p>
        </w:tc>
        <w:tc>
          <w:tcPr>
            <w:tcW w:w="5720" w:type="dxa"/>
            <w:vAlign w:val="bottom"/>
          </w:tcPr>
          <w:p>
            <w:pPr>
              <w:ind w:left="60"/>
              <w:spacing w:after="0"/>
              <w:rPr>
                <w:sz w:val="20"/>
                <w:szCs w:val="20"/>
                <w:color w:val="auto"/>
              </w:rPr>
            </w:pPr>
            <w:r>
              <w:rPr>
                <w:rFonts w:ascii="Courier New" w:cs="Courier New" w:eastAsia="Courier New" w:hAnsi="Courier New"/>
                <w:sz w:val="16"/>
                <w:szCs w:val="16"/>
                <w:color w:val="auto"/>
              </w:rPr>
              <w:t>and manufacturing activities.</w:t>
            </w:r>
          </w:p>
        </w:tc>
      </w:tr>
      <w:tr>
        <w:trPr>
          <w:trHeight w:val="376"/>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Certain</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Israeli Tax</w:t>
            </w:r>
          </w:p>
        </w:tc>
        <w:tc>
          <w:tcPr>
            <w:tcW w:w="5720" w:type="dxa"/>
            <w:vAlign w:val="bottom"/>
          </w:tcPr>
          <w:p>
            <w:pPr>
              <w:ind w:left="60"/>
              <w:spacing w:after="0"/>
              <w:rPr>
                <w:sz w:val="20"/>
                <w:szCs w:val="20"/>
                <w:color w:val="auto"/>
              </w:rPr>
            </w:pPr>
            <w:r>
              <w:rPr>
                <w:rFonts w:ascii="Courier New" w:cs="Courier New" w:eastAsia="Courier New" w:hAnsi="Courier New"/>
                <w:sz w:val="16"/>
                <w:szCs w:val="16"/>
                <w:color w:val="auto"/>
              </w:rPr>
              <w:t>Considerations</w:t>
            </w:r>
          </w:p>
        </w:tc>
      </w:tr>
    </w:tbl>
    <w:p>
      <w:pPr>
        <w:spacing w:after="0" w:line="192" w:lineRule="exact"/>
        <w:rPr>
          <w:sz w:val="20"/>
          <w:szCs w:val="20"/>
          <w:color w:val="auto"/>
        </w:rPr>
      </w:pPr>
    </w:p>
    <w:p>
      <w:pPr>
        <w:jc w:val="both"/>
        <w:ind w:right="2979" w:firstLine="489"/>
        <w:spacing w:after="0" w:line="250" w:lineRule="auto"/>
        <w:rPr>
          <w:sz w:val="20"/>
          <w:szCs w:val="20"/>
          <w:color w:val="auto"/>
        </w:rPr>
      </w:pPr>
      <w:r>
        <w:rPr>
          <w:rFonts w:ascii="Courier New" w:cs="Courier New" w:eastAsia="Courier New" w:hAnsi="Courier New"/>
          <w:sz w:val="16"/>
          <w:szCs w:val="16"/>
          <w:color w:val="auto"/>
        </w:rPr>
        <w:t>Our Israeli subsidiary, Amdocs (Israel) Limited, operates our largest development center. Discussed below are certain Israeli tax considerations relating to our Israeli subsidiary.</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General Corporate Taxation in Israel. In August 2005, the Israeli parliament enacted legislation, which has gradually reduced the "Companies Tax" rates of taxable income apply to Israeli companies. According to this legislation, the Companies Tax rate on taxable income in 2005 and upcoming years was and will be as follows: 34% in 2005, 31% in 2006, and 29% in 2007, 27% in 2008, 26% in 2009 and 25% for 2010 and thereafter. However, the effective tax rate payable by an Israeli company that derives income from an Approved Enterprise may be considerably less.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Law for the Encouragement of Capital Investments, 1959. Certain production and development facilities of our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April 2005, the Israeli parliament enacted legislation which significantly revised the Investment Law. Generally, investment programs of our Israeli subsidiary that have already obtained instruments of approval for an Approved Enterprise by the Israeli Investment Center will continue to be subject to the old provisions as described below of the Investment Law prior being revised. The revisions that were introduced into the Investment Law did not affect our effective tax rate for year ended September 30, 2005 and we do not expect them to have a significant impact on our effective tax rate in fiscal year 2006.</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87"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Tax Benefits. Taxable income derived from an Approved Enterprise is subject to a reduced corporate tax rate of 25% until the earlier of:</w:t>
      </w:r>
    </w:p>
    <w:p>
      <w:pPr>
        <w:spacing w:after="0" w:line="183" w:lineRule="exact"/>
        <w:rPr>
          <w:sz w:val="20"/>
          <w:szCs w:val="20"/>
          <w:color w:val="auto"/>
        </w:rPr>
      </w:pPr>
    </w:p>
    <w:p>
      <w:pPr>
        <w:ind w:left="680" w:right="2399" w:hanging="191"/>
        <w:spacing w:after="0" w:line="250" w:lineRule="auto"/>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seven consecutive years (or ten in the case of an FIC (as defined below)) commencing in the year in which the Approved Enterprise first generates taxable income,</w:t>
      </w:r>
    </w:p>
    <w:p>
      <w:pPr>
        <w:spacing w:after="0" w:line="185"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twelve years from the year of commencement of production, or</w:t>
      </w:r>
    </w:p>
    <w:p>
      <w:pPr>
        <w:spacing w:after="0" w:line="194"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fourteen years from the year of the approval of the Approved Enterprise status.</w:t>
      </w:r>
    </w:p>
    <w:p>
      <w:pPr>
        <w:spacing w:after="0" w:line="183" w:lineRule="exact"/>
        <w:rPr>
          <w:sz w:val="20"/>
          <w:szCs w:val="20"/>
          <w:color w:val="auto"/>
        </w:rPr>
      </w:pPr>
    </w:p>
    <w:p>
      <w:pPr>
        <w:ind w:right="2599"/>
        <w:spacing w:after="0" w:line="248" w:lineRule="auto"/>
        <w:rPr>
          <w:sz w:val="20"/>
          <w:szCs w:val="20"/>
          <w:color w:val="auto"/>
        </w:rPr>
      </w:pPr>
      <w:r>
        <w:rPr>
          <w:rFonts w:ascii="Courier New" w:cs="Courier New" w:eastAsia="Courier New" w:hAnsi="Courier New"/>
          <w:sz w:val="16"/>
          <w:szCs w:val="16"/>
          <w:color w:val="auto"/>
        </w:rPr>
        <w:t>Such income is eligible for further reductions in tax rates if we qualify as a Foreign Investors' Company ("FIC") depending on the percentage of the foreign ownership. Subject to certain conditions, an FIC is a company more than 25% of whose share capital (in terms of shares, rights of profits, voting and appointment of directors) and more than 25% of whose combined share and loan capital are owned by non-Israeli residents. The tax rate is 20% if the foreign investment is 49% or more but less than 74%; 15% if the foreign investment is</w:t>
      </w:r>
    </w:p>
    <w:p>
      <w:pPr>
        <w:spacing w:after="0" w:line="5"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w:t>
      </w:r>
    </w:p>
    <w:p>
      <w:pPr>
        <w:spacing w:after="0" w:line="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80" w:right="1440" w:bottom="1440" w:gutter="0" w:footer="0" w:header="0"/>
        </w:sectPr>
      </w:pPr>
    </w:p>
    <w:bookmarkStart w:id="64" w:name="page65"/>
    <w:bookmarkEnd w:id="64"/>
    <w:p>
      <w:pPr>
        <w:ind w:right="2399"/>
        <w:spacing w:after="0" w:line="249" w:lineRule="auto"/>
        <w:rPr>
          <w:sz w:val="20"/>
          <w:szCs w:val="20"/>
          <w:color w:val="auto"/>
        </w:rPr>
      </w:pPr>
      <w:r>
        <w:rPr>
          <w:rFonts w:ascii="Courier New" w:cs="Courier New" w:eastAsia="Courier New" w:hAnsi="Courier New"/>
          <w:sz w:val="16"/>
          <w:szCs w:val="16"/>
          <w:color w:val="auto"/>
        </w:rPr>
        <w:t>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Our Israeli subsidiary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or ten years (and in some cases for a period of four years) and, in the case of a two year tax holiday,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relating to a specific investment program of our Israeli subsidiary and to the income derived therefrom, our Israeli subsidiary is entitled to a reduced tax rate period of thirteen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20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Dividends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TAXATION OF HOLDERS OF ORDINARY SHARES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Certain United States Federal Income Tax Considerations</w:t>
      </w:r>
    </w:p>
    <w:p>
      <w:pPr>
        <w:spacing w:after="0" w:line="19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The following discussion describes the material United States federal income tax consequences to the ownership or disposition of our ordinary shares to a holder that is:</w:t>
      </w:r>
    </w:p>
    <w:p>
      <w:pPr>
        <w:spacing w:after="0" w:line="185" w:lineRule="exact"/>
        <w:rPr>
          <w:sz w:val="20"/>
          <w:szCs w:val="20"/>
          <w:color w:val="auto"/>
        </w:rPr>
      </w:pPr>
    </w:p>
    <w:p>
      <w:pPr>
        <w:ind w:left="1080" w:hanging="591"/>
        <w:spacing w:after="0"/>
        <w:tabs>
          <w:tab w:leader="none" w:pos="10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who is a citizen or resident of the United States;</w:t>
      </w:r>
    </w:p>
    <w:p>
      <w:pPr>
        <w:spacing w:after="0" w:line="194" w:lineRule="exact"/>
        <w:rPr>
          <w:rFonts w:ascii="Courier New" w:cs="Courier New" w:eastAsia="Courier New" w:hAnsi="Courier New"/>
          <w:sz w:val="16"/>
          <w:szCs w:val="16"/>
          <w:color w:val="auto"/>
        </w:rPr>
      </w:pPr>
    </w:p>
    <w:p>
      <w:pPr>
        <w:ind w:left="780" w:right="2879" w:hanging="291"/>
        <w:spacing w:after="0" w:line="252" w:lineRule="auto"/>
        <w:tabs>
          <w:tab w:leader="none" w:pos="107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created or organized in, or under the laws of, the United States or of any state thereof;</w:t>
      </w:r>
    </w:p>
    <w:p>
      <w:pPr>
        <w:spacing w:after="0" w:line="183" w:lineRule="exact"/>
        <w:rPr>
          <w:rFonts w:ascii="Courier New" w:cs="Courier New" w:eastAsia="Courier New" w:hAnsi="Courier New"/>
          <w:sz w:val="16"/>
          <w:szCs w:val="16"/>
          <w:color w:val="auto"/>
        </w:rPr>
      </w:pPr>
    </w:p>
    <w:p>
      <w:pPr>
        <w:ind w:left="1080" w:hanging="591"/>
        <w:spacing w:after="0"/>
        <w:tabs>
          <w:tab w:leader="none" w:pos="10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includable in gross income for</w:t>
      </w:r>
    </w:p>
    <w:p>
      <w:pPr>
        <w:spacing w:after="0" w:line="6"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federal income tax purposes regardless of its source; or</w:t>
      </w:r>
    </w:p>
    <w:p>
      <w:pPr>
        <w:spacing w:after="0" w:line="194" w:lineRule="exact"/>
        <w:rPr>
          <w:rFonts w:ascii="Courier New" w:cs="Courier New" w:eastAsia="Courier New" w:hAnsi="Courier New"/>
          <w:sz w:val="16"/>
          <w:szCs w:val="16"/>
          <w:color w:val="auto"/>
        </w:rPr>
      </w:pPr>
    </w:p>
    <w:p>
      <w:pPr>
        <w:ind w:left="780" w:right="2399" w:hanging="291"/>
        <w:spacing w:after="0" w:line="249" w:lineRule="auto"/>
        <w:tabs>
          <w:tab w:leader="none" w:pos="97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court within the United States is able to exercise primary supervision over the administration of the trust and one or more U.S. persons has the authority to control all substantial decisions of the trust.</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80" w:right="1440" w:bottom="1440" w:gutter="0" w:footer="0" w:header="0"/>
        </w:sectPr>
      </w:pPr>
    </w:p>
    <w:bookmarkStart w:id="65" w:name="page66"/>
    <w:bookmarkEnd w:id="65"/>
    <w:p>
      <w:pPr>
        <w:ind w:right="2399" w:firstLine="489"/>
        <w:spacing w:after="0" w:line="251" w:lineRule="auto"/>
        <w:rPr>
          <w:sz w:val="20"/>
          <w:szCs w:val="20"/>
          <w:color w:val="auto"/>
        </w:rPr>
      </w:pPr>
      <w:r>
        <w:rPr>
          <w:rFonts w:ascii="Courier New" w:cs="Courier New" w:eastAsia="Courier New" w:hAnsi="Courier New"/>
          <w:sz w:val="16"/>
          <w:szCs w:val="16"/>
          <w:color w:val="auto"/>
        </w:rPr>
        <w:t>This summary generally considers only U.S. holders that own ordinary shares as capital assets. This summary does not discuss the United States federal income tax consequences to a holder of ordinary shares that is not a U.S. holder.</w:t>
      </w:r>
    </w:p>
    <w:p>
      <w:pPr>
        <w:spacing w:after="0" w:line="37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this discussion does not consider the tax treatment of persons who hold ordinary shares through a partnership or other pass-through entity or the possible application of United States federal gift or estate taxes.</w:t>
      </w:r>
    </w:p>
    <w:p>
      <w:pPr>
        <w:spacing w:after="0" w:line="186"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This summary is for general information only and is not binding on the Internal Revenue Service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Dividend income is generally taxed as ordinary income. However, as a result of recent United States tax legislation, a maximum United States federal income tax rate of 15% will apply to "qualified dividend income" received by individuals (as well as certain trusts and estates) in taxable years beginning after December 31, 2002 and before January 1, 2009, provided that certain holding period requirements are met. "Qualified dividend income" includes dividends paid on shares of United States corporations as well as dividends paid on shares of "qualified foreign corporations", including shares of a foreign corporation which are readily tradable on an established securities market in the United States. Since our ordinary shares are readily tradable on the New York Stock Exchange, we believe that dividends paid by us with respect to our ordinary shares should constitute "qualified dividend income" for United States federal income tax purposes, provided that the holding period requirements are satisfied and none of the other special exceptions applies.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or "financial services income" for United States foreign tax credit purposes.</w:t>
      </w:r>
    </w:p>
    <w:p>
      <w:pPr>
        <w:spacing w:after="0" w:line="187" w:lineRule="exact"/>
        <w:rPr>
          <w:sz w:val="20"/>
          <w:szCs w:val="20"/>
          <w:color w:val="auto"/>
        </w:rPr>
      </w:pPr>
    </w:p>
    <w:p>
      <w:pPr>
        <w:ind w:right="2799" w:firstLine="489"/>
        <w:spacing w:after="0" w:line="248" w:lineRule="auto"/>
        <w:rPr>
          <w:sz w:val="20"/>
          <w:szCs w:val="20"/>
          <w:color w:val="auto"/>
        </w:rPr>
      </w:pPr>
      <w:r>
        <w:rPr>
          <w:rFonts w:ascii="Courier New" w:cs="Courier New" w:eastAsia="Courier New" w:hAnsi="Courier New"/>
          <w:sz w:val="16"/>
          <w:szCs w:val="16"/>
          <w:color w:val="auto"/>
        </w:rPr>
        <w:t>Disposition of Ordinary Shares. Upon the sale, exchange or other disposition of our ordinary shares, a U.S. holder generally will recognize capital gain or loss in an amount equal to the difference between the amount realized on the disposition by such U.S. holder and its tax basis in the ordinary shares. Such</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80" w:right="1440" w:bottom="1440" w:gutter="0" w:footer="0" w:header="0"/>
        </w:sectPr>
      </w:pPr>
    </w:p>
    <w:bookmarkStart w:id="66" w:name="page67"/>
    <w:bookmarkEnd w:id="66"/>
    <w:p>
      <w:pPr>
        <w:ind w:right="2599"/>
        <w:spacing w:after="0" w:line="249" w:lineRule="auto"/>
        <w:rPr>
          <w:sz w:val="20"/>
          <w:szCs w:val="20"/>
          <w:color w:val="auto"/>
        </w:rPr>
      </w:pPr>
      <w:r>
        <w:rPr>
          <w:rFonts w:ascii="Courier New" w:cs="Courier New" w:eastAsia="Courier New" w:hAnsi="Courier New"/>
          <w:sz w:val="16"/>
          <w:szCs w:val="16"/>
          <w:color w:val="auto"/>
        </w:rPr>
        <w:t>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after May 5, 2003 and before the end of a taxable year which begins before January 1, 2009 generally will be subject to a maximum United States federal tax income rate of 15%. Gains realized by a U.S. holder on a sale, exchange or other disposition of ordinary shares generally will be treated as United States source income for United States foreign tax credit purposes.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Information Reporting and Backup Withholding. Dividend payments with respect to the ordinary shares and proceeds from the sale, exchange or redemption of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Passive Foreign Investment Company Considerations. If, during any taxable year, 75% or more of our gross income consists of certain types of passive income, or the average 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Certain Guernsey Tax Considerations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w:t>
      </w:r>
    </w:p>
    <w:p>
      <w:pPr>
        <w:spacing w:after="0" w:line="187" w:lineRule="exact"/>
        <w:rPr>
          <w:sz w:val="20"/>
          <w:szCs w:val="20"/>
          <w:color w:val="auto"/>
        </w:rPr>
      </w:pPr>
    </w:p>
    <w:p>
      <w:pPr>
        <w:jc w:val="both"/>
        <w:ind w:right="2599" w:firstLine="489"/>
        <w:spacing w:after="0" w:line="250" w:lineRule="auto"/>
        <w:rPr>
          <w:sz w:val="20"/>
          <w:szCs w:val="20"/>
          <w:color w:val="auto"/>
        </w:rPr>
      </w:pPr>
      <w:r>
        <w:rPr>
          <w:rFonts w:ascii="Courier New" w:cs="Courier New" w:eastAsia="Courier New" w:hAnsi="Courier New"/>
          <w:sz w:val="16"/>
          <w:szCs w:val="16"/>
          <w:color w:val="auto"/>
        </w:rPr>
        <w:t>There are no capital gains, gift or inheritance taxes levied by Guernsey, and the ordinary shares generally are not subject to any transfer taxes, stamp duties or similar charges on issuance or transfer.</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80"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6"/>
          <w:szCs w:val="16"/>
          <w:color w:val="auto"/>
        </w:rPr>
        <w:t>DOCUMENTS ON DISPLAY</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www.sec.gov. Some of this information may also be found on our website at www.amdocs.com.</w:t>
      </w:r>
    </w:p>
    <w:p>
      <w:pPr>
        <w:spacing w:after="0" w:line="187"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You may request copies of our reports, at no cost, by writing to or telephoning us as follows:</w:t>
      </w:r>
    </w:p>
    <w:p>
      <w:pPr>
        <w:spacing w:after="0" w:line="183"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Amdocs, Inc.</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1390 Timberlake Manor Parkway</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Chesterfield, Missouri 63017</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Telephone: (314) 212-8328</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11.</w:t>
        <w:tab/>
        <w:t>QUANTITATIVE AND QUALITATIVE DISCLOSURE ABOUT MARKET RISK</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FLUCTUATIONS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manage our foreign subsidiaries as integral direct components of our operations. The U.S. dollar is our functional currency. According to the salient economic factors indicated in SFAS No. 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expenditures throughout Amdocs' group.</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During fiscal 2005, our revenue and operating expenses in U.S. dollar or linked to the U.S. dollar were at the same level compared to fiscal 2004, 70% and 50%, respectively. As a result of long-term contracts in currencies other than the U.S. dollar and more customers seeking contracts that are denominated in currencies such as the Euro, the percentage of our revenue and operating expenses in U.S. dollar or linked to the U.S. dollar may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RISK</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enter into foreign exchange forward contracts and options to hedge most of our foreign currency exposure. We use such contracts to hedge exposure to changes in foreign currency exchange rates associated with revenue denominated in a foreign currency, primarily British pounds, Canadian dollars and the Euro, and anticipated costs to be incurred in a foreign currency, primarily Israeli shekels. We also use forward contracts to hedge the impact of the variability in exchange rates on certain accounts receivables, denominated primarily in British pounds and the Euro, and on certain account payables, primarily Israeli shekels. We seek to minimize the risk that the anticipated cash flow from sales of our products and services and cash flow required for our expenses denominated in a currency other than our functional currency will be affected by changes in exchange rates. See Note 22 to our consolidated financial statements included in this document. The following table summarizes our foreign currency forward exchange agreements as of September 30, 2005. All the forward contracts are expected to mature during fiscal 2006 or during fiscal 2007. The table below (all dollar amounts in millions) presents the notional</w:t>
      </w: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80" w:right="1440" w:bottom="1440" w:gutter="0" w:footer="0" w:header="0"/>
        </w:sectPr>
      </w:pPr>
    </w:p>
    <w:bookmarkStart w:id="68" w:name="page69"/>
    <w:bookmarkEnd w:id="68"/>
    <w:p>
      <w:pPr>
        <w:ind w:right="2499"/>
        <w:spacing w:after="0" w:line="250" w:lineRule="auto"/>
        <w:rPr>
          <w:sz w:val="20"/>
          <w:szCs w:val="20"/>
          <w:color w:val="auto"/>
        </w:rPr>
      </w:pPr>
      <w:r>
        <w:rPr>
          <w:rFonts w:ascii="Courier New" w:cs="Courier New" w:eastAsia="Courier New" w:hAnsi="Courier New"/>
          <w:sz w:val="16"/>
          <w:szCs w:val="16"/>
          <w:color w:val="auto"/>
        </w:rPr>
        <w:t>amounts and fair value of the total derivative instruments as of September 30, 2005. Notional values are calculated based on forward rates as of September 30, 2005, U.S. dollar translated.</w:t>
      </w:r>
    </w:p>
    <w:p>
      <w:pPr>
        <w:spacing w:after="0" w:line="18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 OF SEPTEMBER 30, 2005 -----------------------------</w:t>
      </w:r>
    </w:p>
    <w:p>
      <w:pPr>
        <w:spacing w:after="0" w:line="7" w:lineRule="exact"/>
        <w:rPr>
          <w:sz w:val="20"/>
          <w:szCs w:val="20"/>
          <w:color w:val="auto"/>
        </w:rPr>
      </w:pPr>
    </w:p>
    <w:p>
      <w:pPr>
        <w:jc w:val="both"/>
        <w:ind w:left="140" w:right="4939" w:hanging="42"/>
        <w:spacing w:after="0" w:line="248" w:lineRule="auto"/>
        <w:tabs>
          <w:tab w:leader="none" w:pos="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NOTIONAL AMOUNT FAIR VALUE TRANSLATED TO OF U.S. DOLLAR(*) DERIVATIVES ------------------ -----------</w:t>
      </w:r>
    </w:p>
    <w:p>
      <w:pPr>
        <w:spacing w:after="0" w:line="1"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MATURING DURING FISCAL ------------------</w:t>
      </w:r>
    </w:p>
    <w:p>
      <w:pPr>
        <w:spacing w:after="0" w:line="6"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2006 2007 --------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Revenue................................................</w:t>
            </w:r>
          </w:p>
        </w:tc>
        <w:tc>
          <w:tcPr>
            <w:tcW w:w="980" w:type="dxa"/>
            <w:vAlign w:val="bottom"/>
          </w:tcPr>
          <w:p>
            <w:pPr>
              <w:spacing w:after="0"/>
              <w:rPr>
                <w:sz w:val="15"/>
                <w:szCs w:val="15"/>
                <w:color w:val="auto"/>
              </w:rPr>
            </w:pPr>
          </w:p>
        </w:tc>
      </w:tr>
      <w:tr>
        <w:trPr>
          <w:trHeight w:val="188"/>
        </w:trPr>
        <w:tc>
          <w:tcPr>
            <w:tcW w:w="2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$ 62.0 $45.3</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 (8.8)</w:t>
            </w:r>
          </w:p>
        </w:tc>
        <w:tc>
          <w:tcPr>
            <w:tcW w:w="9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Costs..................................................</w:t>
            </w:r>
          </w:p>
        </w:tc>
        <w:tc>
          <w:tcPr>
            <w:tcW w:w="9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(154.7) (0.7) (3.9) Balance sheet</w:t>
            </w:r>
          </w:p>
        </w:tc>
        <w:tc>
          <w:tcPr>
            <w:tcW w:w="980" w:type="dxa"/>
            <w:vAlign w:val="bottom"/>
          </w:tcPr>
          <w:p>
            <w:pPr>
              <w:spacing w:after="0"/>
              <w:rPr>
                <w:sz w:val="16"/>
                <w:szCs w:val="16"/>
                <w:color w:val="auto"/>
              </w:rPr>
            </w:pPr>
          </w:p>
        </w:tc>
      </w:tr>
      <w:tr>
        <w:trPr>
          <w:trHeight w:val="188"/>
        </w:trPr>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w w:val="75"/>
              </w:rPr>
              <w:t>items....................................</w:t>
            </w: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1.3 -- -- --</w:t>
            </w:r>
          </w:p>
        </w:tc>
      </w:tr>
      <w:tr>
        <w:trPr>
          <w:trHeight w:val="188"/>
        </w:trPr>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 ----- ------ $ (91.4)</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$44.6 $(12.7)</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jc w:val="right"/>
              <w:ind w:right="979"/>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spacing w:after="0"/>
              <w:rPr>
                <w:sz w:val="16"/>
                <w:szCs w:val="16"/>
                <w:color w:val="auto"/>
              </w:rPr>
            </w:pP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2979" w:hanging="400"/>
        <w:spacing w:after="0" w:line="250" w:lineRule="auto"/>
        <w:tabs>
          <w:tab w:leader="none" w:pos="40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Positive notional amounts represent forward contracts to sell foreign currency. Negative notional amounts represent forward contracts to buy foreign currency.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RISK</w:t>
      </w:r>
    </w:p>
    <w:p>
      <w:pPr>
        <w:spacing w:after="0" w:line="195" w:lineRule="exact"/>
        <w:rPr>
          <w:sz w:val="20"/>
          <w:szCs w:val="20"/>
          <w:color w:val="auto"/>
        </w:rPr>
      </w:pPr>
    </w:p>
    <w:p>
      <w:pPr>
        <w:ind w:right="2699" w:firstLine="489"/>
        <w:spacing w:after="0" w:line="248" w:lineRule="auto"/>
        <w:rPr>
          <w:sz w:val="20"/>
          <w:szCs w:val="20"/>
          <w:color w:val="auto"/>
        </w:rPr>
      </w:pPr>
      <w:r>
        <w:rPr>
          <w:rFonts w:ascii="Courier New" w:cs="Courier New" w:eastAsia="Courier New" w:hAnsi="Courier New"/>
          <w:sz w:val="16"/>
          <w:szCs w:val="16"/>
          <w:color w:val="auto"/>
        </w:rPr>
        <w:t>Our interest expenses and income are sensitive to changes in interest rates, as all of our cash reserves and some of our borrowings, other than the</w:t>
      </w:r>
    </w:p>
    <w:p>
      <w:pPr>
        <w:spacing w:after="0" w:line="1"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0.50% Notes and 2% Notes, are subject to interest rate changes. Excess liquidity is invested in short-term interest-bearing investments. Such short-term interest-bearing investments consist primarily of commercial paper, Treasury notes, federal agency securities, corporate bonds, corporate backed obligations and mortgages, and currently bear minimal interest rate risk. As of September 30, 2005, we had $1.0 million of outstanding borrowings under our revolving lines of credit or our short-term credit facilities and $5.4 million outstanding short term loans, and accordingly, we believe we are subject to minimal interest rate risk.</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12.</w:t>
        <w:tab/>
        <w:t>DESCRIPTION OF SECURITIES OTHER THAN EQUITY SECURITIES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PART II</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13.</w:t>
        <w:tab/>
        <w:t>DEFAULTS, DIVIDEND ARREARAGES AND DELINQUENCIES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ind w:left="980" w:right="2699" w:hanging="976"/>
        <w:spacing w:after="0" w:line="252" w:lineRule="auto"/>
        <w:tabs>
          <w:tab w:leader="none" w:pos="960" w:val="left"/>
        </w:tabs>
        <w:rPr>
          <w:sz w:val="20"/>
          <w:szCs w:val="20"/>
          <w:color w:val="auto"/>
        </w:rPr>
      </w:pPr>
      <w:r>
        <w:rPr>
          <w:rFonts w:ascii="Courier New" w:cs="Courier New" w:eastAsia="Courier New" w:hAnsi="Courier New"/>
          <w:sz w:val="16"/>
          <w:szCs w:val="16"/>
          <w:color w:val="auto"/>
        </w:rPr>
        <w:t>ITEM 14.</w:t>
        <w:tab/>
        <w:t>MATERIAL MODIFICATIONS TO THE RIGHTS OF SECURITY HOLDERS AND USE OF PROCEEDS</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15.</w:t>
        <w:tab/>
        <w:t>CONTROLS AND PROCEDURES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Company's management, with the participation of the Chief Executive Officer and Chief Financial Officer of Amdocs Management Limited, evaluated the effectiveness of the Company's disclosure controls and procedures as of September 30, 2005.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81" w:right="1440" w:bottom="1440" w:gutter="0" w:footer="0" w:header="0"/>
        </w:sectPr>
      </w:pPr>
    </w:p>
    <w:bookmarkStart w:id="69" w:name="page70"/>
    <w:bookmarkEnd w:id="69"/>
    <w:p>
      <w:pPr>
        <w:ind w:right="2399"/>
        <w:spacing w:after="0" w:line="249" w:lineRule="auto"/>
        <w:rPr>
          <w:sz w:val="20"/>
          <w:szCs w:val="20"/>
          <w:color w:val="auto"/>
        </w:rPr>
      </w:pPr>
      <w:r>
        <w:rPr>
          <w:rFonts w:ascii="Courier New" w:cs="Courier New" w:eastAsia="Courier New" w:hAnsi="Courier New"/>
          <w:sz w:val="16"/>
          <w:szCs w:val="16"/>
          <w:color w:val="auto"/>
        </w:rPr>
        <w:t>accumulated and communicated to the company's management, including its principal executive and principal financial officers, as appropriate to allow timely decisions regarding adequate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September 30, 2005, the Chief Executive Officer and the Chief Financial Officer of Amdocs Management Limited concluded that, as of such date, the Company's disclosure controls and procedures were effective at the reasonable assurance level.</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No change in the Company's internal control over financial reporting (as defined in Rules 13a-15(f) and 15d-15(f) under the Exchange Act) occurred during the fiscal year ended September 30, 2005 that has materially affected, or is reasonably likely to materially affect, the Company's internal control over financial reporting.</w:t>
      </w:r>
    </w:p>
    <w:p>
      <w:pPr>
        <w:spacing w:after="0" w:line="18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6"/>
          <w:szCs w:val="16"/>
          <w:color w:val="auto"/>
        </w:rPr>
        <w:t>ITEM 16A.</w:t>
        <w:tab/>
        <w:t>AUDIT COMMITTEE FINANCIAL EXPERT</w:t>
      </w:r>
    </w:p>
    <w:p>
      <w:pPr>
        <w:spacing w:after="0" w:line="195"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Our Board of Directors has determined that the Company has at least one audit committee financial expert, Adrian Gardner, serving on its Audit Committee. Our Board of Directors has determined that Mr. Gardner is an independent director.</w:t>
      </w:r>
    </w:p>
    <w:p>
      <w:pPr>
        <w:spacing w:after="0" w:line="188"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6"/>
          <w:szCs w:val="16"/>
          <w:color w:val="auto"/>
        </w:rPr>
        <w:t>ITEM 16B.</w:t>
        <w:tab/>
        <w:t>CODE OF ETHICS AND BUSINESS CONDUCT</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Our Board of Directors has adopted a Code of Ethics and Business Conduct that sets forth legal and ethical standards of conduct for directors and employees, including executive officers, of the Company, our subsidiaries and other business entities controlled by us worldwide.</w:t>
      </w:r>
    </w:p>
    <w:p>
      <w:pPr>
        <w:spacing w:after="0" w:line="188"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Our Code of Ethics and Business Conduct is available on our website at www.amdocs.com, or you may request a copy of our code of ethics, at no cost, by writing to or telephoning us as follows:</w:t>
      </w:r>
    </w:p>
    <w:p>
      <w:pPr>
        <w:spacing w:after="0" w:line="18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Amdocs, Inc.</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1390 Timberlake Manor Parkway</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Chesterfield, Missouri 63017</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Telephone: (314) 212-8328</w:t>
      </w:r>
    </w:p>
    <w:p>
      <w:pPr>
        <w:spacing w:after="0" w:line="19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We intend to post on our website all disclosures that are required by law or NYSE rules concerning any amendments to, or waivers from, any provision of the code.</w:t>
      </w:r>
    </w:p>
    <w:p>
      <w:pPr>
        <w:spacing w:after="0" w:line="18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6"/>
          <w:szCs w:val="16"/>
          <w:color w:val="auto"/>
        </w:rPr>
        <w:t>ITEM 16C.</w:t>
        <w:tab/>
        <w:t>PRINCIPAL ACCOUNTANT FEES AND SERVICES</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During each of the last three fiscal years, Ernst &amp; Young LLP has acted as the Company's independent registered public accounting firm.</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FEES</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Ernst &amp; Young billed the Company approximately $2.7 million for audit services for fiscal 2005, including fees associated with the annual audit and reviews of the Company's quarterly financial results submitted on Form 6-K, consultations on various accounting issues and performance of local statutory audits. Ernst &amp; Young billed the Company approximately $2.6 million for audit services for fiscal 2004.</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AUDIT-RELATED FEES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Ernst &amp; Young billed the Company approximately $1.1 million for audit-related services for fiscal 2005. Audit-related services principally include due diligence examinations, SAS 70 report issuances, assistance with the requirements of the Sarbanes-Oxley Act of 2002 and related SEC regulations, attestation services that are not required by statute or regulation and consultations concerning financial</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80" w:right="1440" w:bottom="1440" w:gutter="0" w:footer="0" w:header="0"/>
        </w:sectPr>
      </w:pPr>
    </w:p>
    <w:bookmarkStart w:id="70" w:name="page71"/>
    <w:bookmarkEnd w:id="70"/>
    <w:p>
      <w:pPr>
        <w:ind w:right="3379"/>
        <w:spacing w:after="0" w:line="252" w:lineRule="auto"/>
        <w:rPr>
          <w:sz w:val="20"/>
          <w:szCs w:val="20"/>
          <w:color w:val="auto"/>
        </w:rPr>
      </w:pPr>
      <w:r>
        <w:rPr>
          <w:rFonts w:ascii="Courier New" w:cs="Courier New" w:eastAsia="Courier New" w:hAnsi="Courier New"/>
          <w:sz w:val="16"/>
          <w:szCs w:val="16"/>
          <w:color w:val="auto"/>
        </w:rPr>
        <w:t>accounting and reporting standards. Ernst &amp; Young billed the Company approximately $1.2 million for audit-related services for fiscal 2004.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FEES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Ernst &amp; Young billed the Company approximately $1.5 million for tax advice, including fees associated with tax compliance, tax advice and tax planning services for fiscal 2005. Ernst &amp; Young billed the Company approximately $1.8 million for tax advice in fiscal 2004.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OTHER FEES</w:t>
      </w:r>
    </w:p>
    <w:p>
      <w:pPr>
        <w:spacing w:after="0" w:line="195" w:lineRule="exact"/>
        <w:rPr>
          <w:sz w:val="20"/>
          <w:szCs w:val="20"/>
          <w:color w:val="auto"/>
        </w:rPr>
      </w:pPr>
    </w:p>
    <w:p>
      <w:pPr>
        <w:jc w:val="both"/>
        <w:ind w:right="2499" w:firstLine="489"/>
        <w:spacing w:after="0" w:line="252" w:lineRule="auto"/>
        <w:rPr>
          <w:sz w:val="20"/>
          <w:szCs w:val="20"/>
          <w:color w:val="auto"/>
        </w:rPr>
      </w:pPr>
      <w:r>
        <w:rPr>
          <w:rFonts w:ascii="Courier New" w:cs="Courier New" w:eastAsia="Courier New" w:hAnsi="Courier New"/>
          <w:sz w:val="16"/>
          <w:szCs w:val="16"/>
          <w:color w:val="auto"/>
        </w:rPr>
        <w:t>Ernst &amp; Young did not bill the Company for services other than Audit Fees, Audit-Related Fees and Tax Fees described above for fiscal 2005 or fiscal 2004.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PRE-APPROVAL POLICIES FOR NON-AUDIT SERVICES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Audit Committee has adopted policies and procedures relating to the approval of all audit and non-audit services that are to be performed by the Company's independent registered public accounting firm. These policies generally provide that the Company will not engage its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From time to time, the Audit Committee may pre-approve specified types of services that are expected to be provided to the Company by its independent registered public accounting firm during the next 12 months. Any such pre-approval is detailed as to the particular service or type of services to be provided and is also generally subject to a maximum dollar amount. In fiscal 2005, the Company's Audit Committee approved all of the services provided by Ernst &amp; Young.</w:t>
      </w:r>
    </w:p>
    <w:p>
      <w:pPr>
        <w:spacing w:after="0" w:line="18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6"/>
          <w:szCs w:val="16"/>
          <w:color w:val="auto"/>
        </w:rPr>
        <w:t>ITEM 16D.</w:t>
        <w:tab/>
        <w:t>EXEMPTION FROM THE LISTING STANDARDS FOR AUDIT COMMITTEES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ind w:left="1080" w:right="3379" w:hanging="1074"/>
        <w:spacing w:after="0" w:line="252" w:lineRule="auto"/>
        <w:tabs>
          <w:tab w:leader="none" w:pos="1060" w:val="left"/>
        </w:tabs>
        <w:rPr>
          <w:sz w:val="20"/>
          <w:szCs w:val="20"/>
          <w:color w:val="auto"/>
        </w:rPr>
      </w:pPr>
      <w:r>
        <w:rPr>
          <w:rFonts w:ascii="Courier New" w:cs="Courier New" w:eastAsia="Courier New" w:hAnsi="Courier New"/>
          <w:sz w:val="16"/>
          <w:szCs w:val="16"/>
          <w:color w:val="auto"/>
        </w:rPr>
        <w:t>ITEM 16E.</w:t>
        <w:tab/>
        <w:t>PURCHASES OF EQUITY SECURITIES BY THE ISSUER AND AFFILIATED PURCHASERS</w:t>
      </w:r>
    </w:p>
    <w:p>
      <w:pPr>
        <w:spacing w:after="0" w:line="183"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following table provides information about purchases by us and our affiliated purchasers during the fiscal year ended September 30, 2005 of equity securities that are registered by us pursuant to Section 12 of the Exchange Act:</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Ordinary Shares</w:t>
      </w:r>
    </w:p>
    <w:p>
      <w:pPr>
        <w:spacing w:after="0" w:line="195" w:lineRule="exact"/>
        <w:rPr>
          <w:sz w:val="20"/>
          <w:szCs w:val="20"/>
          <w:color w:val="auto"/>
        </w:rPr>
      </w:pPr>
    </w:p>
    <w:p>
      <w:pPr>
        <w:jc w:val="both"/>
        <w:ind w:left="140" w:right="8019" w:firstLine="6"/>
        <w:spacing w:after="0" w:line="248" w:lineRule="auto"/>
        <w:tabs>
          <w:tab w:leader="none" w:pos="53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 (C) (D) TOTAL NUMBER OF SHARES (OR UNITS) MAXIMUM NUMBER (OR PURCHASED AS PART</w:t>
      </w:r>
    </w:p>
    <w:p>
      <w:pPr>
        <w:spacing w:after="0" w:line="2"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APPROXIMATE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40" w:hanging="192"/>
        <w:spacing w:after="0"/>
        <w:tabs>
          <w:tab w:leader="none" w:pos="2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05/01/05-</w:t>
      </w:r>
    </w:p>
    <w:p>
      <w:pPr>
        <w:spacing w:after="0" w:line="6" w:lineRule="exact"/>
        <w:rPr>
          <w:rFonts w:ascii="Courier New" w:cs="Courier New" w:eastAsia="Courier New" w:hAnsi="Courier New"/>
          <w:sz w:val="16"/>
          <w:szCs w:val="16"/>
          <w:color w:val="auto"/>
        </w:rPr>
      </w:pPr>
    </w:p>
    <w:p>
      <w:pPr>
        <w:ind w:left="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05/31/05.......</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3,525,200 $28.33</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3,525,200 -- ---------</w:t>
      </w:r>
    </w:p>
    <w:p>
      <w:pPr>
        <w:spacing w:after="0" w:line="6"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3,525,200 3,525,200</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81" w:right="1440" w:bottom="1440" w:gutter="0" w:footer="0" w:header="0"/>
        </w:sectPr>
      </w:pPr>
    </w:p>
    <w:bookmarkStart w:id="71" w:name="page72"/>
    <w:bookmarkEnd w:id="71"/>
    <w:p>
      <w:pPr>
        <w:ind w:left="3520"/>
        <w:spacing w:after="0"/>
        <w:rPr>
          <w:sz w:val="20"/>
          <w:szCs w:val="20"/>
          <w:color w:val="auto"/>
        </w:rPr>
      </w:pPr>
      <w:r>
        <w:rPr>
          <w:rFonts w:ascii="Courier New" w:cs="Courier New" w:eastAsia="Courier New" w:hAnsi="Courier New"/>
          <w:sz w:val="16"/>
          <w:szCs w:val="16"/>
          <w:color w:val="auto"/>
        </w:rPr>
        <w:t>PART III</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17.</w:t>
        <w:tab/>
        <w:t>FINANCIAL STATEMENTS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18.</w:t>
        <w:tab/>
        <w:t>FINANCIAL STATEMENTS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 AND SCHEDULE</w:t>
      </w:r>
    </w:p>
    <w:p>
      <w:pPr>
        <w:spacing w:after="0" w:line="195"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The following Financial Statements and Financial Statement Schedule of Amdocs Limited, with respect to financial results for the fiscal years ended September 30, 2005, 2004 and 2003, are included at the end of this Annual Report:</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AUDITED FINANCIAL STATEMENTS OF AMDOCS LIMITED</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Report of Independent Registered Public Accounting Firm</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Consolidated Balance Sheets as of September 30, 2005 and 2004</w:t>
      </w:r>
    </w:p>
    <w:p>
      <w:pPr>
        <w:spacing w:after="0" w:line="195" w:lineRule="exact"/>
        <w:rPr>
          <w:sz w:val="20"/>
          <w:szCs w:val="20"/>
          <w:color w:val="auto"/>
        </w:rPr>
      </w:pPr>
    </w:p>
    <w:p>
      <w:pPr>
        <w:ind w:right="2799" w:firstLine="489"/>
        <w:spacing w:after="0" w:line="252" w:lineRule="auto"/>
        <w:rPr>
          <w:sz w:val="20"/>
          <w:szCs w:val="20"/>
          <w:color w:val="auto"/>
        </w:rPr>
      </w:pPr>
      <w:r>
        <w:rPr>
          <w:rFonts w:ascii="Courier New" w:cs="Courier New" w:eastAsia="Courier New" w:hAnsi="Courier New"/>
          <w:sz w:val="16"/>
          <w:szCs w:val="16"/>
          <w:color w:val="auto"/>
        </w:rPr>
        <w:t>Consolidated Statements of Operations for the years ended September 30, 2005, 2004 and 2003</w:t>
      </w:r>
    </w:p>
    <w:p>
      <w:pPr>
        <w:spacing w:after="0" w:line="183" w:lineRule="exact"/>
        <w:rPr>
          <w:sz w:val="20"/>
          <w:szCs w:val="20"/>
          <w:color w:val="auto"/>
        </w:rPr>
      </w:pPr>
    </w:p>
    <w:p>
      <w:pPr>
        <w:ind w:left="780" w:right="2699" w:hanging="292"/>
        <w:spacing w:after="0" w:line="252" w:lineRule="auto"/>
        <w:rPr>
          <w:sz w:val="20"/>
          <w:szCs w:val="20"/>
          <w:color w:val="auto"/>
        </w:rPr>
      </w:pPr>
      <w:r>
        <w:rPr>
          <w:rFonts w:ascii="Courier New" w:cs="Courier New" w:eastAsia="Courier New" w:hAnsi="Courier New"/>
          <w:sz w:val="16"/>
          <w:szCs w:val="16"/>
          <w:color w:val="auto"/>
        </w:rPr>
        <w:t>Consolidated Statements of Changes in Shareholders' Equity for the years ended September 30, 2005, 2004 and 2003</w:t>
      </w:r>
    </w:p>
    <w:p>
      <w:pPr>
        <w:spacing w:after="0" w:line="183" w:lineRule="exact"/>
        <w:rPr>
          <w:sz w:val="20"/>
          <w:szCs w:val="20"/>
          <w:color w:val="auto"/>
        </w:rPr>
      </w:pPr>
    </w:p>
    <w:p>
      <w:pPr>
        <w:ind w:right="2799" w:firstLine="489"/>
        <w:spacing w:after="0" w:line="252" w:lineRule="auto"/>
        <w:rPr>
          <w:sz w:val="20"/>
          <w:szCs w:val="20"/>
          <w:color w:val="auto"/>
        </w:rPr>
      </w:pPr>
      <w:r>
        <w:rPr>
          <w:rFonts w:ascii="Courier New" w:cs="Courier New" w:eastAsia="Courier New" w:hAnsi="Courier New"/>
          <w:sz w:val="16"/>
          <w:szCs w:val="16"/>
          <w:color w:val="auto"/>
        </w:rPr>
        <w:t>Consolidated Statements of Cash Flows for the years ended September 30, 2005 2004 and 2003</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FINANCIAL STATEMENT SCHEDULE OF AMDOCS LIMITED</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Valuation and Qualifying Accounts</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19.</w:t>
        <w:tab/>
        <w:t>EXHIBITS</w:t>
      </w:r>
    </w:p>
    <w:p>
      <w:pPr>
        <w:spacing w:after="0" w:line="195"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The exhibits listed on the Exhibit Index hereof are filed herewith in response to this Item.</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80" w:right="1440" w:bottom="1440" w:gutter="0" w:footer="0" w:header="0"/>
        </w:sectPr>
      </w:pPr>
    </w:p>
    <w:bookmarkStart w:id="72" w:name="page73"/>
    <w:bookmarkEnd w:id="72"/>
    <w:p>
      <w:pPr>
        <w:jc w:val="center"/>
        <w:ind w:right="2399"/>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jc w:val="both"/>
        <w:ind w:right="2599" w:firstLine="489"/>
        <w:spacing w:after="0" w:line="250" w:lineRule="auto"/>
        <w:rPr>
          <w:sz w:val="20"/>
          <w:szCs w:val="20"/>
          <w:color w:val="auto"/>
        </w:rPr>
      </w:pPr>
      <w:r>
        <w:rPr>
          <w:rFonts w:ascii="Courier New" w:cs="Courier New" w:eastAsia="Courier New" w:hAnsi="Courier New"/>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8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 Thomas G. O'Brien</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Thomas G. O'Brien</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Treasurer and Secretary</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Authorized U.S. Representative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28, 2005</w:t>
      </w:r>
    </w:p>
    <w:p>
      <w:pPr>
        <w:sectPr>
          <w:pgSz w:w="11900" w:h="16838" w:orient="portrait"/>
          <w:cols w:equalWidth="0" w:num="1">
            <w:col w:w="10219"/>
          </w:cols>
          <w:pgMar w:left="240" w:top="680" w:right="1440" w:bottom="1440" w:gutter="0" w:footer="0" w:header="0"/>
        </w:sectPr>
      </w:pPr>
    </w:p>
    <w:bookmarkStart w:id="73" w:name="page74"/>
    <w:bookmarkEnd w:id="73"/>
    <w:p>
      <w:pPr>
        <w:jc w:val="right"/>
        <w:ind w:right="5719"/>
        <w:spacing w:after="0"/>
        <w:rPr>
          <w:sz w:val="20"/>
          <w:szCs w:val="20"/>
          <w:color w:val="auto"/>
        </w:rPr>
      </w:pPr>
      <w:r>
        <w:rPr>
          <w:rFonts w:ascii="Courier New" w:cs="Courier New" w:eastAsia="Courier New" w:hAnsi="Courier New"/>
          <w:sz w:val="16"/>
          <w:szCs w:val="16"/>
          <w:color w:val="auto"/>
        </w:rPr>
        <w:t>EXHIBIT INDEX</w:t>
      </w:r>
    </w:p>
    <w:p>
      <w:pPr>
        <w:spacing w:after="0" w:line="195"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EXHIBIT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w:t>
      </w:r>
    </w:p>
    <w:p>
      <w:pPr>
        <w:spacing w:after="0" w:line="7" w:lineRule="exact"/>
        <w:rPr>
          <w:sz w:val="20"/>
          <w:szCs w:val="20"/>
          <w:color w:val="auto"/>
        </w:rPr>
      </w:pPr>
    </w:p>
    <w:p>
      <w:pPr>
        <w:ind w:left="440" w:hanging="386"/>
        <w:spacing w:after="0"/>
        <w:tabs>
          <w:tab w:leader="none" w:pos="4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right="8619" w:firstLine="152"/>
        <w:spacing w:after="0" w:line="248" w:lineRule="auto"/>
        <w:tabs>
          <w:tab w:leader="none" w:pos="44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Memorandum and Articles of Association of Amdocs Limited (incorporated by</w:t>
      </w:r>
    </w:p>
    <w:p>
      <w:pPr>
        <w:spacing w:after="0" w:line="3"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to</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3.1 and</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 to Amdocs'</w:t>
      </w:r>
    </w:p>
    <w:p>
      <w:pPr>
        <w:spacing w:after="0" w:line="6" w:lineRule="exact"/>
        <w:rPr>
          <w:rFonts w:ascii="Courier New" w:cs="Courier New" w:eastAsia="Courier New" w:hAnsi="Courier New"/>
          <w:sz w:val="16"/>
          <w:szCs w:val="16"/>
          <w:color w:val="auto"/>
        </w:rPr>
      </w:pPr>
    </w:p>
    <w:p>
      <w:pPr>
        <w:jc w:val="center"/>
        <w:ind w:right="8619" w:firstLine="19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on Form F-1 dated June 19, 1998; Registration No. 333-8826) 2.a.1 Indenture dated May 30, 2001 between Amdocs and United States Trust Company of New York (incorporated by reference to Exhibit 4.1 to Amdocs' Form 6-K dated May 31, 2001) 2.a.2 Registration Rights Agreement dated May 30, 2001 between Amdocs and Goldman, Sachs &amp; Co. (incorporated by reference to Exhibit 4.2 to Amdocs' Form 6-K dated May 31, 2001) 2.a.3 Indenture, dated March 5, 2004, between Amdocs Limited and The Bank of New York, as trustee, for 0.50% Convertible Senior Notes due 2024 (incorporated by reference to Exhibit 99.1 to Amdocs' Form 6-K, filed March 5, 2004) 2.a.4 Registration Rights Agreement, dated March 5, 2004, among Amdocs Limited and Morgan Stanley &amp; Co. Incorporated, Goldman, Sachs &amp; Co. and Merrill Lynch, Pierce Fenner &amp; Smith Incorporated (incorporated by reference to Exhibit 99.2 to Amdocs' Form 6-K, filed March 5, 2004) 4.a.1 Agreement and Plan of Merger dated as of</w:t>
      </w:r>
    </w:p>
    <w:p>
      <w:pPr>
        <w:sectPr>
          <w:pgSz w:w="11900" w:h="16838" w:orient="portrait"/>
          <w:cols w:equalWidth="0" w:num="1">
            <w:col w:w="10179"/>
          </w:cols>
          <w:pgMar w:left="280" w:top="680" w:right="1440" w:bottom="0" w:gutter="0" w:footer="0" w:header="0"/>
        </w:sectPr>
      </w:pPr>
    </w:p>
    <w:bookmarkStart w:id="74" w:name="page75"/>
    <w:bookmarkEnd w:id="74"/>
    <w:p>
      <w:pPr>
        <w:spacing w:after="0" w:line="3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September 3,</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1999 among</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Ivan Acquisition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Corp. and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International</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Telecommunication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Data Systems,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(incorporated by</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reference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2.1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Form 6-K</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dated September</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10, 1999) 4.a.2</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Combination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as of February</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28, 2000 among</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Solect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Technology Group</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(Denmark) ApS.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and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Holdings ULC</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(incorporated by</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reference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2.1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Form 6-K</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dated March 3,</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2000) 4.a.3</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Acquisition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as of October 1,</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2001, between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and Nortel</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Networks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Corporation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(incorporated by</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reference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2.1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Form 6-K</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dated October</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10, 2001) 4.a.4</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Share Purchase</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as of May 28,</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2003 between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Holdings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ULC and Bell</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Canada</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(incorporated by</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reference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99.1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Amendment No. 1</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to Registration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Form F-3, dated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September 21,</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2004,</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333-114344)</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4.a.5 Share Sale</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and Purchase</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as of July 1,</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2005, by and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among DST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Systems, Inc.,</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Inc. and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(incorporated by</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reference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99.1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Form 6-K</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dated July 5,</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2005) 4.b.1</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Information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Technology</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Services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between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 and SBC</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Services, Inc.</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dated January 9,</w:t>
      </w:r>
    </w:p>
    <w:p>
      <w:pPr>
        <w:sectPr>
          <w:pgSz w:w="11900" w:h="16875" w:orient="portrait"/>
          <w:cols w:equalWidth="0" w:num="1">
            <w:col w:w="10219"/>
          </w:cols>
          <w:pgMar w:left="240" w:top="142" w:right="1440" w:bottom="0" w:gutter="0" w:footer="0" w:header="0"/>
        </w:sectPr>
      </w:pPr>
    </w:p>
    <w:bookmarkStart w:id="75" w:name="page76"/>
    <w:bookmarkEnd w:id="75"/>
    <w:p>
      <w:pPr>
        <w:spacing w:after="0" w:line="3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2003</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(confidential</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material has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been redacted</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complete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exhibits have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been separately</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filed with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Securities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Exchange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Commission)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(incorporated by</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reference to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Exhibit 4.b.1 to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 Annual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Report on Form</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20-F for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fiscal year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ended September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30, 2003) 4.b.2</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Master Agreement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 Software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Services between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 Inc.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SBC Operations,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Inc., effective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July 7, 1998</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(confidential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material has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been redacted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and complete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exhibits have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been separately</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filed with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Securities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Exchange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Commission)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(incorporated by</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reference to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Exhibit 10.13 to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Amendment No. 1</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to 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May 21, 1999,</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333-75151) 4.b.3</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Software Master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between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Software Systems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Limited and SBC</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Services, Inc.,</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effective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December 10,</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2003</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(confidential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material has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been redacted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and complete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exhibits have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been separately</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filed with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Securities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Exchange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Commission)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(incorporated by</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reference to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Exhibit 99.2 to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Amendment No. 1</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to 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F-3,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September 21,</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2004,</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333-114344)</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4.b.4 Agreement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between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Inc. and SBC</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Services, Inc.</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 Software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Professional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Services,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effective August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7, 2003</w:t>
      </w:r>
    </w:p>
    <w:p>
      <w:pPr>
        <w:sectPr>
          <w:pgSz w:w="11900" w:h="16875" w:orient="portrait"/>
          <w:cols w:equalWidth="0" w:num="1">
            <w:col w:w="10179"/>
          </w:cols>
          <w:pgMar w:left="280" w:top="142" w:right="1440" w:bottom="0" w:gutter="0" w:footer="0" w:header="0"/>
        </w:sectPr>
      </w:pPr>
    </w:p>
    <w:bookmarkStart w:id="76" w:name="page77"/>
    <w:bookmarkEnd w:id="76"/>
    <w:p>
      <w:pPr>
        <w:ind w:left="160"/>
        <w:spacing w:after="0"/>
        <w:rPr>
          <w:sz w:val="20"/>
          <w:szCs w:val="20"/>
          <w:color w:val="auto"/>
        </w:rPr>
      </w:pPr>
      <w:r>
        <w:rPr>
          <w:rFonts w:ascii="Courier New" w:cs="Courier New" w:eastAsia="Courier New" w:hAnsi="Courier New"/>
          <w:sz w:val="16"/>
          <w:szCs w:val="16"/>
          <w:color w:val="auto"/>
        </w:rPr>
        <w:t>(confidential</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material has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been redacted</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complete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exhibits have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been separately</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filed with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Securities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Exchange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Commission)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(incorporated by</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reference to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Exhibit 99.3 to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Amendment No. 1</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to 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F-3,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September 21,</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2004,</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333-114344)</w:t>
      </w:r>
    </w:p>
    <w:p>
      <w:pPr>
        <w:sectPr>
          <w:pgSz w:w="11900" w:h="16838" w:orient="portrait"/>
          <w:cols w:equalWidth="0" w:num="1">
            <w:col w:w="10179"/>
          </w:cols>
          <w:pgMar w:left="280" w:top="142" w:right="1440" w:bottom="1440" w:gutter="0" w:footer="0" w:header="0"/>
        </w:sectPr>
      </w:pPr>
    </w:p>
    <w:bookmarkStart w:id="77" w:name="page78"/>
    <w:bookmarkEnd w:id="77"/>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EXHIBIT NO.</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DESCRIPTION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4.b.5</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Customer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Care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Billing</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Services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between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Nextel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Finance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Company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Software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Systems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Limited,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dated as of</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January 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2000, as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amended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(confidential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material has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been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redacted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complete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exhibits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have been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separately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filed with</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Securities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 Exchange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Commission)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by reference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to Exhibit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99.1 to</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Amdocs' Form</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6-K dated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September</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30,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r>
      <w:tr>
        <w:trPr>
          <w:trHeight w:val="188"/>
        </w:trPr>
        <w:tc>
          <w:tcPr>
            <w:tcW w:w="8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4.b.6</w:t>
            </w:r>
          </w:p>
        </w:tc>
      </w:tr>
    </w:tbl>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Further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Amended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Restated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Master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Outsourcing</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Services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between Bell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Canada and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Certen Inc.,</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dated as of</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July 1,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material has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been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redacted and</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complete</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exhibits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have been</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separately</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filed with</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Securities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 Exchange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Commission)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by reference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to Exhibit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99.1 to</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Amdocs' Form</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6-K dated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October 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2004) 4.c.1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Limited 1998</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Stock Option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Incentive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Plan, as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amended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January 24,</w:t>
      </w:r>
    </w:p>
    <w:p>
      <w:pPr>
        <w:sectPr>
          <w:pgSz w:w="11900" w:h="16850" w:orient="portrait"/>
          <w:cols w:equalWidth="0" w:num="1">
            <w:col w:w="10219"/>
          </w:cols>
          <w:pgMar w:left="240" w:top="680" w:right="1440" w:bottom="0" w:gutter="0" w:footer="0" w:header="0"/>
        </w:sectPr>
      </w:pPr>
    </w:p>
    <w:bookmarkStart w:id="78" w:name="page79"/>
    <w:bookmarkEnd w:id="78"/>
    <w:p>
      <w:pPr>
        <w:jc w:val="center"/>
        <w:ind w:right="8959"/>
        <w:spacing w:after="0"/>
        <w:rPr>
          <w:sz w:val="20"/>
          <w:szCs w:val="20"/>
          <w:color w:val="auto"/>
        </w:rPr>
      </w:pPr>
      <w:r>
        <w:rPr>
          <w:rFonts w:ascii="Courier New" w:cs="Courier New" w:eastAsia="Courier New" w:hAnsi="Courier New"/>
          <w:sz w:val="16"/>
          <w:szCs w:val="16"/>
          <w:color w:val="auto"/>
        </w:rPr>
        <w:t>2001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by reference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to Exhibit 4</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Form S-8</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dated April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6, 2001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 333-</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58454)) 8</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Subsidiaries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Amdocs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Limited 12.1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Certification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Chief</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Executive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Officer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pursuant to</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Rule 13a-</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14(a)/15d-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14(a) 12.2</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Certification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Chief</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Financial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Officer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pursuant to</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Rule 13a-</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14(a)/15d-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14(a) 13.1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Certification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Chief</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Executive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Officer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pursuant to</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18U.S.C.</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1350 13.2</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Certification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Chief</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Financial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Officer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pursuant to</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18U.S.C.</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1350 14.1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Consent of</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Ernst &amp;</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Young LLP</w:t>
      </w:r>
    </w:p>
    <w:p>
      <w:pPr>
        <w:sectPr>
          <w:pgSz w:w="11900" w:h="16838" w:orient="portrait"/>
          <w:cols w:equalWidth="0" w:num="1">
            <w:col w:w="10219"/>
          </w:cols>
          <w:pgMar w:left="240" w:top="142" w:right="1440" w:bottom="1440" w:gutter="0" w:footer="0" w:header="0"/>
        </w:sectPr>
      </w:pPr>
    </w:p>
    <w:bookmarkStart w:id="79" w:name="page80"/>
    <w:bookmarkEnd w:id="79"/>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19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PAGE ---- AUDITED CONSOLIDATED FINANCIAL STATEMENTS</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Report of Independent Registered Public Accounting</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Firm... F-2 Consolidated Balance Sheets as of</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September 20, 2005 and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2004...................................................</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F-3 Consolidated Statements of Income for the years</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ended September 30, 2005, 2004 and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2003...................... F-4 Consolidated Statements</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of Changes in Shareholders' Equity for the years ended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September 30, 2005, 2004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F-5 Consolidated Statements of Cash Flow for the years</w:t>
      </w:r>
    </w:p>
    <w:p>
      <w:pPr>
        <w:spacing w:after="0" w:line="7" w:lineRule="exact"/>
        <w:rPr>
          <w:sz w:val="20"/>
          <w:szCs w:val="20"/>
          <w:color w:val="auto"/>
        </w:rPr>
      </w:pPr>
    </w:p>
    <w:p>
      <w:pPr>
        <w:jc w:val="center"/>
        <w:ind w:right="4839"/>
        <w:spacing w:after="0" w:line="249" w:lineRule="auto"/>
        <w:rPr>
          <w:sz w:val="20"/>
          <w:szCs w:val="20"/>
          <w:color w:val="auto"/>
        </w:rPr>
      </w:pPr>
      <w:r>
        <w:rPr>
          <w:rFonts w:ascii="Courier New" w:cs="Courier New" w:eastAsia="Courier New" w:hAnsi="Courier New"/>
          <w:sz w:val="16"/>
          <w:szCs w:val="16"/>
          <w:color w:val="auto"/>
        </w:rPr>
        <w:t>ended September 30, 2005, 2004 and 2003...................... F-6 Notes to the Consolidated Financial Statements............ F-8 FINANCIAL STATEMENT SCHEDULE Valuation and Qualifying Accounts......................... F-46</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680" w:right="1440" w:bottom="1440" w:gutter="0" w:footer="0" w:header="0"/>
        </w:sectPr>
      </w:pPr>
    </w:p>
    <w:bookmarkStart w:id="80" w:name="page81"/>
    <w:bookmarkEnd w:id="80"/>
    <w:p>
      <w:pPr>
        <w:ind w:left="1180"/>
        <w:spacing w:after="0"/>
        <w:rPr>
          <w:sz w:val="20"/>
          <w:szCs w:val="20"/>
          <w:color w:val="auto"/>
        </w:rPr>
      </w:pPr>
      <w:r>
        <w:rPr>
          <w:rFonts w:ascii="Courier New" w:cs="Courier New" w:eastAsia="Courier New" w:hAnsi="Courier New"/>
          <w:sz w:val="16"/>
          <w:szCs w:val="16"/>
          <w:color w:val="auto"/>
        </w:rPr>
        <w:t>REPORT OF INDEPENDENT REGISTERED PUBLIC ACCOUNTING FIRM</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We have audited the accompanying consolidated balance sheets of Amdocs Limited as of September 30, 2005 and 2004, and the related consolidated statements of income, changes in shareholders' equity, and cash flows for each of the three years in the period ended September 30, 2005. Our audits also included the financial statement schedule listed in the Index at Item 18 of Part</w:t>
      </w:r>
    </w:p>
    <w:p>
      <w:pPr>
        <w:spacing w:after="0" w:line="3" w:lineRule="exact"/>
        <w:rPr>
          <w:sz w:val="20"/>
          <w:szCs w:val="20"/>
          <w:color w:val="auto"/>
        </w:rPr>
      </w:pPr>
    </w:p>
    <w:p>
      <w:pPr>
        <w:ind w:right="2599"/>
        <w:spacing w:after="0" w:line="250" w:lineRule="auto"/>
        <w:tabs>
          <w:tab w:leader="none" w:pos="48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financial statements and the schedule are the responsibility of the Company's management. Our responsibility is to express an opinion on these financial statements and the schedule based on our audits.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Amdocs Limited at September 30, 2005 and 2004, and the consolidated results of its operations and its cash flows for each of the three years in the period ended September 30, 2005,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/s/ ERNST &amp; YOUNG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 2005</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680" w:right="1440" w:bottom="1440" w:gutter="0" w:footer="0" w:header="0"/>
        </w:sectPr>
      </w:pPr>
    </w:p>
    <w:bookmarkStart w:id="81" w:name="page82"/>
    <w:bookmarkEnd w:id="81"/>
    <w:p>
      <w:pPr>
        <w:ind w:left="3220"/>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CONSOLIDATED BALANCE SHEETS</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 OF SEPTEMBER 30, ----------------------------- 2005 2004</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ASSETS CURRENT ASSETS: Cash and cash</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equivalents................................. $ 707,552 $</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550,352 Short-term interest-bearing</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investments................... 438,011 640,347 Accounts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receivable, net.................................. 304,237</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254,779 Deferred income taxes and taxes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receivable................ 101,162 62,284 Prepaid expenses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and other current assets................. 76,780 80,229 ---</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 ---------- TOTAL CURRENT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ASSETS.............................. 1,627,742 1,587,991</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Equipment, vehicles and leasehold improvements,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net......... 181,812 181,121 Deferred income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taxes....................................... 120,217</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113,589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969,639 806,874 Intangible assets,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 159,619 47,512</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Other noncurrent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assets..................................... 143,439 126,797</w:t>
      </w:r>
    </w:p>
    <w:p>
      <w:pPr>
        <w:spacing w:after="0" w:line="7"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 ---------- TOTAL</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ASSETS...................................... $3,202,468</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$2,863,884 ========== ========== LIABILITIES AND</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SHAREHOLDERS' EQUITY CURRENT LIABILITIES: Accounts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payable..........................................</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$ 114,392</w:t>
            </w:r>
          </w:p>
        </w:tc>
      </w:tr>
      <w:tr>
        <w:trPr>
          <w:trHeight w:val="188"/>
        </w:trPr>
        <w:tc>
          <w:tcPr>
            <w:tcW w:w="57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$ 104,415 Accrued expenses and other current</w:t>
            </w:r>
          </w:p>
        </w:tc>
      </w:tr>
      <w:tr>
        <w:trPr>
          <w:trHeight w:val="188"/>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w w:val="86"/>
              </w:rPr>
              <w:t>liabilities............</w:t>
            </w:r>
          </w:p>
        </w:tc>
        <w:tc>
          <w:tcPr>
            <w:tcW w:w="38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199,458 137,664 Accrued personnel</w:t>
            </w:r>
          </w:p>
        </w:tc>
      </w:tr>
      <w:tr>
        <w:trPr>
          <w:trHeight w:val="188"/>
        </w:trPr>
        <w:tc>
          <w:tcPr>
            <w:tcW w:w="1920" w:type="dxa"/>
            <w:vAlign w:val="bottom"/>
          </w:tcPr>
          <w:p>
            <w:pPr>
              <w:jc w:val="right"/>
              <w:spacing w:after="0"/>
              <w:rPr>
                <w:sz w:val="20"/>
                <w:szCs w:val="20"/>
                <w:color w:val="auto"/>
              </w:rPr>
            </w:pPr>
            <w:r>
              <w:rPr>
                <w:rFonts w:ascii="Courier New" w:cs="Courier New" w:eastAsia="Courier New" w:hAnsi="Courier New"/>
                <w:sz w:val="11"/>
                <w:szCs w:val="11"/>
                <w:color w:val="auto"/>
                <w:w w:val="71"/>
              </w:rPr>
              <w:t>costs...................................</w:t>
            </w:r>
          </w:p>
        </w:tc>
        <w:tc>
          <w:tcPr>
            <w:tcW w:w="38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148,426 124,284</w:t>
            </w:r>
          </w:p>
        </w:tc>
      </w:tr>
      <w:tr>
        <w:trPr>
          <w:trHeight w:val="188"/>
        </w:trPr>
        <w:tc>
          <w:tcPr>
            <w:tcW w:w="4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Short-term portion of financing arrangements</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1920" w:type="dxa"/>
            <w:vAlign w:val="bottom"/>
          </w:tcPr>
          <w:p>
            <w:pPr>
              <w:spacing w:after="0"/>
              <w:rPr>
                <w:sz w:val="16"/>
                <w:szCs w:val="16"/>
                <w:color w:val="auto"/>
              </w:rPr>
            </w:pPr>
          </w:p>
        </w:tc>
        <w:tc>
          <w:tcPr>
            <w:tcW w:w="2440" w:type="dxa"/>
            <w:vAlign w:val="bottom"/>
          </w:tcPr>
          <w:p>
            <w:pPr>
              <w:jc w:val="center"/>
              <w:ind w:right="419"/>
              <w:spacing w:after="0"/>
              <w:rPr>
                <w:sz w:val="20"/>
                <w:szCs w:val="20"/>
                <w:color w:val="auto"/>
              </w:rPr>
            </w:pPr>
            <w:r>
              <w:rPr>
                <w:rFonts w:ascii="Courier New" w:cs="Courier New" w:eastAsia="Courier New" w:hAnsi="Courier New"/>
                <w:sz w:val="16"/>
                <w:szCs w:val="16"/>
                <w:color w:val="auto"/>
              </w:rPr>
              <w:t>6,377 1,604 Deferred</w:t>
            </w:r>
          </w:p>
        </w:tc>
        <w:tc>
          <w:tcPr>
            <w:tcW w:w="1420" w:type="dxa"/>
            <w:vAlign w:val="bottom"/>
          </w:tcPr>
          <w:p>
            <w:pPr>
              <w:spacing w:after="0"/>
              <w:rPr>
                <w:sz w:val="16"/>
                <w:szCs w:val="16"/>
                <w:color w:val="auto"/>
              </w:rPr>
            </w:pPr>
          </w:p>
        </w:tc>
      </w:tr>
      <w:tr>
        <w:trPr>
          <w:trHeight w:val="188"/>
        </w:trPr>
        <w:tc>
          <w:tcPr>
            <w:tcW w:w="43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revenue..........................................</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216,770</w:t>
            </w:r>
          </w:p>
        </w:tc>
      </w:tr>
      <w:tr>
        <w:trPr>
          <w:trHeight w:val="188"/>
        </w:trPr>
        <w:tc>
          <w:tcPr>
            <w:tcW w:w="57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223,122 Short-term portion of capital lease</w:t>
            </w:r>
          </w:p>
        </w:tc>
      </w:tr>
      <w:tr>
        <w:trPr>
          <w:trHeight w:val="188"/>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w w:val="89"/>
              </w:rPr>
              <w:t>obligations...........</w:t>
            </w:r>
          </w:p>
        </w:tc>
        <w:tc>
          <w:tcPr>
            <w:tcW w:w="38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2,103 19,706 Deferred income taxes</w:t>
            </w:r>
          </w:p>
        </w:tc>
      </w:tr>
      <w:tr>
        <w:trPr>
          <w:trHeight w:val="188"/>
        </w:trPr>
        <w:tc>
          <w:tcPr>
            <w:tcW w:w="1920" w:type="dxa"/>
            <w:vAlign w:val="bottom"/>
          </w:tcPr>
          <w:p>
            <w:pPr>
              <w:jc w:val="right"/>
              <w:spacing w:after="0"/>
              <w:rPr>
                <w:sz w:val="20"/>
                <w:szCs w:val="20"/>
                <w:color w:val="auto"/>
              </w:rPr>
            </w:pPr>
            <w:r>
              <w:rPr>
                <w:rFonts w:ascii="Courier New" w:cs="Courier New" w:eastAsia="Courier New" w:hAnsi="Courier New"/>
                <w:sz w:val="12"/>
                <w:szCs w:val="12"/>
                <w:color w:val="auto"/>
                <w:w w:val="73"/>
              </w:rPr>
              <w:t>and taxes payable...................</w:t>
            </w:r>
          </w:p>
        </w:tc>
        <w:tc>
          <w:tcPr>
            <w:tcW w:w="3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171,377 163,648 ------</w:t>
            </w:r>
          </w:p>
        </w:tc>
      </w:tr>
      <w:tr>
        <w:trPr>
          <w:trHeight w:val="188"/>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 TOTAL CURRENT</w:t>
            </w:r>
          </w:p>
        </w:tc>
        <w:tc>
          <w:tcPr>
            <w:tcW w:w="1420" w:type="dxa"/>
            <w:vAlign w:val="bottom"/>
          </w:tcPr>
          <w:p>
            <w:pPr>
              <w:spacing w:after="0"/>
              <w:rPr>
                <w:sz w:val="16"/>
                <w:szCs w:val="16"/>
                <w:color w:val="auto"/>
              </w:rPr>
            </w:pPr>
          </w:p>
        </w:tc>
      </w:tr>
      <w:tr>
        <w:trPr>
          <w:trHeight w:val="188"/>
        </w:trPr>
        <w:tc>
          <w:tcPr>
            <w:tcW w:w="1920" w:type="dxa"/>
            <w:vAlign w:val="bottom"/>
          </w:tcPr>
          <w:p>
            <w:pPr>
              <w:jc w:val="right"/>
              <w:spacing w:after="0"/>
              <w:rPr>
                <w:sz w:val="20"/>
                <w:szCs w:val="20"/>
                <w:color w:val="auto"/>
              </w:rPr>
            </w:pPr>
            <w:r>
              <w:rPr>
                <w:rFonts w:ascii="Courier New" w:cs="Courier New" w:eastAsia="Courier New" w:hAnsi="Courier New"/>
                <w:sz w:val="12"/>
                <w:szCs w:val="12"/>
                <w:color w:val="auto"/>
                <w:w w:val="73"/>
              </w:rPr>
              <w:t>LIABILITIES.........................</w:t>
            </w:r>
          </w:p>
        </w:tc>
        <w:tc>
          <w:tcPr>
            <w:tcW w:w="38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858,903 774,443</w:t>
            </w:r>
          </w:p>
        </w:tc>
      </w:tr>
      <w:tr>
        <w:trPr>
          <w:trHeight w:val="188"/>
        </w:trPr>
        <w:tc>
          <w:tcPr>
            <w:tcW w:w="1920" w:type="dxa"/>
            <w:vAlign w:val="bottom"/>
          </w:tcPr>
          <w:p>
            <w:pPr>
              <w:spacing w:after="0"/>
              <w:rPr>
                <w:sz w:val="16"/>
                <w:szCs w:val="16"/>
                <w:color w:val="auto"/>
              </w:rPr>
            </w:pPr>
          </w:p>
        </w:tc>
        <w:tc>
          <w:tcPr>
            <w:tcW w:w="2440" w:type="dxa"/>
            <w:vAlign w:val="bottom"/>
          </w:tcPr>
          <w:p>
            <w:pPr>
              <w:jc w:val="center"/>
              <w:ind w:right="419"/>
              <w:spacing w:after="0"/>
              <w:rPr>
                <w:sz w:val="20"/>
                <w:szCs w:val="20"/>
                <w:color w:val="auto"/>
              </w:rPr>
            </w:pPr>
            <w:r>
              <w:rPr>
                <w:rFonts w:ascii="Courier New" w:cs="Courier New" w:eastAsia="Courier New" w:hAnsi="Courier New"/>
                <w:sz w:val="16"/>
                <w:szCs w:val="16"/>
                <w:color w:val="auto"/>
              </w:rPr>
              <w:t>Convertible</w:t>
            </w:r>
          </w:p>
        </w:tc>
        <w:tc>
          <w:tcPr>
            <w:tcW w:w="1420" w:type="dxa"/>
            <w:vAlign w:val="bottom"/>
          </w:tcPr>
          <w:p>
            <w:pPr>
              <w:spacing w:after="0"/>
              <w:rPr>
                <w:sz w:val="16"/>
                <w:szCs w:val="16"/>
                <w:color w:val="auto"/>
              </w:rPr>
            </w:pPr>
          </w:p>
        </w:tc>
      </w:tr>
      <w:tr>
        <w:trPr>
          <w:trHeight w:val="188"/>
        </w:trPr>
        <w:tc>
          <w:tcPr>
            <w:tcW w:w="43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notes...........................................</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450,272</w:t>
            </w:r>
          </w:p>
        </w:tc>
      </w:tr>
      <w:tr>
        <w:trPr>
          <w:trHeight w:val="188"/>
        </w:trPr>
        <w:tc>
          <w:tcPr>
            <w:tcW w:w="4360" w:type="dxa"/>
            <w:vAlign w:val="bottom"/>
            <w:gridSpan w:val="2"/>
          </w:tcPr>
          <w:p>
            <w:pPr>
              <w:jc w:val="center"/>
              <w:ind w:left="1342"/>
              <w:spacing w:after="0"/>
              <w:rPr>
                <w:sz w:val="20"/>
                <w:szCs w:val="20"/>
                <w:color w:val="auto"/>
              </w:rPr>
            </w:pPr>
            <w:r>
              <w:rPr>
                <w:rFonts w:ascii="Courier New" w:cs="Courier New" w:eastAsia="Courier New" w:hAnsi="Courier New"/>
                <w:sz w:val="16"/>
                <w:szCs w:val="16"/>
                <w:color w:val="auto"/>
              </w:rPr>
              <w:t>450,272 Deferred income</w:t>
            </w:r>
          </w:p>
        </w:tc>
        <w:tc>
          <w:tcPr>
            <w:tcW w:w="1420" w:type="dxa"/>
            <w:vAlign w:val="bottom"/>
          </w:tcPr>
          <w:p>
            <w:pPr>
              <w:spacing w:after="0"/>
              <w:rPr>
                <w:sz w:val="16"/>
                <w:szCs w:val="16"/>
                <w:color w:val="auto"/>
              </w:rPr>
            </w:pPr>
          </w:p>
        </w:tc>
      </w:tr>
      <w:tr>
        <w:trPr>
          <w:trHeight w:val="188"/>
        </w:trPr>
        <w:tc>
          <w:tcPr>
            <w:tcW w:w="4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taxes.......................................</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50,571 40,530</w:t>
            </w:r>
          </w:p>
        </w:tc>
      </w:tr>
      <w:tr>
        <w:trPr>
          <w:trHeight w:val="188"/>
        </w:trPr>
        <w:tc>
          <w:tcPr>
            <w:tcW w:w="4360" w:type="dxa"/>
            <w:vAlign w:val="bottom"/>
            <w:gridSpan w:val="2"/>
          </w:tcPr>
          <w:p>
            <w:pPr>
              <w:jc w:val="center"/>
              <w:ind w:left="1342"/>
              <w:spacing w:after="0"/>
              <w:rPr>
                <w:sz w:val="20"/>
                <w:szCs w:val="20"/>
                <w:color w:val="auto"/>
              </w:rPr>
            </w:pPr>
            <w:r>
              <w:rPr>
                <w:rFonts w:ascii="Courier New" w:cs="Courier New" w:eastAsia="Courier New" w:hAnsi="Courier New"/>
                <w:sz w:val="16"/>
                <w:szCs w:val="16"/>
                <w:color w:val="auto"/>
              </w:rPr>
              <w:t>Noncurrent liabilities and</w:t>
            </w:r>
          </w:p>
        </w:tc>
        <w:tc>
          <w:tcPr>
            <w:tcW w:w="1420" w:type="dxa"/>
            <w:vAlign w:val="bottom"/>
          </w:tcPr>
          <w:p>
            <w:pPr>
              <w:spacing w:after="0"/>
              <w:rPr>
                <w:sz w:val="16"/>
                <w:szCs w:val="16"/>
                <w:color w:val="auto"/>
              </w:rPr>
            </w:pPr>
          </w:p>
        </w:tc>
      </w:tr>
      <w:tr>
        <w:trPr>
          <w:trHeight w:val="188"/>
        </w:trPr>
        <w:tc>
          <w:tcPr>
            <w:tcW w:w="1920" w:type="dxa"/>
            <w:vAlign w:val="bottom"/>
          </w:tcPr>
          <w:p>
            <w:pPr>
              <w:jc w:val="right"/>
              <w:spacing w:after="0"/>
              <w:rPr>
                <w:sz w:val="20"/>
                <w:szCs w:val="20"/>
                <w:color w:val="auto"/>
              </w:rPr>
            </w:pPr>
            <w:r>
              <w:rPr>
                <w:rFonts w:ascii="Courier New" w:cs="Courier New" w:eastAsia="Courier New" w:hAnsi="Courier New"/>
                <w:sz w:val="13"/>
                <w:szCs w:val="13"/>
                <w:color w:val="auto"/>
                <w:w w:val="73"/>
              </w:rPr>
              <w:t>other............................</w:t>
            </w:r>
          </w:p>
        </w:tc>
        <w:tc>
          <w:tcPr>
            <w:tcW w:w="3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186,270 154,449 ---------</w:t>
            </w:r>
          </w:p>
        </w:tc>
      </w:tr>
      <w:tr>
        <w:trPr>
          <w:trHeight w:val="188"/>
        </w:trPr>
        <w:tc>
          <w:tcPr>
            <w:tcW w:w="1920" w:type="dxa"/>
            <w:vAlign w:val="bottom"/>
          </w:tcPr>
          <w:p>
            <w:pPr>
              <w:spacing w:after="0"/>
              <w:rPr>
                <w:sz w:val="16"/>
                <w:szCs w:val="16"/>
                <w:color w:val="auto"/>
              </w:rPr>
            </w:pPr>
          </w:p>
        </w:tc>
        <w:tc>
          <w:tcPr>
            <w:tcW w:w="244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 ---------- TOTAL</w:t>
            </w:r>
          </w:p>
        </w:tc>
        <w:tc>
          <w:tcPr>
            <w:tcW w:w="1420" w:type="dxa"/>
            <w:vAlign w:val="bottom"/>
          </w:tcPr>
          <w:p>
            <w:pPr>
              <w:spacing w:after="0"/>
              <w:rPr>
                <w:sz w:val="16"/>
                <w:szCs w:val="16"/>
                <w:color w:val="auto"/>
              </w:rPr>
            </w:pPr>
          </w:p>
        </w:tc>
      </w:tr>
      <w:tr>
        <w:trPr>
          <w:trHeight w:val="188"/>
        </w:trPr>
        <w:tc>
          <w:tcPr>
            <w:tcW w:w="4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LIABILITIES.................................</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1,546,016</w:t>
            </w:r>
          </w:p>
        </w:tc>
      </w:tr>
      <w:tr>
        <w:trPr>
          <w:trHeight w:val="188"/>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w w:val="98"/>
              </w:rPr>
              <w:t>1,419,694 ----------</w:t>
            </w:r>
          </w:p>
        </w:tc>
        <w:tc>
          <w:tcPr>
            <w:tcW w:w="38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 SHAREHOLDERS' EQUITY:</w:t>
            </w:r>
          </w:p>
        </w:tc>
      </w:tr>
      <w:tr>
        <w:trPr>
          <w:trHeight w:val="188"/>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Preferred Shares --</w:t>
            </w:r>
          </w:p>
        </w:tc>
        <w:tc>
          <w:tcPr>
            <w:tcW w:w="38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Authorized 25,000 shares; L0.01 par</w:t>
            </w:r>
          </w:p>
        </w:tc>
      </w:tr>
      <w:tr>
        <w:trPr>
          <w:trHeight w:val="188"/>
        </w:trPr>
        <w:tc>
          <w:tcPr>
            <w:tcW w:w="43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value; 0 shares issued and outstanding.................</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w w:val="94"/>
              </w:rPr>
              <w:t>-- Ordinary Shares --</w:t>
            </w:r>
          </w:p>
        </w:tc>
        <w:tc>
          <w:tcPr>
            <w:tcW w:w="3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Authorized 550,000 shares; L0.01 par</w:t>
            </w:r>
          </w:p>
        </w:tc>
      </w:tr>
    </w:tbl>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value; 227,321 and 224,947 issued and 200,182 and 201,334</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outstanding, in 2005 and 2004, respectively....</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3,644 3,601</w:t>
            </w:r>
          </w:p>
        </w:tc>
      </w:tr>
      <w:tr>
        <w:trPr>
          <w:trHeight w:val="188"/>
        </w:trPr>
        <w:tc>
          <w:tcPr>
            <w:tcW w:w="2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3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7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1,870,922 1,837,608 Treasury stock, at cost --</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27,139 and</w:t>
            </w:r>
          </w:p>
        </w:tc>
      </w:tr>
      <w:tr>
        <w:trPr>
          <w:trHeight w:val="188"/>
        </w:trPr>
        <w:tc>
          <w:tcPr>
            <w:tcW w:w="578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23,613 Ordinary Shares, in 2005 and 2004,</w:t>
            </w:r>
          </w:p>
        </w:tc>
      </w:tr>
      <w:tr>
        <w:trPr>
          <w:trHeight w:val="188"/>
        </w:trPr>
        <w:tc>
          <w:tcPr>
            <w:tcW w:w="2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respectively.................</w:t>
            </w:r>
          </w:p>
        </w:tc>
        <w:tc>
          <w:tcPr>
            <w:tcW w:w="31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(602,392) (502,416)</w:t>
            </w:r>
          </w:p>
        </w:tc>
      </w:tr>
      <w:tr>
        <w:trPr>
          <w:trHeight w:val="188"/>
        </w:trPr>
        <w:tc>
          <w:tcPr>
            <w:tcW w:w="578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Accumulated other comprehensive loss......................</w:t>
            </w:r>
          </w:p>
        </w:tc>
      </w:tr>
      <w:tr>
        <w:trPr>
          <w:trHeight w:val="188"/>
        </w:trPr>
        <w:tc>
          <w:tcPr>
            <w:tcW w:w="1380" w:type="dxa"/>
            <w:vAlign w:val="bottom"/>
          </w:tcPr>
          <w:p>
            <w:pPr>
              <w:spacing w:after="0"/>
              <w:rPr>
                <w:sz w:val="16"/>
                <w:szCs w:val="16"/>
                <w:color w:val="auto"/>
              </w:rPr>
            </w:pPr>
          </w:p>
        </w:tc>
        <w:tc>
          <w:tcPr>
            <w:tcW w:w="3320" w:type="dxa"/>
            <w:vAlign w:val="bottom"/>
            <w:gridSpan w:val="2"/>
          </w:tcPr>
          <w:p>
            <w:pPr>
              <w:jc w:val="center"/>
              <w:ind w:right="199"/>
              <w:spacing w:after="0"/>
              <w:rPr>
                <w:sz w:val="20"/>
                <w:szCs w:val="20"/>
                <w:color w:val="auto"/>
              </w:rPr>
            </w:pPr>
            <w:r>
              <w:rPr>
                <w:rFonts w:ascii="Courier New" w:cs="Courier New" w:eastAsia="Courier New" w:hAnsi="Courier New"/>
                <w:sz w:val="16"/>
                <w:szCs w:val="16"/>
                <w:color w:val="auto"/>
              </w:rPr>
              <w:t>(10,886) (1,919) Unearned</w:t>
            </w:r>
          </w:p>
        </w:tc>
        <w:tc>
          <w:tcPr>
            <w:tcW w:w="1080" w:type="dxa"/>
            <w:vAlign w:val="bottom"/>
          </w:tcPr>
          <w:p>
            <w:pPr>
              <w:spacing w:after="0"/>
              <w:rPr>
                <w:sz w:val="16"/>
                <w:szCs w:val="16"/>
                <w:color w:val="auto"/>
              </w:rPr>
            </w:pPr>
          </w:p>
        </w:tc>
      </w:tr>
      <w:tr>
        <w:trPr>
          <w:trHeight w:val="188"/>
        </w:trPr>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compensation</w:t>
            </w:r>
          </w:p>
        </w:tc>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(962)</w:t>
            </w:r>
          </w:p>
        </w:tc>
      </w:tr>
      <w:tr>
        <w:trPr>
          <w:trHeight w:val="188"/>
        </w:trPr>
        <w:tc>
          <w:tcPr>
            <w:tcW w:w="1380" w:type="dxa"/>
            <w:vAlign w:val="bottom"/>
          </w:tcPr>
          <w:p>
            <w:pPr>
              <w:spacing w:after="0"/>
              <w:rPr>
                <w:sz w:val="16"/>
                <w:szCs w:val="16"/>
                <w:color w:val="auto"/>
              </w:rPr>
            </w:pPr>
          </w:p>
        </w:tc>
        <w:tc>
          <w:tcPr>
            <w:tcW w:w="3320" w:type="dxa"/>
            <w:vAlign w:val="bottom"/>
            <w:gridSpan w:val="2"/>
          </w:tcPr>
          <w:p>
            <w:pPr>
              <w:jc w:val="center"/>
              <w:ind w:right="219"/>
              <w:spacing w:after="0"/>
              <w:rPr>
                <w:sz w:val="20"/>
                <w:szCs w:val="20"/>
                <w:color w:val="auto"/>
              </w:rPr>
            </w:pPr>
            <w:r>
              <w:rPr>
                <w:rFonts w:ascii="Courier New" w:cs="Courier New" w:eastAsia="Courier New" w:hAnsi="Courier New"/>
                <w:sz w:val="16"/>
                <w:szCs w:val="16"/>
                <w:color w:val="auto"/>
              </w:rPr>
              <w:t>(174) Retained</w:t>
            </w:r>
          </w:p>
        </w:tc>
        <w:tc>
          <w:tcPr>
            <w:tcW w:w="1080" w:type="dxa"/>
            <w:vAlign w:val="bottom"/>
          </w:tcPr>
          <w:p>
            <w:pPr>
              <w:spacing w:after="0"/>
              <w:rPr>
                <w:sz w:val="16"/>
                <w:szCs w:val="16"/>
                <w:color w:val="auto"/>
              </w:rPr>
            </w:pPr>
          </w:p>
        </w:tc>
      </w:tr>
      <w:tr>
        <w:trPr>
          <w:trHeight w:val="188"/>
        </w:trPr>
        <w:tc>
          <w:tcPr>
            <w:tcW w:w="2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earnings.........................................</w:t>
            </w:r>
          </w:p>
        </w:tc>
        <w:tc>
          <w:tcPr>
            <w:tcW w:w="210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396,126</w:t>
            </w:r>
          </w:p>
        </w:tc>
      </w:tr>
      <w:tr>
        <w:trPr>
          <w:trHeight w:val="188"/>
        </w:trPr>
        <w:tc>
          <w:tcPr>
            <w:tcW w:w="2600" w:type="dxa"/>
            <w:vAlign w:val="bottom"/>
            <w:gridSpan w:val="2"/>
          </w:tcPr>
          <w:p>
            <w:pPr>
              <w:ind w:left="500"/>
              <w:spacing w:after="0"/>
              <w:rPr>
                <w:sz w:val="20"/>
                <w:szCs w:val="20"/>
                <w:color w:val="auto"/>
              </w:rPr>
            </w:pPr>
            <w:r>
              <w:rPr>
                <w:rFonts w:ascii="Courier New" w:cs="Courier New" w:eastAsia="Courier New" w:hAnsi="Courier New"/>
                <w:sz w:val="16"/>
                <w:szCs w:val="16"/>
                <w:color w:val="auto"/>
                <w:w w:val="74"/>
              </w:rPr>
              <w:t>107,490 ---------- ----------</w:t>
            </w:r>
          </w:p>
        </w:tc>
        <w:tc>
          <w:tcPr>
            <w:tcW w:w="31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TOTAL SHAREHOLDERS'</w:t>
            </w:r>
          </w:p>
        </w:tc>
      </w:tr>
      <w:tr>
        <w:trPr>
          <w:trHeight w:val="188"/>
        </w:trPr>
        <w:tc>
          <w:tcPr>
            <w:tcW w:w="2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EQUITY........................</w:t>
            </w:r>
          </w:p>
        </w:tc>
        <w:tc>
          <w:tcPr>
            <w:tcW w:w="3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1,656,452 1,444,190 --------</w:t>
            </w:r>
          </w:p>
        </w:tc>
      </w:tr>
      <w:tr>
        <w:trPr>
          <w:trHeight w:val="188"/>
        </w:trPr>
        <w:tc>
          <w:tcPr>
            <w:tcW w:w="1380" w:type="dxa"/>
            <w:vAlign w:val="bottom"/>
          </w:tcPr>
          <w:p>
            <w:pPr>
              <w:ind w:left="500"/>
              <w:spacing w:after="0"/>
              <w:rPr>
                <w:sz w:val="20"/>
                <w:szCs w:val="20"/>
                <w:color w:val="auto"/>
              </w:rPr>
            </w:pPr>
            <w:r>
              <w:rPr>
                <w:rFonts w:ascii="Courier New" w:cs="Courier New" w:eastAsia="Courier New" w:hAnsi="Courier New"/>
                <w:sz w:val="15"/>
                <w:szCs w:val="15"/>
                <w:color w:val="auto"/>
                <w:w w:val="73"/>
              </w:rPr>
              <w:t>-- ----------</w:t>
            </w:r>
          </w:p>
        </w:tc>
        <w:tc>
          <w:tcPr>
            <w:tcW w:w="440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rPr>
              <w:t>TOTAL LIABILITIES AND SHAREHOLDERS'</w:t>
            </w:r>
          </w:p>
        </w:tc>
      </w:tr>
      <w:tr>
        <w:trPr>
          <w:trHeight w:val="188"/>
        </w:trPr>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EQUITY........</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$3,202,468</w:t>
            </w:r>
          </w:p>
        </w:tc>
        <w:tc>
          <w:tcPr>
            <w:tcW w:w="3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$2,863,884 ========== ==========</w:t>
            </w:r>
          </w:p>
        </w:tc>
      </w:tr>
    </w:tbl>
    <w:p>
      <w:pPr>
        <w:spacing w:after="0" w:line="38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80" w:right="1440" w:bottom="1440" w:gutter="0" w:footer="0" w:header="0"/>
        </w:sectPr>
      </w:pPr>
    </w:p>
    <w:bookmarkStart w:id="82" w:name="page83"/>
    <w:bookmarkEnd w:id="82"/>
    <w:p>
      <w:pPr>
        <w:ind w:left="3220"/>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------- 2005 2004 2003 ---------- ---------- ---------</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REVENUE:</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License(*).............................................</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$ 100,044 $ 76,586 $ 65,582</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Service(*).............................................</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1,938,577 1,697,146 1,417,745 ---------- ---------- --</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-------- 2,038,621 1,773,732 1,483,327 ---------- ----</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 OPERATING EXPENSES: Cost of</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license..................................... 4,083</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5,022 5,752 Cost of</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service..................................... 1,291,572</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1,117,810 907,607 Research and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development............................ 144,457</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126,407 119,256 Selling, general and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administrative................. 232,066 210,384</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206,265 Amortization of goodwill and purchased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intangible</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assets............................................</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15,356 17,909 19,940 Restructuring charges, in-process</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research and development and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other............................. 12,595 -- 14,089 --</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 ---------- 1,700,129 1,477,532</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1,272,909 ---------- ---------- ---------- Operating</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338,492 296,200 210,418 Interest income and other,</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net(*)........................ 22,303 4,903 14,759 ---</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 ---------- Income before income</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taxes............................... 360,795 301,103</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225,177 Income</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taxes.............................................</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72,159 66,243 56,294 ---------- ---------- ----------</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NET</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ind w:left="400" w:hanging="204"/>
        <w:spacing w:after="0"/>
        <w:tabs>
          <w:tab w:leader="none" w:pos="4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288,636 $ 234,860 $ 168,883 ========== ==========</w:t>
      </w:r>
    </w:p>
    <w:p>
      <w:pPr>
        <w:spacing w:after="0" w:line="6"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BASIC EARNINGS PER</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640" w:type="dxa"/>
            <w:vAlign w:val="bottom"/>
          </w:tcPr>
          <w:p>
            <w:pPr>
              <w:spacing w:after="0"/>
              <w:rPr>
                <w:sz w:val="20"/>
                <w:szCs w:val="20"/>
                <w:color w:val="auto"/>
              </w:rPr>
            </w:pPr>
            <w:r>
              <w:rPr>
                <w:rFonts w:ascii="Courier New" w:cs="Courier New" w:eastAsia="Courier New" w:hAnsi="Courier New"/>
                <w:sz w:val="16"/>
                <w:szCs w:val="16"/>
                <w:color w:val="auto"/>
                <w:w w:val="71"/>
              </w:rPr>
              <w:t>SHARE.................................</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$ 1.44</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1.13 $</w:t>
            </w:r>
          </w:p>
        </w:tc>
      </w:tr>
      <w:tr>
        <w:trPr>
          <w:trHeight w:val="188"/>
        </w:trPr>
        <w:tc>
          <w:tcPr>
            <w:tcW w:w="2640" w:type="dxa"/>
            <w:vAlign w:val="bottom"/>
          </w:tcPr>
          <w:p>
            <w:pPr>
              <w:spacing w:after="0"/>
              <w:rPr>
                <w:sz w:val="20"/>
                <w:szCs w:val="20"/>
                <w:color w:val="auto"/>
              </w:rPr>
            </w:pPr>
            <w:r>
              <w:rPr>
                <w:rFonts w:ascii="Courier New" w:cs="Courier New" w:eastAsia="Courier New" w:hAnsi="Courier New"/>
                <w:sz w:val="16"/>
                <w:szCs w:val="16"/>
                <w:color w:val="auto"/>
              </w:rPr>
              <w:t>0.78 ========== ==========</w:t>
            </w:r>
          </w:p>
        </w:tc>
        <w:tc>
          <w:tcPr>
            <w:tcW w:w="26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DILUTED EARNINGS</w:t>
            </w:r>
          </w:p>
        </w:tc>
      </w:tr>
      <w:tr>
        <w:trPr>
          <w:trHeight w:val="188"/>
        </w:trPr>
        <w:tc>
          <w:tcPr>
            <w:tcW w:w="2640" w:type="dxa"/>
            <w:vAlign w:val="bottom"/>
          </w:tcPr>
          <w:p>
            <w:pPr>
              <w:spacing w:after="0"/>
              <w:rPr>
                <w:sz w:val="20"/>
                <w:szCs w:val="20"/>
                <w:color w:val="auto"/>
              </w:rPr>
            </w:pPr>
            <w:r>
              <w:rPr>
                <w:rFonts w:ascii="Courier New" w:cs="Courier New" w:eastAsia="Courier New" w:hAnsi="Courier New"/>
                <w:sz w:val="15"/>
                <w:szCs w:val="15"/>
                <w:color w:val="auto"/>
                <w:w w:val="72"/>
              </w:rPr>
              <w:t>PER SHARE...............................</w:t>
            </w: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$ 1.35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$ 1.08</w:t>
            </w:r>
          </w:p>
        </w:tc>
      </w:tr>
      <w:tr>
        <w:trPr>
          <w:trHeight w:val="188"/>
        </w:trPr>
        <w:tc>
          <w:tcPr>
            <w:tcW w:w="5280" w:type="dxa"/>
            <w:vAlign w:val="bottom"/>
            <w:gridSpan w:val="4"/>
          </w:tcPr>
          <w:p>
            <w:pPr>
              <w:spacing w:after="0"/>
              <w:rPr>
                <w:sz w:val="20"/>
                <w:szCs w:val="20"/>
                <w:color w:val="auto"/>
              </w:rPr>
            </w:pPr>
            <w:r>
              <w:rPr>
                <w:rFonts w:ascii="Courier New" w:cs="Courier New" w:eastAsia="Courier New" w:hAnsi="Courier New"/>
                <w:sz w:val="16"/>
                <w:szCs w:val="16"/>
                <w:color w:val="auto"/>
              </w:rPr>
              <w:t>$ 0.77 ========== ========== ========== BASIC WEIGHTED</w:t>
            </w:r>
          </w:p>
        </w:tc>
      </w:tr>
      <w:tr>
        <w:trPr>
          <w:trHeight w:val="188"/>
        </w:trPr>
        <w:tc>
          <w:tcPr>
            <w:tcW w:w="2640" w:type="dxa"/>
            <w:vAlign w:val="bottom"/>
          </w:tcPr>
          <w:p>
            <w:pPr>
              <w:ind w:left="200"/>
              <w:spacing w:after="0"/>
              <w:rPr>
                <w:sz w:val="20"/>
                <w:szCs w:val="20"/>
                <w:color w:val="auto"/>
              </w:rPr>
            </w:pPr>
            <w:r>
              <w:rPr>
                <w:rFonts w:ascii="Courier New" w:cs="Courier New" w:eastAsia="Courier New" w:hAnsi="Courier New"/>
                <w:sz w:val="16"/>
                <w:szCs w:val="16"/>
                <w:color w:val="auto"/>
              </w:rPr>
              <w:t>AVERAGE NUMBER OF SHARES</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OUTSTANDING......</w:t>
            </w:r>
          </w:p>
        </w:tc>
        <w:tc>
          <w:tcPr>
            <w:tcW w:w="88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201,023</w:t>
            </w:r>
          </w:p>
        </w:tc>
      </w:tr>
    </w:tbl>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208,726 215,849 ========== ========== ==========</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DILUTED WEIGHTED AVERAGE NUMBER OF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OUTSTANDING(1).........................................</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217,162 220,285 219,876 ========== ==========</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200" w:hanging="200"/>
        <w:spacing w:after="0"/>
        <w:tabs>
          <w:tab w:leader="none" w:pos="20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See Note 4.</w:t>
      </w:r>
    </w:p>
    <w:p>
      <w:pPr>
        <w:spacing w:after="0" w:line="195" w:lineRule="exact"/>
        <w:rPr>
          <w:sz w:val="20"/>
          <w:szCs w:val="20"/>
          <w:color w:val="auto"/>
        </w:rPr>
      </w:pPr>
    </w:p>
    <w:p>
      <w:pPr>
        <w:ind w:left="400" w:right="2499" w:hanging="400"/>
        <w:spacing w:after="0" w:line="249" w:lineRule="auto"/>
        <w:tabs>
          <w:tab w:leader="none" w:pos="4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weighted average number of shares outstanding for the year ended September 30, 2004 has been restated, due to the adoption of Emerging Issue Task Force Issue No. 04-8, "The Effect of Contingently Convertible Instruments on Diluted Earnings per Share" ("EITF 04-8"), which requires that prior period earnings per share computations be restated to show the effect on weighted average shares of the conversion of the contingently convertible debt into equity. The restatement reduced diluted earnings per share by $0.02 per share for the year ended September 30, 2004. (See Note 19)</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80" w:right="1440" w:bottom="1440" w:gutter="0" w:footer="0" w:header="0"/>
        </w:sectPr>
      </w:pPr>
    </w:p>
    <w:bookmarkStart w:id="83" w:name="page84"/>
    <w:bookmarkEnd w:id="83"/>
    <w:p>
      <w:pPr>
        <w:spacing w:after="0" w:line="1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CONSOLIDATED STATEMENTS OF CHANGES IN SHAREHOLDERS' EQUITY</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ACCUMULATED OTHER RETAINED</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ORDINARY SHARES ADDITIONAL</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COMPREHENSIVE EARNINGS ----------</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PAID-IN TREASURY (LOSS)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UNEARNED (ACCUMULATED SHARES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AMOUNT CAPITAL STOCK INCOME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COMPENSATION DEFICIT) ------- ---</w:t>
      </w:r>
    </w:p>
    <w:p>
      <w:pPr>
        <w:spacing w:after="0" w:line="7" w:lineRule="exact"/>
        <w:rPr>
          <w:sz w:val="20"/>
          <w:szCs w:val="20"/>
          <w:color w:val="auto"/>
        </w:rPr>
      </w:pPr>
    </w:p>
    <w:p>
      <w:pPr>
        <w:ind w:left="440" w:hanging="392"/>
        <w:spacing w:after="0"/>
        <w:tabs>
          <w:tab w:leader="none" w:pos="4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ind w:left="740" w:hanging="594"/>
        <w:spacing w:after="0"/>
        <w:tabs>
          <w:tab w:leader="none" w:pos="74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AS OF OCTOBER 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2002...... 215,583 $3,572</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$1,818,345 $(109,281) $ (108) $ -</w:t>
      </w:r>
    </w:p>
    <w:p>
      <w:pPr>
        <w:spacing w:after="0" w:line="7" w:lineRule="exact"/>
        <w:rPr>
          <w:sz w:val="20"/>
          <w:szCs w:val="20"/>
          <w:color w:val="auto"/>
        </w:rPr>
      </w:pPr>
    </w:p>
    <w:p>
      <w:pPr>
        <w:ind w:left="1120" w:right="7279" w:hanging="730"/>
        <w:spacing w:after="0" w:line="248" w:lineRule="auto"/>
        <w:tabs>
          <w:tab w:leader="none" w:pos="58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$(296,253) Comprehensive income: Net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-- 168,883 Unrealized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gain on foreign currency hedging</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contracts, net of $3,258</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tax................... -- -- -- -</w:t>
      </w:r>
    </w:p>
    <w:p>
      <w:pPr>
        <w:spacing w:after="0" w:line="7" w:lineRule="exact"/>
        <w:rPr>
          <w:sz w:val="20"/>
          <w:szCs w:val="20"/>
          <w:color w:val="auto"/>
        </w:rPr>
      </w:pPr>
    </w:p>
    <w:p>
      <w:pPr>
        <w:jc w:val="both"/>
        <w:ind w:left="140" w:right="6999" w:hanging="43"/>
        <w:spacing w:after="0" w:line="248" w:lineRule="auto"/>
        <w:tabs>
          <w:tab w:leader="none" w:pos="28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8,903 -- -- Unrealized loss on cash equivalents and short-term</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interest-bearing investments, net</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of $(1,977) tax............. --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 -- (5,080) --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Comprehensive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income.............. Employee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stock options exercised... 475 8</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2,312 -- -- -- -- Tax benefit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stock 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exercised.........................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-- 262 -- -- -- -- Expense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related to vesting of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7" w:lineRule="exact"/>
        <w:rPr>
          <w:sz w:val="20"/>
          <w:szCs w:val="20"/>
          <w:color w:val="auto"/>
        </w:rPr>
      </w:pPr>
    </w:p>
    <w:p>
      <w:pPr>
        <w:ind w:left="340" w:hanging="292"/>
        <w:spacing w:after="0"/>
        <w:tabs>
          <w:tab w:leader="none" w:pos="3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-- 37 -- -- -- -- ------- ----</w:t>
      </w:r>
    </w:p>
    <w:p>
      <w:pPr>
        <w:spacing w:after="0" w:line="6" w:lineRule="exact"/>
        <w:rPr>
          <w:rFonts w:ascii="Courier New" w:cs="Courier New" w:eastAsia="Courier New" w:hAnsi="Courier New"/>
          <w:sz w:val="16"/>
          <w:szCs w:val="16"/>
          <w:color w:val="auto"/>
        </w:rPr>
      </w:pPr>
    </w:p>
    <w:p>
      <w:pPr>
        <w:ind w:left="380" w:hanging="283"/>
        <w:spacing w:after="0"/>
        <w:tabs>
          <w:tab w:leader="none" w:pos="38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5"/>
              </w:rPr>
              <w:t>------- ---------</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BALANCE AS OF</w:t>
            </w:r>
          </w:p>
        </w:tc>
        <w:tc>
          <w:tcPr>
            <w:tcW w:w="100" w:type="dxa"/>
            <w:vAlign w:val="bottom"/>
          </w:tcPr>
          <w:p>
            <w:pPr>
              <w:spacing w:after="0"/>
              <w:rPr>
                <w:sz w:val="15"/>
                <w:szCs w:val="15"/>
                <w:color w:val="auto"/>
              </w:rPr>
            </w:pPr>
          </w:p>
        </w:tc>
      </w:tr>
      <w:tr>
        <w:trPr>
          <w:trHeight w:val="188"/>
        </w:trPr>
        <w:tc>
          <w:tcPr>
            <w:tcW w:w="1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SEPTEMBER 30,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2003...</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216,058</w:t>
            </w:r>
          </w:p>
        </w:tc>
        <w:tc>
          <w:tcPr>
            <w:tcW w:w="100" w:type="dxa"/>
            <w:vAlign w:val="bottom"/>
          </w:tcPr>
          <w:p>
            <w:pPr>
              <w:spacing w:after="0"/>
              <w:rPr>
                <w:sz w:val="16"/>
                <w:szCs w:val="16"/>
                <w:color w:val="auto"/>
              </w:rPr>
            </w:pPr>
          </w:p>
        </w:tc>
      </w:tr>
      <w:tr>
        <w:trPr>
          <w:trHeight w:val="188"/>
        </w:trPr>
        <w:tc>
          <w:tcPr>
            <w:tcW w:w="1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3,580 1,820,956</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(109,281) 3,715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bl>
    <w:p>
      <w:pPr>
        <w:spacing w:after="0" w:line="4" w:lineRule="exact"/>
        <w:rPr>
          <w:sz w:val="20"/>
          <w:szCs w:val="20"/>
          <w:color w:val="auto"/>
        </w:rPr>
      </w:pPr>
    </w:p>
    <w:p>
      <w:pPr>
        <w:ind w:left="1520" w:right="6939" w:hanging="1472"/>
        <w:spacing w:after="0" w:line="248" w:lineRule="auto"/>
        <w:tabs>
          <w:tab w:leader="none" w:pos="24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(127,370) Comprehensive income: Net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-- 234,860 Unrealized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loss on foreign currency hedging</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contracts, net of $(1,575)</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tax.................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(4,915) -- -- Unrealized loss on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short-term interest-bearing</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investments, net of $(204)</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tax............... -- -- --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(719) -- -- Comprehensive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income.............. Employee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stock options exercised... 1,157</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21 12,056 -- -- -- -- Tax benefit</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of stock 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exercised.........................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-- 3,094 -- -- --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Repurchase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shares............... (16,442)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(407,527) -- -- -- Issuance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Ordinary Shares related to</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acquisition, net...............</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561 -- 747 14,392 -- -- -- Stock</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options granted, net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forfeitures.......................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-- 749 -- -- (749)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Amortization of unearned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compensation......................</w:t>
      </w:r>
    </w:p>
    <w:p>
      <w:pPr>
        <w:spacing w:after="0" w:line="7" w:lineRule="exact"/>
        <w:rPr>
          <w:sz w:val="20"/>
          <w:szCs w:val="20"/>
          <w:color w:val="auto"/>
        </w:rPr>
      </w:pPr>
    </w:p>
    <w:p>
      <w:pPr>
        <w:ind w:left="340" w:right="7139" w:hanging="96"/>
        <w:spacing w:after="0" w:line="248" w:lineRule="auto"/>
        <w:tabs>
          <w:tab w:leader="none" w:pos="536"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-- 575 -- Expense related to vesting of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7" w:lineRule="exact"/>
        <w:rPr>
          <w:sz w:val="20"/>
          <w:szCs w:val="20"/>
          <w:color w:val="auto"/>
        </w:rPr>
      </w:pPr>
    </w:p>
    <w:p>
      <w:pPr>
        <w:ind w:left="340" w:hanging="292"/>
        <w:spacing w:after="0"/>
        <w:tabs>
          <w:tab w:leader="none" w:pos="34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-- 6 -- -- -- -- ------- -----</w:t>
      </w:r>
    </w:p>
    <w:p>
      <w:pPr>
        <w:spacing w:after="0" w:line="6" w:lineRule="exact"/>
        <w:rPr>
          <w:rFonts w:ascii="Courier New" w:cs="Courier New" w:eastAsia="Courier New" w:hAnsi="Courier New"/>
          <w:sz w:val="16"/>
          <w:szCs w:val="16"/>
          <w:color w:val="auto"/>
        </w:rPr>
      </w:pPr>
    </w:p>
    <w:p>
      <w:pPr>
        <w:ind w:left="240" w:hanging="192"/>
        <w:spacing w:after="0"/>
        <w:tabs>
          <w:tab w:leader="none" w:pos="24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BALANCE AS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SEPTEMBER 30, 2004... 201,334</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3,601 1,837,608 (502,416) (1,919)</w:t>
      </w:r>
    </w:p>
    <w:p>
      <w:pPr>
        <w:spacing w:after="0" w:line="7" w:lineRule="exact"/>
        <w:rPr>
          <w:sz w:val="20"/>
          <w:szCs w:val="20"/>
          <w:color w:val="auto"/>
        </w:rPr>
      </w:pPr>
    </w:p>
    <w:p>
      <w:pPr>
        <w:ind w:left="1120" w:right="7239" w:hanging="779"/>
        <w:spacing w:after="0" w:line="248" w:lineRule="auto"/>
        <w:tabs>
          <w:tab w:leader="none" w:pos="92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107,490 Comprehensive income: Net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-- 288,636 Unrealized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loss on foreign currency hedging</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contracts, net of $(1,927)</w:t>
      </w:r>
    </w:p>
    <w:p>
      <w:pPr>
        <w:sectPr>
          <w:pgSz w:w="11900" w:h="16850" w:orient="portrait"/>
          <w:cols w:equalWidth="0" w:num="1">
            <w:col w:w="10219"/>
          </w:cols>
          <w:pgMar w:left="240" w:top="680" w:right="1440" w:bottom="0" w:gutter="0" w:footer="0" w:header="0"/>
        </w:sectPr>
      </w:pPr>
    </w:p>
    <w:bookmarkStart w:id="84" w:name="page85"/>
    <w:bookmarkEnd w:id="84"/>
    <w:p>
      <w:pPr>
        <w:spacing w:after="0" w:line="3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tax................. -- -- --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(7,865) -- -- Unrealized loss on</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short-term interest-bearing</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investments, net of $(253)</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tax............... -- -- --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(1,102) -- -- Comprehensive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income.............. Employee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stock options exercised... 2,229</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41 23,983 -- -- -- -- Tax benefit</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of stock 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exercised.........................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-- 3,147 -- -- --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Repurchase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shares............... (3,525)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(99,976) -- -- -- Issuance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restricted stock and stock</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options related to acquisitions,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144 2 6,034</w:t>
            </w:r>
          </w:p>
        </w:tc>
      </w:tr>
    </w:tbl>
    <w:p>
      <w:pPr>
        <w:spacing w:after="0" w:line="4" w:lineRule="exact"/>
        <w:rPr>
          <w:sz w:val="20"/>
          <w:szCs w:val="20"/>
          <w:color w:val="auto"/>
        </w:rPr>
      </w:pPr>
    </w:p>
    <w:p>
      <w:pPr>
        <w:ind w:left="1260" w:right="6999" w:hanging="1163"/>
        <w:spacing w:after="0" w:line="248" w:lineRule="auto"/>
        <w:tabs>
          <w:tab w:leader="none" w:pos="3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(1,428) -- Amortization of unearned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 -- -- -- 640 -- Expense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related to vesting of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-- 150 -- -- -- -- ------- ---</w:t>
      </w:r>
    </w:p>
    <w:p>
      <w:pPr>
        <w:spacing w:after="0" w:line="7" w:lineRule="exact"/>
        <w:rPr>
          <w:sz w:val="20"/>
          <w:szCs w:val="20"/>
          <w:color w:val="auto"/>
        </w:rPr>
      </w:pPr>
    </w:p>
    <w:p>
      <w:pPr>
        <w:ind w:left="440" w:hanging="392"/>
        <w:spacing w:after="0"/>
        <w:tabs>
          <w:tab w:leader="none" w:pos="4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BALANCE AS OF</w:t>
      </w:r>
    </w:p>
    <w:p>
      <w:pPr>
        <w:spacing w:after="0" w:line="7"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SEPTEMBER</w:t>
            </w:r>
          </w:p>
        </w:tc>
        <w:tc>
          <w:tcPr>
            <w:tcW w:w="840" w:type="dxa"/>
            <w:vAlign w:val="bottom"/>
          </w:tcPr>
          <w:p>
            <w:pPr>
              <w:spacing w:after="0"/>
              <w:rPr>
                <w:sz w:val="20"/>
                <w:szCs w:val="20"/>
                <w:color w:val="auto"/>
              </w:rPr>
            </w:pPr>
            <w:r>
              <w:rPr>
                <w:rFonts w:ascii="Courier New" w:cs="Courier New" w:eastAsia="Courier New" w:hAnsi="Courier New"/>
                <w:sz w:val="16"/>
                <w:szCs w:val="16"/>
                <w:color w:val="auto"/>
                <w:w w:val="77"/>
              </w:rPr>
              <w:t>30, 2005...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200,182</w:t>
            </w:r>
          </w:p>
        </w:tc>
      </w:tr>
      <w:tr>
        <w:trPr>
          <w:trHeight w:val="188"/>
        </w:trPr>
        <w:tc>
          <w:tcPr>
            <w:tcW w:w="1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$3,644 $1,870,922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7"/>
              </w:rPr>
              <w:t>$(602,392)</w:t>
            </w:r>
          </w:p>
        </w:tc>
      </w:tr>
      <w:tr>
        <w:trPr>
          <w:trHeight w:val="188"/>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$(10,886)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(962)</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$ 396,126</w:t>
            </w:r>
          </w:p>
        </w:tc>
      </w:tr>
      <w:tr>
        <w:trPr>
          <w:trHeight w:val="188"/>
        </w:trPr>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r>
    </w:tbl>
    <w:p>
      <w:pPr>
        <w:spacing w:after="0" w:line="4"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TOTAL SHAREHOLDERS' EQUITY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BALANCE AS OF OCTOBER 1,</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2002...... $1,416,275</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Comprehensive income: Net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168,883 Unrealized gain on</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foreign currency hedging</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contracts, net of $3,258</w:t>
      </w:r>
    </w:p>
    <w:p>
      <w:pPr>
        <w:spacing w:after="0" w:line="7"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2200" w:type="dxa"/>
            <w:vAlign w:val="bottom"/>
          </w:tcPr>
          <w:p>
            <w:pPr>
              <w:spacing w:after="0"/>
              <w:rPr>
                <w:sz w:val="20"/>
                <w:szCs w:val="20"/>
                <w:color w:val="auto"/>
              </w:rPr>
            </w:pPr>
            <w:r>
              <w:rPr>
                <w:rFonts w:ascii="Courier New" w:cs="Courier New" w:eastAsia="Courier New" w:hAnsi="Courier New"/>
                <w:sz w:val="16"/>
                <w:szCs w:val="16"/>
                <w:color w:val="auto"/>
              </w:rPr>
              <w:t>tax...................</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8,903</w:t>
            </w:r>
          </w:p>
        </w:tc>
      </w:tr>
    </w:tbl>
    <w:p>
      <w:pPr>
        <w:spacing w:after="0" w:line="4"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Unrealized loss on cash</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equivalents and short-term</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interest-bearing investments, net</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of $(1,977) tax.............</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(5,080) ---------- Comprehensive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income.............. 172,706 ----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Employee stock 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exercised... 2,320 Tax benefit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stock 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exercised.........................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262 Expense related to vesting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37 ---------- BALANCE AS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SEPTEMBER 30, 2003... 1,591,600</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Comprehensive income: Net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234,860 Unrealized loss on</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foreign currency hedging</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contracts, net of $(1,575)</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tax................. (4,915)</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Unrealized loss on short-term</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interest-bearing investments, net</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of $(204) tax...............</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(719) ---------- Comprehensive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income.............. 229,226 ----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Employee stock 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exercised... 12,077 Tax benefit</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of stock 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exercised.........................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3,094 Repurchase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shares............... (407,527)</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Issuance of Ordinary Shares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related to acquisition,</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net............... 15,139 Stock</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options granted, net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forfeitures.......................</w:t>
      </w:r>
    </w:p>
    <w:p>
      <w:pPr>
        <w:spacing w:after="0" w:line="7" w:lineRule="exact"/>
        <w:rPr>
          <w:sz w:val="20"/>
          <w:szCs w:val="20"/>
          <w:color w:val="auto"/>
        </w:rPr>
      </w:pPr>
    </w:p>
    <w:p>
      <w:pPr>
        <w:ind w:right="6899" w:firstLine="341"/>
        <w:spacing w:after="0" w:line="248" w:lineRule="auto"/>
        <w:tabs>
          <w:tab w:leader="none" w:pos="63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Amortization of unearned compensation......................</w:t>
      </w:r>
    </w:p>
    <w:p>
      <w:pPr>
        <w:spacing w:after="0" w:line="1"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575 Expense related to vesting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6 ---------- BALANCE AS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SEPTEMBER 30, 2004... 1,444,190</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Comprehensive income: Net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w:t>
      </w:r>
    </w:p>
    <w:p>
      <w:pPr>
        <w:sectPr>
          <w:pgSz w:w="11900" w:h="16875" w:orient="portrait"/>
          <w:cols w:equalWidth="0" w:num="1">
            <w:col w:w="10219"/>
          </w:cols>
          <w:pgMar w:left="240" w:top="142" w:right="1440" w:bottom="0" w:gutter="0" w:footer="0" w:header="0"/>
        </w:sectPr>
      </w:pPr>
    </w:p>
    <w:bookmarkStart w:id="85" w:name="page86"/>
    <w:bookmarkEnd w:id="85"/>
    <w:p>
      <w:pPr>
        <w:jc w:val="center"/>
        <w:ind w:right="6899"/>
        <w:spacing w:after="0"/>
        <w:rPr>
          <w:sz w:val="20"/>
          <w:szCs w:val="20"/>
          <w:color w:val="auto"/>
        </w:rPr>
      </w:pPr>
      <w:r>
        <w:rPr>
          <w:rFonts w:ascii="Courier New" w:cs="Courier New" w:eastAsia="Courier New" w:hAnsi="Courier New"/>
          <w:sz w:val="16"/>
          <w:szCs w:val="16"/>
          <w:color w:val="auto"/>
        </w:rPr>
        <w:t>288,636 Unrealized loss on</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foreign currency hedging</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contracts, net of $(1,927)</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tax................. (7,865)</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Unrealized loss on short-term</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interest-bearing investments, net</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of $(253) tax...............</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(1,102) ---------- Comprehensive</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income.............. 279,669 ----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Employee stock 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exercised... 24,024 Tax benefit</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of stock 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exercised.........................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3,147 Repurchase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shares............... (99,976)</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Issuance of restricted stock and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stock options related to</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acquisitions,</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net................. 4,608</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Amortization of unearned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640 Expense related to vesting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options...........................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150 ---------- BALANCE AS OF</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SEPTEMBER 30, 2005... $1,656,452</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As of September 30, 2005, 2004 and 2003, accumulated other comprehensive (loss) income is comprised of unrealized (loss) gain on derivatives, net of tax, of $(9,097), $(1,232) and $3,683 and unrealized (loss) gain on cash equivalents and short-term interest-bearing investments, net of tax, of $(1,789), $(687) and $32, as of September 30, 2005, 2004 and 2003, respectively.</w:t>
      </w:r>
    </w:p>
    <w:p>
      <w:pPr>
        <w:spacing w:after="0" w:line="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142" w:right="1440" w:bottom="1440" w:gutter="0" w:footer="0" w:header="0"/>
        </w:sectPr>
      </w:pPr>
    </w:p>
    <w:bookmarkStart w:id="86" w:name="page87"/>
    <w:bookmarkEnd w:id="86"/>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w:t>
      </w:r>
    </w:p>
    <w:p>
      <w:pPr>
        <w:spacing w:after="0" w:line="19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--------- 2005 2004 2003 --------- ----------- ------</w:t>
      </w:r>
    </w:p>
    <w:p>
      <w:pPr>
        <w:spacing w:after="0" w:line="7" w:lineRule="exact"/>
        <w:rPr>
          <w:sz w:val="20"/>
          <w:szCs w:val="20"/>
          <w:color w:val="auto"/>
        </w:rPr>
      </w:pPr>
    </w:p>
    <w:p>
      <w:pPr>
        <w:ind w:left="100" w:right="5039" w:firstLine="290"/>
        <w:spacing w:after="0" w:line="248" w:lineRule="auto"/>
        <w:tabs>
          <w:tab w:leader="none" w:pos="9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 FROM OPERATING ACTIVITIES: Net income..............................................</w:t>
      </w:r>
    </w:p>
    <w:p>
      <w:pPr>
        <w:spacing w:after="0" w:line="1" w:lineRule="exact"/>
        <w:rPr>
          <w:rFonts w:ascii="Courier New" w:cs="Courier New" w:eastAsia="Courier New" w:hAnsi="Courier New"/>
          <w:sz w:val="16"/>
          <w:szCs w:val="16"/>
          <w:color w:val="auto"/>
        </w:rPr>
      </w:pPr>
    </w:p>
    <w:p>
      <w:pPr>
        <w:jc w:val="both"/>
        <w:ind w:left="100" w:right="5039" w:firstLine="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$ 288,636 $ 234,860 $ 168,883 Reconciliation of net income to net cash provided by operating activities: Depreciation and amortization......................</w:t>
      </w:r>
    </w:p>
    <w:p>
      <w:pPr>
        <w:spacing w:after="0" w:line="1" w:lineRule="exact"/>
        <w:rPr>
          <w:rFonts w:ascii="Courier New" w:cs="Courier New" w:eastAsia="Courier New" w:hAnsi="Courier New"/>
          <w:sz w:val="16"/>
          <w:szCs w:val="16"/>
          <w:color w:val="auto"/>
        </w:rPr>
      </w:pPr>
    </w:p>
    <w:p>
      <w:pPr>
        <w:ind w:left="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93,828 100,877 97,452 In-process research and</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development expenses and</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2,760 -- 4,133 (Gain) loss on sale of</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equipment................... (786) (1,436) 396 Gain</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on repurchase of 2% convertible notes......... --</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(13) (448) Deferred income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taxes.............................. 8,062 (11,272)</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4,001 Tax benefit of stock options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exercised............. 3,147 3,094 262 Realized</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(gain) loss from short-term interest-bearing</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investments..................... (657) 1,863 2,802</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Net changes in operating assets and liabilities, net</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of amounts acquired: Accounts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receivable...................................</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(15,106) (53,723) 58,485 Prepaid expenses and other</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current assets............. 3,667 1,856 2,278 Other</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noncurrent assets...............................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(17,593) (44,401) (26,882) Accounts payable and</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accrued expenses................. 26,542 31,697 429</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Deferred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revenue...................................... (5,702)</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46,713 53,294 Income taxes</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payable.................................. (6,643)</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33,773 21,854 Noncurrent liabilities and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other...................... 1,596 516 4,892 ---------</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 Net cash provided by</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operating activities............... 381,751 344,404</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391,831 --------- ----------- ----------- CASH FLOW</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FROM INVESTING ACTIVITIES: Proceeds from sale of</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equipment, vehicles and leasehold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improvements..........................................</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5,829 4,431 2,532 Payments for purchase of equipment,</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vehicles and leasehold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improvements................................ (71,374)</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(54,148) (62,410) Purchase of short-term interest-</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bearing investments..... (747,073) (1,325,383)</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(1,065,236) Proceeds from sale of short-term</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interest-bearing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948,711 1,125,538 1,193,248 Net cash paid for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acquisitions....................... (262,253)</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(10,651) (30,980) --------- ----------- -----------</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Net cash (used in) provided by investing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activities..... (126,160) (260,213) 37,154 ---------</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 ----------- CASH FLOW FROM FINANCING</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ACTIVITIES: Proceeds from employee stock options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exercised.......... 24,024 12,077 2,320 Repurchase of</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shares.................................... (99,976)</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(407,527) -- Redemption of 2% convertible</w:t>
      </w: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notes...................... -- (395,110) --</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Repurchase of 2% convertible</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notes...................... -- (5,059) (44,153) Net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proceeds from issue of long-term 0.50% convertible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-- 441,610 -- Borrowings under financing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arrangements................. -- 987 3,345 Principal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payments under financing arrangements......... (667)</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(2,213) (595) Proceeds from sale-leaseback</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transaction................ -- -- 8,076 Principal</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payments on capital lease obligations.........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(21,772) (26,204) (17,033) --------- ----------- ----</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 Net cash used in financing</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activities................... (98,391) (381,439)</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(48,040) --------- ----------- ----------- Net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increase (decrease) in cash and cash equivalents....</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157,200 (297,248) 380,945 Cash and cash equivalents</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at beginning of year.......... 550,352 847,600</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466,655 --------- ----------- ----------- Cash and</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cash equivalents at end of year................ $</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707,552 $ 550,352 $ 847,600 ========= ===========</w:t>
      </w:r>
    </w:p>
    <w:p>
      <w:pPr>
        <w:spacing w:after="0" w:line="7"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80" w:right="1440" w:bottom="0" w:gutter="0" w:footer="0" w:header="0"/>
        </w:sectPr>
      </w:pPr>
    </w:p>
    <w:bookmarkStart w:id="87" w:name="page88"/>
    <w:bookmarkEnd w:id="87"/>
    <w:p>
      <w:pPr>
        <w:jc w:val="center"/>
        <w:ind w:right="26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statements.</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019"/>
          </w:cols>
          <w:pgMar w:left="440" w:top="517" w:right="1440" w:bottom="1440" w:gutter="0" w:footer="0" w:header="0"/>
        </w:sectPr>
      </w:pPr>
    </w:p>
    <w:bookmarkStart w:id="88" w:name="page89"/>
    <w:bookmarkEnd w:id="88"/>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CONSOLIDATED STATEMENTS OF CASH FLOWS -- (CONTINUED)</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w:t>
      </w:r>
    </w:p>
    <w:p>
      <w:pPr>
        <w:spacing w:after="0" w:line="19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2005 2004 2003 ------- ------- ------- SUPPLEMENTARY</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CASH FLOW INFORMATION Interest and Income Taxes Paid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Cash paid for: Income taxes, net of</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refunds........................... $66,668 $35,677</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$30,823</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Interest...............................................</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5,233 11,940 9,690</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NON-CASH INVESTING AND FINANCING ACTIVITIES</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In the year ended September 30, 2004, the Company issued 561 Ordinary Shares in connection with the acquisition of XACCT (as defined below) valued at $15,139. See Note 3.</w:t>
      </w:r>
    </w:p>
    <w:p>
      <w:pPr>
        <w:spacing w:after="0" w:line="18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680" w:right="1440" w:bottom="1440" w:gutter="0" w:footer="0" w:header="0"/>
        </w:sectPr>
      </w:pPr>
    </w:p>
    <w:bookmarkStart w:id="89" w:name="page90"/>
    <w:bookmarkEnd w:id="89"/>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jc w:val="center"/>
        <w:ind w:right="2399"/>
        <w:spacing w:after="0" w:line="250" w:lineRule="auto"/>
        <w:rPr>
          <w:sz w:val="20"/>
          <w:szCs w:val="20"/>
          <w:color w:val="auto"/>
        </w:rPr>
      </w:pPr>
      <w:r>
        <w:rPr>
          <w:rFonts w:ascii="Courier New" w:cs="Courier New" w:eastAsia="Courier New" w:hAnsi="Courier New"/>
          <w:sz w:val="16"/>
          <w:szCs w:val="16"/>
          <w:color w:val="auto"/>
        </w:rPr>
        <w:t>NOTES TO THE CONSOLIDATED FINANCIAL STATEMENTS (DOLLAR AND SHARE AMOUNTS IN THOUSANDS, EXCEPT PER SHARE DATA) SEPTEMBER 30, 2005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NATURE OF ENTITY</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Amdocs Limited (the "Company") is a leading provider of software products and services to the communications industry. The Company and its subsidiaries operate in one segment, providing integrated offering products and services that enable its customers to move toward an integrated approach to customer management. The Company designs, develops, markets, supports, operates and provides information system solutions, including Managed Services, primarily to leading communications companies throughout the world.</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is a Guernsey corporation, which directly or indirectly holds several wholly owned subsidiaries around the globe. The majority of the Company's customers are in North America, Europe, Latin America and the Asia-Pacific region. The Company's main production and operating facilities are located in Israel, the United States (U.S.), Cyprus, Canada, Ireland and India. Recently, the Company expanded its operations in China as a result of the acquisition of Longshine.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BASIS OF PRESENTATION</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consolidated financial statements are prepared in accordance with 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generally accepted accounting principles.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CONSOLIDATION</w:t>
      </w:r>
    </w:p>
    <w:p>
      <w:pPr>
        <w:spacing w:after="0" w:line="19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financial statements include the accounts of the Company and its wholly owned subsidiaries. All intercompany transactions and balances have been eliminated in consolidation.</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FUNCTIONAL CURRENCY</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manages its foreign subsidiaries as integral direct components of its operations. According to the salient economic factors indicated in Statement of Financial Accounting Standards ("SFAS") No. 52, "Foreign Currency Translation," the Company's cash flow, sale price, sales market, expense, financing and intercompany transactions and arrangement indicators are predominantly denominated in the U.S. dollar. The operations of the Company's foreign subsidiaries provide the same type of services with the same type of expenditures throughout the Amdocs group. Accordingly, the Company has determined that its functional currency is the U.S. dollar. The Company periodically assesses the applicability of the U.S. dollar as the Company's functional currency by reviewing the salient indicators.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CASH AND CASH EQUIVALENTS</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Cash and cash equivalents consist of cash and interest-bearing investments with insignificant interest rate risk and original maturities of 90 days or less.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INVESTMENTS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Company classifies all of its short-term interest-bearing investments as available-for-sale securities. Such short-term interest-bearing investments consist primarily of commercial paper, Treasury notes, Federal agency securities, corporate bonds, corporate backed obligations and mortgages, which are stated at market value. Unrealized gains and losses are comprised of the difference between market value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680" w:right="1440" w:bottom="1440" w:gutter="0" w:footer="0" w:header="0"/>
        </w:sectPr>
      </w:pPr>
    </w:p>
    <w:bookmarkStart w:id="90" w:name="page91"/>
    <w:bookmarkEnd w:id="90"/>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and amortized costs of such securities and are reflected, net of tax, as "accumulated other comprehensive loss" in shareholders' equity. Realized gains and losses on short-term interest-bearing investments are included in earnings and are derived using the specific identification method for determining the cost of securities.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EQUIPMENT, VEHICLES AND LEASEHOLD IMPROVEMENTS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2 to 10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GOODWILL AND OTHER INTANGIBLE ASSETS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SFAS No. 141 "Business Combinations" requires that the purchase method of accounting be used for all business combinations. Under SFAS No. 142 "Goodwill and Other Intangible Assets," goodwill and intangible assets deemed to have indefinite lives are subject to periodic impairment tests in accordance with the Statement. Goodwill impairment is deemed to exist if the net book value of a reporting unit exceeds its estimated fair value. Other intangible assets are amortized over their useful lives.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188"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Other intangible assets consist primarily of purchased computer software, intellectual property rights, core technology and customer arrangements. Intellectual property rights, purchased computer software and core technology acquired by the Company are amortized over their estimated useful lives on a straight-line basis.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Some of the acquired customer arrangements are amortized over their estimated useful lives based on the pro-rata amount of the future revenue expected to be realized from the customer arrangements. This accounting policy results in accelerated amortization of such customer arrangements as compared to the straight-line method. All other acquired customer arrangements are amortized over their estimated useful lives on a straight-line basis.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LONG-LIVED ASSETS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considers whether there are indicators of impairment that would require the comparison of the estimated net realizable value of intangible assets with finite lives, equipment, leasehold improvements and vehicles and other long-lived assets, using an undiscounted cash flow analysis, to their carrying value under SFAS No. 144, "Accounting for the Impairment or Disposal of Long-Lived Assets." Any impairment would be recognized when the fair market value of such long-lived assets is less than their carrying value. During the year ended September 30, 2004 the Company identified and recognized an impairment charge (included in cost of service) of $2,785 related to software technology that the Company had no future use for, and therefore was abandoned.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492" w:right="1440" w:bottom="1440" w:gutter="0" w:footer="0" w:header="0"/>
        </w:sectPr>
      </w:pPr>
    </w:p>
    <w:bookmarkStart w:id="91" w:name="page92"/>
    <w:bookmarkEnd w:id="91"/>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COMPREHENSIVE INCOME (LOSS)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accounts for comprehensive income under the provisions of SFAS No. 130, "Reporting Comprehensive Income," which established standards for the reporting and display of comprehensive income and its components. Comprehensive income (loss)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CONVERTIBLE NOTES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Accrued interest on the Company's convertible notes is included in "accrued expenses and other current liabilities." The Company amortizes the issuance costs related to the convertible notes on a straight-line basis over the term of the convertible notes. Gain or loss on repurchase of convertible notes represents the difference between the principal amount and the purchase price. Such gains, aggregating $0, $13 and $448, are included in "interest income and other, net" in fiscal 2005, 2004 and 2003, respectively. The amortized issuance cost calculated on a pro-rata basis, related to the repurchased 2% convertible notes, is included in "interest income and other, net."</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TREASURY STOCK</w:t>
      </w:r>
    </w:p>
    <w:p>
      <w:pPr>
        <w:spacing w:after="0" w:line="19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Company repurchases its Ordinary Shares from time to time on the open market and holds such shares as treasury stock. The Company presents the cost to repurchase treasury stock as a reduction of shareholders' equity.</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 TAXES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(under applicable laws at the time the financial statements are prepared) when the deferred taxes are expected to be paid or realized. A valuation allowance is provided for deferred tax assets if it is more likely than not these items will either expire before the Company is able to realize their benefit, or that future deductibility is uncertain. In the event that a valuation allowance relating to a business acquisition is subsequently reduced, the adjustment will reduce the original amount allocated to goodwill.</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It is the Company's policy to establish accruals for taxes that may become payable in future years as a result of examinations by tax authorities. The Company establishes the accruals based upon management's assessment of probable contingencies. The Company believes it has appropriately accrued for probable contingencies.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REVENUE RECOGNITION</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Revenue is recognized only when all of the following conditions have been met: (i) there is persuasive evidence of an arrangement; (ii) delivery has occurred; (iii) the fee is fixed and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492" w:right="1440" w:bottom="1440" w:gutter="0" w:footer="0" w:header="0"/>
        </w:sectPr>
      </w:pPr>
    </w:p>
    <w:bookmarkStart w:id="92" w:name="page93"/>
    <w:bookmarkEnd w:id="92"/>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As a result, combined license and service revenue generally is recognized over the course of these long-term projects, using the percentage of completion method of accounting in conformity with Accounting Research Bulletin ("ARB") No. 45, "Long Term Construction-Type Contracts," Statement of Position ("SOP") 81-1, "Accounting for Performance of Construction-Type and Certain Production-Type Contracts" and SOP 97-2, "Software Revenue Recognition." Losses are recognized on contracts in the period in which the loss is identified in accordance with SOP 81-1.</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Service revenue that involves significant ongoing obligations, including fees for software customization, implementation and modification as part of a long-term contract is recognized as work is performed, under the percentage of completion method of accounting. In cases where extended payment terms exist, license and related customization fees are recognized when payments are due, in accordance with SOP 97-2. Revenue from software solutions that do not require significant customization and modification is recognized upon delivery or as services are provided, in accordance with SAB 104, "Revenue Recognition" and SOP 97-2. The Company complies with Emerging Issues Task Force ("EITF") 03-05, "Applicability of AICPA SOP 97-2 to Non-Software Deliverables in an Arrangement Containing More Than Incidental Software."</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In Managed Services contracts as well as in other long term contracts, revenue from the operation of a customer's system is recognized either ratably over the service period or as services are performed. Revenue from ongoing support services is recognized as work is performed.</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Revenue from third-party hardware sales is recognized upon delivery and installation, and revenue from third-party software sales is recognized upon delivery. Revenue from third-party hardware and software sales is recorded according to the criteria established in EITF 99-19, "Recording Revenue Gross as a Principal versus Net as an Agent" and SAB 104. Revenue is recorded at gross amount for transactions in which the Company is the primary obligor under the arrangement and/or possesses other attributes such as pricing and supplier selection latitude. In specific circumstances where the Company does not meet the above criteria, particularly when the contract stipulates that the Company is not the primary obligor, the Company recognizes revenue on a net basis.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Included in service revenue are sales of third-party products. Revenue from sales of such products includes third-party computer hardware and computer software products and was less than 10% of total revenue in each of fiscal 2005, 2004 and 2003.</w:t>
      </w:r>
    </w:p>
    <w:p>
      <w:pPr>
        <w:spacing w:after="0" w:line="188"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Maintenance revenue is recognized ratably over the term of the maintenance agreement, which in most cases is one year or less.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188"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Many of the Company's agreements include multiple deliverables. For these multiple element arrangements, the fair value of each component is determined based on specific objective evidence for that element and revenue is allocated to each component based upon its fair value. The revenue associated with each element is recognized using the respective methodology discussed above. The Company uses the residual method in accordance with SOP 97-2 and EITF 00-21, "Revenue Arrangements with Multiple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492" w:right="1440" w:bottom="1440" w:gutter="0" w:footer="0" w:header="0"/>
        </w:sectPr>
      </w:pPr>
    </w:p>
    <w:bookmarkStart w:id="93" w:name="page94"/>
    <w:bookmarkEnd w:id="93"/>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Deliverables," in multiple element arrangements that include license for the sale of software solutions that do not require significant customization and modification and first year maintenance to determine the appropriate value for the license component.</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circumstances where the Company enters into a contract with a customer for the provision of Managed Services for a defined period of time, the Company defers, in accordance with SAB 104, certain costs incurred by the Company at the inception of the contract. These costs include costs associated with migration of data and the establishment of software interfaces. The deferred costs are amortized on a straight-line basis over the life of the respective customer contract. Revenue associated with these capitalized costs is deferred and is recognized over the life of the respective customer contract.</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In cases where extended payment terms exist and revenue is deferred until payments are due, related costs are capitalized as contract costs and recognized as revenue is recognized.</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Deferred revenue represents billings to customers for licenses, services and third-party products for which revenue has not been recognized. Unbilled accounts receivable include all revenue amounts that had not been billed as of the balance sheet date due to contractual or other arrangements with customers. Allowances that are netted against accounts receivable represent amounts provided for accounts for which their collectibility is not reasonably assured.</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COST OF LICENSE AND COST OF SERVICE</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Cost of license and cost of service consist of all costs associated with providing services to customers, including identified losses on contracts and warranty expense. Estimated losses on contracts are recognized in the period in which the loss is identified in accordance with SOP 81-1.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Cost of service also includes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RESEARCH AND DEVELOPMENT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Research and development expenditures consist of costs incurred in the development of new software modules and product offerings, either as part of the Company's internal product development programs or in conjunction with customer projects. Research and development costs, which are incurred in conjunction with a customer project, are expensed as incurred.</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Based on the Company's product development process, technological feasibility, as defined in SFAS No. 86, "Accounting for the Costs of Computer Software to be Sold, Leased or Otherwise Marketed,"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EMPLOYEE BENEFIT PLANS</w:t>
      </w:r>
    </w:p>
    <w:p>
      <w:pPr>
        <w:spacing w:after="0" w:line="195" w:lineRule="exact"/>
        <w:rPr>
          <w:sz w:val="20"/>
          <w:szCs w:val="20"/>
          <w:color w:val="auto"/>
        </w:rPr>
      </w:pPr>
    </w:p>
    <w:p>
      <w:pPr>
        <w:jc w:val="both"/>
        <w:ind w:right="2699" w:firstLine="489"/>
        <w:spacing w:after="0" w:line="248" w:lineRule="auto"/>
        <w:rPr>
          <w:sz w:val="20"/>
          <w:szCs w:val="20"/>
          <w:color w:val="auto"/>
        </w:rPr>
      </w:pPr>
      <w:r>
        <w:rPr>
          <w:rFonts w:ascii="Courier New" w:cs="Courier New" w:eastAsia="Courier New" w:hAnsi="Courier New"/>
          <w:sz w:val="16"/>
          <w:szCs w:val="16"/>
          <w:color w:val="auto"/>
        </w:rPr>
        <w:t>The Company maintains a non-contributory defined benefit plan for one of its Canadian subsidiaries that provides for pensions for substantially all of that subsidiary's employees based on length of service and rate of pay.</w:t>
      </w:r>
    </w:p>
    <w:p>
      <w:pPr>
        <w:spacing w:after="0" w:line="2"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Additionally, the Company provides to these employees other retirement benefits such as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493" w:right="1440" w:bottom="1440" w:gutter="0" w:footer="0" w:header="0"/>
        </w:sectPr>
      </w:pPr>
    </w:p>
    <w:bookmarkStart w:id="94" w:name="page95"/>
    <w:bookmarkEnd w:id="94"/>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certain health care and life insurance benefits on retirement and various disability plans, workers' compensation and medical benefits to former or inactive employees, their beneficiaries and covered dependants, after employment but before retirement, under specified circumstances.</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and expected health care costs.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fair value of the employee benefit plans' assets is based on market values. The plan assets are valued at market value for the purpose of calculating the expected return on plan assets and the amortization of experience gains and losses. Past service costs, which may arise from plan amendments, are amortized on a straight-line basis over the average remaining service period of the employees active at the date of amendment. The excess of the net actuarial gain (loss) over 10% of the greater of the benefit obligation and the market-related value of plan assets is amortized over the average remaining service period of active employees.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STOCK-BASED COMPENSATION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follows Accounting Principles Board ("APB") Opinion No. 25, "Accounting for Stock Issued to Employees" ("APB No. 25") and related interpretations in accounting for its employee stock options and restricted stock. Pursuant to these accounting standards, the Company records deferred compensation for share options granted to employees at the date of grant based on the difference between the exercise price of the options and the market value of the underlying shares at that date, and for restricted stock based on the market value of the underlying shares at the date of grant. Deferred compensation is amortized to compensation expense over the vesting period of the underlying options or restricted stock in accordance with the accelerated expense attribution method. No compensation expense is recorded for stock options that are granted to employees and directors at an exercise price equal to the fair market value of the Ordinary Shares at the time of the grant. Compensation expenses that are deductible in a tax return in a period different from the one in which they are reported as expenses in measuring net income are temporary differences that result in deferred taxes. To the extent that compensation is not recorded for stock-based compensation, the benefit of the related tax deduction is recorded as an increase to additional paid-in capital in the period of the tax reduction.</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presented below, the Company determined pro forma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 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492" w:right="1440" w:bottom="1440" w:gutter="0" w:footer="0" w:header="0"/>
        </w:sectPr>
      </w:pPr>
    </w:p>
    <w:bookmarkStart w:id="95" w:name="page96"/>
    <w:bookmarkEnd w:id="95"/>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The fair value of options granted was estimated at the date of grant using the Black-Scholes pricing model with the following assumptions for the presented periods all in weighted averages (for options granted during the year):</w:t>
      </w:r>
    </w:p>
    <w:p>
      <w:pPr>
        <w:spacing w:after="0" w:line="18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-------------- 2005 2004 2003 -----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 Risk-free interest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rate............................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3.42% 3.12% 2.70% Expected life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options...........................</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4.47 4.49 2.93 Expected annual</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volatility.........................</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0.630 0.687 0.568 Expected dividend</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yield............................</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None None None Fair value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$12.75 $12.62 $ 5.08</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table sets forth the pro forma effect of applying SFAS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 on net income and earnings per share for the presented periods:</w:t>
      </w:r>
    </w:p>
    <w:p>
      <w:pPr>
        <w:spacing w:after="0" w:line="195"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------------- 2005 2004 2003 --------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 -------- Net income, as</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reported...................... $288,636</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$234,860 $168,883 Add: Stock-based</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compensation expense included in net</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income, net of related tax</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effects....................................</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632 453 1,153 Less: Total stock-based</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compensation expense determined under fair</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value method for all awards, net of</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related tax effects......... (35,666)</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(35,989) (59,947) -------- --------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 Pro forma net</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income......................... $253,602</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$199,324 $110,089 ========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 Basic earnings per share: As</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reported................................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1.44 $ 1.13 $ 0.78 ========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 Pro</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forma..................................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1.26 $ 0.95 $ 0.51 ========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 Diluted earnings per share: As</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reported................................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1.35 $ 1.08 $ 0.77 ========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 Pro</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forma..................................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1.19 $ 0.92 $ 0.50 ======== ========</w:t>
      </w:r>
    </w:p>
    <w:p>
      <w:pPr>
        <w:spacing w:after="0" w:line="7"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pro forma results for fiscal year 2004 has been revised due to the adoption of EITF 04-8 which resulted in a decrease in pro forma diluted earnings per share of $0.01 in fiscal 2004, from amounts previously reported.</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FAIR VALUE OF FINANCIAL INSTRUMENTS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financial instruments of the Company consist mainly of cash and cash equivalents, short-term interest-bearing investments, accounts receivable, accounts payable, short-term financing arrangements, forward exchange contracts, lease obligations and convertible notes. In view of their nature, the fair value of the financial instruments, excluding the convertible notes (for which the fair value as of September 30, 2005 is approximately $411,000), included in the accounts of the Company does not significantly vary from their carrying amount. The fair values of the Company's foreign currency exchange contracts are estimated based on quoted market prices of comparable contracts. See Note 22.</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492" w:right="1440" w:bottom="1440" w:gutter="0" w:footer="0" w:header="0"/>
        </w:sectPr>
      </w:pPr>
    </w:p>
    <w:bookmarkStart w:id="96" w:name="page97"/>
    <w:bookmarkEnd w:id="96"/>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CONCENTRATIONS OF CREDIT RISK</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Financial instruments that potentially subject the Company to concentration of credit risk consist principally of cash and cash equivalents, short-term interest-bearing investments and trade receivables. The Company invests its excess cash primarily in highly liquid U.S. dollar-denominated securities with major U.S. institutions. The Company does not expect any credit losses with respect to these items.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Company's revenue is generated primarily in North America and Europe. To a lesser extent, revenue is generated in the Asia-Pacific region and Latin America. Most customers are among the largest communications and directory publishing companies in the world (or are owned by them). The Company's business is subject to the effects of general global economic conditions and, in particular, market conditions in the communications industry. The Company performs ongoing credit analyses of its customer base and generally does not require collateral. The allowance for doubtful accounts is for estimated losses resulting from the inability of the Company's customers to make required payments. The Company evaluates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As of September 30, 2005, the Company had two customers that had accounts receivable balances of more than 10% of total accounts receivable, aggregating 21.7% (11.0% and 10.7%). As of September 30, 2004, the Company had no customers that had accounts receivable balances of more than 10% of total accounts receivable.</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EARNINGS PER SHARE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are calculated using the weighted average number of shares outstanding during the period. Diluted earnings per share is computed on the basis of the weighted average number of shares outstanding and the effect of dilutive outstanding stock options using the treasury stock method and the effect of dilutive outstanding convertible notes using the if-converted method.</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DERIVATIVES AND HEDGING</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accounts for derivatives and hedging based on SFAS No. 133, "Accounting for Derivative Instruments and Hedging Activities," as amended and related Interpretations. SFAS No. 133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GUARANTOR'S ACCOUNTING AND DISCLOSURE REQUIREMENTS FOR GUARANTEES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follows FASB Interpretation No. 45, "Guarantor's Accounting and Disclosure Requirements for Guarantees, Including Indirect Guarantees of Indebtedness of Others" ("FIN No. 45"). FIN No. 45 requires that, at the inception of certain types of guarantees, the guarantor must disclose and recognize a liability for the fair value of the obligation it assumes under the guarantee. See Note 15.</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492" w:right="1440" w:bottom="1440" w:gutter="0" w:footer="0" w:header="0"/>
        </w:sectPr>
      </w:pPr>
    </w:p>
    <w:bookmarkStart w:id="97" w:name="page98"/>
    <w:bookmarkEnd w:id="97"/>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RECLASSIFICATIONS</w:t>
      </w:r>
    </w:p>
    <w:p>
      <w:pPr>
        <w:spacing w:after="0" w:line="195"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Certain amounts in prior years' financial statements have been reclassified to conform to the current year's presentation.</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ADOPTION OF NEW ACCOUNTING STANDARDS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Effect of Contingently Convertible Instruments on Diluted Earnings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September 2004, the Emerging Issues Task Force ("EITF") reached a consensus on EITF Issue No. 04-8, "The Effect of Contingently Convertible Instruments on Diluted Earnings Per Share" ("EITF 04-8"). EITF 04-8 relates to contingently convertible debt instruments, which are generally convertible into common shares of the issuer after the common stock price has exceeded a predetermined threshold for a specified time period (market price trigger). According to the accounting treatment in effect prior to the first quarter of fiscal 2005, the potential dilutive effect of the conversion feature was excluded from diluted earnings per share until the market price contingency was met. Under EITF 04-8, all instruments that have embedded conversion features that are contingent on market conditions indexed to an issuer's share price are required to be included in diluted earnings per share computations, if dilutive, regardless of whether the market conditions have been met. The effective date of EITF 04-8 was for reporting periods ending after December 15, 2004. The consensus is required to be applied retroactively to instruments outstanding at the date of adoption. Diluted earnings per share of all prior periods presented for comparative purposes have been restated to conform to the consensus guidance. The Company adopted EITF 04-8 in the first quarter of fiscal 2005, which required the addition of 10,436 ordinary shares issuable upon conversion of the Company's 0.50% Convertible Senior Notes due 2024 (the "0.50% Notes") to the diluted earnings per share calculation. The adoption of EITF 04-8 reduced the Company's previously reported diluted earnings per share by $0.02 per share for fiscal 2004.</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RECENT ACCOUNTING PRONOUNCEMENTS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Stock-Based Compensation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December 2004, the Financial Accounting Standards Board (FASB) issued FASB Statement No. 123 (revised 2004), "Share-Based Payment," which is a revision of SFAS No. 123 (SFAS 123(R)). SFAS 123(R) supersedes APB No. 25, and amends FASB Statement No. 95, "Statement of Cash Flows." Generally, the approach in Statement 123(R) is similar to the approach described in Statement 123. However, SFAS 123(R) requires all share-based payments to employees, including grants of employee stock options, to be recognized in the income statement based on their fair values. Pro forma disclosure is no longer an alternative. In March 2005, the Security and Exchange Commission issued Staff Accounting Bulletin No. 107 ("SAB 107"), which provides supplemental implementation guidance on SFAS 123(R).</w:t>
      </w:r>
    </w:p>
    <w:p>
      <w:pPr>
        <w:spacing w:after="0" w:line="37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adopted SFAS 123(R) effective October 1, 2005 using the modified prospective method. The Company has selected the Black-Scholes option pricing model as the most appropriate fair value method for its awards and will recognize compensation costs using the graded vesting attribution method.</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permitted by SFAS No. 123, the Company currently accounts for share-based payments to employees using APB No. 25's intrinsic value method and, as such, generally recognizes no compensation cost for employee stock options. Accordingly, the adoption of the SFAS 123(R) fair value method will have a significant impact on the Company's consolidated results of operations, although it will have no impact on its overall consolidated financial position or consolidated cash flows. The Company expects the compensation charges under SFAS 123(R) to reduce diluted net income per share by approximately $0.16</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493" w:right="1440" w:bottom="1440" w:gutter="0" w:footer="0" w:header="0"/>
        </w:sectPr>
      </w:pPr>
    </w:p>
    <w:bookmarkStart w:id="98" w:name="page99"/>
    <w:bookmarkEnd w:id="98"/>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to $0.20 per share for fiscal 2006. However, the Company's assessment of the estimated compensation charges is affected by the Company's stock price as well as assumptions regarding a number of complex and subjective variables and the related tax impact. These variables include, but are not limited to, the volatility of the Company's stock price and employee stock option exercise behaviors. Had the Company adopted SFAS 123(R) in prior periods, the impact of that standard would have approximated the impact of SFAS No. 123 as described in the disclosure of pro forma net income and earnings per share in Note 2 above. SFAS 123(R) also requires the benefits of tax deductions in excess of recognized compensation cost to be reported as a financing cash flow, rather than as an operating cash flow as required under current literature. This requirement will reduce net operating cash flows and increase net financing cash flows in periods after adoption. While the Company cannot estimate what those amounts will be in the future (because they depend on, among other things, when employees exercise stock options), the amount of operating cash flows recognized in prior periods for such excess tax deductions were $3,147, $3,094, and $262 in fiscal 2005, 2004 and 2003, respectively.</w:t>
      </w:r>
    </w:p>
    <w:p>
      <w:pPr>
        <w:spacing w:after="0" w:line="186"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Accounting for Modifications to Conversion Options Embedded in Debt Securities and Related Issues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September 2005, the Emerging Issues Task Force ("EITF") reached a consensus on EITF Issue No. 05-7 "Accounting for Modifications to Conversion Options Embedded in Debt Securities and Related Issues" ("Issue 05-7"). Under Issue 05-7 the following consensus have been reached: 1. A change in fair value of a conversion option upon modification should be included in the analysis to determine whether a debt instrument has been extinguished in accordance with Issue 96-19. The incremental fair value resulting from the modification of the conversion option should be included as an upfront cash flow; 2. The incremental fair value of the modification of the conversion option should be recognized as a discount on the convertible debt (with an offsetting entry to additional paid-in capital) that would be accreted to interest expense; 3. The issuer should not recognize a new beneficial conversion feature (BCF) or reassess an existing BCF upon modification of the conversion option in a debt instrument. The consensus should be applied prospectively from December 15, 2005. The Company does not expect the adoption of Issue 05-7 to have a material impact on the Company's results of operations or financial condition.</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USE OF ESTIMATES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ACQUISITIONS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CERTEN</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In July 2003, the Company acquired from Bell Canada ("Bell") its 90% ownership interest in Certen Inc. ("Certen", which was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and Bell's ownership interest in Certen was 90%.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492" w:right="1440" w:bottom="1440" w:gutter="0" w:footer="0" w:header="0"/>
        </w:sectPr>
      </w:pPr>
    </w:p>
    <w:bookmarkStart w:id="99" w:name="page100"/>
    <w:bookmarkEnd w:id="99"/>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relationship with Bell. In addition, as a result of this acquisition, the Company continued to develop an integrated billing platform to replace legacy systems built on a product-by-product basis. Following the acquisition, Certen continues to provide Managed Services to Bell as it did prior to the acquisition. The Company has a major billing operations Managed Services agreement with Bell through December 2010.</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acquisition was accounted for using the purchase method of accounting, as required by SFAS No. 141. The fair market value of Certen's assets and liabilities has been included in the Company's consolidated balance sheet and the results of Certen's operations are included in the Company's consolidated statements of income, commencing on July 2, 2003. The Company obtained a valuation of the intangible assets acquired in the Certen transaction. The total purchase price was allocated to Certen's assets and liabilities, including identifiable intangible, based on their respective estimated fair values, on the date the transaction was consummated. Because the Company had a preexisting right to utilize the Amdocs billing software and customization prior to the acquisition, there was minimal incremental value to the Company in acquiring the software that was licensed to and customized for Certen. The value of the acquired customer arrangement was made by applying the income forecast method. The value assigned to the customer arrangement was $36,385 and is being amortized over seven and half years commencing on July 2, 2003 (the remaining life of the Managed Services agreement). The excess of the purchase price over the fair value of the net assets and identifiable intangible acquired, or goodwill, was $91,188, which is not tax deductible. During fiscal 2005, the Company revised the allocation of the purchase price and recalculated deferred tax assets related to the fair value of an acquired pension liability and to a change in tax rate estimation at realization. The revised purchase price allocation resulted in a decrease of $9,893 in goodwill.</w:t>
      </w:r>
    </w:p>
    <w:p>
      <w:pPr>
        <w:spacing w:after="0" w:line="186"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goodwill is accounted for under SFAS No. 142. In accordance with SFAS No. 142, goodwill from acquisitions after June 30, 2001 is no longer amortized, but is subject to periodic impairment tests. As a result, goodwill associated with the acquisition of Certen is not amortized. In addition, deferred taxes were recognized for the difference between the book and tax basis of certain assets and liabilities.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Prior to the Company's acquisition of Bell's ownership interest in Certen, the Company accounted for its investment in Certen under the cost method for its 10% ownership. In the fourth quarter of 2003, the Company recognized its 10% share in Certen's results prior to the acquisition. The Company's share in Certen's pre-acquisition results was a charge of $4,133, and is included in "restructuring charges, in-process research and development and other" for the year ended September 30, 2003.</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492" w:right="1440" w:bottom="1440" w:gutter="0" w:footer="0" w:header="0"/>
        </w:sectPr>
      </w:pPr>
    </w:p>
    <w:bookmarkStart w:id="100" w:name="page101"/>
    <w:bookmarkEnd w:id="100"/>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is the final allocation of the purchase price and deferred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752"/>
        </w:trPr>
        <w:tc>
          <w:tcPr>
            <w:tcW w:w="5960" w:type="dxa"/>
            <w:vAlign w:val="bottom"/>
          </w:tcPr>
          <w:p>
            <w:pPr>
              <w:spacing w:after="0"/>
              <w:rPr>
                <w:sz w:val="20"/>
                <w:szCs w:val="20"/>
                <w:color w:val="auto"/>
              </w:rPr>
            </w:pPr>
            <w:r>
              <w:rPr>
                <w:rFonts w:ascii="Courier New" w:cs="Courier New" w:eastAsia="Courier New" w:hAnsi="Courier New"/>
                <w:sz w:val="16"/>
                <w:szCs w:val="16"/>
                <w:color w:val="auto"/>
              </w:rPr>
              <w:t>Purchase price..............................................</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$ 65,887</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Transaction costs...........................................</w:t>
            </w:r>
          </w:p>
        </w:tc>
        <w:tc>
          <w:tcPr>
            <w:tcW w:w="2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2,925</w:t>
            </w:r>
          </w:p>
        </w:tc>
      </w:tr>
      <w:tr>
        <w:trPr>
          <w:trHeight w:val="188"/>
        </w:trPr>
        <w:tc>
          <w:tcPr>
            <w:tcW w:w="5960" w:type="dxa"/>
            <w:vAlign w:val="bottom"/>
          </w:tcPr>
          <w:p>
            <w:pPr>
              <w:spacing w:after="0"/>
              <w:rPr>
                <w:sz w:val="16"/>
                <w:szCs w:val="16"/>
                <w:color w:val="auto"/>
              </w:rPr>
            </w:pP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Total purchase price........................................</w:t>
            </w:r>
          </w:p>
        </w:tc>
        <w:tc>
          <w:tcPr>
            <w:tcW w:w="2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68,812</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Write-off of deferred revenue and allowance on Amdocs books,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net of tax................................................</w:t>
            </w:r>
          </w:p>
        </w:tc>
        <w:tc>
          <w:tcPr>
            <w:tcW w:w="2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(33,666)</w:t>
            </w:r>
          </w:p>
        </w:tc>
      </w:tr>
      <w:tr>
        <w:trPr>
          <w:trHeight w:val="188"/>
        </w:trPr>
        <w:tc>
          <w:tcPr>
            <w:tcW w:w="5960" w:type="dxa"/>
            <w:vAlign w:val="bottom"/>
          </w:tcPr>
          <w:p>
            <w:pPr>
              <w:spacing w:after="0"/>
              <w:rPr>
                <w:sz w:val="16"/>
                <w:szCs w:val="16"/>
                <w:color w:val="auto"/>
              </w:rPr>
            </w:pP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amount for purchase price allocation....................</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$ 35,146</w:t>
            </w:r>
          </w:p>
        </w:tc>
      </w:tr>
      <w:tr>
        <w:trPr>
          <w:trHeight w:val="188"/>
        </w:trPr>
        <w:tc>
          <w:tcPr>
            <w:tcW w:w="5960" w:type="dxa"/>
            <w:vAlign w:val="bottom"/>
          </w:tcPr>
          <w:p>
            <w:pPr>
              <w:spacing w:after="0"/>
              <w:rPr>
                <w:sz w:val="16"/>
                <w:szCs w:val="16"/>
                <w:color w:val="auto"/>
              </w:rPr>
            </w:pP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64"/>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Allocation of purchase price: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52"/>
        </w:trPr>
        <w:tc>
          <w:tcPr>
            <w:tcW w:w="5960" w:type="dxa"/>
            <w:vAlign w:val="bottom"/>
          </w:tcPr>
          <w:p>
            <w:pPr>
              <w:spacing w:after="0"/>
              <w:rPr>
                <w:sz w:val="20"/>
                <w:szCs w:val="20"/>
                <w:color w:val="auto"/>
              </w:rPr>
            </w:pPr>
            <w:r>
              <w:rPr>
                <w:rFonts w:ascii="Courier New" w:cs="Courier New" w:eastAsia="Courier New" w:hAnsi="Courier New"/>
                <w:sz w:val="16"/>
                <w:szCs w:val="16"/>
                <w:color w:val="auto"/>
              </w:rPr>
              <w:t>90% tangible assets acquired, net of capitalized Amdocs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system on Certen's books..................................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80,929</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90% liabilities assumed.....................................</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(241,460)</w:t>
            </w:r>
          </w:p>
        </w:tc>
      </w:tr>
      <w:tr>
        <w:trPr>
          <w:trHeight w:val="188"/>
        </w:trPr>
        <w:tc>
          <w:tcPr>
            <w:tcW w:w="5960" w:type="dxa"/>
            <w:vAlign w:val="bottom"/>
          </w:tcPr>
          <w:p>
            <w:pPr>
              <w:spacing w:after="0"/>
              <w:rPr>
                <w:sz w:val="16"/>
                <w:szCs w:val="16"/>
                <w:color w:val="auto"/>
              </w:rPr>
            </w:pP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liabilities.............................................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(160,531)</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Customer arrangement........................................</w:t>
            </w:r>
          </w:p>
        </w:tc>
        <w:tc>
          <w:tcPr>
            <w:tcW w:w="2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36,385</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Adjustment to fair value of pension and other</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post-employment benefit liabilities.......................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(12,605)</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EITF 95-3 and other liabilities.............................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(2,857)</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Deferred taxes resulting from the difference between the</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assigned value of certain assets and liabilities and their</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respective tax bases......................................</w:t>
            </w:r>
          </w:p>
        </w:tc>
        <w:tc>
          <w:tcPr>
            <w:tcW w:w="2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83,566</w:t>
            </w:r>
          </w:p>
        </w:tc>
      </w:tr>
      <w:tr>
        <w:trPr>
          <w:trHeight w:val="188"/>
        </w:trPr>
        <w:tc>
          <w:tcPr>
            <w:tcW w:w="5960" w:type="dxa"/>
            <w:vAlign w:val="bottom"/>
          </w:tcPr>
          <w:p>
            <w:pPr>
              <w:spacing w:after="0"/>
              <w:rPr>
                <w:sz w:val="16"/>
                <w:szCs w:val="16"/>
                <w:color w:val="auto"/>
              </w:rPr>
            </w:pP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fair value of tangible assets acquired..................</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(56,042)</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2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91,188</w:t>
            </w:r>
          </w:p>
        </w:tc>
      </w:tr>
      <w:tr>
        <w:trPr>
          <w:trHeight w:val="188"/>
        </w:trPr>
        <w:tc>
          <w:tcPr>
            <w:tcW w:w="5960" w:type="dxa"/>
            <w:vAlign w:val="bottom"/>
          </w:tcPr>
          <w:p>
            <w:pPr>
              <w:spacing w:after="0"/>
              <w:rPr>
                <w:sz w:val="16"/>
                <w:szCs w:val="16"/>
                <w:color w:val="auto"/>
              </w:rPr>
            </w:pP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35,146</w:t>
            </w:r>
          </w:p>
        </w:tc>
      </w:tr>
      <w:tr>
        <w:trPr>
          <w:trHeight w:val="188"/>
        </w:trPr>
        <w:tc>
          <w:tcPr>
            <w:tcW w:w="5960" w:type="dxa"/>
            <w:vAlign w:val="bottom"/>
          </w:tcPr>
          <w:p>
            <w:pPr>
              <w:spacing w:after="0"/>
              <w:rPr>
                <w:sz w:val="16"/>
                <w:szCs w:val="16"/>
                <w:color w:val="auto"/>
              </w:rPr>
            </w:pP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XACCT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 The excess of the purchase price over the fair value of the net assets acquired, or goodwill, was $13,455, which is not tax deductible.</w:t>
      </w:r>
    </w:p>
    <w:p>
      <w:pPr>
        <w:spacing w:after="0" w:line="186"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addition, the Company granted XACCT's key employees an aggregate of 35 options with no exercise price, which vest over eighteen months. In accordance with APB 25, the Company recorded deferred compensation, net of forfeitures, of $749, which is amortized over the vesting period in accordance with the accelerated expense attribution method.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492" w:right="1440" w:bottom="1440" w:gutter="0" w:footer="0" w:header="0"/>
        </w:sectPr>
      </w:pPr>
    </w:p>
    <w:bookmarkStart w:id="101" w:name="page102"/>
    <w:bookmarkEnd w:id="101"/>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is the final allocation of the purchase price and deferred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Courier New" w:cs="Courier New" w:eastAsia="Courier New" w:hAnsi="Courier New"/>
                <w:sz w:val="16"/>
                <w:szCs w:val="16"/>
                <w:color w:val="auto"/>
              </w:rPr>
              <w:t>tax assets:</w:t>
            </w:r>
          </w:p>
        </w:tc>
        <w:tc>
          <w:tcPr>
            <w:tcW w:w="780" w:type="dxa"/>
            <w:vAlign w:val="bottom"/>
          </w:tcPr>
          <w:p>
            <w:pPr>
              <w:spacing w:after="0"/>
              <w:rPr>
                <w:sz w:val="15"/>
                <w:szCs w:val="15"/>
                <w:color w:val="auto"/>
              </w:rPr>
            </w:pPr>
          </w:p>
        </w:tc>
      </w:tr>
      <w:tr>
        <w:trPr>
          <w:trHeight w:val="752"/>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assets acquired.........................................</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584</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Core technology.............................................</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9,209</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Customer arrangements.......................................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1,064</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4,863</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13,455</w:t>
            </w:r>
          </w:p>
        </w:tc>
      </w:tr>
      <w:tr>
        <w:trPr>
          <w:trHeight w:val="188"/>
        </w:trPr>
        <w:tc>
          <w:tcPr>
            <w:tcW w:w="59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$29,175</w:t>
            </w:r>
          </w:p>
        </w:tc>
      </w:tr>
      <w:tr>
        <w:trPr>
          <w:trHeight w:val="188"/>
        </w:trPr>
        <w:tc>
          <w:tcPr>
            <w:tcW w:w="59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Pro forma information on the Company's consolidated results of income for the years ended September 30, 2004 and 2003 to reflect the XACCT acquisition is not presented, as its results of operations during such years are not material to the Company's consolidated results of operations.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DST INNOVIS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July 1, 2005 the Company acquired from DST Systems, Inc., or DST, all of the common stock of DST's wholly owned subsidiaries, DST Innovis, Inc. and DST Interactive, Inc. The Company refers to these acquired subsidiaries together as DST Innovis, a leading provider of customer care and billing solutions to broadband media cable and satellite companies, which the Company refers to as the Broadband Industry. The Company believes that this acquisition has positioned the Company to offer a comprehensive set of solutions to companies in the Broadband Industry as they transition to ICM.</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purchase price for DST Innovis was approximately $237,461,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$3,150 of transaction costs. The acquisition was accounted for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combination using the purchase method of accounting, as required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141. The fair market value of DST Innovis's assets and liabilities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been included in the Company's consolidated balance sheet and the results of DST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Innovis's operations are included in the Company's consolidated statements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commencing on July 1, 2005. The Company obtained an independent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of the intangible assets acquired in the DST Innovis transaction.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purchase price was allocated to DST Innovis's assets and liabilities,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identifiable intangibles, based on their respective estimated fair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values, on the date the transaction was consummated. The value of acquired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 included both existing technology and in-process research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The valuation of these items was made by applying the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forecast method, which considered the present value of cash flows by product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lines. Of the $125,642 of acquired identifiable intangible assets, $2,760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assigned to in-process research and development and was written-off as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date of the acquisition, in accordance with FASB Interpretation No. 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"Applicability of FASB Statement No. 2 to Business Combinations Accounted for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Purchase Method." The fair value assigned to core technology was $63,180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amortized over 3 to 4.5 years commencing on July 1, 2005. The fair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assigned to customer arrangements was $59,702 and is amortized over 15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commencing on July 1, 2005. The excess of the purchase price over the fair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net assets and identifiable intangibles acquired, or goodwill,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$131,386, of which $102,095 is tax deductible. The goodwill is accounted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SFAS No. 142 and is accordingly subject to periodic impairment tests.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connection with the DST acquisition, the Company signed a long-term agreement with DST, pursuant to which DST will continue to support the printing and mailing of bills for the DST Innovis customer base. Under the terms of that agreement, DST will be a preferred vendor of billing, printing, and mailing for projects that combine those services with billing support, and DST is expected to be selected as the provider of these services for additional Amdocs customers in North America. The Company recorded a liability of $24,188 resulting from this agreement. This liability will be amortized over the life of the agreement.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19"/>
          </w:cols>
          <w:pgMar w:left="240" w:top="493" w:right="1440" w:bottom="1440" w:gutter="0" w:footer="0" w:header="0"/>
        </w:sectPr>
      </w:pPr>
    </w:p>
    <w:bookmarkStart w:id="102" w:name="page103"/>
    <w:bookmarkEnd w:id="102"/>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the Company commenced integration activities based on a plan to exit specific research and development activities and to terminate employees associated with these activities. In accordance with EITF 95-3, "Recognition of Liabilities in connection with a purchase Business Combination," the plan must be finalized within one year of the acquisition date and must identify all significant actions to be taken to complete the plan. The liability associated with this plan, which was recorded as part of the purchase accounting, consisted of $6,274 associated with employee separation costs and $7,776 associated with contractual and other obligations.</w:t>
      </w:r>
    </w:p>
    <w:p>
      <w:pPr>
        <w:spacing w:after="0" w:line="187"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The following is the preliminary allocation of the purchase price and deferred tax assets: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assets acquired.........................................</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7,388</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Core technology.............................................</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63,180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Customer arrangements.......................................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59,702</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In-process research and development.........................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2,760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EITF 95-3 and other liabilities.............................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(19,294)</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Printing and mailing obligation.............................</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(24,188)</w:t>
            </w:r>
          </w:p>
        </w:tc>
      </w:tr>
      <w:tr>
        <w:trPr>
          <w:trHeight w:val="188"/>
        </w:trPr>
        <w:tc>
          <w:tcPr>
            <w:tcW w:w="5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Deferred taxes resulting from the difference between the</w:t>
            </w:r>
          </w:p>
        </w:tc>
        <w:tc>
          <w:tcPr>
            <w:tcW w:w="98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assigned value of certain assets and liabilities and their</w:t>
            </w:r>
          </w:p>
        </w:tc>
        <w:tc>
          <w:tcPr>
            <w:tcW w:w="98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respective tax bases......................................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16,527</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Goodwill....................................................</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131,386</w:t>
            </w:r>
          </w:p>
        </w:tc>
      </w:tr>
      <w:tr>
        <w:trPr>
          <w:trHeight w:val="188"/>
        </w:trPr>
        <w:tc>
          <w:tcPr>
            <w:tcW w:w="59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$237,461</w:t>
            </w:r>
          </w:p>
        </w:tc>
      </w:tr>
      <w:tr>
        <w:trPr>
          <w:trHeight w:val="188"/>
        </w:trPr>
        <w:tc>
          <w:tcPr>
            <w:tcW w:w="59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LONGSHINE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August 3, 2005, the Company acquired Longshine Information Technology Company Ltd., or Longshine, a privately-held leading vendor of customer care and billing software in China. This acquisition enables the Company to offer its products and services to Chinese service providers and the Company believes it will allow the Company to expand its presence in this fast growing market. The purchase price for Longshine was approximately $34,100, which included $1,100 of transaction costs. The Company may also be obligated to pay up to approximately $16,000, in additional purchase price, over the next two years based on the achievement of specified performance targets. The fair market value of Longshine assets and liabilities has been included in the Company's consolidated balance sheet and the results of Longshine operations have been included in the Company's consolidated statement of income, commencing on August 3, 2005. The Company obtained an independent valuation of the intangible assets acquired in the Longshine transaction. The total purchase price was allocated to Longshine's assets and liabilities, including identifiable intangibles, based on their respective estimated fair values, on the date the transaction was consummated. The excess of the purchase price over the fair value of the net liabilities and identifiable intangibles acquired, or goodwill, was $41,272. The goodwill is accounted for under SFAS No. 142 and is subject to periodic impairment tests.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is the preliminary allocation of the purchase price:</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liabilities acquired....................................</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$(14,372)</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Core technology.............................................</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Customer arrangements.......................................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6,200</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41,272</w:t>
            </w:r>
          </w:p>
        </w:tc>
      </w:tr>
      <w:tr>
        <w:trPr>
          <w:trHeight w:val="188"/>
        </w:trPr>
        <w:tc>
          <w:tcPr>
            <w:tcW w:w="59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$ 34,100</w:t>
            </w:r>
          </w:p>
        </w:tc>
      </w:tr>
      <w:tr>
        <w:trPr>
          <w:trHeight w:val="188"/>
        </w:trPr>
        <w:tc>
          <w:tcPr>
            <w:tcW w:w="59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Pro forma information on the Company's consolidated statements of income for the years ended September 30, 2005 and 2004 to reflect the Longshine acquisition is not presented, as its results of operations during such years are not material to the Company's consolidated statements of income.</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19"/>
          </w:cols>
          <w:pgMar w:left="240" w:top="492" w:right="1440" w:bottom="1440" w:gutter="0" w:footer="0" w:header="0"/>
        </w:sectPr>
      </w:pPr>
    </w:p>
    <w:bookmarkStart w:id="103" w:name="page104"/>
    <w:bookmarkEnd w:id="103"/>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Set forth below is the unaudited pro forma revenue, operating income, net income and per share figures for the years ended September 30, 2005, 2004 and 2003 as if Certen had been acquired as of October 1, 2002 and as if DST Innovis had been acquired as of October 1, 2003 excluding the capitalization of research and development expense, write-off of purchased in-process research and development and other acquisition related costs: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74"/>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2005 2004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2003 ---</w:t>
            </w:r>
          </w:p>
        </w:tc>
      </w:tr>
      <w:tr>
        <w:trPr>
          <w:trHeight w:val="188"/>
        </w:trPr>
        <w:tc>
          <w:tcPr>
            <w:tcW w:w="39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 ---------- ----------</w:t>
            </w:r>
          </w:p>
        </w:tc>
      </w:tr>
      <w:tr>
        <w:trPr>
          <w:trHeight w:val="188"/>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Revenue..................................</w:t>
            </w:r>
          </w:p>
        </w:tc>
        <w:tc>
          <w:tcPr>
            <w:tcW w:w="840" w:type="dxa"/>
            <w:vAlign w:val="bottom"/>
          </w:tcPr>
          <w:p>
            <w:pPr>
              <w:spacing w:after="0"/>
              <w:rPr>
                <w:sz w:val="16"/>
                <w:szCs w:val="16"/>
                <w:color w:val="auto"/>
              </w:rPr>
            </w:pPr>
          </w:p>
        </w:tc>
      </w:tr>
      <w:tr>
        <w:trPr>
          <w:trHeight w:val="188"/>
        </w:trPr>
        <w:tc>
          <w:tcPr>
            <w:tcW w:w="1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$2,212,806</w:t>
            </w:r>
          </w:p>
        </w:tc>
        <w:tc>
          <w:tcPr>
            <w:tcW w:w="24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$2,013,612 $1,621,957</w:t>
            </w:r>
          </w:p>
        </w:tc>
      </w:tr>
      <w:tr>
        <w:trPr>
          <w:trHeight w:val="188"/>
        </w:trPr>
        <w:tc>
          <w:tcPr>
            <w:tcW w:w="1520" w:type="dxa"/>
            <w:vAlign w:val="bottom"/>
          </w:tcPr>
          <w:p>
            <w:pPr>
              <w:spacing w:after="0"/>
              <w:rPr>
                <w:sz w:val="16"/>
                <w:szCs w:val="16"/>
                <w:color w:val="auto"/>
              </w:rPr>
            </w:pPr>
          </w:p>
        </w:tc>
        <w:tc>
          <w:tcPr>
            <w:tcW w:w="1600" w:type="dxa"/>
            <w:vAlign w:val="bottom"/>
          </w:tcPr>
          <w:p>
            <w:pPr>
              <w:jc w:val="center"/>
              <w:ind w:right="559"/>
              <w:spacing w:after="0"/>
              <w:rPr>
                <w:sz w:val="20"/>
                <w:szCs w:val="20"/>
                <w:color w:val="auto"/>
              </w:rPr>
            </w:pPr>
            <w:r>
              <w:rPr>
                <w:rFonts w:ascii="Courier New" w:cs="Courier New" w:eastAsia="Courier New" w:hAnsi="Courier New"/>
                <w:sz w:val="16"/>
                <w:szCs w:val="16"/>
                <w:color w:val="auto"/>
              </w:rPr>
              <w:t>Operating</w:t>
            </w:r>
          </w:p>
        </w:tc>
        <w:tc>
          <w:tcPr>
            <w:tcW w:w="840" w:type="dxa"/>
            <w:vAlign w:val="bottom"/>
          </w:tcPr>
          <w:p>
            <w:pPr>
              <w:spacing w:after="0"/>
              <w:rPr>
                <w:sz w:val="16"/>
                <w:szCs w:val="16"/>
                <w:color w:val="auto"/>
              </w:rPr>
            </w:pPr>
          </w:p>
        </w:tc>
      </w:tr>
      <w:tr>
        <w:trPr>
          <w:trHeight w:val="188"/>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income.........................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332,525</w:t>
            </w:r>
          </w:p>
        </w:tc>
      </w:tr>
      <w:tr>
        <w:trPr>
          <w:trHeight w:val="188"/>
        </w:trPr>
        <w:tc>
          <w:tcPr>
            <w:tcW w:w="3120" w:type="dxa"/>
            <w:vAlign w:val="bottom"/>
            <w:gridSpan w:val="2"/>
          </w:tcPr>
          <w:p>
            <w:pPr>
              <w:jc w:val="center"/>
              <w:ind w:left="799"/>
              <w:spacing w:after="0"/>
              <w:rPr>
                <w:sz w:val="20"/>
                <w:szCs w:val="20"/>
                <w:color w:val="auto"/>
              </w:rPr>
            </w:pPr>
            <w:r>
              <w:rPr>
                <w:rFonts w:ascii="Courier New" w:cs="Courier New" w:eastAsia="Courier New" w:hAnsi="Courier New"/>
                <w:sz w:val="16"/>
                <w:szCs w:val="16"/>
                <w:color w:val="auto"/>
              </w:rPr>
              <w:t>292,137 188,468 Net</w:t>
            </w:r>
          </w:p>
        </w:tc>
        <w:tc>
          <w:tcPr>
            <w:tcW w:w="840" w:type="dxa"/>
            <w:vAlign w:val="bottom"/>
          </w:tcPr>
          <w:p>
            <w:pPr>
              <w:spacing w:after="0"/>
              <w:rPr>
                <w:sz w:val="16"/>
                <w:szCs w:val="16"/>
                <w:color w:val="auto"/>
              </w:rPr>
            </w:pPr>
          </w:p>
        </w:tc>
      </w:tr>
      <w:tr>
        <w:trPr>
          <w:trHeight w:val="188"/>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income...............................</w:t>
            </w:r>
          </w:p>
        </w:tc>
        <w:tc>
          <w:tcPr>
            <w:tcW w:w="840" w:type="dxa"/>
            <w:vAlign w:val="bottom"/>
          </w:tcPr>
          <w:p>
            <w:pPr>
              <w:spacing w:after="0"/>
              <w:rPr>
                <w:sz w:val="16"/>
                <w:szCs w:val="16"/>
                <w:color w:val="auto"/>
              </w:rPr>
            </w:pPr>
          </w:p>
        </w:tc>
      </w:tr>
    </w:tbl>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280,125 229,179 150,224 Basic earnings</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per share................. 1.39 1.10</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0.70 Diluted earnings per</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share............... 1.31 1.05 0.68</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RELATED PARTY TRANSACTIONS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financial information presented below includes transactions with SBC Communications Inc. and affiliates ("SBC") through December 31, 2002 and Certen, prior to the Company's acquisition of the remaining 90% of Certen in July 2003. As a result of the Certen acquisition, Certen is a wholly owned subsidiary of the Company, and ceased to be a related party as of July 2, 2003, according to SFAS No. 57, "Related Party Disclosures." In addition, during the quarter ended December 31, 2002, SBC ceased to be a principal shareholder of the Company, according to SFAS No. 57, and thus is no longer a related party.</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Company had licensed software and provided computer systems integration and related services to affiliates of SBC and to Certen. The following related party revenue is included in the consolidated statements of income:</w:t>
      </w:r>
    </w:p>
    <w:p>
      <w:pPr>
        <w:spacing w:after="0" w:line="18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YEAR ENDED SEPTEMBER 30, 2003 ------------- Revenue: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License...................................................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$ 3,827</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Service...................................................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84,122</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of September 30, 2003 the Company had interest income of $1,662 which represents interest and exchange rate differences, net of hedging, on the convertible debentures of Certen for the year ended September 30, 2003 only through the acquisition date, July 2, 2003. Absent hedging, this amount would be $9,344 for the year ended September 30, 2003.</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19"/>
          </w:cols>
          <w:pgMar w:left="240" w:top="492" w:right="1440" w:bottom="1440" w:gutter="0" w:footer="0" w:header="0"/>
        </w:sectPr>
      </w:pPr>
    </w:p>
    <w:bookmarkStart w:id="104" w:name="page105"/>
    <w:bookmarkEnd w:id="104"/>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 SHORT-TERM INTEREST-BEARING INVESTMENTS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Short-term interest-bearing investments consist of the following:</w:t>
      </w:r>
    </w:p>
    <w:p>
      <w:pPr>
        <w:spacing w:after="0" w:line="195"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AMORTIZED COST MARKET VALUE AS OF</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SEPTEMBER 30, AS OF SEPTEMBER 30,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52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w w:val="95"/>
              </w:rPr>
              <w:t>-------------------</w:t>
            </w:r>
          </w:p>
        </w:tc>
        <w:tc>
          <w:tcPr>
            <w:tcW w:w="180" w:type="dxa"/>
            <w:vAlign w:val="bottom"/>
          </w:tcPr>
          <w:p>
            <w:pPr>
              <w:spacing w:after="0"/>
              <w:rPr>
                <w:sz w:val="15"/>
                <w:szCs w:val="15"/>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2004</w:t>
            </w:r>
          </w:p>
        </w:tc>
      </w:tr>
      <w:tr>
        <w:trPr>
          <w:trHeight w:val="188"/>
        </w:trPr>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2005</w:t>
            </w:r>
          </w:p>
        </w:tc>
        <w:tc>
          <w:tcPr>
            <w:tcW w:w="27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0"/>
              </w:rPr>
              <w:t>2004 -------- -------- --------</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 Federal</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8"/>
        </w:trPr>
        <w:tc>
          <w:tcPr>
            <w:tcW w:w="2500" w:type="dxa"/>
            <w:vAlign w:val="bottom"/>
            <w:gridSpan w:val="4"/>
          </w:tcPr>
          <w:p>
            <w:pPr>
              <w:ind w:left="300"/>
              <w:spacing w:after="0"/>
              <w:rPr>
                <w:sz w:val="20"/>
                <w:szCs w:val="20"/>
                <w:color w:val="auto"/>
              </w:rPr>
            </w:pPr>
            <w:r>
              <w:rPr>
                <w:rFonts w:ascii="Courier New" w:cs="Courier New" w:eastAsia="Courier New" w:hAnsi="Courier New"/>
                <w:sz w:val="14"/>
                <w:szCs w:val="14"/>
                <w:color w:val="auto"/>
                <w:w w:val="74"/>
              </w:rPr>
              <w:t>agencies...........................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gridSpan w:val="8"/>
          </w:tcPr>
          <w:p>
            <w:pPr>
              <w:ind w:left="240"/>
              <w:spacing w:after="0"/>
              <w:rPr>
                <w:sz w:val="20"/>
                <w:szCs w:val="20"/>
                <w:color w:val="auto"/>
              </w:rPr>
            </w:pPr>
            <w:r>
              <w:rPr>
                <w:rFonts w:ascii="Courier New" w:cs="Courier New" w:eastAsia="Courier New" w:hAnsi="Courier New"/>
                <w:sz w:val="16"/>
                <w:szCs w:val="16"/>
                <w:color w:val="auto"/>
              </w:rPr>
              <w:t>87,116 $ 51,572 $ 86,591 $ 51,476 U.S.</w:t>
            </w:r>
          </w:p>
        </w:tc>
      </w:tr>
      <w:tr>
        <w:trPr>
          <w:trHeight w:val="188"/>
        </w:trPr>
        <w:tc>
          <w:tcPr>
            <w:tcW w:w="3020" w:type="dxa"/>
            <w:vAlign w:val="bottom"/>
            <w:gridSpan w:val="5"/>
          </w:tcPr>
          <w:p>
            <w:pPr>
              <w:ind w:left="240"/>
              <w:spacing w:after="0"/>
              <w:rPr>
                <w:sz w:val="20"/>
                <w:szCs w:val="20"/>
                <w:color w:val="auto"/>
              </w:rPr>
            </w:pPr>
            <w:r>
              <w:rPr>
                <w:rFonts w:ascii="Courier New" w:cs="Courier New" w:eastAsia="Courier New" w:hAnsi="Courier New"/>
                <w:sz w:val="16"/>
                <w:szCs w:val="16"/>
                <w:color w:val="auto"/>
                <w:w w:val="75"/>
              </w:rPr>
              <w:t>government treasuries.................</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8"/>
        </w:trPr>
        <w:tc>
          <w:tcPr>
            <w:tcW w:w="4160" w:type="dxa"/>
            <w:vAlign w:val="bottom"/>
            <w:gridSpan w:val="8"/>
          </w:tcPr>
          <w:p>
            <w:pPr>
              <w:jc w:val="center"/>
              <w:spacing w:after="0"/>
              <w:rPr>
                <w:sz w:val="20"/>
                <w:szCs w:val="20"/>
                <w:color w:val="auto"/>
              </w:rPr>
            </w:pPr>
            <w:r>
              <w:rPr>
                <w:rFonts w:ascii="Courier New" w:cs="Courier New" w:eastAsia="Courier New" w:hAnsi="Courier New"/>
                <w:sz w:val="16"/>
                <w:szCs w:val="16"/>
                <w:color w:val="auto"/>
              </w:rPr>
              <w:t>70,644 51,242 70,187 50,872 Corporate</w:t>
            </w:r>
          </w:p>
        </w:tc>
      </w:tr>
      <w:tr>
        <w:trPr>
          <w:trHeight w:val="188"/>
        </w:trPr>
        <w:tc>
          <w:tcPr>
            <w:tcW w:w="302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1"/>
              </w:rPr>
              <w:t>backed obligations...............</w:t>
            </w:r>
          </w:p>
        </w:tc>
        <w:tc>
          <w:tcPr>
            <w:tcW w:w="1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157,834</w:t>
            </w:r>
          </w:p>
        </w:tc>
      </w:tr>
      <w:tr>
        <w:trPr>
          <w:trHeight w:val="188"/>
        </w:trPr>
        <w:tc>
          <w:tcPr>
            <w:tcW w:w="480" w:type="dxa"/>
            <w:vAlign w:val="bottom"/>
          </w:tcPr>
          <w:p>
            <w:pPr>
              <w:spacing w:after="0"/>
              <w:rPr>
                <w:sz w:val="16"/>
                <w:szCs w:val="16"/>
                <w:color w:val="auto"/>
              </w:rPr>
            </w:pPr>
          </w:p>
        </w:tc>
        <w:tc>
          <w:tcPr>
            <w:tcW w:w="324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224,859 157,059 224,612 Corporate</w:t>
            </w:r>
          </w:p>
        </w:tc>
        <w:tc>
          <w:tcPr>
            <w:tcW w:w="440" w:type="dxa"/>
            <w:vAlign w:val="bottom"/>
          </w:tcPr>
          <w:p>
            <w:pPr>
              <w:spacing w:after="0"/>
              <w:rPr>
                <w:sz w:val="16"/>
                <w:szCs w:val="16"/>
                <w:color w:val="auto"/>
              </w:rPr>
            </w:pPr>
          </w:p>
        </w:tc>
      </w:tr>
      <w:tr>
        <w:trPr>
          <w:trHeight w:val="188"/>
        </w:trPr>
        <w:tc>
          <w:tcPr>
            <w:tcW w:w="126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8"/>
              </w:rPr>
              <w:t>bonds............................</w:t>
            </w: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50,401</w:t>
            </w:r>
          </w:p>
        </w:tc>
      </w:tr>
      <w:tr>
        <w:trPr>
          <w:trHeight w:val="188"/>
        </w:trPr>
        <w:tc>
          <w:tcPr>
            <w:tcW w:w="480" w:type="dxa"/>
            <w:vAlign w:val="bottom"/>
          </w:tcPr>
          <w:p>
            <w:pPr>
              <w:spacing w:after="0"/>
              <w:rPr>
                <w:sz w:val="16"/>
                <w:szCs w:val="16"/>
                <w:color w:val="auto"/>
              </w:rPr>
            </w:pPr>
          </w:p>
        </w:tc>
        <w:tc>
          <w:tcPr>
            <w:tcW w:w="324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130,103 50,218 130,096 Mortgages</w:t>
            </w:r>
          </w:p>
        </w:tc>
        <w:tc>
          <w:tcPr>
            <w:tcW w:w="440" w:type="dxa"/>
            <w:vAlign w:val="bottom"/>
          </w:tcPr>
          <w:p>
            <w:pPr>
              <w:spacing w:after="0"/>
              <w:rPr>
                <w:sz w:val="16"/>
                <w:szCs w:val="16"/>
                <w:color w:val="auto"/>
              </w:rPr>
            </w:pPr>
          </w:p>
        </w:tc>
      </w:tr>
      <w:tr>
        <w:trPr>
          <w:trHeight w:val="188"/>
        </w:trPr>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jc w:val="center"/>
              <w:ind w:right="179"/>
              <w:spacing w:after="0"/>
              <w:rPr>
                <w:sz w:val="20"/>
                <w:szCs w:val="20"/>
                <w:color w:val="auto"/>
              </w:rPr>
            </w:pPr>
            <w:r>
              <w:rPr>
                <w:rFonts w:ascii="Courier New" w:cs="Courier New" w:eastAsia="Courier New" w:hAnsi="Courier New"/>
                <w:sz w:val="16"/>
                <w:szCs w:val="16"/>
                <w:color w:val="auto"/>
              </w:rPr>
              <w:t>(including government and</w:t>
            </w:r>
          </w:p>
        </w:tc>
        <w:tc>
          <w:tcPr>
            <w:tcW w:w="440" w:type="dxa"/>
            <w:vAlign w:val="bottom"/>
          </w:tcPr>
          <w:p>
            <w:pPr>
              <w:spacing w:after="0"/>
              <w:rPr>
                <w:sz w:val="16"/>
                <w:szCs w:val="16"/>
                <w:color w:val="auto"/>
              </w:rPr>
            </w:pPr>
          </w:p>
        </w:tc>
      </w:tr>
      <w:tr>
        <w:trPr>
          <w:trHeight w:val="188"/>
        </w:trPr>
        <w:tc>
          <w:tcPr>
            <w:tcW w:w="2500" w:type="dxa"/>
            <w:vAlign w:val="bottom"/>
            <w:gridSpan w:val="4"/>
          </w:tcPr>
          <w:p>
            <w:pPr>
              <w:ind w:left="100"/>
              <w:spacing w:after="0"/>
              <w:rPr>
                <w:sz w:val="20"/>
                <w:szCs w:val="20"/>
                <w:color w:val="auto"/>
              </w:rPr>
            </w:pPr>
            <w:r>
              <w:rPr>
                <w:rFonts w:ascii="Courier New" w:cs="Courier New" w:eastAsia="Courier New" w:hAnsi="Courier New"/>
                <w:sz w:val="13"/>
                <w:szCs w:val="13"/>
                <w:color w:val="auto"/>
                <w:w w:val="74"/>
              </w:rPr>
              <w:t>corporate)...............................</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8"/>
        </w:trPr>
        <w:tc>
          <w:tcPr>
            <w:tcW w:w="4160" w:type="dxa"/>
            <w:vAlign w:val="bottom"/>
            <w:gridSpan w:val="8"/>
          </w:tcPr>
          <w:p>
            <w:pPr>
              <w:jc w:val="center"/>
              <w:spacing w:after="0"/>
              <w:rPr>
                <w:sz w:val="20"/>
                <w:szCs w:val="20"/>
                <w:color w:val="auto"/>
              </w:rPr>
            </w:pPr>
            <w:r>
              <w:rPr>
                <w:rFonts w:ascii="Courier New" w:cs="Courier New" w:eastAsia="Courier New" w:hAnsi="Courier New"/>
                <w:sz w:val="16"/>
                <w:szCs w:val="16"/>
                <w:color w:val="auto"/>
              </w:rPr>
              <w:t>47,852 67,272 47,622 67,117 Commercial</w:t>
            </w:r>
          </w:p>
        </w:tc>
      </w:tr>
      <w:tr>
        <w:trPr>
          <w:trHeight w:val="188"/>
        </w:trPr>
        <w:tc>
          <w:tcPr>
            <w:tcW w:w="2500" w:type="dxa"/>
            <w:vAlign w:val="bottom"/>
            <w:gridSpan w:val="4"/>
          </w:tcPr>
          <w:p>
            <w:pPr>
              <w:ind w:left="240"/>
              <w:spacing w:after="0"/>
              <w:rPr>
                <w:sz w:val="20"/>
                <w:szCs w:val="20"/>
                <w:color w:val="auto"/>
              </w:rPr>
            </w:pPr>
            <w:r>
              <w:rPr>
                <w:rFonts w:ascii="Courier New" w:cs="Courier New" w:eastAsia="Courier New" w:hAnsi="Courier New"/>
                <w:sz w:val="16"/>
                <w:szCs w:val="16"/>
                <w:color w:val="auto"/>
                <w:w w:val="72"/>
              </w:rPr>
              <w:t>paper/CD........................</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4,056</w:t>
            </w:r>
          </w:p>
        </w:tc>
      </w:tr>
      <w:tr>
        <w:trPr>
          <w:trHeight w:val="188"/>
        </w:trPr>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jc w:val="center"/>
              <w:ind w:right="179"/>
              <w:spacing w:after="0"/>
              <w:rPr>
                <w:sz w:val="20"/>
                <w:szCs w:val="20"/>
                <w:color w:val="auto"/>
              </w:rPr>
            </w:pPr>
            <w:r>
              <w:rPr>
                <w:rFonts w:ascii="Courier New" w:cs="Courier New" w:eastAsia="Courier New" w:hAnsi="Courier New"/>
                <w:sz w:val="16"/>
                <w:szCs w:val="16"/>
                <w:color w:val="auto"/>
              </w:rPr>
              <w:t>35,500 4,056 35,496 Private</w:t>
            </w:r>
          </w:p>
        </w:tc>
        <w:tc>
          <w:tcPr>
            <w:tcW w:w="440" w:type="dxa"/>
            <w:vAlign w:val="bottom"/>
          </w:tcPr>
          <w:p>
            <w:pPr>
              <w:spacing w:after="0"/>
              <w:rPr>
                <w:sz w:val="16"/>
                <w:szCs w:val="16"/>
                <w:color w:val="auto"/>
              </w:rPr>
            </w:pPr>
          </w:p>
        </w:tc>
      </w:tr>
      <w:tr>
        <w:trPr>
          <w:trHeight w:val="188"/>
        </w:trPr>
        <w:tc>
          <w:tcPr>
            <w:tcW w:w="250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72"/>
              </w:rPr>
              <w:t>placement..........................</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22,344</w:t>
            </w:r>
          </w:p>
        </w:tc>
      </w:tr>
      <w:tr>
        <w:trPr>
          <w:trHeight w:val="188"/>
        </w:trPr>
        <w:tc>
          <w:tcPr>
            <w:tcW w:w="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80,680</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1"/>
              </w:rPr>
              <w:t>22,278 80,678 -------- --------</w:t>
            </w:r>
          </w:p>
        </w:tc>
        <w:tc>
          <w:tcPr>
            <w:tcW w:w="5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7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74"/>
              </w:rPr>
              <w:t>--------</w:t>
            </w:r>
          </w:p>
        </w:tc>
        <w:tc>
          <w:tcPr>
            <w:tcW w:w="1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440,247</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641,228</w:t>
            </w:r>
          </w:p>
        </w:tc>
        <w:tc>
          <w:tcPr>
            <w:tcW w:w="9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438,011</w:t>
            </w:r>
          </w:p>
        </w:tc>
      </w:tr>
      <w:tr>
        <w:trPr>
          <w:trHeight w:val="188"/>
        </w:trPr>
        <w:tc>
          <w:tcPr>
            <w:tcW w:w="480" w:type="dxa"/>
            <w:vAlign w:val="bottom"/>
          </w:tcPr>
          <w:p>
            <w:pPr>
              <w:spacing w:after="0"/>
              <w:rPr>
                <w:sz w:val="16"/>
                <w:szCs w:val="16"/>
                <w:color w:val="auto"/>
              </w:rPr>
            </w:pPr>
          </w:p>
        </w:tc>
        <w:tc>
          <w:tcPr>
            <w:tcW w:w="324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640,347 Allowance for unrealized</w:t>
            </w:r>
          </w:p>
        </w:tc>
        <w:tc>
          <w:tcPr>
            <w:tcW w:w="440" w:type="dxa"/>
            <w:vAlign w:val="bottom"/>
          </w:tcPr>
          <w:p>
            <w:pPr>
              <w:spacing w:after="0"/>
              <w:rPr>
                <w:sz w:val="16"/>
                <w:szCs w:val="16"/>
                <w:color w:val="auto"/>
              </w:rPr>
            </w:pPr>
          </w:p>
        </w:tc>
      </w:tr>
      <w:tr>
        <w:trPr>
          <w:trHeight w:val="188"/>
        </w:trPr>
        <w:tc>
          <w:tcPr>
            <w:tcW w:w="740" w:type="dxa"/>
            <w:vAlign w:val="bottom"/>
            <w:gridSpan w:val="2"/>
          </w:tcPr>
          <w:p>
            <w:pPr>
              <w:ind w:left="40"/>
              <w:spacing w:after="0"/>
              <w:rPr>
                <w:sz w:val="20"/>
                <w:szCs w:val="20"/>
                <w:color w:val="auto"/>
              </w:rPr>
            </w:pPr>
            <w:r>
              <w:rPr>
                <w:rFonts w:ascii="Courier New" w:cs="Courier New" w:eastAsia="Courier New" w:hAnsi="Courier New"/>
                <w:sz w:val="8"/>
                <w:szCs w:val="8"/>
                <w:color w:val="auto"/>
                <w:w w:val="78"/>
              </w:rPr>
              <w:t>loss..............</w:t>
            </w:r>
          </w:p>
        </w:tc>
        <w:tc>
          <w:tcPr>
            <w:tcW w:w="520" w:type="dxa"/>
            <w:vAlign w:val="bottom"/>
          </w:tcPr>
          <w:p>
            <w:pPr>
              <w:spacing w:after="0"/>
              <w:rPr>
                <w:sz w:val="16"/>
                <w:szCs w:val="16"/>
                <w:color w:val="auto"/>
              </w:rPr>
            </w:pPr>
          </w:p>
        </w:tc>
        <w:tc>
          <w:tcPr>
            <w:tcW w:w="29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(2,236) (881) -- -- ---</w:t>
            </w:r>
          </w:p>
        </w:tc>
      </w:tr>
      <w:tr>
        <w:trPr>
          <w:trHeight w:val="188"/>
        </w:trPr>
        <w:tc>
          <w:tcPr>
            <w:tcW w:w="480" w:type="dxa"/>
            <w:vAlign w:val="bottom"/>
          </w:tcPr>
          <w:p>
            <w:pPr>
              <w:spacing w:after="0"/>
              <w:rPr>
                <w:sz w:val="16"/>
                <w:szCs w:val="16"/>
                <w:color w:val="auto"/>
              </w:rPr>
            </w:pPr>
          </w:p>
        </w:tc>
        <w:tc>
          <w:tcPr>
            <w:tcW w:w="324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 -------- -------- --------</w:t>
            </w:r>
          </w:p>
        </w:tc>
        <w:tc>
          <w:tcPr>
            <w:tcW w:w="440" w:type="dxa"/>
            <w:vAlign w:val="bottom"/>
          </w:tcPr>
          <w:p>
            <w:pPr>
              <w:spacing w:after="0"/>
              <w:rPr>
                <w:sz w:val="16"/>
                <w:szCs w:val="16"/>
                <w:color w:val="auto"/>
              </w:rPr>
            </w:pPr>
          </w:p>
        </w:tc>
      </w:tr>
      <w:tr>
        <w:trPr>
          <w:trHeight w:val="188"/>
        </w:trPr>
        <w:tc>
          <w:tcPr>
            <w:tcW w:w="1260" w:type="dxa"/>
            <w:vAlign w:val="bottom"/>
            <w:gridSpan w:val="3"/>
          </w:tcPr>
          <w:p>
            <w:pPr>
              <w:jc w:val="right"/>
              <w:spacing w:after="0"/>
              <w:rPr>
                <w:sz w:val="20"/>
                <w:szCs w:val="20"/>
                <w:color w:val="auto"/>
              </w:rPr>
            </w:pPr>
            <w:r>
              <w:rPr>
                <w:rFonts w:ascii="Courier New" w:cs="Courier New" w:eastAsia="Courier New" w:hAnsi="Courier New"/>
                <w:sz w:val="6"/>
                <w:szCs w:val="6"/>
                <w:color w:val="auto"/>
                <w:w w:val="80"/>
              </w:rPr>
              <w:t>Total......................................</w:t>
            </w: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8"/>
        </w:trPr>
        <w:tc>
          <w:tcPr>
            <w:tcW w:w="126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$438,011</w:t>
            </w:r>
          </w:p>
        </w:tc>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$640,347 $438,011</w:t>
            </w:r>
          </w:p>
        </w:tc>
        <w:tc>
          <w:tcPr>
            <w:tcW w:w="1140" w:type="dxa"/>
            <w:vAlign w:val="bottom"/>
            <w:gridSpan w:val="3"/>
          </w:tcPr>
          <w:p>
            <w:pPr>
              <w:jc w:val="right"/>
              <w:ind w:right="279"/>
              <w:spacing w:after="0"/>
              <w:rPr>
                <w:sz w:val="20"/>
                <w:szCs w:val="20"/>
                <w:color w:val="auto"/>
              </w:rPr>
            </w:pPr>
            <w:r>
              <w:rPr>
                <w:rFonts w:ascii="Courier New" w:cs="Courier New" w:eastAsia="Courier New" w:hAnsi="Courier New"/>
                <w:sz w:val="16"/>
                <w:szCs w:val="16"/>
                <w:color w:val="auto"/>
                <w:w w:val="98"/>
              </w:rPr>
              <w:t>$640,347</w:t>
            </w:r>
          </w:p>
        </w:tc>
      </w:tr>
    </w:tbl>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 ======== ========</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 of September 30, 2005, short-term interest-bearing investments had the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gridSpan w:val="2"/>
          </w:tcPr>
          <w:p>
            <w:pPr>
              <w:spacing w:after="0"/>
              <w:rPr>
                <w:sz w:val="20"/>
                <w:szCs w:val="20"/>
                <w:color w:val="auto"/>
              </w:rPr>
            </w:pPr>
            <w:r>
              <w:rPr>
                <w:rFonts w:ascii="Courier New" w:cs="Courier New" w:eastAsia="Courier New" w:hAnsi="Courier New"/>
                <w:sz w:val="16"/>
                <w:szCs w:val="16"/>
                <w:color w:val="auto"/>
              </w:rPr>
              <w:t>following maturity dates:</w:t>
            </w:r>
          </w:p>
        </w:tc>
        <w:tc>
          <w:tcPr>
            <w:tcW w:w="2060" w:type="dxa"/>
            <w:vAlign w:val="bottom"/>
          </w:tcPr>
          <w:p>
            <w:pPr>
              <w:spacing w:after="0"/>
              <w:rPr>
                <w:sz w:val="15"/>
                <w:szCs w:val="15"/>
                <w:color w:val="auto"/>
              </w:rPr>
            </w:pPr>
          </w:p>
        </w:tc>
      </w:tr>
      <w:tr>
        <w:trPr>
          <w:trHeight w:val="376"/>
        </w:trPr>
        <w:tc>
          <w:tcPr>
            <w:tcW w:w="980" w:type="dxa"/>
            <w:vAlign w:val="bottom"/>
          </w:tcPr>
          <w:p>
            <w:pPr>
              <w:spacing w:after="0"/>
              <w:rPr>
                <w:sz w:val="24"/>
                <w:szCs w:val="24"/>
                <w:color w:val="auto"/>
              </w:rPr>
            </w:pPr>
          </w:p>
        </w:tc>
        <w:tc>
          <w:tcPr>
            <w:tcW w:w="36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MARKET VALUE ------------</w:t>
            </w:r>
          </w:p>
        </w:tc>
      </w:tr>
      <w:tr>
        <w:trPr>
          <w:trHeight w:val="188"/>
        </w:trPr>
        <w:tc>
          <w:tcPr>
            <w:tcW w:w="2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2006........................................................</w:t>
            </w:r>
          </w:p>
        </w:tc>
        <w:tc>
          <w:tcPr>
            <w:tcW w:w="206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60" w:type="dxa"/>
            <w:vAlign w:val="bottom"/>
          </w:tcPr>
          <w:p>
            <w:pPr>
              <w:jc w:val="center"/>
              <w:ind w:right="1199"/>
              <w:spacing w:after="0"/>
              <w:rPr>
                <w:sz w:val="20"/>
                <w:szCs w:val="20"/>
                <w:color w:val="auto"/>
              </w:rPr>
            </w:pPr>
            <w:r>
              <w:rPr>
                <w:rFonts w:ascii="Courier New" w:cs="Courier New" w:eastAsia="Courier New" w:hAnsi="Courier New"/>
                <w:sz w:val="16"/>
                <w:szCs w:val="16"/>
                <w:color w:val="auto"/>
              </w:rPr>
              <w:t>$103,291</w:t>
            </w:r>
          </w:p>
        </w:tc>
      </w:tr>
      <w:tr>
        <w:trPr>
          <w:trHeight w:val="188"/>
        </w:trPr>
        <w:tc>
          <w:tcPr>
            <w:tcW w:w="2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2007........................................................</w:t>
            </w:r>
          </w:p>
        </w:tc>
        <w:tc>
          <w:tcPr>
            <w:tcW w:w="206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60" w:type="dxa"/>
            <w:vAlign w:val="bottom"/>
          </w:tcPr>
          <w:p>
            <w:pPr>
              <w:jc w:val="center"/>
              <w:ind w:right="1179"/>
              <w:spacing w:after="0"/>
              <w:rPr>
                <w:sz w:val="20"/>
                <w:szCs w:val="20"/>
                <w:color w:val="auto"/>
              </w:rPr>
            </w:pPr>
            <w:r>
              <w:rPr>
                <w:rFonts w:ascii="Courier New" w:cs="Courier New" w:eastAsia="Courier New" w:hAnsi="Courier New"/>
                <w:sz w:val="16"/>
                <w:szCs w:val="16"/>
                <w:color w:val="auto"/>
              </w:rPr>
              <w:t>116,481</w:t>
            </w:r>
          </w:p>
        </w:tc>
      </w:tr>
      <w:tr>
        <w:trPr>
          <w:trHeight w:val="188"/>
        </w:trPr>
        <w:tc>
          <w:tcPr>
            <w:tcW w:w="2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2008........................................................</w:t>
            </w:r>
          </w:p>
        </w:tc>
        <w:tc>
          <w:tcPr>
            <w:tcW w:w="206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60" w:type="dxa"/>
            <w:vAlign w:val="bottom"/>
          </w:tcPr>
          <w:p>
            <w:pPr>
              <w:jc w:val="center"/>
              <w:ind w:right="1199"/>
              <w:spacing w:after="0"/>
              <w:rPr>
                <w:sz w:val="20"/>
                <w:szCs w:val="20"/>
                <w:color w:val="auto"/>
              </w:rPr>
            </w:pPr>
            <w:r>
              <w:rPr>
                <w:rFonts w:ascii="Courier New" w:cs="Courier New" w:eastAsia="Courier New" w:hAnsi="Courier New"/>
                <w:sz w:val="16"/>
                <w:szCs w:val="16"/>
                <w:color w:val="auto"/>
              </w:rPr>
              <w:t>65,741</w:t>
            </w:r>
          </w:p>
        </w:tc>
      </w:tr>
      <w:tr>
        <w:trPr>
          <w:trHeight w:val="188"/>
        </w:trPr>
        <w:tc>
          <w:tcPr>
            <w:tcW w:w="2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2009........................................................</w:t>
            </w:r>
          </w:p>
        </w:tc>
        <w:tc>
          <w:tcPr>
            <w:tcW w:w="206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60" w:type="dxa"/>
            <w:vAlign w:val="bottom"/>
          </w:tcPr>
          <w:p>
            <w:pPr>
              <w:jc w:val="center"/>
              <w:ind w:right="1199"/>
              <w:spacing w:after="0"/>
              <w:rPr>
                <w:sz w:val="20"/>
                <w:szCs w:val="20"/>
                <w:color w:val="auto"/>
              </w:rPr>
            </w:pPr>
            <w:r>
              <w:rPr>
                <w:rFonts w:ascii="Courier New" w:cs="Courier New" w:eastAsia="Courier New" w:hAnsi="Courier New"/>
                <w:sz w:val="16"/>
                <w:szCs w:val="16"/>
                <w:color w:val="auto"/>
              </w:rPr>
              <w:t>42,572</w:t>
            </w: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Thereafter</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r>
      <w:tr>
        <w:trPr>
          <w:trHeight w:val="188"/>
        </w:trPr>
        <w:tc>
          <w:tcPr>
            <w:tcW w:w="9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109,926 --------</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$438,011 ========</w:t>
            </w:r>
          </w:p>
        </w:tc>
      </w:tr>
      <w:tr>
        <w:trPr>
          <w:trHeight w:val="564"/>
        </w:trPr>
        <w:tc>
          <w:tcPr>
            <w:tcW w:w="980" w:type="dxa"/>
            <w:vAlign w:val="bottom"/>
          </w:tcPr>
          <w:p>
            <w:pPr>
              <w:spacing w:after="0"/>
              <w:rPr>
                <w:sz w:val="20"/>
                <w:szCs w:val="20"/>
                <w:color w:val="auto"/>
              </w:rPr>
            </w:pPr>
            <w:r>
              <w:rPr>
                <w:rFonts w:ascii="Courier New" w:cs="Courier New" w:eastAsia="Courier New" w:hAnsi="Courier New"/>
                <w:sz w:val="16"/>
                <w:szCs w:val="16"/>
                <w:color w:val="auto"/>
              </w:rPr>
              <w:t>NOTE 6 --</w:t>
            </w:r>
          </w:p>
        </w:tc>
        <w:tc>
          <w:tcPr>
            <w:tcW w:w="3620" w:type="dxa"/>
            <w:vAlign w:val="bottom"/>
            <w:gridSpan w:val="2"/>
          </w:tcPr>
          <w:p>
            <w:pPr>
              <w:jc w:val="right"/>
              <w:ind w:right="1199"/>
              <w:spacing w:after="0"/>
              <w:rPr>
                <w:sz w:val="20"/>
                <w:szCs w:val="20"/>
                <w:color w:val="auto"/>
              </w:rPr>
            </w:pPr>
            <w:r>
              <w:rPr>
                <w:rFonts w:ascii="Courier New" w:cs="Courier New" w:eastAsia="Courier New" w:hAnsi="Courier New"/>
                <w:sz w:val="16"/>
                <w:szCs w:val="16"/>
                <w:color w:val="auto"/>
              </w:rPr>
              <w:t>ACCOUNTS RECEIVABLE, NET</w:t>
            </w:r>
          </w:p>
        </w:tc>
      </w:tr>
    </w:tbl>
    <w:p>
      <w:pPr>
        <w:spacing w:after="0" w:line="19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Accounts receivable, net consists of the following:</w:t>
      </w:r>
    </w:p>
    <w:p>
      <w:pPr>
        <w:spacing w:after="0" w:line="19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AS OF SEPTEMBER 30, ------------------- 2005</w:t>
      </w:r>
    </w:p>
    <w:p>
      <w:pPr>
        <w:spacing w:after="0" w:line="7"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2004 -------- -------- Accounts receivable --</w:t>
      </w:r>
    </w:p>
    <w:p>
      <w:pPr>
        <w:spacing w:after="0" w:line="7"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billed............................ $282,151</w:t>
      </w:r>
    </w:p>
    <w:p>
      <w:pPr>
        <w:spacing w:after="0" w:line="7"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$242,254 Accounts receivable --</w:t>
      </w:r>
    </w:p>
    <w:p>
      <w:pPr>
        <w:spacing w:after="0" w:line="7"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unbilled.......................... 28,994 24,696</w:t>
      </w:r>
    </w:p>
    <w:p>
      <w:pPr>
        <w:spacing w:after="0" w:line="7"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Less --</w:t>
      </w:r>
    </w:p>
    <w:p>
      <w:pPr>
        <w:spacing w:after="0" w:line="7"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allowances.......................................</w:t>
      </w:r>
    </w:p>
    <w:p>
      <w:pPr>
        <w:spacing w:after="0" w:line="7"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(6,908) (12,171) -------- -------- Accounts</w:t>
      </w:r>
    </w:p>
    <w:p>
      <w:pPr>
        <w:spacing w:after="0" w:line="7"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receivable, net................................</w:t>
      </w:r>
    </w:p>
    <w:p>
      <w:pPr>
        <w:spacing w:after="0" w:line="7"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$304,237 $254,779 ======== ========</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493" w:right="1440" w:bottom="1440" w:gutter="0" w:footer="0" w:header="0"/>
        </w:sectPr>
      </w:pPr>
    </w:p>
    <w:bookmarkStart w:id="105" w:name="page106"/>
    <w:bookmarkEnd w:id="105"/>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 EQUIPMENT, VEHICLES AND LEASEHOLD IMPROVEMENTS, NET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Components of equipment, vehicles and leasehold improvements, net are:</w:t>
      </w:r>
    </w:p>
    <w:p>
      <w:pPr>
        <w:spacing w:after="0" w:line="19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AS OF SEPTEMBER 30, ------------------- 2005</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2004 -------- -------- Computer</w:t>
      </w:r>
    </w:p>
    <w:p>
      <w:pPr>
        <w:spacing w:after="0" w:line="7"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6"/>
          <w:szCs w:val="16"/>
          <w:color w:val="auto"/>
        </w:rPr>
        <w:t>equipment......................................</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$406,705 $355,143 Vehicles furnished to</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employees......................... 24,493</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35,817 Leasehold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improvements..................................</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68,882 57,769 Furniture and</w:t>
      </w:r>
    </w:p>
    <w:p>
      <w:pPr>
        <w:spacing w:after="0" w:line="7"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1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fixtures..................................</w:t>
            </w:r>
          </w:p>
        </w:tc>
      </w:tr>
      <w:tr>
        <w:trPr>
          <w:trHeight w:val="188"/>
        </w:trPr>
        <w:tc>
          <w:tcPr>
            <w:tcW w:w="3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43,076 41,368 -------- --------</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543,156</w:t>
            </w:r>
          </w:p>
        </w:tc>
      </w:tr>
      <w:tr>
        <w:trPr>
          <w:trHeight w:val="188"/>
        </w:trPr>
        <w:tc>
          <w:tcPr>
            <w:tcW w:w="328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490,097 Less accumulated</w:t>
            </w:r>
          </w:p>
        </w:tc>
        <w:tc>
          <w:tcPr>
            <w:tcW w:w="820" w:type="dxa"/>
            <w:vAlign w:val="bottom"/>
          </w:tcPr>
          <w:p>
            <w:pPr>
              <w:spacing w:after="0"/>
              <w:rPr>
                <w:sz w:val="16"/>
                <w:szCs w:val="16"/>
                <w:color w:val="auto"/>
              </w:rPr>
            </w:pPr>
          </w:p>
        </w:tc>
      </w:tr>
      <w:tr>
        <w:trPr>
          <w:trHeight w:val="188"/>
        </w:trPr>
        <w:tc>
          <w:tcPr>
            <w:tcW w:w="41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depreciation...........................</w:t>
            </w:r>
          </w:p>
        </w:tc>
      </w:tr>
      <w:tr>
        <w:trPr>
          <w:trHeight w:val="188"/>
        </w:trPr>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rPr>
              <w:t>361,344 308,976 --------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$181,812</w:t>
            </w:r>
          </w:p>
        </w:tc>
      </w:tr>
    </w:tbl>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$181,121 ======== ========</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had entered into various arrangements for the leasing of vehicles for periods of five years, carrying interest rates of LIBOR plus a margin ranging 0.5% to 0.9%, and as of September 30, 2005, the Company repaid all its remaining leasing obligations. Vehicles under these capital lease arrangements had a cost of $18,058 and $30,021 with related accumulated depreciation of $14,460 and $22,542 as of September 30, 2005 and 2004, respectively. As a result of the Certen acquisition, the Company assumed various arrangements for the leasing of computer equipment (hardware and software) for remaining periods of two to three years, denominated in Canadian dollars with interest rates ranging between 5.16% to 11.7%. Computer equipment under capital lease arrangements had a cost of $48,203 with related accumulated depreciation of $22,787 and $14,013 as of September 30, 2005 and 2004, respectively.</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has accounted for these as capital leases and amortization costs have been included in depreciation expense. Total depreciation expense on equipment, vehicles and leasehold improvements for fiscal years 2005, 2004 and 2003, was $74,193, $73,619 and $69,560, respectively.</w:t>
      </w:r>
    </w:p>
    <w:p>
      <w:pPr>
        <w:spacing w:after="0" w:line="188"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As of September 30, 2005, the remaining capital lease payments, excluding interest, is $2,065, this amount is due during fiscal 2006.</w:t>
      </w:r>
    </w:p>
    <w:p>
      <w:pPr>
        <w:spacing w:after="0" w:line="183"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capital lease payments include a sale-leaseback transaction that was recognized on Certen's books as of the acquisition date. The proceeds for this transaction were received after the acquisition date, and are reflected in the consolidated cash flow statement for fiscal 2003 as "proceeds from sale-leaseback transaction."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493" w:right="1440" w:bottom="1440" w:gutter="0" w:footer="0" w:header="0"/>
        </w:sectPr>
      </w:pPr>
    </w:p>
    <w:bookmarkStart w:id="106" w:name="page107"/>
    <w:bookmarkEnd w:id="106"/>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GOODWILL AND INTANGIBLE ASSETS, NET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table presents details of the Company's total goodwill:</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Courier New" w:cs="Courier New" w:eastAsia="Courier New" w:hAnsi="Courier New"/>
                <w:sz w:val="16"/>
                <w:szCs w:val="16"/>
                <w:color w:val="auto"/>
              </w:rPr>
              <w:t>As of September 30, 2003....................................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$797,134</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Decrease in Certen goodwill as a result of a purchase price</w:t>
            </w:r>
          </w:p>
        </w:tc>
        <w:tc>
          <w:tcPr>
            <w:tcW w:w="98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allocation adjustment (see Note 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(3,715)</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Goodwill resulted from XACCT acquisition (see Note 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13,455</w:t>
            </w:r>
          </w:p>
        </w:tc>
      </w:tr>
      <w:tr>
        <w:trPr>
          <w:trHeight w:val="188"/>
        </w:trPr>
        <w:tc>
          <w:tcPr>
            <w:tcW w:w="59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As of September 30, 2004....................................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806,874</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Decrease in Certen goodwill as a result of a purchase price</w:t>
            </w:r>
          </w:p>
        </w:tc>
        <w:tc>
          <w:tcPr>
            <w:tcW w:w="98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allocation adjustment (see Note 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(9,893)</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Goodwill resulted from DST Innovis acquisition (see Note</w:t>
            </w:r>
          </w:p>
        </w:tc>
        <w:tc>
          <w:tcPr>
            <w:tcW w:w="98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131,386</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Goodwill resulted from Longshine acquisition (see Note 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41,272</w:t>
            </w:r>
          </w:p>
        </w:tc>
      </w:tr>
      <w:tr>
        <w:trPr>
          <w:trHeight w:val="188"/>
        </w:trPr>
        <w:tc>
          <w:tcPr>
            <w:tcW w:w="59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As of September 30, 2005....................................</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$969,639</w:t>
            </w:r>
          </w:p>
        </w:tc>
      </w:tr>
      <w:tr>
        <w:trPr>
          <w:trHeight w:val="188"/>
        </w:trPr>
        <w:tc>
          <w:tcPr>
            <w:tcW w:w="59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The following table presents details of amortization expense of purchased intangible assets as reported in the consolidated statements of operations:</w:t>
      </w:r>
    </w:p>
    <w:p>
      <w:pPr>
        <w:spacing w:after="0" w:line="18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----- 2005 2004 2003 -------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2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Cost of</w:t>
            </w:r>
          </w:p>
        </w:tc>
      </w:tr>
      <w:tr>
        <w:trPr>
          <w:trHeight w:val="188"/>
        </w:trPr>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license</w:t>
            </w:r>
          </w:p>
        </w:tc>
        <w:tc>
          <w:tcPr>
            <w:tcW w:w="540" w:type="dxa"/>
            <w:vAlign w:val="bottom"/>
          </w:tcPr>
          <w:p>
            <w:pPr>
              <w:jc w:val="right"/>
              <w:spacing w:after="0"/>
              <w:rPr>
                <w:sz w:val="20"/>
                <w:szCs w:val="20"/>
                <w:color w:val="auto"/>
              </w:rPr>
            </w:pPr>
            <w:r>
              <w:rPr>
                <w:rFonts w:ascii="Courier New" w:cs="Courier New" w:eastAsia="Courier New" w:hAnsi="Courier New"/>
                <w:sz w:val="3"/>
                <w:szCs w:val="3"/>
                <w:color w:val="auto"/>
                <w:w w:val="87"/>
              </w:rPr>
              <w:t>.................................</w:t>
            </w:r>
          </w:p>
        </w:tc>
        <w:tc>
          <w:tcPr>
            <w:tcW w:w="3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r>
      <w:tr>
        <w:trPr>
          <w:trHeight w:val="188"/>
        </w:trPr>
        <w:tc>
          <w:tcPr>
            <w:tcW w:w="740" w:type="dxa"/>
            <w:vAlign w:val="bottom"/>
          </w:tcPr>
          <w:p>
            <w:pPr>
              <w:spacing w:after="0"/>
              <w:rPr>
                <w:sz w:val="16"/>
                <w:szCs w:val="16"/>
                <w:color w:val="auto"/>
              </w:rPr>
            </w:pPr>
          </w:p>
        </w:tc>
        <w:tc>
          <w:tcPr>
            <w:tcW w:w="780" w:type="dxa"/>
            <w:vAlign w:val="bottom"/>
            <w:gridSpan w:val="2"/>
          </w:tcPr>
          <w:p>
            <w:pPr>
              <w:jc w:val="right"/>
              <w:ind w:right="41"/>
              <w:spacing w:after="0"/>
              <w:rPr>
                <w:sz w:val="20"/>
                <w:szCs w:val="20"/>
                <w:color w:val="auto"/>
              </w:rPr>
            </w:pPr>
            <w:r>
              <w:rPr>
                <w:rFonts w:ascii="Courier New" w:cs="Courier New" w:eastAsia="Courier New" w:hAnsi="Courier New"/>
                <w:sz w:val="16"/>
                <w:szCs w:val="16"/>
                <w:color w:val="auto"/>
              </w:rPr>
              <w:t>2,620</w:t>
            </w:r>
          </w:p>
        </w:tc>
        <w:tc>
          <w:tcPr>
            <w:tcW w:w="31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$ 3,878 $ 4,075 Cost of</w:t>
            </w:r>
          </w:p>
        </w:tc>
      </w:tr>
      <w:tr>
        <w:trPr>
          <w:trHeight w:val="188"/>
        </w:trPr>
        <w:tc>
          <w:tcPr>
            <w:tcW w:w="152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8"/>
              </w:rPr>
              <w:t>service.................................</w:t>
            </w:r>
          </w:p>
        </w:tc>
        <w:tc>
          <w:tcPr>
            <w:tcW w:w="3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0" w:type="dxa"/>
            <w:vAlign w:val="bottom"/>
          </w:tcPr>
          <w:p>
            <w:pPr>
              <w:jc w:val="right"/>
              <w:ind w:right="36"/>
              <w:spacing w:after="0"/>
              <w:rPr>
                <w:sz w:val="20"/>
                <w:szCs w:val="20"/>
                <w:color w:val="auto"/>
              </w:rPr>
            </w:pPr>
            <w:r>
              <w:rPr>
                <w:rFonts w:ascii="Courier New" w:cs="Courier New" w:eastAsia="Courier New" w:hAnsi="Courier New"/>
                <w:sz w:val="16"/>
                <w:szCs w:val="16"/>
                <w:color w:val="auto"/>
              </w:rPr>
              <w:t>2,785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83"/>
              </w:rPr>
              <w:t>--</w:t>
            </w:r>
          </w:p>
        </w:tc>
        <w:tc>
          <w:tcPr>
            <w:tcW w:w="36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Amortization of purchased intangible</w:t>
            </w:r>
          </w:p>
        </w:tc>
      </w:tr>
      <w:tr>
        <w:trPr>
          <w:trHeight w:val="188"/>
        </w:trPr>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assets.....</w:t>
            </w:r>
          </w:p>
        </w:tc>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15,356 17,909 19,940 ------- ------</w:t>
            </w:r>
          </w:p>
        </w:tc>
      </w:tr>
      <w:tr>
        <w:trPr>
          <w:trHeight w:val="188"/>
        </w:trPr>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120" w:type="dxa"/>
            <w:vAlign w:val="bottom"/>
          </w:tcPr>
          <w:p>
            <w:pPr>
              <w:jc w:val="right"/>
              <w:ind w:right="1779"/>
              <w:spacing w:after="0"/>
              <w:rPr>
                <w:sz w:val="20"/>
                <w:szCs w:val="20"/>
                <w:color w:val="auto"/>
              </w:rPr>
            </w:pPr>
            <w:r>
              <w:rPr>
                <w:rFonts w:ascii="Courier New" w:cs="Courier New" w:eastAsia="Courier New" w:hAnsi="Courier New"/>
                <w:sz w:val="16"/>
                <w:szCs w:val="16"/>
                <w:color w:val="auto"/>
              </w:rPr>
              <w:t>- -------</w:t>
            </w:r>
          </w:p>
        </w:tc>
      </w:tr>
      <w:tr>
        <w:trPr>
          <w:trHeight w:val="188"/>
        </w:trPr>
        <w:tc>
          <w:tcPr>
            <w:tcW w:w="9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Total...........................................</w:t>
            </w:r>
          </w:p>
        </w:tc>
        <w:tc>
          <w:tcPr>
            <w:tcW w:w="54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188"/>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$17,976</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$24,572</w:t>
            </w:r>
          </w:p>
        </w:tc>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rPr>
              <w:t>$24,015 ======= ======= =======</w:t>
            </w:r>
          </w:p>
        </w:tc>
      </w:tr>
    </w:tbl>
    <w:p>
      <w:pPr>
        <w:spacing w:after="0" w:line="380"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performs an annual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used a discounted cash flow methodology. There was no impairment of goodwill upon adoption of SFAS No. 142 and there was no impairment at the annual impairment test dates.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492" w:right="1440" w:bottom="1440" w:gutter="0" w:footer="0" w:header="0"/>
        </w:sectPr>
      </w:pPr>
    </w:p>
    <w:bookmarkStart w:id="107" w:name="page108"/>
    <w:bookmarkEnd w:id="107"/>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The following table presents details of the Company's total purchased intangible assets:</w:t>
      </w:r>
    </w:p>
    <w:p>
      <w:pPr>
        <w:spacing w:after="0" w:line="183"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ESTIMATED USEFUL LIFE ACCUMULATED (IN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YEARS) GROSS AMORTIZATION NET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 SEPTEMBER</w:t>
      </w:r>
    </w:p>
    <w:p>
      <w:pPr>
        <w:spacing w:after="0" w:line="7"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30, 2005 Core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technology........................... 2-</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4.5 $117,925 $ (53,699) $ 64,226 Customer</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arrangements..................... 2-15</w:t>
      </w:r>
    </w:p>
    <w:p>
      <w:pPr>
        <w:spacing w:after="0" w:line="7"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140,009 (49,637) 90,372 Intellectual</w:t>
      </w:r>
    </w:p>
    <w:p>
      <w:pPr>
        <w:spacing w:after="0" w:line="7"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property rights and purchased computer</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software....................... 3-10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51,996 (46,975) 5,021 -------- ---------</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$309,930 $(150,311) $159,619 ========</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SEPTEMBER 30, 2004</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Core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technology........................... 2-3</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$ 53,744 $ (46,326) $ 7,418 Customer</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arrangements..................... 2-7.5</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74,107 (41,655) 32,452 Intellectual</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property rights and purchased computer</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software....................... 3-10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51,996 (44,354) 7,642 -------- ---------</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$179,847 $(132,335) $ 47,512 ========</w:t>
      </w:r>
    </w:p>
    <w:p>
      <w:pPr>
        <w:spacing w:after="0" w:line="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The estimated future amortization expense of purchased intangible assets as of September 30, 2005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Courier New" w:cs="Courier New" w:eastAsia="Courier New" w:hAnsi="Courier New"/>
                <w:sz w:val="16"/>
                <w:szCs w:val="16"/>
                <w:color w:val="auto"/>
              </w:rPr>
              <w:t>AMOUNT</w:t>
            </w: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 FISCAL YEAR:</w:t>
            </w:r>
          </w:p>
        </w:tc>
      </w:tr>
      <w:tr>
        <w:trPr>
          <w:trHeight w:val="188"/>
        </w:trPr>
        <w:tc>
          <w:tcPr>
            <w:tcW w:w="1460" w:type="dxa"/>
            <w:vAlign w:val="bottom"/>
            <w:gridSpan w:val="2"/>
          </w:tcPr>
          <w:p>
            <w:pPr>
              <w:spacing w:after="0"/>
              <w:rPr>
                <w:sz w:val="20"/>
                <w:szCs w:val="20"/>
                <w:color w:val="auto"/>
              </w:rPr>
            </w:pPr>
            <w:r>
              <w:rPr>
                <w:rFonts w:ascii="Courier New" w:cs="Courier New" w:eastAsia="Courier New" w:hAnsi="Courier New"/>
                <w:sz w:val="7"/>
                <w:szCs w:val="7"/>
                <w:color w:val="auto"/>
                <w:w w:val="79"/>
              </w:rPr>
              <w:t>2006.......................................</w:t>
            </w:r>
          </w:p>
        </w:tc>
        <w:tc>
          <w:tcPr>
            <w:tcW w:w="196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$32,564</w:t>
            </w:r>
          </w:p>
        </w:tc>
      </w:tr>
      <w:tr>
        <w:trPr>
          <w:trHeight w:val="188"/>
        </w:trPr>
        <w:tc>
          <w:tcPr>
            <w:tcW w:w="1460" w:type="dxa"/>
            <w:vAlign w:val="bottom"/>
            <w:gridSpan w:val="2"/>
          </w:tcPr>
          <w:p>
            <w:pPr>
              <w:spacing w:after="0"/>
              <w:rPr>
                <w:sz w:val="20"/>
                <w:szCs w:val="20"/>
                <w:color w:val="auto"/>
              </w:rPr>
            </w:pPr>
            <w:r>
              <w:rPr>
                <w:rFonts w:ascii="Courier New" w:cs="Courier New" w:eastAsia="Courier New" w:hAnsi="Courier New"/>
                <w:sz w:val="7"/>
                <w:szCs w:val="7"/>
                <w:color w:val="auto"/>
                <w:w w:val="79"/>
              </w:rPr>
              <w:t>2007.......................................</w:t>
            </w:r>
          </w:p>
        </w:tc>
        <w:tc>
          <w:tcPr>
            <w:tcW w:w="196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30,457</w:t>
            </w:r>
          </w:p>
        </w:tc>
      </w:tr>
      <w:tr>
        <w:trPr>
          <w:trHeight w:val="188"/>
        </w:trPr>
        <w:tc>
          <w:tcPr>
            <w:tcW w:w="1460" w:type="dxa"/>
            <w:vAlign w:val="bottom"/>
            <w:gridSpan w:val="2"/>
          </w:tcPr>
          <w:p>
            <w:pPr>
              <w:spacing w:after="0"/>
              <w:rPr>
                <w:sz w:val="20"/>
                <w:szCs w:val="20"/>
                <w:color w:val="auto"/>
              </w:rPr>
            </w:pPr>
            <w:r>
              <w:rPr>
                <w:rFonts w:ascii="Courier New" w:cs="Courier New" w:eastAsia="Courier New" w:hAnsi="Courier New"/>
                <w:sz w:val="7"/>
                <w:szCs w:val="7"/>
                <w:color w:val="auto"/>
                <w:w w:val="79"/>
              </w:rPr>
              <w:t>2008.......................................</w:t>
            </w:r>
          </w:p>
        </w:tc>
        <w:tc>
          <w:tcPr>
            <w:tcW w:w="196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24,507</w:t>
            </w:r>
          </w:p>
        </w:tc>
      </w:tr>
      <w:tr>
        <w:trPr>
          <w:trHeight w:val="188"/>
        </w:trPr>
        <w:tc>
          <w:tcPr>
            <w:tcW w:w="1460" w:type="dxa"/>
            <w:vAlign w:val="bottom"/>
            <w:gridSpan w:val="2"/>
          </w:tcPr>
          <w:p>
            <w:pPr>
              <w:spacing w:after="0"/>
              <w:rPr>
                <w:sz w:val="20"/>
                <w:szCs w:val="20"/>
                <w:color w:val="auto"/>
              </w:rPr>
            </w:pPr>
            <w:r>
              <w:rPr>
                <w:rFonts w:ascii="Courier New" w:cs="Courier New" w:eastAsia="Courier New" w:hAnsi="Courier New"/>
                <w:sz w:val="7"/>
                <w:szCs w:val="7"/>
                <w:color w:val="auto"/>
                <w:w w:val="79"/>
              </w:rPr>
              <w:t>2009.......................................</w:t>
            </w:r>
          </w:p>
        </w:tc>
        <w:tc>
          <w:tcPr>
            <w:tcW w:w="196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17,589</w:t>
            </w:r>
          </w:p>
        </w:tc>
      </w:tr>
      <w:tr>
        <w:trPr>
          <w:trHeight w:val="188"/>
        </w:trPr>
        <w:tc>
          <w:tcPr>
            <w:tcW w:w="1460" w:type="dxa"/>
            <w:vAlign w:val="bottom"/>
            <w:gridSpan w:val="2"/>
          </w:tcPr>
          <w:p>
            <w:pPr>
              <w:spacing w:after="0"/>
              <w:rPr>
                <w:sz w:val="20"/>
                <w:szCs w:val="20"/>
                <w:color w:val="auto"/>
              </w:rPr>
            </w:pPr>
            <w:r>
              <w:rPr>
                <w:rFonts w:ascii="Courier New" w:cs="Courier New" w:eastAsia="Courier New" w:hAnsi="Courier New"/>
                <w:sz w:val="7"/>
                <w:szCs w:val="7"/>
                <w:color w:val="auto"/>
                <w:w w:val="79"/>
              </w:rPr>
              <w:t>2010.......................................</w:t>
            </w:r>
          </w:p>
        </w:tc>
        <w:tc>
          <w:tcPr>
            <w:tcW w:w="196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11,486</w:t>
            </w:r>
          </w:p>
        </w:tc>
      </w:tr>
      <w:tr>
        <w:trPr>
          <w:trHeight w:val="188"/>
        </w:trPr>
        <w:tc>
          <w:tcPr>
            <w:tcW w:w="3420" w:type="dxa"/>
            <w:vAlign w:val="bottom"/>
            <w:gridSpan w:val="3"/>
          </w:tcPr>
          <w:p>
            <w:pPr>
              <w:spacing w:after="0"/>
              <w:rPr>
                <w:sz w:val="20"/>
                <w:szCs w:val="20"/>
                <w:color w:val="auto"/>
              </w:rPr>
            </w:pPr>
            <w:r>
              <w:rPr>
                <w:rFonts w:ascii="Courier New" w:cs="Courier New" w:eastAsia="Courier New" w:hAnsi="Courier New"/>
                <w:sz w:val="16"/>
                <w:szCs w:val="16"/>
                <w:color w:val="auto"/>
                <w:w w:val="82"/>
              </w:rPr>
              <w:t>Thereafter.................................</w:t>
            </w:r>
          </w:p>
        </w:tc>
      </w:tr>
      <w:tr>
        <w:trPr>
          <w:trHeight w:val="188"/>
        </w:trPr>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43,016</w:t>
            </w:r>
          </w:p>
        </w:tc>
      </w:tr>
      <w:tr>
        <w:trPr>
          <w:trHeight w:val="564"/>
        </w:trPr>
        <w:tc>
          <w:tcPr>
            <w:tcW w:w="780" w:type="dxa"/>
            <w:vAlign w:val="bottom"/>
          </w:tcPr>
          <w:p>
            <w:pPr>
              <w:spacing w:after="0"/>
              <w:rPr>
                <w:sz w:val="20"/>
                <w:szCs w:val="20"/>
                <w:color w:val="auto"/>
              </w:rPr>
            </w:pPr>
            <w:r>
              <w:rPr>
                <w:rFonts w:ascii="Courier New" w:cs="Courier New" w:eastAsia="Courier New" w:hAnsi="Courier New"/>
                <w:sz w:val="16"/>
                <w:szCs w:val="16"/>
                <w:color w:val="auto"/>
                <w:w w:val="87"/>
              </w:rPr>
              <w:t>NOTE 9 --</w:t>
            </w:r>
          </w:p>
        </w:tc>
        <w:tc>
          <w:tcPr>
            <w:tcW w:w="26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OTHER NONCURRENT ASSETS</w:t>
            </w:r>
          </w:p>
        </w:tc>
      </w:tr>
    </w:tbl>
    <w:p>
      <w:pPr>
        <w:spacing w:after="0" w:line="19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noncurrent assets consist of the following:</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 OF SEPTEMBER 30, ------------------- 2005 2004 --------</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 Funded employee benefit</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costs(1)............................ $ 59,086 $ 54,591</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Managed services</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costs(2)................................... 54,314 49,582</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Prepaid maintenance and</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other............................... 10,900 8,863</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Convertible notes issuance cost,</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net........................ 5,795 7,406</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13,344 6,355 -------- -------- $143,439 $126,797 ========</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See Note 16.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See Note 2.</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19"/>
          </w:cols>
          <w:pgMar w:left="240" w:top="492" w:right="1440" w:bottom="939" w:gutter="0" w:footer="0" w:header="0"/>
        </w:sectPr>
      </w:pPr>
    </w:p>
    <w:bookmarkStart w:id="108" w:name="page109"/>
    <w:bookmarkEnd w:id="108"/>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 INCOME TAXES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provision for income taxes consists of the following:</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2005 2004</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2003</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9"/>
              </w:rPr>
              <w:t>------- -------</w:t>
            </w:r>
          </w:p>
        </w:tc>
      </w:tr>
      <w:tr>
        <w:trPr>
          <w:trHeight w:val="188"/>
        </w:trPr>
        <w:tc>
          <w:tcPr>
            <w:tcW w:w="1800" w:type="dxa"/>
            <w:vAlign w:val="bottom"/>
            <w:gridSpan w:val="2"/>
          </w:tcPr>
          <w:p>
            <w:pPr>
              <w:spacing w:after="0"/>
              <w:rPr>
                <w:sz w:val="20"/>
                <w:szCs w:val="20"/>
                <w:color w:val="auto"/>
              </w:rPr>
            </w:pPr>
            <w:r>
              <w:rPr>
                <w:rFonts w:ascii="Courier New" w:cs="Courier New" w:eastAsia="Courier New" w:hAnsi="Courier New"/>
                <w:sz w:val="7"/>
                <w:szCs w:val="7"/>
                <w:color w:val="auto"/>
                <w:w w:val="75"/>
              </w:rPr>
              <w:t>Current.................................................</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rPr>
              <w:t>$64,038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$72,588</w:t>
            </w:r>
          </w:p>
        </w:tc>
        <w:tc>
          <w:tcPr>
            <w:tcW w:w="21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$52,293</w:t>
            </w:r>
          </w:p>
        </w:tc>
      </w:tr>
      <w:tr>
        <w:trPr>
          <w:trHeight w:val="188"/>
        </w:trPr>
        <w:tc>
          <w:tcPr>
            <w:tcW w:w="1800" w:type="dxa"/>
            <w:vAlign w:val="bottom"/>
            <w:gridSpan w:val="2"/>
          </w:tcPr>
          <w:p>
            <w:pPr>
              <w:spacing w:after="0"/>
              <w:rPr>
                <w:sz w:val="20"/>
                <w:szCs w:val="20"/>
                <w:color w:val="auto"/>
              </w:rPr>
            </w:pPr>
            <w:r>
              <w:rPr>
                <w:rFonts w:ascii="Courier New" w:cs="Courier New" w:eastAsia="Courier New" w:hAnsi="Courier New"/>
                <w:sz w:val="7"/>
                <w:szCs w:val="7"/>
                <w:color w:val="auto"/>
                <w:w w:val="75"/>
              </w:rPr>
              <w:t>Deferred................................................</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88"/>
        </w:trPr>
        <w:tc>
          <w:tcPr>
            <w:tcW w:w="1600" w:type="dxa"/>
            <w:vAlign w:val="bottom"/>
          </w:tcPr>
          <w:p>
            <w:pPr>
              <w:jc w:val="right"/>
              <w:ind w:right="17"/>
              <w:spacing w:after="0"/>
              <w:rPr>
                <w:sz w:val="20"/>
                <w:szCs w:val="20"/>
                <w:color w:val="auto"/>
              </w:rPr>
            </w:pPr>
            <w:r>
              <w:rPr>
                <w:rFonts w:ascii="Courier New" w:cs="Courier New" w:eastAsia="Courier New" w:hAnsi="Courier New"/>
                <w:sz w:val="16"/>
                <w:szCs w:val="16"/>
                <w:color w:val="auto"/>
              </w:rPr>
              <w:t>8,121 (6,345)</w:t>
            </w:r>
          </w:p>
        </w:tc>
        <w:tc>
          <w:tcPr>
            <w:tcW w:w="1520" w:type="dxa"/>
            <w:vAlign w:val="bottom"/>
            <w:gridSpan w:val="3"/>
          </w:tcPr>
          <w:p>
            <w:pPr>
              <w:spacing w:after="0"/>
              <w:rPr>
                <w:sz w:val="20"/>
                <w:szCs w:val="20"/>
                <w:color w:val="auto"/>
              </w:rPr>
            </w:pPr>
            <w:r>
              <w:rPr>
                <w:rFonts w:ascii="Courier New" w:cs="Courier New" w:eastAsia="Courier New" w:hAnsi="Courier New"/>
                <w:sz w:val="16"/>
                <w:szCs w:val="16"/>
                <w:color w:val="auto"/>
                <w:w w:val="74"/>
              </w:rPr>
              <w:t>4,001 ------- -------</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 $72,159</w:t>
            </w:r>
          </w:p>
        </w:tc>
      </w:tr>
      <w:tr>
        <w:trPr>
          <w:trHeight w:val="188"/>
        </w:trPr>
        <w:tc>
          <w:tcPr>
            <w:tcW w:w="1600" w:type="dxa"/>
            <w:vAlign w:val="bottom"/>
          </w:tcPr>
          <w:p>
            <w:pPr>
              <w:jc w:val="right"/>
              <w:ind w:right="17"/>
              <w:spacing w:after="0"/>
              <w:rPr>
                <w:sz w:val="20"/>
                <w:szCs w:val="20"/>
                <w:color w:val="auto"/>
              </w:rPr>
            </w:pPr>
            <w:r>
              <w:rPr>
                <w:rFonts w:ascii="Courier New" w:cs="Courier New" w:eastAsia="Courier New" w:hAnsi="Courier New"/>
                <w:sz w:val="16"/>
                <w:szCs w:val="16"/>
                <w:color w:val="auto"/>
              </w:rPr>
              <w:t>$66,243</w:t>
            </w:r>
          </w:p>
        </w:tc>
        <w:tc>
          <w:tcPr>
            <w:tcW w:w="3620" w:type="dxa"/>
            <w:vAlign w:val="bottom"/>
            <w:gridSpan w:val="4"/>
          </w:tcPr>
          <w:p>
            <w:pPr>
              <w:spacing w:after="0"/>
              <w:rPr>
                <w:sz w:val="20"/>
                <w:szCs w:val="20"/>
                <w:color w:val="auto"/>
              </w:rPr>
            </w:pPr>
            <w:r>
              <w:rPr>
                <w:rFonts w:ascii="Courier New" w:cs="Courier New" w:eastAsia="Courier New" w:hAnsi="Courier New"/>
                <w:sz w:val="16"/>
                <w:szCs w:val="16"/>
                <w:color w:val="auto"/>
              </w:rPr>
              <w:t>$56,294 ======= ======= =======</w:t>
            </w:r>
          </w:p>
        </w:tc>
      </w:tr>
    </w:tbl>
    <w:p>
      <w:pPr>
        <w:spacing w:after="0" w:line="380"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Deferred income taxes are comprised of the following components:</w:t>
      </w:r>
    </w:p>
    <w:p>
      <w:pPr>
        <w:spacing w:after="0" w:line="19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 OF SEPTEMBER 30, ------------------- 2005 2004 ---</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 Deferred tax assets: Deferred</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revenue...................................... $</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38,041 $ 36,869 Accrued employee</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costs................................ 42,343 29,473</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Equipment, vehicles and leasehold improvements,</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net... 45,752 49,436 Intangible assets, computer</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software and intellectual</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property...........................................</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14,257 13,738 Net operating loss carry</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forwards..................... 35,924 27,945</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43,324 24,826 Valuation</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allowances.................................. (14,302)</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(11,424) -------- -------- Total deferred tax</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assets............................. 205,339 170,863 -</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 Deferred tax liabilities:</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Anticipated withholdings on subsidiaries'</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earnings.... (43,909) (38,973) Equipment, vehicles</w:t>
      </w:r>
    </w:p>
    <w:p>
      <w:pPr>
        <w:spacing w:after="0" w:line="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and leasehold improvements, net... (7,262) (9,832)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property...........................................</w:t>
            </w:r>
          </w:p>
        </w:tc>
        <w:tc>
          <w:tcPr>
            <w:tcW w:w="280" w:type="dxa"/>
            <w:vAlign w:val="bottom"/>
          </w:tcPr>
          <w:p>
            <w:pPr>
              <w:spacing w:after="0"/>
              <w:rPr>
                <w:sz w:val="15"/>
                <w:szCs w:val="15"/>
                <w:color w:val="auto"/>
              </w:rPr>
            </w:pPr>
          </w:p>
        </w:tc>
      </w:tr>
      <w:tr>
        <w:trPr>
          <w:trHeight w:val="188"/>
        </w:trPr>
        <w:tc>
          <w:tcPr>
            <w:tcW w:w="494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(32,683) (29,157) Managed services</w:t>
            </w:r>
          </w:p>
        </w:tc>
        <w:tc>
          <w:tcPr>
            <w:tcW w:w="280" w:type="dxa"/>
            <w:vAlign w:val="bottom"/>
          </w:tcPr>
          <w:p>
            <w:pPr>
              <w:spacing w:after="0"/>
              <w:rPr>
                <w:sz w:val="16"/>
                <w:szCs w:val="16"/>
                <w:color w:val="auto"/>
              </w:rPr>
            </w:pPr>
          </w:p>
        </w:tc>
      </w:tr>
      <w:tr>
        <w:trPr>
          <w:trHeight w:val="188"/>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w w:val="73"/>
              </w:rPr>
              <w:t>costs................................</w:t>
            </w:r>
          </w:p>
        </w:tc>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(10,110)</w:t>
            </w:r>
          </w:p>
        </w:tc>
        <w:tc>
          <w:tcPr>
            <w:tcW w:w="280" w:type="dxa"/>
            <w:vAlign w:val="bottom"/>
          </w:tcPr>
          <w:p>
            <w:pPr>
              <w:spacing w:after="0"/>
              <w:rPr>
                <w:sz w:val="16"/>
                <w:szCs w:val="16"/>
                <w:color w:val="auto"/>
              </w:rPr>
            </w:pPr>
          </w:p>
        </w:tc>
      </w:tr>
      <w:tr>
        <w:trPr>
          <w:trHeight w:val="188"/>
        </w:trPr>
        <w:tc>
          <w:tcPr>
            <w:tcW w:w="2300" w:type="dxa"/>
            <w:vAlign w:val="bottom"/>
          </w:tcPr>
          <w:p>
            <w:pPr>
              <w:spacing w:after="0"/>
              <w:rPr>
                <w:sz w:val="16"/>
                <w:szCs w:val="16"/>
                <w:color w:val="auto"/>
              </w:rPr>
            </w:pPr>
          </w:p>
        </w:tc>
        <w:tc>
          <w:tcPr>
            <w:tcW w:w="2640" w:type="dxa"/>
            <w:vAlign w:val="bottom"/>
          </w:tcPr>
          <w:p>
            <w:pPr>
              <w:jc w:val="right"/>
              <w:ind w:right="1879"/>
              <w:spacing w:after="0"/>
              <w:rPr>
                <w:sz w:val="20"/>
                <w:szCs w:val="20"/>
                <w:color w:val="auto"/>
              </w:rPr>
            </w:pPr>
            <w:r>
              <w:rPr>
                <w:rFonts w:ascii="Courier New" w:cs="Courier New" w:eastAsia="Courier New" w:hAnsi="Courier New"/>
                <w:sz w:val="16"/>
                <w:szCs w:val="16"/>
                <w:color w:val="auto"/>
                <w:w w:val="98"/>
              </w:rPr>
              <w:t>(1,299)</w:t>
            </w:r>
          </w:p>
        </w:tc>
        <w:tc>
          <w:tcPr>
            <w:tcW w:w="280" w:type="dxa"/>
            <w:vAlign w:val="bottom"/>
          </w:tcPr>
          <w:p>
            <w:pPr>
              <w:spacing w:after="0"/>
              <w:rPr>
                <w:sz w:val="16"/>
                <w:szCs w:val="16"/>
                <w:color w:val="auto"/>
              </w:rPr>
            </w:pPr>
          </w:p>
        </w:tc>
      </w:tr>
      <w:tr>
        <w:trPr>
          <w:trHeight w:val="188"/>
        </w:trPr>
        <w:tc>
          <w:tcPr>
            <w:tcW w:w="4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Other.................................................</w:t>
            </w:r>
          </w:p>
        </w:tc>
        <w:tc>
          <w:tcPr>
            <w:tcW w:w="280" w:type="dxa"/>
            <w:vAlign w:val="bottom"/>
          </w:tcPr>
          <w:p>
            <w:pPr>
              <w:spacing w:after="0"/>
              <w:rPr>
                <w:sz w:val="16"/>
                <w:szCs w:val="16"/>
                <w:color w:val="auto"/>
              </w:rPr>
            </w:pPr>
          </w:p>
        </w:tc>
      </w:tr>
      <w:tr>
        <w:trPr>
          <w:trHeight w:val="188"/>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w w:val="98"/>
              </w:rPr>
              <w:t>(5,514) (6,835) --------</w:t>
            </w:r>
          </w:p>
        </w:tc>
        <w:tc>
          <w:tcPr>
            <w:tcW w:w="2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Total deferred tax</w:t>
            </w:r>
          </w:p>
        </w:tc>
      </w:tr>
      <w:tr>
        <w:trPr>
          <w:trHeight w:val="188"/>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72"/>
              </w:rPr>
              <w:t>liabilities........................</w:t>
            </w:r>
          </w:p>
        </w:tc>
        <w:tc>
          <w:tcPr>
            <w:tcW w:w="2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(99,478) (86,096)</w:t>
            </w:r>
          </w:p>
        </w:tc>
      </w:tr>
      <w:tr>
        <w:trPr>
          <w:trHeight w:val="188"/>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26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Net deferred tax</w:t>
            </w:r>
          </w:p>
        </w:tc>
        <w:tc>
          <w:tcPr>
            <w:tcW w:w="280" w:type="dxa"/>
            <w:vAlign w:val="bottom"/>
          </w:tcPr>
          <w:p>
            <w:pPr>
              <w:spacing w:after="0"/>
              <w:rPr>
                <w:sz w:val="16"/>
                <w:szCs w:val="16"/>
                <w:color w:val="auto"/>
              </w:rPr>
            </w:pPr>
          </w:p>
        </w:tc>
      </w:tr>
      <w:tr>
        <w:trPr>
          <w:trHeight w:val="188"/>
        </w:trPr>
        <w:tc>
          <w:tcPr>
            <w:tcW w:w="2300" w:type="dxa"/>
            <w:vAlign w:val="bottom"/>
          </w:tcPr>
          <w:p>
            <w:pPr>
              <w:jc w:val="right"/>
              <w:spacing w:after="0"/>
              <w:rPr>
                <w:sz w:val="20"/>
                <w:szCs w:val="20"/>
                <w:color w:val="auto"/>
              </w:rPr>
            </w:pPr>
            <w:r>
              <w:rPr>
                <w:rFonts w:ascii="Courier New" w:cs="Courier New" w:eastAsia="Courier New" w:hAnsi="Courier New"/>
                <w:sz w:val="13"/>
                <w:szCs w:val="13"/>
                <w:color w:val="auto"/>
                <w:w w:val="74"/>
              </w:rPr>
              <w:t>assets.................................</w:t>
            </w:r>
          </w:p>
        </w:tc>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$105,861</w:t>
            </w:r>
          </w:p>
        </w:tc>
        <w:tc>
          <w:tcPr>
            <w:tcW w:w="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gridSpan w:val="2"/>
          </w:tcPr>
          <w:p>
            <w:pPr>
              <w:jc w:val="right"/>
              <w:ind w:right="1039"/>
              <w:spacing w:after="0"/>
              <w:rPr>
                <w:sz w:val="20"/>
                <w:szCs w:val="20"/>
                <w:color w:val="auto"/>
              </w:rPr>
            </w:pPr>
            <w:r>
              <w:rPr>
                <w:rFonts w:ascii="Courier New" w:cs="Courier New" w:eastAsia="Courier New" w:hAnsi="Courier New"/>
                <w:sz w:val="16"/>
                <w:szCs w:val="16"/>
                <w:color w:val="auto"/>
              </w:rPr>
              <w:t>84,767 ======== ========</w:t>
            </w:r>
          </w:p>
        </w:tc>
        <w:tc>
          <w:tcPr>
            <w:tcW w:w="280" w:type="dxa"/>
            <w:vAlign w:val="bottom"/>
          </w:tcPr>
          <w:p>
            <w:pPr>
              <w:spacing w:after="0"/>
              <w:rPr>
                <w:sz w:val="16"/>
                <w:szCs w:val="16"/>
                <w:color w:val="auto"/>
              </w:rPr>
            </w:pPr>
          </w:p>
        </w:tc>
      </w:tr>
      <w:tr>
        <w:trPr>
          <w:trHeight w:val="564"/>
        </w:trPr>
        <w:tc>
          <w:tcPr>
            <w:tcW w:w="2300" w:type="dxa"/>
            <w:vAlign w:val="bottom"/>
          </w:tcPr>
          <w:p>
            <w:pPr>
              <w:spacing w:after="0"/>
              <w:rPr>
                <w:sz w:val="24"/>
                <w:szCs w:val="24"/>
                <w:color w:val="auto"/>
              </w:rPr>
            </w:pPr>
          </w:p>
        </w:tc>
        <w:tc>
          <w:tcPr>
            <w:tcW w:w="26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F-27</w:t>
            </w:r>
          </w:p>
        </w:tc>
        <w:tc>
          <w:tcPr>
            <w:tcW w:w="280" w:type="dxa"/>
            <w:vAlign w:val="bottom"/>
          </w:tcPr>
          <w:p>
            <w:pPr>
              <w:spacing w:after="0"/>
              <w:rPr>
                <w:sz w:val="24"/>
                <w:szCs w:val="24"/>
                <w:color w:val="auto"/>
              </w:rPr>
            </w:pPr>
          </w:p>
        </w:tc>
      </w:tr>
    </w:tbl>
    <w:p>
      <w:pPr>
        <w:sectPr>
          <w:pgSz w:w="11900" w:h="16838" w:orient="portrait"/>
          <w:cols w:equalWidth="0" w:num="1">
            <w:col w:w="10219"/>
          </w:cols>
          <w:pgMar w:left="240" w:top="492" w:right="1440" w:bottom="1440" w:gutter="0" w:footer="0" w:header="0"/>
        </w:sectPr>
      </w:pPr>
    </w:p>
    <w:bookmarkStart w:id="109" w:name="page110"/>
    <w:bookmarkEnd w:id="109"/>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The effective income tax rate varied from the statutory Guernsey tax rate as follows: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YEAR ENDED SEPTEMBER 30, ------------------ 2005</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2004 2003 ---- ---- ---- Statutory Guernsey tax</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rate............................... 20% 20% 20%</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Guernsey tax-exempt</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status................................ (20) (20)</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(20) Foreign</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taxes.............................................</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19 20 30 Valuation</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allowance.......................................</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1 2 (5) --- --- --- 20% 22% 25% === === ===</w:t>
      </w:r>
    </w:p>
    <w:p>
      <w:pPr>
        <w:spacing w:after="0" w:line="383"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As a Guernsey company with tax-exempt status, the Company's overall effective tax rate is attributable solely to foreign taxes.</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During fiscal 2005, the Company recognized deferred tax assets of $2,878 derived from operating loss carry forwards related to one of its subsidiaries. The expiration of these losses carry forwards is unlimited. Given the uncertainty of the realization of these assets through future taxable earnings, an additional valuation allowance of $2,878 was recorded as of September 30, 2005.</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During fiscal 2004, the Company recognized deferred tax assets of $11,424 derived from net capital and operating loss carry forwards related to certain of its subsidiaries. The expiration of these losses carry forwards is unlimited. Given the uncertainty of the realization of these assets through future taxable earnings, a valuation allowance of $11,424 was recorded as of September 30, 2004.</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of September 30, 2003, the Company estimated that operating losses related to its Canadian subsidiary would be realized through future taxable earnings. As a result, related valuation allowance of $13,282 was released through the income tax provision. The decrease in the Company's effective tax rate following the release of the valuation allowance was reflected in the Company's results of operations. As of September 30, 2005 and 2004, there was no valuation allowance balance related to the Canadian subsidiary. The valuation allowance related to the Company's Canadian subsidiary was changed during fiscal 2003 due to changes in timing differences prior to the Company's conclusion that the operating losses related to this subsidiary would be realized through future taxable earnings.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FINANCING ARRANGEMENTS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SHORT-TERM</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Company's financing transactions are described below:</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As of September 30, 2005, the Company had available short-term general revolving lines of credit totaling $31,000. As of September 30, 2005, the outstanding balance under these credit lines was $977. The cost of maintaining these revolving lines of credit was insignificant.</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of September 30, 2005, the Company had outstanding letters of credit and bank guarantees of $12,316. These were mostly supported by a combination of the credit facilities and restricted cash balances that the Company maintains with various banks.</w:t>
      </w:r>
    </w:p>
    <w:p>
      <w:pPr>
        <w:spacing w:after="0" w:line="188" w:lineRule="exact"/>
        <w:rPr>
          <w:sz w:val="20"/>
          <w:szCs w:val="20"/>
          <w:color w:val="auto"/>
        </w:rPr>
      </w:pPr>
    </w:p>
    <w:p>
      <w:pPr>
        <w:ind w:right="2799" w:firstLine="489"/>
        <w:spacing w:after="0" w:line="252" w:lineRule="auto"/>
        <w:rPr>
          <w:sz w:val="20"/>
          <w:szCs w:val="20"/>
          <w:color w:val="auto"/>
        </w:rPr>
      </w:pPr>
      <w:r>
        <w:rPr>
          <w:rFonts w:ascii="Courier New" w:cs="Courier New" w:eastAsia="Courier New" w:hAnsi="Courier New"/>
          <w:sz w:val="16"/>
          <w:szCs w:val="16"/>
          <w:color w:val="auto"/>
        </w:rPr>
        <w:t>In addition as of September 30, 2005, the Company had outstanding short term loan of $5,399, which is secured by certain pledges and guaranties.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493" w:right="1440" w:bottom="1440" w:gutter="0" w:footer="0" w:header="0"/>
        </w:sectPr>
      </w:pPr>
    </w:p>
    <w:bookmarkStart w:id="110" w:name="page111"/>
    <w:bookmarkEnd w:id="110"/>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CONVERTIBLE NOTES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May 2001 the Company issued $500,000 aggregate principal amount of 2% Convertible Notes due June 1, 2008 (the "2% Notes"). The Company is obligated to pay interest on the 2% Notes semi-annually on June 1 and December 1 of each year. The 2% Notes are senior unsecured obligations of the Company and rank equal in right of payment with all of existing and future senior unsecured indebtedness of the Company. The 2% Notes are convertible, at the option of the holders at any time before the maturity date, into Ordinary Shares of the Company at a conversion rate of 10.8587 shares per one thousand dollars principal amount, representing a conversion price of approximately $92.09 per share. The 2% Notes are subject to redemption at any time on or after June 1, 2006, in whole or in part, at the option of the Company, at a redemption price of 100% of the principal amount plus accrued and unpaid interest. The 2% Notes are subject to repurchase, at the holders' option, on June 1, 2004 and June 1, 2006, at a repurchase price equal to 100% of the principal amount plus accrued and unpaid interest, if any, on such repurchase date.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During the first quarter of 2004, the Company repurchased $5,000 aggregate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of the 2% Notes for an aggregate purchase price of $4,987,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fourth quarter of 2004 and subsequent to the redemption on June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 the Company repurchased $72 aggregate principal amount of the 2% Notes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aggregate purchase price of $72. During the fourth quarter of fiscal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repurchased $44,600 aggregate principal amount of the 2% Notes at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average price of $990 per $1,000 principal amount, resulting in a gain of $448.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fourth quarter of fiscal 2002, the Company repurchased $54,946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principal amount of the 2% Notes at an average price of $890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principal amount, resulting in a gain of $6,012. See Note 14.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funded these repurchases, and intends to fund any future repurchases,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available funds. As of June 1, 2004 holders had tendered to the Company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$395,110 principal amount of 2% Notes of the $395,454 then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and the Company purchased the tendered 2% Notes for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Subsequently, the Company purchased additional 2% Notes and as of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2005, $272 principal amount of 2% Notes remain as obligations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June 1, 2008, in accordance with their terms. The remaining 2% Notes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presented as noncurrent liabilities under "Convertible notes."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March 2004, the Company issued $450,000 aggregate principal amount of 0.50% Convertible Senior Notes due 2024 (the "0.50% Notes") through a private placement to qualified institutional buyers pursuant to Rule 144A under the Securities Act.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 (ii) 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492" w:right="1440" w:bottom="1440" w:gutter="0" w:footer="0" w:header="0"/>
        </w:sectPr>
      </w:pPr>
    </w:p>
    <w:bookmarkStart w:id="111" w:name="page112"/>
    <w:bookmarkEnd w:id="111"/>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("Put Rights"). The Company may choose to pay the repurchase price in cash, Ordinary Shares or a combination of cash and Ordinary Shares. The FASB issued an exposure draft that would amend SFAS No. 128 to require that if a convertible financial instrument has an option to settle a required redemption in cash or shares, the assumption is the option would be settled in shares and therefore the "if converted" method should be applied based on the current share price and not according to the conversion price (the current accounting guidelines) when computing diluted earnings per share. The Board of Directors has authorized the Company to amend the 0.50% Notes by waiving its right to a share settlement upon exercise of Put Rights and committing to a cash settlement. If the Company amends the 0.50% Notes as authorized by its Board of Directors, then the expected new accounting rule would have no impact on the Company's consolidated financial results.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NONCURRENT LIABILITIES AND OTHER</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Noncurrent liabilities and other consist of the following:</w:t>
      </w:r>
    </w:p>
    <w:p>
      <w:pPr>
        <w:spacing w:after="0" w:line="19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 OF SEPTEMBER 30, ------------------- 2005 2004 -----</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 -------- Accrued employees</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costs................................. $ 88,353 $</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82,478 Noncurrent customer</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advances............................ 34,994 26,281</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Accrued pension</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liability............................... 23,193 21,255</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Accrued print and mail</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obligation....................... 17,806 -- Accrued</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lease obligations............................... 12,475</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10,835 Long-term portion of capital lease</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obligations.......... -- 4,112</w:t>
      </w:r>
    </w:p>
    <w:p>
      <w:pPr>
        <w:spacing w:after="0" w:line="7"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9,449 9,488 -------- -------- $186,270 $154,449</w:t>
      </w:r>
    </w:p>
    <w:p>
      <w:pPr>
        <w:spacing w:after="0" w:line="7"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 INTEREST INCOME AND OTHER, NET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income and other, net consists of the following:</w:t>
      </w:r>
    </w:p>
    <w:p>
      <w:pPr>
        <w:spacing w:after="0" w:line="19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---------------- 2005 2004 2003 ------</w:t>
      </w: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 -------- -------- Interest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$32,341 $ 17,941 $ 26,580 Interest</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expense..............................</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(5,734) (12,867) (11,425) Gain from</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repurchase of 2% Notes(1)........... -</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- 13 448 Other,</w:t>
      </w:r>
    </w:p>
    <w:p>
      <w:pPr>
        <w:spacing w:after="0" w:line="7"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net....................................</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(4,304) (184) (844) ------- -------- -</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 $22,303 $ 4,903 $ 14,759</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 ======== ========</w:t>
      </w:r>
    </w:p>
    <w:p>
      <w:pPr>
        <w:spacing w:after="0" w:line="383" w:lineRule="exact"/>
        <w:rPr>
          <w:sz w:val="20"/>
          <w:szCs w:val="20"/>
          <w:color w:val="auto"/>
        </w:rPr>
      </w:pPr>
    </w:p>
    <w:p>
      <w:pPr>
        <w:ind w:left="200" w:hanging="200"/>
        <w:spacing w:after="0"/>
        <w:tabs>
          <w:tab w:leader="none" w:pos="2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 See Note 12.</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493" w:right="1440" w:bottom="1440" w:gutter="0" w:footer="0" w:header="0"/>
        </w:sectPr>
      </w:pPr>
    </w:p>
    <w:bookmarkStart w:id="112" w:name="page113"/>
    <w:bookmarkEnd w:id="112"/>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 CONTINGENCIES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COMMITMENTS</w:t>
      </w:r>
    </w:p>
    <w:p>
      <w:pPr>
        <w:spacing w:after="0" w:line="19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Company leases office space under non-cancelable operating leases in various countries in which it does business. Future minimum non-cancelable lease payments required after October 1, 2005 are as follows:</w:t>
      </w:r>
    </w:p>
    <w:p>
      <w:pPr>
        <w:spacing w:after="0" w:line="18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SEPTEMBER 30, - -----</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2006......................................</w:t>
            </w:r>
          </w:p>
        </w:tc>
      </w:tr>
      <w:tr>
        <w:trPr>
          <w:trHeight w:val="188"/>
        </w:trPr>
        <w:tc>
          <w:tcPr>
            <w:tcW w:w="1660" w:type="dxa"/>
            <w:vAlign w:val="bottom"/>
          </w:tcPr>
          <w:p>
            <w:pPr>
              <w:spacing w:after="0"/>
              <w:rPr>
                <w:sz w:val="16"/>
                <w:szCs w:val="16"/>
                <w:color w:val="auto"/>
              </w:rPr>
            </w:pPr>
          </w:p>
        </w:tc>
        <w:tc>
          <w:tcPr>
            <w:tcW w:w="2000" w:type="dxa"/>
            <w:vAlign w:val="bottom"/>
          </w:tcPr>
          <w:p>
            <w:pPr>
              <w:jc w:val="center"/>
              <w:ind w:right="1139"/>
              <w:spacing w:after="0"/>
              <w:rPr>
                <w:sz w:val="20"/>
                <w:szCs w:val="20"/>
                <w:color w:val="auto"/>
              </w:rPr>
            </w:pPr>
            <w:r>
              <w:rPr>
                <w:rFonts w:ascii="Courier New" w:cs="Courier New" w:eastAsia="Courier New" w:hAnsi="Courier New"/>
                <w:sz w:val="16"/>
                <w:szCs w:val="16"/>
                <w:color w:val="auto"/>
              </w:rPr>
              <w:t>$ 55,099</w:t>
            </w:r>
          </w:p>
        </w:tc>
      </w:tr>
      <w:tr>
        <w:trPr>
          <w:trHeight w:val="188"/>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2007......................................</w:t>
            </w:r>
          </w:p>
        </w:tc>
      </w:tr>
      <w:tr>
        <w:trPr>
          <w:trHeight w:val="188"/>
        </w:trPr>
        <w:tc>
          <w:tcPr>
            <w:tcW w:w="1660" w:type="dxa"/>
            <w:vAlign w:val="bottom"/>
          </w:tcPr>
          <w:p>
            <w:pPr>
              <w:spacing w:after="0"/>
              <w:rPr>
                <w:sz w:val="16"/>
                <w:szCs w:val="16"/>
                <w:color w:val="auto"/>
              </w:rPr>
            </w:pPr>
          </w:p>
        </w:tc>
        <w:tc>
          <w:tcPr>
            <w:tcW w:w="2000" w:type="dxa"/>
            <w:vAlign w:val="bottom"/>
          </w:tcPr>
          <w:p>
            <w:pPr>
              <w:jc w:val="center"/>
              <w:ind w:right="1139"/>
              <w:spacing w:after="0"/>
              <w:rPr>
                <w:sz w:val="20"/>
                <w:szCs w:val="20"/>
                <w:color w:val="auto"/>
              </w:rPr>
            </w:pPr>
            <w:r>
              <w:rPr>
                <w:rFonts w:ascii="Courier New" w:cs="Courier New" w:eastAsia="Courier New" w:hAnsi="Courier New"/>
                <w:sz w:val="16"/>
                <w:szCs w:val="16"/>
                <w:color w:val="auto"/>
              </w:rPr>
              <w:t>45,725</w:t>
            </w:r>
          </w:p>
        </w:tc>
      </w:tr>
      <w:tr>
        <w:trPr>
          <w:trHeight w:val="188"/>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2008......................................</w:t>
            </w:r>
          </w:p>
        </w:tc>
      </w:tr>
      <w:tr>
        <w:trPr>
          <w:trHeight w:val="188"/>
        </w:trPr>
        <w:tc>
          <w:tcPr>
            <w:tcW w:w="1660" w:type="dxa"/>
            <w:vAlign w:val="bottom"/>
          </w:tcPr>
          <w:p>
            <w:pPr>
              <w:spacing w:after="0"/>
              <w:rPr>
                <w:sz w:val="16"/>
                <w:szCs w:val="16"/>
                <w:color w:val="auto"/>
              </w:rPr>
            </w:pPr>
          </w:p>
        </w:tc>
        <w:tc>
          <w:tcPr>
            <w:tcW w:w="2000" w:type="dxa"/>
            <w:vAlign w:val="bottom"/>
          </w:tcPr>
          <w:p>
            <w:pPr>
              <w:jc w:val="center"/>
              <w:ind w:right="1139"/>
              <w:spacing w:after="0"/>
              <w:rPr>
                <w:sz w:val="20"/>
                <w:szCs w:val="20"/>
                <w:color w:val="auto"/>
              </w:rPr>
            </w:pPr>
            <w:r>
              <w:rPr>
                <w:rFonts w:ascii="Courier New" w:cs="Courier New" w:eastAsia="Courier New" w:hAnsi="Courier New"/>
                <w:sz w:val="16"/>
                <w:szCs w:val="16"/>
                <w:color w:val="auto"/>
              </w:rPr>
              <w:t>29,618</w:t>
            </w:r>
          </w:p>
        </w:tc>
      </w:tr>
      <w:tr>
        <w:trPr>
          <w:trHeight w:val="188"/>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2009......................................</w:t>
            </w:r>
          </w:p>
        </w:tc>
      </w:tr>
      <w:tr>
        <w:trPr>
          <w:trHeight w:val="188"/>
        </w:trPr>
        <w:tc>
          <w:tcPr>
            <w:tcW w:w="1660" w:type="dxa"/>
            <w:vAlign w:val="bottom"/>
          </w:tcPr>
          <w:p>
            <w:pPr>
              <w:spacing w:after="0"/>
              <w:rPr>
                <w:sz w:val="16"/>
                <w:szCs w:val="16"/>
                <w:color w:val="auto"/>
              </w:rPr>
            </w:pPr>
          </w:p>
        </w:tc>
        <w:tc>
          <w:tcPr>
            <w:tcW w:w="2000" w:type="dxa"/>
            <w:vAlign w:val="bottom"/>
          </w:tcPr>
          <w:p>
            <w:pPr>
              <w:jc w:val="center"/>
              <w:ind w:right="1139"/>
              <w:spacing w:after="0"/>
              <w:rPr>
                <w:sz w:val="20"/>
                <w:szCs w:val="20"/>
                <w:color w:val="auto"/>
              </w:rPr>
            </w:pPr>
            <w:r>
              <w:rPr>
                <w:rFonts w:ascii="Courier New" w:cs="Courier New" w:eastAsia="Courier New" w:hAnsi="Courier New"/>
                <w:sz w:val="16"/>
                <w:szCs w:val="16"/>
                <w:color w:val="auto"/>
              </w:rPr>
              <w:t>24,355</w:t>
            </w:r>
          </w:p>
        </w:tc>
      </w:tr>
      <w:tr>
        <w:trPr>
          <w:trHeight w:val="188"/>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2010......................................</w:t>
            </w:r>
          </w:p>
        </w:tc>
      </w:tr>
      <w:tr>
        <w:trPr>
          <w:trHeight w:val="188"/>
        </w:trPr>
        <w:tc>
          <w:tcPr>
            <w:tcW w:w="1660" w:type="dxa"/>
            <w:vAlign w:val="bottom"/>
          </w:tcPr>
          <w:p>
            <w:pPr>
              <w:spacing w:after="0"/>
              <w:rPr>
                <w:sz w:val="16"/>
                <w:szCs w:val="16"/>
                <w:color w:val="auto"/>
              </w:rPr>
            </w:pPr>
          </w:p>
        </w:tc>
        <w:tc>
          <w:tcPr>
            <w:tcW w:w="2000" w:type="dxa"/>
            <w:vAlign w:val="bottom"/>
          </w:tcPr>
          <w:p>
            <w:pPr>
              <w:jc w:val="center"/>
              <w:ind w:right="1139"/>
              <w:spacing w:after="0"/>
              <w:rPr>
                <w:sz w:val="20"/>
                <w:szCs w:val="20"/>
                <w:color w:val="auto"/>
              </w:rPr>
            </w:pPr>
            <w:r>
              <w:rPr>
                <w:rFonts w:ascii="Courier New" w:cs="Courier New" w:eastAsia="Courier New" w:hAnsi="Courier New"/>
                <w:sz w:val="16"/>
                <w:szCs w:val="16"/>
                <w:color w:val="auto"/>
              </w:rPr>
              <w:t>22,774</w:t>
            </w:r>
          </w:p>
        </w:tc>
      </w:tr>
      <w:tr>
        <w:trPr>
          <w:trHeight w:val="188"/>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Thereafter................................</w:t>
            </w:r>
          </w:p>
        </w:tc>
      </w:tr>
      <w:tr>
        <w:trPr>
          <w:trHeight w:val="188"/>
        </w:trPr>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46,707 --------</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$224,278 ========</w:t>
            </w:r>
          </w:p>
        </w:tc>
      </w:tr>
    </w:tbl>
    <w:p>
      <w:pPr>
        <w:spacing w:after="0" w:line="38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Future minimum non-cancelable lease payments, as stated above, do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reflect committed future sublease income of $8,375, $7,089, $4,875, $3,458,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$3,214 and $6,959 for the years ended September 30, 2006, 2007, 2008, 2009, 2010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respectively. Of the $190,308 net operating leases, net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$33,970 of sublease income, $7,727 has been included in accrued restructuring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charges as of September 30, 2005.</w:t>
      </w:r>
    </w:p>
    <w:p>
      <w:pPr>
        <w:spacing w:after="0" w:line="195"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Rent expense, including accruals for future lease losses, was approximately $38,982, $43,505 and $33,039 for fiscal 2005, 2004 and 2003, respectively.</w:t>
      </w:r>
    </w:p>
    <w:p>
      <w:pPr>
        <w:spacing w:after="0" w:line="18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The Company leases vehicles under operating leases. Future minimum</w:t>
      </w:r>
    </w:p>
    <w:p>
      <w:pPr>
        <w:spacing w:after="0" w:line="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non-cancelable lease payments required after October 1, 2005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FOR THE YEARS ENDED SEPTEMBER 30, - ------</w:t>
            </w:r>
          </w:p>
        </w:tc>
      </w:tr>
      <w:tr>
        <w:trPr>
          <w:trHeight w:val="188"/>
        </w:trPr>
        <w:tc>
          <w:tcPr>
            <w:tcW w:w="41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2006.......................................</w:t>
            </w:r>
          </w:p>
        </w:tc>
      </w:tr>
      <w:tr>
        <w:trPr>
          <w:trHeight w:val="188"/>
        </w:trPr>
        <w:tc>
          <w:tcPr>
            <w:tcW w:w="1760" w:type="dxa"/>
            <w:vAlign w:val="bottom"/>
          </w:tcPr>
          <w:p>
            <w:pPr>
              <w:spacing w:after="0"/>
              <w:rPr>
                <w:sz w:val="16"/>
                <w:szCs w:val="16"/>
                <w:color w:val="auto"/>
              </w:rPr>
            </w:pPr>
          </w:p>
        </w:tc>
        <w:tc>
          <w:tcPr>
            <w:tcW w:w="2400" w:type="dxa"/>
            <w:vAlign w:val="bottom"/>
          </w:tcPr>
          <w:p>
            <w:pPr>
              <w:jc w:val="center"/>
              <w:ind w:right="1639"/>
              <w:spacing w:after="0"/>
              <w:rPr>
                <w:sz w:val="20"/>
                <w:szCs w:val="20"/>
                <w:color w:val="auto"/>
              </w:rPr>
            </w:pPr>
            <w:r>
              <w:rPr>
                <w:rFonts w:ascii="Courier New" w:cs="Courier New" w:eastAsia="Courier New" w:hAnsi="Courier New"/>
                <w:sz w:val="16"/>
                <w:szCs w:val="16"/>
                <w:color w:val="auto"/>
              </w:rPr>
              <w:t>$ 7,752</w:t>
            </w:r>
          </w:p>
        </w:tc>
      </w:tr>
      <w:tr>
        <w:trPr>
          <w:trHeight w:val="188"/>
        </w:trPr>
        <w:tc>
          <w:tcPr>
            <w:tcW w:w="41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2007.......................................</w:t>
            </w:r>
          </w:p>
        </w:tc>
      </w:tr>
      <w:tr>
        <w:trPr>
          <w:trHeight w:val="188"/>
        </w:trPr>
        <w:tc>
          <w:tcPr>
            <w:tcW w:w="1760" w:type="dxa"/>
            <w:vAlign w:val="bottom"/>
          </w:tcPr>
          <w:p>
            <w:pPr>
              <w:spacing w:after="0"/>
              <w:rPr>
                <w:sz w:val="16"/>
                <w:szCs w:val="16"/>
                <w:color w:val="auto"/>
              </w:rPr>
            </w:pPr>
          </w:p>
        </w:tc>
        <w:tc>
          <w:tcPr>
            <w:tcW w:w="2400" w:type="dxa"/>
            <w:vAlign w:val="bottom"/>
          </w:tcPr>
          <w:p>
            <w:pPr>
              <w:jc w:val="center"/>
              <w:ind w:right="1639"/>
              <w:spacing w:after="0"/>
              <w:rPr>
                <w:sz w:val="20"/>
                <w:szCs w:val="20"/>
                <w:color w:val="auto"/>
              </w:rPr>
            </w:pPr>
            <w:r>
              <w:rPr>
                <w:rFonts w:ascii="Courier New" w:cs="Courier New" w:eastAsia="Courier New" w:hAnsi="Courier New"/>
                <w:sz w:val="16"/>
                <w:szCs w:val="16"/>
                <w:color w:val="auto"/>
                <w:w w:val="99"/>
              </w:rPr>
              <w:t>7,078</w:t>
            </w:r>
          </w:p>
        </w:tc>
      </w:tr>
      <w:tr>
        <w:trPr>
          <w:trHeight w:val="188"/>
        </w:trPr>
        <w:tc>
          <w:tcPr>
            <w:tcW w:w="41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2008.......................................</w:t>
            </w:r>
          </w:p>
        </w:tc>
      </w:tr>
      <w:tr>
        <w:trPr>
          <w:trHeight w:val="188"/>
        </w:trPr>
        <w:tc>
          <w:tcPr>
            <w:tcW w:w="1760" w:type="dxa"/>
            <w:vAlign w:val="bottom"/>
          </w:tcPr>
          <w:p>
            <w:pPr>
              <w:spacing w:after="0"/>
              <w:rPr>
                <w:sz w:val="16"/>
                <w:szCs w:val="16"/>
                <w:color w:val="auto"/>
              </w:rPr>
            </w:pPr>
          </w:p>
        </w:tc>
        <w:tc>
          <w:tcPr>
            <w:tcW w:w="2400" w:type="dxa"/>
            <w:vAlign w:val="bottom"/>
          </w:tcPr>
          <w:p>
            <w:pPr>
              <w:jc w:val="center"/>
              <w:ind w:right="1639"/>
              <w:spacing w:after="0"/>
              <w:rPr>
                <w:sz w:val="20"/>
                <w:szCs w:val="20"/>
                <w:color w:val="auto"/>
              </w:rPr>
            </w:pPr>
            <w:r>
              <w:rPr>
                <w:rFonts w:ascii="Courier New" w:cs="Courier New" w:eastAsia="Courier New" w:hAnsi="Courier New"/>
                <w:sz w:val="16"/>
                <w:szCs w:val="16"/>
                <w:color w:val="auto"/>
                <w:w w:val="99"/>
              </w:rPr>
              <w:t>4,258</w:t>
            </w:r>
          </w:p>
        </w:tc>
      </w:tr>
      <w:tr>
        <w:trPr>
          <w:trHeight w:val="188"/>
        </w:trPr>
        <w:tc>
          <w:tcPr>
            <w:tcW w:w="41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2009.......................................</w:t>
            </w:r>
          </w:p>
        </w:tc>
      </w:tr>
      <w:tr>
        <w:trPr>
          <w:trHeight w:val="188"/>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752 -------</w:t>
            </w:r>
          </w:p>
        </w:tc>
        <w:tc>
          <w:tcPr>
            <w:tcW w:w="24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$19,840 =======</w:t>
            </w:r>
          </w:p>
        </w:tc>
      </w:tr>
    </w:tbl>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LEGAL PROCEEDINGS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LITIGATION AND SECURITIES AND EXCHANGE COMMISSION INVESTIGATION</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In December 2003, the Company announced that the United States District Court for the Eastern District of Missouri had issued an order granting its motion to dismiss the securities class action lawsuit that had been pending against the Company and several of its directors and officers since June 2002.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493" w:right="1440" w:bottom="1440" w:gutter="0" w:footer="0" w:header="0"/>
        </w:sectPr>
      </w:pPr>
    </w:p>
    <w:bookmarkStart w:id="113" w:name="page114"/>
    <w:bookmarkEnd w:id="113"/>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court's order also directed that judgment be entered in the Company's favor. In December 2004, the United States Court of Appeals for the Eighth Circuit affirmed per curiam the dismissal of the lawsuit.</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2003, the Company was informed that the Midwest Regional Office of the SEC was conducting a private investigation into the events leading up to the Company's announcement in June 2002 of revised projected revenue for the third and fourth quarters of fiscal 2002. The investigation appeared to be focused on, but was not explicitly limited to, the Company's forecasting beginning with its April 23, 2002 press release. The Company responded to an initial document request by the SEC but has not received any requests for additional information or had any substantive contact with the SEC with respect to this investigation since 2003. The Company has cooperated with the SEC staff and believes that it would be able to satisfy any concerns the SEC staff may have as to the matters under investigation. However, given the current status of the investigation, the Company is still unable to predict the duration, scope, or outcome of the investigation.</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GUARANTOR'S ACCOUNTING AND DISCLOSURE REQUIREMENTS FOR GUARANTEES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September 30, 2005 and September 30, 2004, the maximum potential amount of the Company's future exposure under this guarantee pursuant to FIN No. 45 was $4,717.</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fiscal years 2005 and 2004.</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 EMPLOYEE BENEFITS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in noncurrent liabilities and other, is partially funded by amounts on deposit with insurance companies, which are included in other noncurrent assets. Severance expenses were approximately $16,720, $15,363 and $15,036 for fiscal 2005, 2004 and 2003, respectively.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sponsors defined contribution plans covering certain employees in the United States, United Kingdom, Israel and Canada. The plans provide for Company matching contributions based upon a percentage of the employees' voluntary contributions. The Company's contributions in fiscal 2005, 2004 and 2003 under such plans were not significant compared to total operating expenses.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Following the Company's acquisition of Certen (see Note 3) and commencing on the acquisition date, July 2, 2003, the Company maintains non-contributory defined benefit plans that provide for pension, other retirement and post employment benefits for Certen employees based on length of service and rate of pay. The measurement date for the pension plan was September 30, 2003 and the measurement date for the other benefits was December 31, 2003.</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493" w:right="1440" w:bottom="1440" w:gutter="0" w:footer="0" w:header="0"/>
        </w:sectPr>
      </w:pPr>
    </w:p>
    <w:bookmarkStart w:id="114" w:name="page115"/>
    <w:bookmarkEnd w:id="114"/>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COMPONENTS OF NET BENEFIT PLANS COST</w:t>
      </w:r>
    </w:p>
    <w:p>
      <w:pPr>
        <w:spacing w:after="0" w:line="195"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The net periodic benefit costs for the year ended September 30, 2005, related to pension and other benefits were as follows: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PENSION OTHER BENEFITS BENEFITS -------- --------</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Service</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costs..............................................</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$ 2,185 $265 Interest on benefit</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obligations............................ 3,340 482</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Expected return on plan</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assets............................. (2,739) -- ---</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 ---- $ 2,786 $747 ======= ====</w:t>
      </w:r>
    </w:p>
    <w:p>
      <w:pPr>
        <w:spacing w:after="0" w:line="383"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The net periodic benefit costs for the year ended September 30, 2004, related to pension and other benefits were as follows: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PENSION OTHER BENEFITS BENEFITS -------- --------</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Service</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costs..............................................</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$ 1,967 $373 Interest on benefit</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obligations............................ 2,676 386</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Expected return on plan</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assets............................. (2,200) -- ---</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 ---- $ 2,443 $759 ======= ====</w:t>
      </w:r>
    </w:p>
    <w:p>
      <w:pPr>
        <w:spacing w:after="0" w:line="3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COMPONENTS OF ACCRUED BENEFIT LIABILITY</w:t>
      </w:r>
    </w:p>
    <w:p>
      <w:pPr>
        <w:spacing w:after="0" w:line="195"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The following table sets forth changes in the fair value of plan assets, benefit obligations and the funded status of the plans:</w:t>
      </w:r>
    </w:p>
    <w:p>
      <w:pPr>
        <w:spacing w:after="0" w:line="18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PENSION OTHER BENEFITS BENEFITS -------- ------</w:t>
      </w:r>
    </w:p>
    <w:p>
      <w:pPr>
        <w:spacing w:after="0" w:line="7"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CHANGE IN PLAN ASSETS: Fair value of plan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assets as of September 30, 2004...... $ 34,042</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 -- Actual return on plan</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assets............................ 4,360 --</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Foreign exchange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gain................................... 2,674 -</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 Employer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contribution...................................</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3,300 164 Benefits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paid...........................................</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(2,552) (164) -------- -------- FAIR VALUE OF</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PLAN ASSETS AS OF SEPTEMBER 30, 2005......</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41,824 -- -------- -------- CHANGE IN BENEFIT</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OBLIGATIONS: Benefit obligations as of</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September 30, 2004............ (49,751) (7,234)</w:t>
      </w:r>
    </w:p>
    <w:p>
      <w:pPr>
        <w:spacing w:after="0" w:line="7"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Service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w:t>
      </w: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(2,185) (265) Interest on benefit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obligations......................... (3,340)</w:t>
      </w:r>
    </w:p>
    <w:p>
      <w:pPr>
        <w:spacing w:after="0" w:line="7"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(483) Actuarial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losses........................................</w:t>
      </w: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(10,237) (3,210) Foreign exchange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loss................................... (4,344)</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(703) Benefits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paid...........................................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2,552 164 -------- -------- BENEFIT OBLIGATIONS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AS OF SEPTEMBER 30, 2005............ (67,305)</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(11,731) -------- -------- FUNDED STATUS-PLAN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DEFICIT AS OF SEPTEMBER 30, 2005..... (25,481)</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(11,731) Unrecognized actuarial net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losses....................... (10,409) (3,610)</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ACCRUED BENEFIT COSTS AS OF</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SEPTEMBER 30, 2005, INCLUDED IN NONCURRENT</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LIABILITIES AND OTHER...................</w:t>
      </w: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$(15,072) $ (8,121) ======== ========</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F-33</w:t>
      </w:r>
    </w:p>
    <w:p>
      <w:pPr>
        <w:sectPr>
          <w:pgSz w:w="11900" w:h="16838" w:orient="portrait"/>
          <w:cols w:equalWidth="0" w:num="1">
            <w:col w:w="10219"/>
          </w:cols>
          <w:pgMar w:left="240" w:top="492" w:right="1440" w:bottom="1440" w:gutter="0" w:footer="0" w:header="0"/>
        </w:sectPr>
      </w:pPr>
    </w:p>
    <w:bookmarkStart w:id="115" w:name="page116"/>
    <w:bookmarkEnd w:id="115"/>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As of September 30, 2005, the accumulated benefit obligation for the pension plan was $54,775, and $11,278 for the other benefits.</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table sets forth the funded status of the plans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2004:</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PENSION OTHER BENEFITS BENEFITS -------- -------- CHANGE</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IN PLAN ASSETS: Fair value of plan assets as of September</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30, 2003.......... $ 27,971 $ -- Actual return on plan</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assets................................ 3,077 -- Foreign</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exchange gain.......................................</w:t>
      </w:r>
    </w:p>
    <w:p>
      <w:pPr>
        <w:spacing w:after="0" w:line="7"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1,735 -- Employer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contribution....................................... 2,208</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8 Benefits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paid............................................... (949)</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(8) -------- ------- FAIR VALUE OF PLAN ASSETS AS OF</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SEPTEMBER 30, 2004.......... 34,042 -- -------- -------</w:t>
      </w:r>
    </w:p>
    <w:p>
      <w:pPr>
        <w:spacing w:after="0" w:line="19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September 30, 2003................ (38,294) (5,426)</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Service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costs...............................................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(1,967) (373) Interest on benefit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obligations............................. (2,676) (386)</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Actuarial</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losses............................................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(2,446) (248) Special termination</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costs................................... (2,209) (360)</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Foreign exchange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loss....................................... (3,108) (449)</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Benefits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paid............................................... 949 8</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BENEFIT OBLIGATIONS AS OF SEPTEMBER 30,</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2004................ (49,751) (7,234) -------- -------</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FUNDED STATUS-PLAN DEFICIT AS OF SEPTEMBER 30,</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2004......... (15,709) (7,234) Unrecognized actuarial net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losses........................... (1,077) (257) --------</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ACCRUED BENEFIT COSTS AS OF SEPTEMBER 30,</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2004.............. $(14,632) $(6,977) ======== =======</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ACCRUED BENEFIT COSTS INCLUDED IN ACCRUED PERSONNEL</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COSTS... $ (354) $ -- ======== ======= ACCRUED BENEFIT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COSTS INCLUDED IN NONCURRENT LIABILITIES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$(14,278) $(6,977) ======== =======</w:t>
      </w:r>
    </w:p>
    <w:p>
      <w:pPr>
        <w:spacing w:after="0" w:line="3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SIGNIFICANT ASSUMPTIONS</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significant assumptions adopted in measuring the Canadian subsidiary's accrued benefit obligations and the net periodic benefit cost were as follows:</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2005 2004 ---- ---- AS OF SEPTEMBER 30: ACCRUED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BENEFIT OBLIGATIONS Weighted average discount rate,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end of year............... 5.50% 6.25% Weighted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average rate of compensation increase, end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3.50 3.50 FOR THE YEAR ENDED SEPTEMBER 30: NET</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PERIODIC BENEFIT COST Weighted average discount rate,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end of preceding year..... 6.25% 6.50% Weighted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average expected long-term rate of return on plan</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assets, end of preceding</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year.......................... 7.50 7.50 Weighted</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average rate of compensation increase, end of</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preceding</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year......................................... 3.50</w:t>
      </w:r>
    </w:p>
    <w:p>
      <w:pPr>
        <w:spacing w:after="0" w:line="7"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3.50</w:t>
      </w:r>
    </w:p>
    <w:p>
      <w:pPr>
        <w:spacing w:after="0" w:line="383"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expected future rate of return assumption is based on the target asset allocation policy and the expected future rates of return on these assets.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19"/>
          </w:cols>
          <w:pgMar w:left="240" w:top="492" w:right="1440" w:bottom="1440" w:gutter="0" w:footer="0" w:header="0"/>
        </w:sectPr>
      </w:pPr>
    </w:p>
    <w:bookmarkStart w:id="116" w:name="page117"/>
    <w:bookmarkEnd w:id="116"/>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For measurement purposes, a 4.5% annual rate of increase in the per capita cost of covered health care benefits (the health care cost trend rate) was assumed for the year ended September 30, 2005, except for the cost of medication, which was assumed to increase at an annual rate of 10.5% for 2005. This rate was assumed to gradually decline to 4.5% by 2011 and remain stable thereafter.</w:t>
      </w:r>
    </w:p>
    <w:p>
      <w:pPr>
        <w:spacing w:after="0" w:line="187" w:lineRule="exact"/>
        <w:rPr>
          <w:sz w:val="20"/>
          <w:szCs w:val="20"/>
          <w:color w:val="auto"/>
        </w:rPr>
      </w:pPr>
    </w:p>
    <w:p>
      <w:pPr>
        <w:ind w:right="2879" w:firstLine="489"/>
        <w:spacing w:after="0" w:line="252" w:lineRule="auto"/>
        <w:rPr>
          <w:sz w:val="20"/>
          <w:szCs w:val="20"/>
          <w:color w:val="auto"/>
        </w:rPr>
      </w:pPr>
      <w:r>
        <w:rPr>
          <w:rFonts w:ascii="Courier New" w:cs="Courier New" w:eastAsia="Courier New" w:hAnsi="Courier New"/>
          <w:sz w:val="16"/>
          <w:szCs w:val="16"/>
          <w:color w:val="auto"/>
        </w:rPr>
        <w:t>A 1% change in the assumed health care cost trend rates would have the following effect as of September 30, 2005:</w:t>
      </w:r>
    </w:p>
    <w:p>
      <w:pPr>
        <w:spacing w:after="0" w:line="183" w:lineRule="exact"/>
        <w:rPr>
          <w:sz w:val="20"/>
          <w:szCs w:val="20"/>
          <w:color w:val="auto"/>
        </w:rPr>
      </w:pPr>
    </w:p>
    <w:p>
      <w:pPr>
        <w:jc w:val="center"/>
        <w:ind w:right="4559"/>
        <w:spacing w:after="0" w:line="249" w:lineRule="auto"/>
        <w:rPr>
          <w:sz w:val="20"/>
          <w:szCs w:val="20"/>
          <w:color w:val="auto"/>
        </w:rPr>
      </w:pPr>
      <w:r>
        <w:rPr>
          <w:rFonts w:ascii="Courier New" w:cs="Courier New" w:eastAsia="Courier New" w:hAnsi="Courier New"/>
          <w:sz w:val="16"/>
          <w:szCs w:val="16"/>
          <w:color w:val="auto"/>
        </w:rPr>
        <w:t>1% INCREASE 1% DECREASE ----------- ----------- Effect on other benefits -- total service and interest cost...................................................... $ 120 $ (97) Effect on other benefits -- accrued benefit obligations..... 1,849 (1,698)</w:t>
      </w:r>
    </w:p>
    <w:p>
      <w:pPr>
        <w:spacing w:after="0" w:line="37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PENSION PLAN ASSETS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following table sets forth the allocation of the pension plan assets as of September 30, 2005 and 2004, the target allocation for 2006 and the expected long-term rate of return by asset class. The fair value of the plan assets was $41,824 as of September 30, 2005 and $34,042 as of September 30, 2004.</w:t>
      </w:r>
    </w:p>
    <w:p>
      <w:pPr>
        <w:spacing w:after="0" w:line="18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PERCENTAGE OF WEIGHTED- PLAN ASSETS AVERAGE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TARGET AS OF LONG-TERM ALLOCATION SEPTEMBER 30,</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RATE OF RETURN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ASSET CATEGORY 2006 2005 2004 2005 -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 Equity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securities...............................</w:t>
            </w:r>
          </w:p>
        </w:tc>
        <w:tc>
          <w:tcPr>
            <w:tcW w:w="3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8"/>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45%-65% 57%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c>
          <w:tcPr>
            <w:tcW w:w="2020" w:type="dxa"/>
            <w:vAlign w:val="bottom"/>
          </w:tcPr>
          <w:p>
            <w:pPr>
              <w:ind w:left="60"/>
              <w:spacing w:after="0"/>
              <w:rPr>
                <w:sz w:val="20"/>
                <w:szCs w:val="20"/>
                <w:color w:val="auto"/>
              </w:rPr>
            </w:pPr>
            <w:r>
              <w:rPr>
                <w:rFonts w:ascii="Courier New" w:cs="Courier New" w:eastAsia="Courier New" w:hAnsi="Courier New"/>
                <w:sz w:val="16"/>
                <w:szCs w:val="16"/>
                <w:color w:val="auto"/>
              </w:rPr>
              <w:t>9.0% Debt</w:t>
            </w:r>
          </w:p>
        </w:tc>
      </w:tr>
      <w:tr>
        <w:trPr>
          <w:trHeight w:val="188"/>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securities.................................</w:t>
            </w:r>
          </w:p>
        </w:tc>
        <w:tc>
          <w:tcPr>
            <w:tcW w:w="3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8"/>
        </w:trPr>
        <w:tc>
          <w:tcPr>
            <w:tcW w:w="1660" w:type="dxa"/>
            <w:vAlign w:val="bottom"/>
          </w:tcPr>
          <w:p>
            <w:pPr>
              <w:jc w:val="right"/>
              <w:ind w:right="30"/>
              <w:spacing w:after="0"/>
              <w:rPr>
                <w:sz w:val="20"/>
                <w:szCs w:val="20"/>
                <w:color w:val="auto"/>
              </w:rPr>
            </w:pPr>
            <w:r>
              <w:rPr>
                <w:rFonts w:ascii="Courier New" w:cs="Courier New" w:eastAsia="Courier New" w:hAnsi="Courier New"/>
                <w:sz w:val="16"/>
                <w:szCs w:val="16"/>
                <w:color w:val="auto"/>
              </w:rPr>
              <w:t>55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43 43 5.5</w:t>
            </w:r>
          </w:p>
        </w:tc>
        <w:tc>
          <w:tcPr>
            <w:tcW w:w="2020" w:type="dxa"/>
            <w:vAlign w:val="bottom"/>
          </w:tcPr>
          <w:p>
            <w:pPr>
              <w:jc w:val="right"/>
              <w:ind w:right="1239"/>
              <w:spacing w:after="0"/>
              <w:rPr>
                <w:sz w:val="20"/>
                <w:szCs w:val="20"/>
                <w:color w:val="auto"/>
              </w:rPr>
            </w:pPr>
            <w:r>
              <w:rPr>
                <w:rFonts w:ascii="Courier New" w:cs="Courier New" w:eastAsia="Courier New" w:hAnsi="Courier New"/>
                <w:sz w:val="16"/>
                <w:szCs w:val="16"/>
                <w:color w:val="auto"/>
              </w:rPr>
              <w:t>--- ---</w:t>
            </w:r>
          </w:p>
        </w:tc>
      </w:tr>
      <w:tr>
        <w:trPr>
          <w:trHeight w:val="188"/>
        </w:trPr>
        <w:tc>
          <w:tcPr>
            <w:tcW w:w="22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Total...........................................</w:t>
            </w: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8"/>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 100%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c>
          <w:tcPr>
            <w:tcW w:w="2020" w:type="dxa"/>
            <w:vAlign w:val="bottom"/>
          </w:tcPr>
          <w:p>
            <w:pPr>
              <w:ind w:left="60"/>
              <w:spacing w:after="0"/>
              <w:rPr>
                <w:sz w:val="20"/>
                <w:szCs w:val="20"/>
                <w:color w:val="auto"/>
              </w:rPr>
            </w:pPr>
            <w:r>
              <w:rPr>
                <w:rFonts w:ascii="Courier New" w:cs="Courier New" w:eastAsia="Courier New" w:hAnsi="Courier New"/>
                <w:sz w:val="16"/>
                <w:szCs w:val="16"/>
                <w:color w:val="auto"/>
              </w:rPr>
              <w:t>=== ===</w:t>
            </w:r>
          </w:p>
        </w:tc>
      </w:tr>
    </w:tbl>
    <w:p>
      <w:pPr>
        <w:spacing w:after="0" w:line="380"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Plan assets consist primarily of Canadian and other equities, government and corporate bonds, debentures and secured mortgages, which are held in units of the BCE Master Trust Fund, a Trust established by Bell. The investment strategy is to maintain an asset allocation that is diversified between multiple different asset classes, and between multiple managers within each asset class, in order to minimize the risk of large losses and to maximize the long-term risk-adjusted rate of return.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F-35</w:t>
      </w:r>
    </w:p>
    <w:p>
      <w:pPr>
        <w:sectPr>
          <w:pgSz w:w="11900" w:h="16838" w:orient="portrait"/>
          <w:cols w:equalWidth="0" w:num="1">
            <w:col w:w="10219"/>
          </w:cols>
          <w:pgMar w:left="240" w:top="492" w:right="1440" w:bottom="1440" w:gutter="0" w:footer="0" w:header="0"/>
        </w:sectPr>
      </w:pPr>
    </w:p>
    <w:bookmarkStart w:id="117" w:name="page118"/>
    <w:bookmarkEnd w:id="117"/>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PROJECTED CASH FLOWS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is responsible for adequately funding the pension plan. Contributions by the Company are based on various generally accepted actuarial methods and reflect actuarial assumptions concerning future investment returns, salary projections and future service benefits. The Company contributed $3,300 to the pension plan in 2005 which was the minimum contribution required by law. Because the Company does not fund the other employee future benefit plan, the total payments of $164 paid in 2005 represents benefit payments made to beneficiaries. The following table sets forth the Company's estimates for future minimum contributions to the pension plan and for other benefit payments.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PENSION OTHER FOR THE YEARS ENDED SEPTEMBER 30, BENEFITS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BENEFITS -</w:t>
            </w:r>
          </w:p>
        </w:tc>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2740" w:type="dxa"/>
            <w:vAlign w:val="bottom"/>
          </w:tcPr>
          <w:p>
            <w:pPr>
              <w:ind w:left="1360"/>
              <w:spacing w:after="0"/>
              <w:rPr>
                <w:sz w:val="20"/>
                <w:szCs w:val="20"/>
                <w:color w:val="auto"/>
              </w:rPr>
            </w:pPr>
            <w:r>
              <w:rPr>
                <w:rFonts w:ascii="Courier New" w:cs="Courier New" w:eastAsia="Courier New" w:hAnsi="Courier New"/>
                <w:sz w:val="16"/>
                <w:szCs w:val="16"/>
                <w:color w:val="auto"/>
              </w:rPr>
              <w:t>-------- -----</w:t>
            </w:r>
          </w:p>
        </w:tc>
      </w:tr>
      <w:tr>
        <w:trPr>
          <w:trHeight w:val="188"/>
        </w:trPr>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jc w:val="center"/>
              <w:ind w:left="399"/>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spacing w:after="0"/>
              <w:rPr>
                <w:sz w:val="16"/>
                <w:szCs w:val="16"/>
                <w:color w:val="auto"/>
              </w:rPr>
            </w:pPr>
          </w:p>
        </w:tc>
      </w:tr>
      <w:tr>
        <w:trPr>
          <w:trHeight w:val="188"/>
        </w:trPr>
        <w:tc>
          <w:tcPr>
            <w:tcW w:w="23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2006........................................................</w:t>
            </w: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$ 2,800</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$ 200</w:t>
            </w:r>
          </w:p>
        </w:tc>
      </w:tr>
      <w:tr>
        <w:trPr>
          <w:trHeight w:val="188"/>
        </w:trPr>
        <w:tc>
          <w:tcPr>
            <w:tcW w:w="23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2007........................................................</w:t>
            </w: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2,900</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200</w:t>
            </w:r>
          </w:p>
        </w:tc>
      </w:tr>
      <w:tr>
        <w:trPr>
          <w:trHeight w:val="188"/>
        </w:trPr>
        <w:tc>
          <w:tcPr>
            <w:tcW w:w="23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2008........................................................</w:t>
            </w: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3,000</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300</w:t>
            </w:r>
          </w:p>
        </w:tc>
      </w:tr>
      <w:tr>
        <w:trPr>
          <w:trHeight w:val="188"/>
        </w:trPr>
        <w:tc>
          <w:tcPr>
            <w:tcW w:w="23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2009........................................................</w:t>
            </w: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3,000</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300</w:t>
            </w:r>
          </w:p>
        </w:tc>
      </w:tr>
      <w:tr>
        <w:trPr>
          <w:trHeight w:val="188"/>
        </w:trPr>
        <w:tc>
          <w:tcPr>
            <w:tcW w:w="23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2010........................................................</w:t>
            </w: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4740" w:type="dxa"/>
            <w:vAlign w:val="bottom"/>
            <w:gridSpan w:val="3"/>
          </w:tcPr>
          <w:p>
            <w:pPr>
              <w:jc w:val="center"/>
              <w:ind w:right="939"/>
              <w:spacing w:after="0"/>
              <w:rPr>
                <w:sz w:val="20"/>
                <w:szCs w:val="20"/>
                <w:color w:val="auto"/>
              </w:rPr>
            </w:pPr>
            <w:r>
              <w:rPr>
                <w:rFonts w:ascii="Courier New" w:cs="Courier New" w:eastAsia="Courier New" w:hAnsi="Courier New"/>
                <w:sz w:val="16"/>
                <w:szCs w:val="16"/>
                <w:color w:val="auto"/>
              </w:rPr>
              <w:t>3,100 300 2011 -</w:t>
            </w:r>
          </w:p>
        </w:tc>
      </w:tr>
      <w:tr>
        <w:trPr>
          <w:trHeight w:val="188"/>
        </w:trPr>
        <w:tc>
          <w:tcPr>
            <w:tcW w:w="23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2015.................................................</w:t>
            </w: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4740" w:type="dxa"/>
            <w:vAlign w:val="bottom"/>
            <w:gridSpan w:val="3"/>
          </w:tcPr>
          <w:p>
            <w:pPr>
              <w:jc w:val="center"/>
              <w:ind w:right="939"/>
              <w:spacing w:after="0"/>
              <w:rPr>
                <w:sz w:val="20"/>
                <w:szCs w:val="20"/>
                <w:color w:val="auto"/>
              </w:rPr>
            </w:pPr>
            <w:r>
              <w:rPr>
                <w:rFonts w:ascii="Courier New" w:cs="Courier New" w:eastAsia="Courier New" w:hAnsi="Courier New"/>
                <w:sz w:val="16"/>
                <w:szCs w:val="16"/>
                <w:color w:val="auto"/>
              </w:rPr>
              <w:t>16,500 2,800 ------- ------</w:t>
            </w:r>
          </w:p>
        </w:tc>
      </w:tr>
      <w:tr>
        <w:trPr>
          <w:trHeight w:val="188"/>
        </w:trPr>
        <w:tc>
          <w:tcPr>
            <w:tcW w:w="2300" w:type="dxa"/>
            <w:vAlign w:val="bottom"/>
            <w:gridSpan w:val="2"/>
          </w:tcPr>
          <w:p>
            <w:pPr>
              <w:spacing w:after="0"/>
              <w:rPr>
                <w:sz w:val="20"/>
                <w:szCs w:val="20"/>
                <w:color w:val="auto"/>
              </w:rPr>
            </w:pPr>
            <w:r>
              <w:rPr>
                <w:rFonts w:ascii="Courier New" w:cs="Courier New" w:eastAsia="Courier New" w:hAnsi="Courier New"/>
                <w:sz w:val="9"/>
                <w:szCs w:val="9"/>
                <w:color w:val="auto"/>
                <w:w w:val="70"/>
              </w:rPr>
              <w:t>Total.......................................................</w:t>
            </w: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$31,300</w:t>
            </w:r>
          </w:p>
        </w:tc>
        <w:tc>
          <w:tcPr>
            <w:tcW w:w="3520" w:type="dxa"/>
            <w:vAlign w:val="bottom"/>
            <w:gridSpan w:val="2"/>
          </w:tcPr>
          <w:p>
            <w:pPr>
              <w:jc w:val="right"/>
              <w:ind w:right="1399"/>
              <w:spacing w:after="0"/>
              <w:rPr>
                <w:sz w:val="20"/>
                <w:szCs w:val="20"/>
                <w:color w:val="auto"/>
              </w:rPr>
            </w:pPr>
            <w:r>
              <w:rPr>
                <w:rFonts w:ascii="Courier New" w:cs="Courier New" w:eastAsia="Courier New" w:hAnsi="Courier New"/>
                <w:sz w:val="16"/>
                <w:szCs w:val="16"/>
                <w:color w:val="auto"/>
              </w:rPr>
              <w:t>$4,100 ======= ======</w:t>
            </w:r>
          </w:p>
        </w:tc>
      </w:tr>
      <w:tr>
        <w:trPr>
          <w:trHeight w:val="564"/>
        </w:trPr>
        <w:tc>
          <w:tcPr>
            <w:tcW w:w="1080" w:type="dxa"/>
            <w:vAlign w:val="bottom"/>
          </w:tcPr>
          <w:p>
            <w:pPr>
              <w:spacing w:after="0"/>
              <w:rPr>
                <w:sz w:val="20"/>
                <w:szCs w:val="20"/>
                <w:color w:val="auto"/>
              </w:rPr>
            </w:pPr>
            <w:r>
              <w:rPr>
                <w:rFonts w:ascii="Courier New" w:cs="Courier New" w:eastAsia="Courier New" w:hAnsi="Courier New"/>
                <w:sz w:val="16"/>
                <w:szCs w:val="16"/>
                <w:color w:val="auto"/>
              </w:rPr>
              <w:t>NOTE 17 --</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CAPITAL TRANSACTIONS</w:t>
            </w:r>
          </w:p>
        </w:tc>
        <w:tc>
          <w:tcPr>
            <w:tcW w:w="2740" w:type="dxa"/>
            <w:vAlign w:val="bottom"/>
          </w:tcPr>
          <w:p>
            <w:pPr>
              <w:spacing w:after="0"/>
              <w:rPr>
                <w:sz w:val="24"/>
                <w:szCs w:val="24"/>
                <w:color w:val="auto"/>
              </w:rPr>
            </w:pPr>
          </w:p>
        </w:tc>
      </w:tr>
    </w:tbl>
    <w:p>
      <w:pPr>
        <w:spacing w:after="0" w:line="19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are details of the Ordinary Shares issued and outstanding:</w:t>
      </w:r>
    </w:p>
    <w:p>
      <w:pPr>
        <w:spacing w:after="0" w:line="19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AS OF SEPTEMBER 30, -------------------</w:t>
      </w:r>
    </w:p>
    <w:p>
      <w:pPr>
        <w:spacing w:after="0" w:line="7"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2005 2004 -------- -------- Voting Ordinary</w:t>
      </w:r>
    </w:p>
    <w:p>
      <w:pPr>
        <w:spacing w:after="0" w:line="7"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issued...............................</w:t>
      </w:r>
    </w:p>
    <w:p>
      <w:pPr>
        <w:spacing w:after="0" w:line="7"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227,321 224,947 Less -- treasury</w:t>
      </w:r>
    </w:p>
    <w:p>
      <w:pPr>
        <w:spacing w:after="0" w:line="7"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(27,139) (23,613) ------- ------- Ordinary</w:t>
      </w:r>
    </w:p>
    <w:p>
      <w:pPr>
        <w:spacing w:after="0" w:line="7"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200,182 201,334 ======= =======</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Company's capital transactions are described below:</w:t>
      </w:r>
    </w:p>
    <w:p>
      <w:pPr>
        <w:spacing w:after="0" w:line="195" w:lineRule="exact"/>
        <w:rPr>
          <w:sz w:val="20"/>
          <w:szCs w:val="20"/>
          <w:color w:val="auto"/>
        </w:rPr>
      </w:pPr>
    </w:p>
    <w:p>
      <w:pPr>
        <w:ind w:right="2879" w:firstLine="489"/>
        <w:spacing w:after="0" w:line="252" w:lineRule="auto"/>
        <w:rPr>
          <w:sz w:val="20"/>
          <w:szCs w:val="20"/>
          <w:color w:val="auto"/>
        </w:rPr>
      </w:pPr>
      <w:r>
        <w:rPr>
          <w:rFonts w:ascii="Courier New" w:cs="Courier New" w:eastAsia="Courier New" w:hAnsi="Courier New"/>
          <w:sz w:val="16"/>
          <w:szCs w:val="16"/>
          <w:color w:val="auto"/>
        </w:rPr>
        <w:t>Total proceeds from the exercise of employee stock options amounted to $24,024, $12,077 and $2,320 in fiscal 2005, 2004 and 2003, respectively.</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November 5, 2003, the Company announced that its Board of Directors had authorized a share repurchase program of up to 5,000 Ordinary Shares over the next twelve months. The authorization permitted the Company to purchase Ordinary Shares in open market or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first quarter of fiscal 2004, the Company repurchased 4,990 Ordinary Shares under this repurchase program, for an aggregate purchase price of $123,993.</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connection with the Company's acquisition of XACCT (see Note 3),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87"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In connection with the Company's issuance of the 0.50% Notes (see Note 12), the Board of Directors approved the repurchase of Ordinary Shares sold short by purchasers of the 0.50% Notes in negotiated</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19"/>
          </w:cols>
          <w:pgMar w:left="240" w:top="492" w:right="1440" w:bottom="939" w:gutter="0" w:footer="0" w:header="0"/>
        </w:sectPr>
      </w:pPr>
    </w:p>
    <w:bookmarkStart w:id="118" w:name="page119"/>
    <w:bookmarkEnd w:id="118"/>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On July 28, 2004, the Company announced that its Board of Directors extended the share repurchase program for the additional repurchase of up to $100,000 of its Ordinary Shares in open market or privately negotiated transactions and at times and prices the Company deems appropriate. In accordance with this extension, the Company repurchased 4,894 Ordinary Shares, at an average price of $20.40 per share.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December 20, 2004, the Company announced that its Board of Directors had extended the Company's share repurchase program for the additional repurchase of up to $100,000 of its ordinary shares in the open market or privately negotiated transactions and at times and prices the Company deems appropriate. In accordance with this extension, the Company repurchased in the third quarter of fiscal 2005, 3,525 ordinary shares, at an average price of $28.33 per share.</w:t>
      </w:r>
    </w:p>
    <w:p>
      <w:pPr>
        <w:spacing w:after="0" w:line="187"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The Company funded these repurchases, and intends to fund any future repurchases, with available funds.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18 -- STOCK OPTION AND INCENTIVE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January 1998, the Company first adopted, and in each of January 1999, January 2000, January 2001 and January 2004, the Company has amended, the Amdocs Limited 1998 Stock Option and Incentive Plan (the "Plan"). Under the provisions of the Plan, 38,300 Ordinary Shares were authorized to be granted to officers, directors, employees and consultants. Such options fully vest over a period of up to seven years and have a term of ten years.</w:t>
      </w:r>
    </w:p>
    <w:p>
      <w:pPr>
        <w:spacing w:after="0" w:line="187"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following table summarizes information about share options, as well as changes during the years ended September 30, 2005, 2004 and 2003:</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WEIGHTED NUMBER OF AVERAGE SHARE EXERCISE OPTIONS PRICE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48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Outstanding as of October 1,</w:t>
            </w: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27,692.0</w:t>
            </w:r>
          </w:p>
        </w:tc>
        <w:tc>
          <w:tcPr>
            <w:tcW w:w="1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$30.30</w:t>
            </w: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Granted..................................................</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0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3,151.2</w:t>
            </w:r>
          </w:p>
        </w:tc>
        <w:tc>
          <w:tcPr>
            <w:tcW w:w="1340" w:type="dxa"/>
            <w:vAlign w:val="bottom"/>
          </w:tcPr>
          <w:p>
            <w:pPr>
              <w:ind w:left="20"/>
              <w:spacing w:after="0"/>
              <w:rPr>
                <w:sz w:val="20"/>
                <w:szCs w:val="20"/>
                <w:color w:val="auto"/>
              </w:rPr>
            </w:pPr>
            <w:r>
              <w:rPr>
                <w:rFonts w:ascii="Courier New" w:cs="Courier New" w:eastAsia="Courier New" w:hAnsi="Courier New"/>
                <w:sz w:val="16"/>
                <w:szCs w:val="16"/>
                <w:color w:val="auto"/>
              </w:rPr>
              <w:t>10.49</w:t>
            </w:r>
          </w:p>
        </w:tc>
        <w:tc>
          <w:tcPr>
            <w:tcW w:w="1280" w:type="dxa"/>
            <w:vAlign w:val="bottom"/>
          </w:tcPr>
          <w:p>
            <w:pPr>
              <w:spacing w:after="0"/>
              <w:rPr>
                <w:sz w:val="16"/>
                <w:szCs w:val="16"/>
                <w:color w:val="auto"/>
              </w:rPr>
            </w:pP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Exercised................................................</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0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(474.5)</w:t>
            </w:r>
          </w:p>
        </w:tc>
        <w:tc>
          <w:tcPr>
            <w:tcW w:w="13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4.89</w:t>
            </w:r>
          </w:p>
        </w:tc>
        <w:tc>
          <w:tcPr>
            <w:tcW w:w="1280" w:type="dxa"/>
            <w:vAlign w:val="bottom"/>
          </w:tcPr>
          <w:p>
            <w:pPr>
              <w:spacing w:after="0"/>
              <w:rPr>
                <w:sz w:val="16"/>
                <w:szCs w:val="16"/>
                <w:color w:val="auto"/>
              </w:rPr>
            </w:pP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Forfeited................................................</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w w:val="87"/>
              </w:rPr>
              <w:t>(4,803.0) 37.16 --------</w:t>
            </w:r>
          </w:p>
        </w:tc>
        <w:tc>
          <w:tcPr>
            <w:tcW w:w="348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Outstanding as of September 30,</w:t>
            </w: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25,565.7</w:t>
            </w:r>
          </w:p>
        </w:tc>
        <w:tc>
          <w:tcPr>
            <w:tcW w:w="12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9"/>
              </w:rPr>
              <w:t>27.04</w:t>
            </w: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Granted..................................................</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0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4,177.2</w:t>
            </w:r>
          </w:p>
        </w:tc>
        <w:tc>
          <w:tcPr>
            <w:tcW w:w="1340" w:type="dxa"/>
            <w:vAlign w:val="bottom"/>
          </w:tcPr>
          <w:p>
            <w:pPr>
              <w:ind w:left="20"/>
              <w:spacing w:after="0"/>
              <w:rPr>
                <w:sz w:val="20"/>
                <w:szCs w:val="20"/>
                <w:color w:val="auto"/>
              </w:rPr>
            </w:pPr>
            <w:r>
              <w:rPr>
                <w:rFonts w:ascii="Courier New" w:cs="Courier New" w:eastAsia="Courier New" w:hAnsi="Courier New"/>
                <w:sz w:val="16"/>
                <w:szCs w:val="16"/>
                <w:color w:val="auto"/>
              </w:rPr>
              <w:t>22.07</w:t>
            </w:r>
          </w:p>
        </w:tc>
        <w:tc>
          <w:tcPr>
            <w:tcW w:w="1280" w:type="dxa"/>
            <w:vAlign w:val="bottom"/>
          </w:tcPr>
          <w:p>
            <w:pPr>
              <w:spacing w:after="0"/>
              <w:rPr>
                <w:sz w:val="16"/>
                <w:szCs w:val="16"/>
                <w:color w:val="auto"/>
              </w:rPr>
            </w:pP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Exercised................................................</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040" w:type="dxa"/>
            <w:vAlign w:val="bottom"/>
          </w:tcPr>
          <w:p>
            <w:pPr>
              <w:spacing w:after="0"/>
              <w:rPr>
                <w:sz w:val="16"/>
                <w:szCs w:val="16"/>
                <w:color w:val="auto"/>
              </w:rPr>
            </w:pPr>
          </w:p>
        </w:tc>
        <w:tc>
          <w:tcPr>
            <w:tcW w:w="220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(1,156.5) 10.44</w:t>
            </w:r>
          </w:p>
        </w:tc>
        <w:tc>
          <w:tcPr>
            <w:tcW w:w="1280" w:type="dxa"/>
            <w:vAlign w:val="bottom"/>
          </w:tcPr>
          <w:p>
            <w:pPr>
              <w:spacing w:after="0"/>
              <w:rPr>
                <w:sz w:val="16"/>
                <w:szCs w:val="16"/>
                <w:color w:val="auto"/>
              </w:rPr>
            </w:pP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Forfeited................................................</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w w:val="87"/>
              </w:rPr>
              <w:t>(2,539.9) 30.89 --------</w:t>
            </w:r>
          </w:p>
        </w:tc>
        <w:tc>
          <w:tcPr>
            <w:tcW w:w="348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Outstanding as of September 30,</w:t>
            </w: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26,046.5</w:t>
            </w:r>
          </w:p>
        </w:tc>
        <w:tc>
          <w:tcPr>
            <w:tcW w:w="12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9"/>
              </w:rPr>
              <w:t>26.61</w:t>
            </w: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Granted..................................................</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0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4,892.0</w:t>
            </w:r>
          </w:p>
        </w:tc>
        <w:tc>
          <w:tcPr>
            <w:tcW w:w="1340" w:type="dxa"/>
            <w:vAlign w:val="bottom"/>
          </w:tcPr>
          <w:p>
            <w:pPr>
              <w:ind w:left="20"/>
              <w:spacing w:after="0"/>
              <w:rPr>
                <w:sz w:val="20"/>
                <w:szCs w:val="20"/>
                <w:color w:val="auto"/>
              </w:rPr>
            </w:pPr>
            <w:r>
              <w:rPr>
                <w:rFonts w:ascii="Courier New" w:cs="Courier New" w:eastAsia="Courier New" w:hAnsi="Courier New"/>
                <w:sz w:val="16"/>
                <w:szCs w:val="16"/>
                <w:color w:val="auto"/>
              </w:rPr>
              <w:t>24.36</w:t>
            </w:r>
          </w:p>
        </w:tc>
        <w:tc>
          <w:tcPr>
            <w:tcW w:w="1280" w:type="dxa"/>
            <w:vAlign w:val="bottom"/>
          </w:tcPr>
          <w:p>
            <w:pPr>
              <w:spacing w:after="0"/>
              <w:rPr>
                <w:sz w:val="16"/>
                <w:szCs w:val="16"/>
                <w:color w:val="auto"/>
              </w:rPr>
            </w:pP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Exercised................................................</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040" w:type="dxa"/>
            <w:vAlign w:val="bottom"/>
          </w:tcPr>
          <w:p>
            <w:pPr>
              <w:spacing w:after="0"/>
              <w:rPr>
                <w:sz w:val="16"/>
                <w:szCs w:val="16"/>
                <w:color w:val="auto"/>
              </w:rPr>
            </w:pPr>
          </w:p>
        </w:tc>
        <w:tc>
          <w:tcPr>
            <w:tcW w:w="220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(2,228.7) 10.78</w:t>
            </w:r>
          </w:p>
        </w:tc>
        <w:tc>
          <w:tcPr>
            <w:tcW w:w="1280" w:type="dxa"/>
            <w:vAlign w:val="bottom"/>
          </w:tcPr>
          <w:p>
            <w:pPr>
              <w:spacing w:after="0"/>
              <w:rPr>
                <w:sz w:val="16"/>
                <w:szCs w:val="16"/>
                <w:color w:val="auto"/>
              </w:rPr>
            </w:pP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Forfeited................................................</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w w:val="87"/>
              </w:rPr>
              <w:t>(2,902.4) 32.32 --------</w:t>
            </w:r>
          </w:p>
        </w:tc>
        <w:tc>
          <w:tcPr>
            <w:tcW w:w="348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Outstanding as of September 30,</w:t>
            </w:r>
          </w:p>
        </w:tc>
      </w:tr>
      <w:tr>
        <w:trPr>
          <w:trHeight w:val="188"/>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2005.....................</w:t>
            </w:r>
          </w:p>
        </w:tc>
        <w:tc>
          <w:tcPr>
            <w:tcW w:w="2620" w:type="dxa"/>
            <w:vAlign w:val="bottom"/>
            <w:gridSpan w:val="2"/>
          </w:tcPr>
          <w:p>
            <w:pPr>
              <w:ind w:left="20"/>
              <w:spacing w:after="0"/>
              <w:rPr>
                <w:sz w:val="20"/>
                <w:szCs w:val="20"/>
                <w:color w:val="auto"/>
              </w:rPr>
            </w:pPr>
            <w:r>
              <w:rPr>
                <w:rFonts w:ascii="Courier New" w:cs="Courier New" w:eastAsia="Courier New" w:hAnsi="Courier New"/>
                <w:sz w:val="16"/>
                <w:szCs w:val="16"/>
                <w:color w:val="auto"/>
              </w:rPr>
              <w:t>25,807.4 26.91 ========</w:t>
            </w:r>
          </w:p>
        </w:tc>
      </w:tr>
    </w:tbl>
    <w:p>
      <w:pPr>
        <w:spacing w:after="0" w:line="380"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In addition, in connection with the Company's acquisition of DST Innovis, the Company issued 144 shares of restricted stock under the provisions of the Plan. Such restricted stock vest up to three years.</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F-37</w:t>
      </w:r>
    </w:p>
    <w:p>
      <w:pPr>
        <w:sectPr>
          <w:pgSz w:w="11900" w:h="16838" w:orient="portrait"/>
          <w:cols w:equalWidth="0" w:num="1">
            <w:col w:w="10219"/>
          </w:cols>
          <w:pgMar w:left="240" w:top="492" w:right="1440" w:bottom="1440" w:gutter="0" w:footer="0" w:header="0"/>
        </w:sectPr>
      </w:pPr>
    </w:p>
    <w:bookmarkStart w:id="119" w:name="page120"/>
    <w:bookmarkEnd w:id="119"/>
    <w:p>
      <w:pPr>
        <w:spacing w:after="0" w:line="1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As of September 30, 2005, 6,331.5 Ordinary Shares remained available for grant pursuant to the Plan.</w:t>
      </w:r>
    </w:p>
    <w:p>
      <w:pPr>
        <w:spacing w:after="0" w:line="183"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following table summarizes information about share options outstanding as of September 30, 2005: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EXERCISABLE</w:t>
      </w:r>
    </w:p>
    <w:p>
      <w:pPr>
        <w:spacing w:after="0" w:line="7" w:lineRule="exact"/>
        <w:rPr>
          <w:sz w:val="20"/>
          <w:szCs w:val="20"/>
          <w:color w:val="auto"/>
        </w:rPr>
      </w:pPr>
    </w:p>
    <w:p>
      <w:pPr>
        <w:ind w:left="240" w:hanging="196"/>
        <w:spacing w:after="0"/>
        <w:tabs>
          <w:tab w:leader="none" w:pos="2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WEIGHTED</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AVERAGE</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WEIGHTED</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REMAINING</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AVERAGE</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EXERCISE</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NUMBER</w:t>
      </w:r>
    </w:p>
    <w:p>
      <w:pPr>
        <w:spacing w:after="0" w:line="6" w:lineRule="exact"/>
        <w:rPr>
          <w:rFonts w:ascii="Courier New" w:cs="Courier New" w:eastAsia="Courier New" w:hAnsi="Courier New"/>
          <w:sz w:val="16"/>
          <w:szCs w:val="16"/>
          <w:color w:val="auto"/>
        </w:rPr>
      </w:pPr>
    </w:p>
    <w:p>
      <w:pPr>
        <w:jc w:val="center"/>
        <w:ind w:right="91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CONTRACTUAL EXERCISE NUMBER WEIGHTED AVERAGE PRICE OUTSTANDING LIFE (IN YEARS) PRICE EXERCISABLE EXERCISE PRICE ----</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240" w:hanging="196"/>
        <w:spacing w:after="0"/>
        <w:tabs>
          <w:tab w:leader="none" w:pos="2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$ 0 -</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3.01..</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327.7 2.81</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$ 1.87</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327.7 $</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1.87 6.40</w:t>
      </w:r>
    </w:p>
    <w:p>
      <w:pPr>
        <w:spacing w:after="0" w:line="6" w:lineRule="exact"/>
        <w:rPr>
          <w:rFonts w:ascii="Courier New" w:cs="Courier New" w:eastAsia="Courier New" w:hAnsi="Courier New"/>
          <w:sz w:val="16"/>
          <w:szCs w:val="16"/>
          <w:color w:val="auto"/>
        </w:rPr>
      </w:pPr>
    </w:p>
    <w:p>
      <w:pPr>
        <w:ind w:left="280" w:hanging="187"/>
        <w:spacing w:after="0"/>
        <w:tabs>
          <w:tab w:leader="none" w:pos="28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18.60..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6,105.5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6.86 10.28</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3,022.8</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10.11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19.21 -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28.60..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9,816.6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7.90 24.28</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2,740.6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25.30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29.35 -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31.90..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4,213.1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6.33 30.95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3,680.0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31.01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33.07 -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45.07..</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2,750.7</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5.27 38.51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2,604.6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38.75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47.90 -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65.01..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2,168.0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4.95 58.31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2,163.0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58.32</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66.25 -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78.31..</w:t>
      </w:r>
    </w:p>
    <w:p>
      <w:pPr>
        <w:sectPr>
          <w:pgSz w:w="11900" w:h="16850" w:orient="portrait"/>
          <w:cols w:equalWidth="0" w:num="1">
            <w:col w:w="10219"/>
          </w:cols>
          <w:pgMar w:left="240" w:top="492" w:right="1440" w:bottom="0" w:gutter="0" w:footer="0" w:header="0"/>
        </w:sectPr>
      </w:pPr>
    </w:p>
    <w:bookmarkStart w:id="120" w:name="page121"/>
    <w:bookmarkEnd w:id="120"/>
    <w:p>
      <w:pPr>
        <w:jc w:val="center"/>
        <w:ind w:right="9159"/>
        <w:spacing w:after="0"/>
        <w:rPr>
          <w:sz w:val="20"/>
          <w:szCs w:val="20"/>
          <w:color w:val="auto"/>
        </w:rPr>
      </w:pPr>
      <w:r>
        <w:rPr>
          <w:rFonts w:ascii="Courier New" w:cs="Courier New" w:eastAsia="Courier New" w:hAnsi="Courier New"/>
          <w:sz w:val="16"/>
          <w:szCs w:val="16"/>
          <w:color w:val="auto"/>
        </w:rPr>
        <w:t>425.8 4.82</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70.34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425.8</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70.34</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 EARNINGS PER SHARE</w:t>
      </w:r>
    </w:p>
    <w:p>
      <w:pPr>
        <w:spacing w:after="0" w:line="195"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The following table sets forth the computation of basic and diluted earnings per share:</w:t>
      </w:r>
    </w:p>
    <w:p>
      <w:pPr>
        <w:spacing w:after="0" w:line="18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---------------- 2005 2004 2003 -------</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 -------- Numerator:</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Numerator for basic earnings per</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share..... $288,636 $234,860 $168,883</w:t>
      </w:r>
    </w:p>
    <w:p>
      <w:pPr>
        <w:spacing w:after="0" w:line="19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convertible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notes....................... 3,939</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2,296 -- ======== ======== ========</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Numerator for diluted earnings per</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share..... $292,575 $237,156 $168,883</w:t>
      </w:r>
    </w:p>
    <w:p>
      <w:pPr>
        <w:spacing w:after="0" w:line="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 ======== ======== Denominator:</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Denominator for basic earnings per</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share -- weighted average number of</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201,023 208,726 215,849 Restricted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25 --</w:t>
      </w:r>
    </w:p>
    <w:p>
      <w:pPr>
        <w:spacing w:after="0" w:line="7" w:lineRule="exact"/>
        <w:rPr>
          <w:sz w:val="20"/>
          <w:szCs w:val="20"/>
          <w:color w:val="auto"/>
        </w:rPr>
      </w:pPr>
    </w:p>
    <w:p>
      <w:pPr>
        <w:ind w:left="1120" w:right="6599" w:hanging="827"/>
        <w:spacing w:after="0" w:line="248" w:lineRule="auto"/>
        <w:tabs>
          <w:tab w:leader="none" w:pos="58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assumed conversion of 0.50% convertible</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notes....................... 10,436</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6,088 -- Effect of dilutive stock</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 granted... 5,678 5,471 4,027 --</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 -------- Denominator</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for dilutive earnings per share --</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adjusted weighted average shares and</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assumed conversions.......... 217,162</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220,285 219,876 ======== ========</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 Basic earnings per</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share..................... $ 1.44 $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1.13 $ 0.78 ======== ======== ========</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Diluted earnings per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 $ 1.35 $ 1.08</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$ 0.77 ======== ======== ========</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effect of the 2% Notes issued by the Company in May 2001 on diluted earnings per share was anti-dilutive for the years ended September 30, 2005, 2004 and 2003, and therefore was not included in the calculation above. The effect of the 0.50% Notes issued by the Company in March 2004 on diluted earnings per share was included in the above calculation See Note 2. The adoption of EITF 04-8 reduced the Company's previously reported diluted earnings per share by $0.02 per share for fiscal 2004.</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142" w:right="1440" w:bottom="1440" w:gutter="0" w:footer="0" w:header="0"/>
        </w:sectPr>
      </w:pPr>
    </w:p>
    <w:bookmarkStart w:id="121" w:name="page122"/>
    <w:bookmarkEnd w:id="121"/>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jc w:val="both"/>
        <w:ind w:right="2699" w:firstLine="489"/>
        <w:spacing w:after="0" w:line="250" w:lineRule="auto"/>
        <w:rPr>
          <w:sz w:val="20"/>
          <w:szCs w:val="20"/>
          <w:color w:val="auto"/>
        </w:rPr>
      </w:pPr>
      <w:r>
        <w:rPr>
          <w:rFonts w:ascii="Courier New" w:cs="Courier New" w:eastAsia="Courier New" w:hAnsi="Courier New"/>
          <w:sz w:val="16"/>
          <w:szCs w:val="16"/>
          <w:color w:val="auto"/>
        </w:rPr>
        <w:t>The weighted average effect of the repurchase of Ordinary Shares by the Company has been included in the calculation of basic earnings per share. See Note 17.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SEGMENT INFORMATION AND SALES TO SIGNIFICANT CUSTOMERS</w:t>
      </w:r>
    </w:p>
    <w:p>
      <w:pPr>
        <w:spacing w:after="0" w:line="195" w:lineRule="exact"/>
        <w:rPr>
          <w:sz w:val="20"/>
          <w:szCs w:val="20"/>
          <w:color w:val="auto"/>
        </w:rPr>
      </w:pPr>
    </w:p>
    <w:p>
      <w:pPr>
        <w:ind w:right="3079" w:firstLine="489"/>
        <w:spacing w:after="0" w:line="250" w:lineRule="auto"/>
        <w:rPr>
          <w:sz w:val="20"/>
          <w:szCs w:val="20"/>
          <w:color w:val="auto"/>
        </w:rPr>
      </w:pPr>
      <w:r>
        <w:rPr>
          <w:rFonts w:ascii="Courier New" w:cs="Courier New" w:eastAsia="Courier New" w:hAnsi="Courier New"/>
          <w:sz w:val="16"/>
          <w:szCs w:val="16"/>
          <w:color w:val="auto"/>
        </w:rPr>
        <w:t>The Company and its subsidiaries operate in one operating segment, providing business support systems and related services primarily for the communications industry.</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GEOGRAPHIC INFORMATION</w:t>
      </w:r>
    </w:p>
    <w:p>
      <w:pPr>
        <w:spacing w:after="0" w:line="19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The following is a summary of revenue and long-lived assets by geographic area. Revenue is attributed to geographic region based on the location of the customers.</w:t>
      </w:r>
    </w:p>
    <w:p>
      <w:pPr>
        <w:spacing w:after="0" w:line="18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2005 2004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2003 ---</w:t>
            </w:r>
          </w:p>
        </w:tc>
      </w:tr>
      <w:tr>
        <w:trPr>
          <w:trHeight w:val="188"/>
        </w:trPr>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 ----------</w:t>
            </w: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REVENUE</w:t>
            </w:r>
          </w:p>
        </w:tc>
      </w:tr>
      <w:tr>
        <w:trPr>
          <w:trHeight w:val="188"/>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United</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16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States............................</w:t>
            </w: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1460" w:type="dxa"/>
            <w:vAlign w:val="bottom"/>
          </w:tcPr>
          <w:p>
            <w:pPr>
              <w:jc w:val="right"/>
              <w:ind w:right="29"/>
              <w:spacing w:after="0"/>
              <w:rPr>
                <w:sz w:val="20"/>
                <w:szCs w:val="20"/>
                <w:color w:val="auto"/>
              </w:rPr>
            </w:pPr>
            <w:r>
              <w:rPr>
                <w:rFonts w:ascii="Courier New" w:cs="Courier New" w:eastAsia="Courier New" w:hAnsi="Courier New"/>
                <w:sz w:val="16"/>
                <w:szCs w:val="16"/>
                <w:color w:val="auto"/>
              </w:rPr>
              <w:t>985,811</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$ 824,931</w:t>
            </w:r>
          </w:p>
        </w:tc>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$ 732,400</w:t>
            </w:r>
          </w:p>
        </w:tc>
      </w:tr>
      <w:tr>
        <w:trPr>
          <w:trHeight w:val="188"/>
        </w:trPr>
        <w:tc>
          <w:tcPr>
            <w:tcW w:w="16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Canada...................................</w:t>
            </w: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404,212</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333,898</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183,973</w:t>
            </w:r>
          </w:p>
        </w:tc>
        <w:tc>
          <w:tcPr>
            <w:tcW w:w="840" w:type="dxa"/>
            <w:vAlign w:val="bottom"/>
          </w:tcPr>
          <w:p>
            <w:pPr>
              <w:spacing w:after="0"/>
              <w:rPr>
                <w:sz w:val="16"/>
                <w:szCs w:val="16"/>
                <w:color w:val="auto"/>
              </w:rPr>
            </w:pPr>
          </w:p>
        </w:tc>
      </w:tr>
    </w:tbl>
    <w:p>
      <w:pPr>
        <w:spacing w:after="0" w:line="380"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world........................ 160,405</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134,726 124,281 ---------- ---------- --</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Total....................................</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$2,038,621 $1,773,732 $1,483,327</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 ========== ==========</w:t>
      </w:r>
    </w:p>
    <w:p>
      <w:pPr>
        <w:spacing w:after="0" w:line="38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AS OF SEPTEMBER 30, --------------------</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---------------- 2005 2004 2003 --------</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 ---------- ---------- LONG-LIVED</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ASSETS United</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States(1)......................... $</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588,448 $ 340,090 $ 308,959</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Canada(2)................................</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655,014 668,806 686,748 Rest of the</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world........................ 151,961</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98,817 90,911 ---------- ---------- ----</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Total....................................</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$1,395,423 $1,107,713 $1,086,618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 ==========</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hanging="400"/>
        <w:spacing w:after="0"/>
        <w:tabs>
          <w:tab w:leader="none" w:pos="40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goodwill, computer software and hardware.</w:t>
      </w:r>
    </w:p>
    <w:p>
      <w:pPr>
        <w:spacing w:after="0" w:line="194"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goodwill.</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REVENUE AND CUSTOMER INFORMATION</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Integrated Customer Management Enabling Systems, or ICM Enabling Systems. In the past, the Company referred to ICM Enabling Systems as CC&amp;B Systems, include billing, customer relationship management ("CRM"), order management, self service, service fulfillment, mediation, and content revenue management products. Directory includes directory sales and publishing systems for publishers of both traditional printed yellow pages and white pages directories and electronic Internet directories.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--------------------- 2005 2004 2003 ---</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 ---------- ICM</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Enabling Systems.....................</w:t>
      </w:r>
    </w:p>
    <w:p>
      <w:pPr>
        <w:spacing w:after="0" w:line="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$1,776,536 $1,536,993 $1,280,430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Directory................................</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262,085 236,739 202,897 ---------- -----</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$2,038,621 $1,773,732 $1,483,327</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 ==========</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F-39</w:t>
      </w:r>
    </w:p>
    <w:p>
      <w:pPr>
        <w:sectPr>
          <w:pgSz w:w="11900" w:h="16838" w:orient="portrait"/>
          <w:cols w:equalWidth="0" w:num="1">
            <w:col w:w="10219"/>
          </w:cols>
          <w:pgMar w:left="240" w:top="493" w:right="1440" w:bottom="0" w:gutter="0" w:footer="0" w:header="0"/>
        </w:sectPr>
      </w:pPr>
    </w:p>
    <w:bookmarkStart w:id="122" w:name="page123"/>
    <w:bookmarkEnd w:id="122"/>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SALES TO SIGNIFICANT CUSTOMERS</w:t>
      </w:r>
    </w:p>
    <w:p>
      <w:pPr>
        <w:spacing w:after="0" w:line="195"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The following table summarizes the percentage of sales to significant customers groups (when they exceed 10 percent of total revenue for the year).</w:t>
      </w:r>
    </w:p>
    <w:p>
      <w:pPr>
        <w:spacing w:after="0" w:line="18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SEPTEMBER 30,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--------- 2005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2004(1)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2003(1) ---- ------</w:t>
            </w:r>
          </w:p>
        </w:tc>
      </w:tr>
      <w:tr>
        <w:trPr>
          <w:trHeight w:val="188"/>
        </w:trPr>
        <w:tc>
          <w:tcPr>
            <w:tcW w:w="1420" w:type="dxa"/>
            <w:vAlign w:val="bottom"/>
          </w:tcPr>
          <w:p>
            <w:pPr>
              <w:jc w:val="right"/>
              <w:ind w:right="27"/>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Customer</w:t>
            </w:r>
          </w:p>
        </w:tc>
      </w:tr>
      <w:tr>
        <w:trPr>
          <w:trHeight w:val="188"/>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1..........................................</w:t>
            </w:r>
          </w:p>
        </w:tc>
        <w:tc>
          <w:tcPr>
            <w:tcW w:w="1920" w:type="dxa"/>
            <w:vAlign w:val="bottom"/>
          </w:tcPr>
          <w:p>
            <w:pPr>
              <w:spacing w:after="0"/>
              <w:rPr>
                <w:sz w:val="16"/>
                <w:szCs w:val="16"/>
                <w:color w:val="auto"/>
              </w:rPr>
            </w:pPr>
          </w:p>
        </w:tc>
      </w:tr>
      <w:tr>
        <w:trPr>
          <w:trHeight w:val="188"/>
        </w:trPr>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 11%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Customer</w:t>
            </w:r>
          </w:p>
        </w:tc>
      </w:tr>
      <w:tr>
        <w:trPr>
          <w:trHeight w:val="188"/>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w:t>
            </w:r>
          </w:p>
        </w:tc>
        <w:tc>
          <w:tcPr>
            <w:tcW w:w="1920" w:type="dxa"/>
            <w:vAlign w:val="bottom"/>
          </w:tcPr>
          <w:p>
            <w:pPr>
              <w:spacing w:after="0"/>
              <w:rPr>
                <w:sz w:val="16"/>
                <w:szCs w:val="16"/>
                <w:color w:val="auto"/>
              </w:rPr>
            </w:pPr>
          </w:p>
        </w:tc>
      </w:tr>
      <w:tr>
        <w:trPr>
          <w:trHeight w:val="188"/>
        </w:trPr>
        <w:tc>
          <w:tcPr>
            <w:tcW w:w="1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14 16</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19</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2799" w:hanging="400"/>
        <w:spacing w:after="0" w:line="252" w:lineRule="auto"/>
        <w:tabs>
          <w:tab w:leader="none" w:pos="4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of sales to significant customers groups for fiscal years 2004 and 2003 were restated to reflect customer consolidation.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21 -- OPERATIONAL EFFICIENCY AND COST REDUCTION PROGRAMS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accordance with SFAS 112 "Employers' Accounting for Post Employment Benefits" (SFAS 112) and SFAS 146, "Accounting for Costs Associated with Exit or Disposal Activities" (SFAS 146) or, for actions prior to December 31, 2002, EITF Issue No. 94-3, "Liability Recognition for Certain Employee Termination Benefits and Other Costs to Exit an Activity (including Certain Costs Incurred in a Restructuring)," the Company recognized a total of $8,135, $0 and $9,956 in restructuring charges in fiscal 2005, 2004 and 2003, respectively.</w:t>
      </w:r>
    </w:p>
    <w:p>
      <w:pPr>
        <w:spacing w:after="0" w:line="187" w:lineRule="exact"/>
        <w:rPr>
          <w:sz w:val="20"/>
          <w:szCs w:val="20"/>
          <w:color w:val="auto"/>
        </w:rPr>
      </w:pPr>
    </w:p>
    <w:p>
      <w:pPr>
        <w:ind w:right="2799" w:firstLine="489"/>
        <w:spacing w:after="0" w:line="252" w:lineRule="auto"/>
        <w:rPr>
          <w:sz w:val="20"/>
          <w:szCs w:val="20"/>
          <w:color w:val="auto"/>
        </w:rPr>
      </w:pPr>
      <w:r>
        <w:rPr>
          <w:rFonts w:ascii="Courier New" w:cs="Courier New" w:eastAsia="Courier New" w:hAnsi="Courier New"/>
          <w:sz w:val="16"/>
          <w:szCs w:val="16"/>
          <w:color w:val="auto"/>
        </w:rPr>
        <w:t>The following describes restructuring actions the Company has initiated over the past four fiscal years:</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Fiscal Year Ended September 30, 2005</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the fourth quarter of fiscal 2005, the Company commenced a series of measures designed to align its operational structure to its expected future growth, to allow better integration of recent acquisitions of DST Innovis and Longshine, and to improve efficiency. As part of this plan, the Company recorded a charge of $8,135 in connection with the termination of employment of software and information technology specialists and administrative professionals. Approximately $1,133 of the total charge was paid in cash as of September 30, 2005. The remaining separation costs are expected to be paid out during fiscal 2006.</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Fiscal Year Ended September 30, 2003</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the first quarter of fiscal 2003, the Company implemented a series of measures designed to reduce costs and improve productivity. As part of this plan, the Company reduced its workforce by approximately 400 employees, representing approximately 4% of the Company's worldwide workforce at that time, of 9,000 full-time employees, vacated facilities in different centers around the world and implemented other cost reduction measures, including travel cuts and reduction in other discretionary costs.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restructuring charge associated with these actions and recorded in the first quarter of fiscal 2003 was $9,956. Approximately $6,365 of the total charge was paid in cash as of September 30, 2005. The remaining facility related costs, are expected to be paid out through June 2008.</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F-40</w:t>
      </w:r>
    </w:p>
    <w:p>
      <w:pPr>
        <w:sectPr>
          <w:pgSz w:w="11900" w:h="16838" w:orient="portrait"/>
          <w:cols w:equalWidth="0" w:num="1">
            <w:col w:w="10219"/>
          </w:cols>
          <w:pgMar w:left="240" w:top="492" w:right="1440" w:bottom="1440" w:gutter="0" w:footer="0" w:header="0"/>
        </w:sectPr>
      </w:pPr>
    </w:p>
    <w:bookmarkStart w:id="123" w:name="page124"/>
    <w:bookmarkEnd w:id="123"/>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The first quarter of fiscal 2003 restructuring charge is comprised of the following as of September 30, 2005:</w:t>
      </w:r>
    </w:p>
    <w:p>
      <w:pPr>
        <w:spacing w:after="0" w:line="183"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EMPLOYEE SEPARATION ASSET COSTS</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FACILITIES WRITE-OFFS OTHER TOTAL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 Balance as of October 1,</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2002......... $ -- $ -- $ -- $ -- $ -</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Charges...............................</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4,011 4,022 1,829 94 9,956 Cash</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payments.........................</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(3,890) (467) -- (94) (4,451) Non</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cash.............................. --</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 (1,829) -- (1,829)</w:t>
      </w:r>
    </w:p>
    <w:p>
      <w:pPr>
        <w:spacing w:after="0" w:line="7"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Adjustments(1)........................</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38 (453) -- -- (415) ------- -------</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 ---- ------- Balance as of</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September 30, 2003...... 159 3,102 --</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-- 3,261 Cash</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payments.........................</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(167) (1,305) -- -- (1,472)</w:t>
      </w:r>
    </w:p>
    <w:p>
      <w:pPr>
        <w:spacing w:after="0" w:line="7"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Adjustments(1)........................</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8 -- -- -- 8 ------- ------- -------</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 ------- Balance as of September</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30, 2004...... -- 1,797 -- -- 1,797</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Cash</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payments......................... --</w:t>
      </w:r>
    </w:p>
    <w:p>
      <w:pPr>
        <w:spacing w:after="0" w:line="7" w:lineRule="exact"/>
        <w:rPr>
          <w:sz w:val="20"/>
          <w:szCs w:val="20"/>
          <w:color w:val="auto"/>
        </w:rPr>
      </w:pPr>
    </w:p>
    <w:p>
      <w:pPr>
        <w:ind w:left="1620" w:hanging="596"/>
        <w:spacing w:after="0"/>
        <w:tabs>
          <w:tab w:leader="none" w:pos="162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(442)</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Adjustments(1)........................</w:t>
      </w:r>
    </w:p>
    <w:p>
      <w:pPr>
        <w:spacing w:after="0" w:line="6" w:lineRule="exact"/>
        <w:rPr>
          <w:rFonts w:ascii="Courier New" w:cs="Courier New" w:eastAsia="Courier New" w:hAnsi="Courier New"/>
          <w:sz w:val="16"/>
          <w:szCs w:val="16"/>
          <w:color w:val="auto"/>
        </w:rPr>
      </w:pPr>
    </w:p>
    <w:p>
      <w:pPr>
        <w:ind w:left="340" w:hanging="293"/>
        <w:spacing w:after="0"/>
        <w:tabs>
          <w:tab w:leader="none" w:pos="3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268 -- -- 268 ------- ------- ----</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 ---- ------- Balance as of</w:t>
      </w:r>
    </w:p>
    <w:p>
      <w:pPr>
        <w:spacing w:after="0" w:line="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September 30, 2005...... $ -- $ 1,623</w:t>
      </w:r>
    </w:p>
    <w:p>
      <w:pPr>
        <w:spacing w:after="0" w:line="7" w:lineRule="exact"/>
        <w:rPr>
          <w:sz w:val="20"/>
          <w:szCs w:val="20"/>
          <w:color w:val="auto"/>
        </w:rPr>
      </w:pPr>
    </w:p>
    <w:p>
      <w:pPr>
        <w:ind w:left="440" w:hanging="198"/>
        <w:spacing w:after="0"/>
        <w:tabs>
          <w:tab w:leader="none" w:pos="44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$ 1,623 ======= =======</w:t>
      </w:r>
    </w:p>
    <w:p>
      <w:pPr>
        <w:spacing w:after="0" w:line="6"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8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00" w:right="2399" w:hanging="400"/>
        <w:spacing w:after="0" w:line="249" w:lineRule="auto"/>
        <w:tabs>
          <w:tab w:leader="none" w:pos="4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differences in foreign exchange rates from balances paid in currencies other than the U.S. dollar that were credited to "interest income and other, net" and adjustments due to changes in previous estimates. These adjustments resulted in a (decrease) increase of restructuring liabilities related to facilities and an increase of restructuring liabilities related to employee separation costs. The net amount was credited to "cost of service" and "selling, general and administrative" expenses.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Fiscal Year Ended September 30, 2002</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the fourth quarter of fiscal 2002, the Company implemented a cost reduction program targeted to reduce costs. The restructuring charge associated with these actions and recorded in the fourth quarter of fiscal 2002 was $20,919. Approximately $17,367 of the total charge was paid in cash as of September 30, 2005. The remaining facility related costs, are expected to be paid out through December 2007.</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F-41</w:t>
      </w:r>
    </w:p>
    <w:p>
      <w:pPr>
        <w:sectPr>
          <w:pgSz w:w="11900" w:h="16838" w:orient="portrait"/>
          <w:cols w:equalWidth="0" w:num="1">
            <w:col w:w="10219"/>
          </w:cols>
          <w:pgMar w:left="240" w:top="492" w:right="1440" w:bottom="1440" w:gutter="0" w:footer="0" w:header="0"/>
        </w:sectPr>
      </w:pPr>
    </w:p>
    <w:bookmarkStart w:id="124" w:name="page125"/>
    <w:bookmarkEnd w:id="124"/>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fourth quarter of fiscal 2002 restructuring charge is comprised of the following as of September 30, 2005:</w:t>
      </w:r>
    </w:p>
    <w:p>
      <w:pPr>
        <w:spacing w:after="0" w:line="18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EMPLOYEE SEPARATION COSTS FACILITIES OTHER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TOTAL ---------- ---------- ----- -------</w:t>
      </w:r>
    </w:p>
    <w:p>
      <w:pPr>
        <w:spacing w:after="0" w:line="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Balance as of October 1,</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2002................... $ 3,300 $ 7,424 $ 45</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$10,769 Cash</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payments...................................</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(3,240) (4,082) (45) (7,367)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Adjustments(1)..................................</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22 (148) -- (126) ------- ------- ---- -------</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Balance as of September 30,</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2003................ 82 3,194 -- 3,276 Cash</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payments................................... --</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(1,130) -- (1,130)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Adjustments(1)..................................</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(82) 601 -- 519 ------- ------- ---- -------</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Balance as of September 30,</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2004................ -- 2,665 -- 2,665 Cash</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payments................................... --</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(305) -- (305)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Adjustments(1)..................................</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(1,817) -- (1,817) ------- ------- ---- ----</w:t>
      </w:r>
    </w:p>
    <w:p>
      <w:pPr>
        <w:spacing w:after="0" w:line="7"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 Balance as of September 30,</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2005................ $ -- $ 543 $ -- $ 543</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 ======= ==== =======</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2399" w:hanging="400"/>
        <w:spacing w:after="0" w:line="249" w:lineRule="auto"/>
        <w:tabs>
          <w:tab w:leader="none" w:pos="40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differences in foreign exchange rates from balances paid in currencies other than the U.S. dollar that were credited to "interest income and other, net" and adjustments due to changes in previous estimates. These adjustments resulted in a (decrease) increase of restructuring liabilities related to facilities and an increase (decrease) of restructuring liabilities related to employee separation costs. The net amount was credited to "cost of service" and "selling, general and administrative" expenses.</w:t>
      </w:r>
    </w:p>
    <w:p>
      <w:pPr>
        <w:spacing w:after="0" w:line="37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88"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restructuring charge associated with this action and recorded in the first quarter of fiscal 2002 was $13,311. Approximately $8,544 of the total charge was paid in cash as of September 30, 2005. The remainder of the charge, comprised of facility related costs, is expected to be paid out through August 2008.</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F-42</w:t>
      </w:r>
    </w:p>
    <w:p>
      <w:pPr>
        <w:sectPr>
          <w:pgSz w:w="11900" w:h="16838" w:orient="portrait"/>
          <w:cols w:equalWidth="0" w:num="1">
            <w:col w:w="10219"/>
          </w:cols>
          <w:pgMar w:left="240" w:top="492" w:right="1440" w:bottom="1440" w:gutter="0" w:footer="0" w:header="0"/>
        </w:sectPr>
      </w:pPr>
    </w:p>
    <w:bookmarkStart w:id="125" w:name="page126"/>
    <w:bookmarkEnd w:id="125"/>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restructuring charge related to the consolidation of the Stamford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Champaign facilities is comprised of the following as of September 30, 2005:</w:t>
      </w:r>
    </w:p>
    <w:p>
      <w:pPr>
        <w:spacing w:after="0" w:line="19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EMPLOYEE SEPARATION COSTS FACILITIES OTHER</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TOTAL ---------- ---------- ----- -------</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Balance as of October 1,</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2002.................. $ 57 $ 3,663 $ 395 $</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4,115 Cash</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payments.................................. --</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(785) (141) (926)</w:t>
      </w:r>
    </w:p>
    <w:p>
      <w:pPr>
        <w:spacing w:after="0" w:line="7"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6"/>
          <w:szCs w:val="16"/>
          <w:color w:val="auto"/>
        </w:rPr>
        <w:t>Adjustments(1).................................</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(57) (168) (254) (479) ---- ------- ----- ----</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 Balance as of September 30,</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2003............... -- 2,710 -- 2,710 Cash</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payments.................................. --</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(1,112) -- (1,112)</w:t>
      </w:r>
    </w:p>
    <w:p>
      <w:pPr>
        <w:spacing w:after="0" w:line="7"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6"/>
          <w:szCs w:val="16"/>
          <w:color w:val="auto"/>
        </w:rPr>
        <w:t>Adjustments(1).................................</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-- 4,220 -- 4,220 ---- ------- ----- -------</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Balance as of September 30,</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2004............... -- 5,818 -- 5,818 Cash</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payments.................................. --</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(1,436) -- (1,436)</w:t>
      </w:r>
    </w:p>
    <w:p>
      <w:pPr>
        <w:spacing w:after="0" w:line="7"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6"/>
          <w:szCs w:val="16"/>
          <w:color w:val="auto"/>
        </w:rPr>
        <w:t>Adjustments(1).................................</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-- 119 -- 119 ---- ------- ----- -------</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Balance as of September 30,</w:t>
      </w:r>
    </w:p>
    <w:p>
      <w:pPr>
        <w:spacing w:after="0" w:line="7"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2005............... $ -- $ 4,501 $ -- $ 4,501</w:t>
      </w:r>
    </w:p>
    <w:p>
      <w:pPr>
        <w:spacing w:after="0" w:line="7" w:lineRule="exact"/>
        <w:rPr>
          <w:sz w:val="20"/>
          <w:szCs w:val="20"/>
          <w:color w:val="auto"/>
        </w:rPr>
      </w:pPr>
    </w:p>
    <w:p>
      <w:pPr>
        <w:ind w:left="1520" w:hanging="497"/>
        <w:spacing w:after="0"/>
        <w:tabs>
          <w:tab w:leader="none" w:pos="152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8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00" w:right="2399" w:hanging="400"/>
        <w:spacing w:after="0" w:line="249" w:lineRule="auto"/>
        <w:tabs>
          <w:tab w:leader="none" w:pos="40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adjustments due to changes in previous estimates. These adjustments resulted in a (decrease) increase of restructuring liabilities related to facilities and a decrease of restructuring liabilities related to employee separation costs. The net amount was credited to "cost of service" and "selling, general and administrative" expenses.</w:t>
      </w:r>
    </w:p>
    <w:p>
      <w:pPr>
        <w:spacing w:after="0" w:line="187"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Actual future cash requirements may differ materially from the accrual as of September 30, 2005, particularly if actual sublease income differs significantly from current estimates.</w:t>
      </w:r>
    </w:p>
    <w:p>
      <w:pPr>
        <w:spacing w:after="0" w:line="18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These charges are included in "restructuring charges, in-process research and development and other" for the years ended September 30, 2005 and 2003.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22 -- FINANCIAL INSTRUMENTS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enters into forward contracts and options to purchase and sell foreign currencies to reduce the exposure associated with revenue denominated in a foreign currency and exposure associated with anticipated expenses (primarily personnel costs), in non-U.S. dollar-based currencies and designates these for accounting purposes as cash flow hedges. The Company also may enter into forward contracts to sell foreign currency in order to hedge its exposure associated with some firm commitments from customers in non-U.S. dollar-based currencies and designates these for accounting purposes as fair value hedges. As of September 30, 2005 and 2004, the Company had no outstanding fair value hedges. The derivative financial instruments are afforded hedge accounting because they are effective in managing foreign exchange risks and are appropriately assigned to the underlying exposures. The Company does not engage in currency speculation. The Company currently enters into forward exchange contracts exclusively with major financial institutions. Forward contracts, which are not designated as hedging instruments under SFAS No. 133, are used to offset the effect of exchange rates on certain assets and liabilities. The Company currently hedges its exposure to the variability in future cash flows for a maximum period of three years.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The effective portion of the change in the fair value of forward exchange contracts or options, which are classified as cash flow</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F-43</w:t>
      </w:r>
    </w:p>
    <w:p>
      <w:pPr>
        <w:sectPr>
          <w:pgSz w:w="11900" w:h="16838" w:orient="portrait"/>
          <w:cols w:equalWidth="0" w:num="1">
            <w:col w:w="10219"/>
          </w:cols>
          <w:pgMar w:left="240" w:top="492" w:right="1440" w:bottom="939" w:gutter="0" w:footer="0" w:header="0"/>
        </w:sectPr>
      </w:pPr>
    </w:p>
    <w:bookmarkStart w:id="126" w:name="page127"/>
    <w:bookmarkEnd w:id="126"/>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hedges, is recorded as comprehensive income until the underlying transaction is recognized in earnings. For fair value hedges, changes in the fair value of forward exchange contracts offset the change in the fair value of the hedged item to the extent of the arrangement's effectiveness. Any residual change in fair value of the forward contracts, such as time value, excluded from effectiveness testing for hedges of estimated receipts from customers, is recognized immediately in "interest income and other, net." Hedge ineffectiveness, if any, is also included in current period in earnings in "interest income and other, net."</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Company discontinues hedge accounting for a forward contract when (1) it is determined that the derivative is no longer effective in offsetting changes in the fair value of cash flows of hedged item; (2) the derivative matures or is terminated; (3) it is determined that the forecasted hedged transaction will no longer occur; (4) a hedged firm commitment no longer meets the definition of a firm commitment; or (5) management decides to remove the designation of the derivative as a hedging instrument.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When hedge accounting is discontinued, and if the derivative remains outstanding, the Company will record the derivative at its fair value on the consolidated balance sheet, recognizing changes in the fair value in current period earnings in "interest income and other, net." When the Company discontinues hedge accounting because it is no longer probable that the forecasted transaction will occur, the gains and losses that were accumulated in other comprehensive income will be recognized immediately in earnings in "interest income and other, net."</w:t>
      </w:r>
    </w:p>
    <w:p>
      <w:pPr>
        <w:spacing w:after="0" w:line="187"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The fair value of the open contracts recorded by the Company in its consolidated balance sheets as an asset or a liability is as follows:</w:t>
      </w:r>
    </w:p>
    <w:p>
      <w:pPr>
        <w:spacing w:after="0" w:line="18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 OF SEPTEMBER 30, -------------------- 2005 2004</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 -------- Prepaid expenses and other</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current assets................... $ 369 $ 2,529</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Other noncurrent</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assets..................................... 46 --</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Accrued expenses and other current</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liabilities.............. (10,755) (2,465)</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Noncurrent liabilities and</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other............................ (2,361) (2,200)</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 ------- Net fair</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value..............................................</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$(12,701) $(2,136) ======== =======</w:t>
      </w:r>
    </w:p>
    <w:p>
      <w:pPr>
        <w:spacing w:after="0" w:line="383"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All forward contracts outstanding as of September 30, 2005 are expected to mature within the next two years.</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During fiscal years 2005, 2004 and 2003, the gains or losses recognized in earnings for hedge ineffectiveness, excluding the time value portion excluded from effectiveness testing, were not material. During fiscal years 2005, 2004 and 2003, the Company recognized losses of $0, $0 and $143, respectively, for a hedged firm commitment that no longer qualified as a fair value hedge. During fiscal years 2005, 2004 and 2003, the Company recognized losses of $265, $1,189 and $16, respectively, resulting from hedged forecasted cash flows that no longer qualified as cash flow hedges. All of the above gains or losses are included in "interest income and other, net".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Derivatives gains and losses, that are included in other comprehensive income (loss), are reclassified into earnings at the time the forecasted revenue or expenses are recognized. The Company estimates that a $7,187 net loss related to forward contracts that is included in other comprehensive income as of September 30, 2005 will be reclassified into earnings within the next twelve months. The amount ultimately realized in earnings will likely differ due to future changes in foreign exchange rates.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F-44</w:t>
      </w:r>
    </w:p>
    <w:p>
      <w:pPr>
        <w:sectPr>
          <w:pgSz w:w="11900" w:h="16838" w:orient="portrait"/>
          <w:cols w:equalWidth="0" w:num="1">
            <w:col w:w="10219"/>
          </w:cols>
          <w:pgMar w:left="240" w:top="492" w:right="1440" w:bottom="1440" w:gutter="0" w:footer="0" w:header="0"/>
        </w:sectPr>
      </w:pPr>
    </w:p>
    <w:bookmarkStart w:id="127" w:name="page128"/>
    <w:bookmarkEnd w:id="127"/>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THE CONSOLIDATED FINANCIAL STATEMENTS -- (CONTINUED)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23 -- SELECTED QUARTERLY RESULTS OF OPERATIONS (UNAUDITED)</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following are details of the unaudited quarterly results of operations for the three months ended:</w:t>
      </w:r>
    </w:p>
    <w:p>
      <w:pPr>
        <w:spacing w:after="0" w:line="183"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SEPTEMBER 30, JUNE 30, MARCH 31, DECEMBER</w:t>
      </w:r>
    </w:p>
    <w:p>
      <w:pPr>
        <w:spacing w:after="0" w:line="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31, ------------- -------- --------- -------</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----- 2005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Revenue......................................</w:t>
            </w:r>
          </w:p>
        </w:tc>
        <w:tc>
          <w:tcPr>
            <w:tcW w:w="1220" w:type="dxa"/>
            <w:vAlign w:val="bottom"/>
          </w:tcPr>
          <w:p>
            <w:pPr>
              <w:spacing w:after="0"/>
              <w:rPr>
                <w:sz w:val="15"/>
                <w:szCs w:val="15"/>
                <w:color w:val="auto"/>
              </w:rPr>
            </w:pPr>
          </w:p>
        </w:tc>
      </w:tr>
      <w:tr>
        <w:trPr>
          <w:trHeight w:val="188"/>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$573,318</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$507,355 $488,416</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$469,532</w:t>
            </w:r>
          </w:p>
        </w:tc>
      </w:tr>
      <w:tr>
        <w:trPr>
          <w:trHeight w:val="188"/>
        </w:trPr>
        <w:tc>
          <w:tcPr>
            <w:tcW w:w="1360" w:type="dxa"/>
            <w:vAlign w:val="bottom"/>
          </w:tcPr>
          <w:p>
            <w:pPr>
              <w:spacing w:after="0"/>
              <w:rPr>
                <w:sz w:val="16"/>
                <w:szCs w:val="16"/>
                <w:color w:val="auto"/>
              </w:rPr>
            </w:pP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Operating</w:t>
            </w:r>
          </w:p>
        </w:tc>
        <w:tc>
          <w:tcPr>
            <w:tcW w:w="1220" w:type="dxa"/>
            <w:vAlign w:val="bottom"/>
          </w:tcPr>
          <w:p>
            <w:pPr>
              <w:spacing w:after="0"/>
              <w:rPr>
                <w:sz w:val="16"/>
                <w:szCs w:val="16"/>
                <w:color w:val="auto"/>
              </w:rPr>
            </w:pPr>
          </w:p>
        </w:tc>
      </w:tr>
      <w:tr>
        <w:trPr>
          <w:trHeight w:val="188"/>
        </w:trPr>
        <w:tc>
          <w:tcPr>
            <w:tcW w:w="3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income.............................</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495,922</w:t>
            </w:r>
          </w:p>
        </w:tc>
      </w:tr>
    </w:tbl>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415,293 401,223 387,691 Net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67,799 77,097 74,297 69,443 Basic earnings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jc w:val="right"/>
              <w:spacing w:after="0"/>
              <w:rPr>
                <w:sz w:val="20"/>
                <w:szCs w:val="20"/>
                <w:color w:val="auto"/>
              </w:rPr>
            </w:pPr>
            <w:r>
              <w:rPr>
                <w:rFonts w:ascii="Courier New" w:cs="Courier New" w:eastAsia="Courier New" w:hAnsi="Courier New"/>
                <w:sz w:val="10"/>
                <w:szCs w:val="10"/>
                <w:color w:val="auto"/>
                <w:w w:val="74"/>
              </w:rPr>
              <w:t>per share.....................</w:t>
            </w: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0.34</w:t>
            </w: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0.38</w:t>
            </w:r>
          </w:p>
        </w:tc>
      </w:tr>
      <w:tr>
        <w:trPr>
          <w:trHeight w:val="188"/>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0.37 0.34 Diluted earnings per</w:t>
            </w:r>
          </w:p>
        </w:tc>
        <w:tc>
          <w:tcPr>
            <w:tcW w:w="680" w:type="dxa"/>
            <w:vAlign w:val="bottom"/>
          </w:tcPr>
          <w:p>
            <w:pPr>
              <w:spacing w:after="0"/>
              <w:rPr>
                <w:sz w:val="16"/>
                <w:szCs w:val="16"/>
                <w:color w:val="auto"/>
              </w:rPr>
            </w:pPr>
          </w:p>
        </w:tc>
      </w:tr>
      <w:tr>
        <w:trPr>
          <w:trHeight w:val="188"/>
        </w:trPr>
        <w:tc>
          <w:tcPr>
            <w:tcW w:w="1360" w:type="dxa"/>
            <w:vAlign w:val="bottom"/>
          </w:tcPr>
          <w:p>
            <w:pPr>
              <w:jc w:val="right"/>
              <w:spacing w:after="0"/>
              <w:rPr>
                <w:sz w:val="20"/>
                <w:szCs w:val="20"/>
                <w:color w:val="auto"/>
              </w:rPr>
            </w:pPr>
            <w:r>
              <w:rPr>
                <w:rFonts w:ascii="Courier New" w:cs="Courier New" w:eastAsia="Courier New" w:hAnsi="Courier New"/>
                <w:sz w:val="13"/>
                <w:szCs w:val="13"/>
                <w:color w:val="auto"/>
                <w:w w:val="71"/>
              </w:rPr>
              <w:t>share...................</w:t>
            </w:r>
          </w:p>
        </w:tc>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0.32 0.36 0.34 0.32</w:t>
            </w:r>
          </w:p>
        </w:tc>
      </w:tr>
      <w:tr>
        <w:trPr>
          <w:trHeight w:val="188"/>
        </w:trPr>
        <w:tc>
          <w:tcPr>
            <w:tcW w:w="1360" w:type="dxa"/>
            <w:vAlign w:val="bottom"/>
          </w:tcPr>
          <w:p>
            <w:pPr>
              <w:spacing w:after="0"/>
              <w:rPr>
                <w:sz w:val="16"/>
                <w:szCs w:val="16"/>
                <w:color w:val="auto"/>
              </w:rPr>
            </w:pPr>
          </w:p>
        </w:tc>
        <w:tc>
          <w:tcPr>
            <w:tcW w:w="2300" w:type="dxa"/>
            <w:vAlign w:val="bottom"/>
          </w:tcPr>
          <w:p>
            <w:pPr>
              <w:jc w:val="center"/>
              <w:ind w:right="539"/>
              <w:spacing w:after="0"/>
              <w:rPr>
                <w:sz w:val="20"/>
                <w:szCs w:val="20"/>
                <w:color w:val="auto"/>
              </w:rPr>
            </w:pPr>
            <w:r>
              <w:rPr>
                <w:rFonts w:ascii="Courier New" w:cs="Courier New" w:eastAsia="Courier New" w:hAnsi="Courier New"/>
                <w:sz w:val="16"/>
                <w:szCs w:val="16"/>
                <w:color w:val="auto"/>
              </w:rPr>
              <w:t>2004</w:t>
            </w:r>
          </w:p>
        </w:tc>
        <w:tc>
          <w:tcPr>
            <w:tcW w:w="680" w:type="dxa"/>
            <w:vAlign w:val="bottom"/>
          </w:tcPr>
          <w:p>
            <w:pPr>
              <w:spacing w:after="0"/>
              <w:rPr>
                <w:sz w:val="16"/>
                <w:szCs w:val="16"/>
                <w:color w:val="auto"/>
              </w:rPr>
            </w:pPr>
          </w:p>
        </w:tc>
      </w:tr>
      <w:tr>
        <w:trPr>
          <w:trHeight w:val="188"/>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Revenue......................................</w:t>
            </w:r>
          </w:p>
        </w:tc>
        <w:tc>
          <w:tcPr>
            <w:tcW w:w="680" w:type="dxa"/>
            <w:vAlign w:val="bottom"/>
          </w:tcPr>
          <w:p>
            <w:pPr>
              <w:spacing w:after="0"/>
              <w:rPr>
                <w:sz w:val="16"/>
                <w:szCs w:val="16"/>
                <w:color w:val="auto"/>
              </w:rPr>
            </w:pPr>
          </w:p>
        </w:tc>
      </w:tr>
      <w:tr>
        <w:trPr>
          <w:trHeight w:val="188"/>
        </w:trPr>
        <w:tc>
          <w:tcPr>
            <w:tcW w:w="1360" w:type="dxa"/>
            <w:vAlign w:val="bottom"/>
          </w:tcPr>
          <w:p>
            <w:pPr>
              <w:jc w:val="right"/>
              <w:ind w:right="6"/>
              <w:spacing w:after="0"/>
              <w:rPr>
                <w:sz w:val="20"/>
                <w:szCs w:val="20"/>
                <w:color w:val="auto"/>
              </w:rPr>
            </w:pPr>
            <w:r>
              <w:rPr>
                <w:rFonts w:ascii="Courier New" w:cs="Courier New" w:eastAsia="Courier New" w:hAnsi="Courier New"/>
                <w:sz w:val="16"/>
                <w:szCs w:val="16"/>
                <w:color w:val="auto"/>
              </w:rPr>
              <w:t>$452,455</w:t>
            </w:r>
          </w:p>
        </w:tc>
        <w:tc>
          <w:tcPr>
            <w:tcW w:w="298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$450,224 $442,758 $428,295</w:t>
            </w:r>
          </w:p>
        </w:tc>
      </w:tr>
      <w:tr>
        <w:trPr>
          <w:trHeight w:val="188"/>
        </w:trPr>
        <w:tc>
          <w:tcPr>
            <w:tcW w:w="1360" w:type="dxa"/>
            <w:vAlign w:val="bottom"/>
          </w:tcPr>
          <w:p>
            <w:pPr>
              <w:spacing w:after="0"/>
              <w:rPr>
                <w:sz w:val="16"/>
                <w:szCs w:val="16"/>
                <w:color w:val="auto"/>
              </w:rPr>
            </w:pPr>
          </w:p>
        </w:tc>
        <w:tc>
          <w:tcPr>
            <w:tcW w:w="2300" w:type="dxa"/>
            <w:vAlign w:val="bottom"/>
          </w:tcPr>
          <w:p>
            <w:pPr>
              <w:jc w:val="center"/>
              <w:ind w:right="539"/>
              <w:spacing w:after="0"/>
              <w:rPr>
                <w:sz w:val="20"/>
                <w:szCs w:val="20"/>
                <w:color w:val="auto"/>
              </w:rPr>
            </w:pPr>
            <w:r>
              <w:rPr>
                <w:rFonts w:ascii="Courier New" w:cs="Courier New" w:eastAsia="Courier New" w:hAnsi="Courier New"/>
                <w:sz w:val="16"/>
                <w:szCs w:val="16"/>
                <w:color w:val="auto"/>
              </w:rPr>
              <w:t>Operating</w:t>
            </w:r>
          </w:p>
        </w:tc>
        <w:tc>
          <w:tcPr>
            <w:tcW w:w="680" w:type="dxa"/>
            <w:vAlign w:val="bottom"/>
          </w:tcPr>
          <w:p>
            <w:pPr>
              <w:spacing w:after="0"/>
              <w:rPr>
                <w:sz w:val="16"/>
                <w:szCs w:val="16"/>
                <w:color w:val="auto"/>
              </w:rPr>
            </w:pPr>
          </w:p>
        </w:tc>
      </w:tr>
      <w:tr>
        <w:trPr>
          <w:trHeight w:val="188"/>
        </w:trPr>
        <w:tc>
          <w:tcPr>
            <w:tcW w:w="36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income.............................</w:t>
            </w: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76,948</w:t>
            </w:r>
          </w:p>
        </w:tc>
      </w:tr>
      <w:tr>
        <w:trPr>
          <w:trHeight w:val="188"/>
        </w:trPr>
        <w:tc>
          <w:tcPr>
            <w:tcW w:w="3660" w:type="dxa"/>
            <w:vAlign w:val="bottom"/>
            <w:gridSpan w:val="2"/>
          </w:tcPr>
          <w:p>
            <w:pPr>
              <w:jc w:val="center"/>
              <w:ind w:left="666"/>
              <w:spacing w:after="0"/>
              <w:rPr>
                <w:sz w:val="20"/>
                <w:szCs w:val="20"/>
                <w:color w:val="auto"/>
              </w:rPr>
            </w:pPr>
            <w:r>
              <w:rPr>
                <w:rFonts w:ascii="Courier New" w:cs="Courier New" w:eastAsia="Courier New" w:hAnsi="Courier New"/>
                <w:sz w:val="16"/>
                <w:szCs w:val="16"/>
                <w:color w:val="auto"/>
              </w:rPr>
              <w:t>76,699 75,584 66,969 Net</w:t>
            </w:r>
          </w:p>
        </w:tc>
        <w:tc>
          <w:tcPr>
            <w:tcW w:w="680" w:type="dxa"/>
            <w:vAlign w:val="bottom"/>
          </w:tcPr>
          <w:p>
            <w:pPr>
              <w:spacing w:after="0"/>
              <w:rPr>
                <w:sz w:val="16"/>
                <w:szCs w:val="16"/>
                <w:color w:val="auto"/>
              </w:rPr>
            </w:pPr>
          </w:p>
        </w:tc>
      </w:tr>
      <w:tr>
        <w:trPr>
          <w:trHeight w:val="188"/>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income...................................</w:t>
            </w:r>
          </w:p>
        </w:tc>
        <w:tc>
          <w:tcPr>
            <w:tcW w:w="680" w:type="dxa"/>
            <w:vAlign w:val="bottom"/>
          </w:tcPr>
          <w:p>
            <w:pPr>
              <w:spacing w:after="0"/>
              <w:rPr>
                <w:sz w:val="16"/>
                <w:szCs w:val="16"/>
                <w:color w:val="auto"/>
              </w:rPr>
            </w:pPr>
          </w:p>
        </w:tc>
      </w:tr>
      <w:tr>
        <w:trPr>
          <w:trHeight w:val="188"/>
        </w:trPr>
        <w:tc>
          <w:tcPr>
            <w:tcW w:w="434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61,582 59,920 60,290 53,068 Basic earnings</w:t>
            </w:r>
          </w:p>
        </w:tc>
      </w:tr>
      <w:tr>
        <w:trPr>
          <w:trHeight w:val="188"/>
        </w:trPr>
        <w:tc>
          <w:tcPr>
            <w:tcW w:w="1360" w:type="dxa"/>
            <w:vAlign w:val="bottom"/>
          </w:tcPr>
          <w:p>
            <w:pPr>
              <w:jc w:val="right"/>
              <w:spacing w:after="0"/>
              <w:rPr>
                <w:sz w:val="20"/>
                <w:szCs w:val="20"/>
                <w:color w:val="auto"/>
              </w:rPr>
            </w:pPr>
            <w:r>
              <w:rPr>
                <w:rFonts w:ascii="Courier New" w:cs="Courier New" w:eastAsia="Courier New" w:hAnsi="Courier New"/>
                <w:sz w:val="10"/>
                <w:szCs w:val="10"/>
                <w:color w:val="auto"/>
                <w:w w:val="74"/>
              </w:rPr>
              <w:t>per share.....................</w:t>
            </w: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0.30</w:t>
            </w: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0.29</w:t>
            </w:r>
          </w:p>
        </w:tc>
      </w:tr>
      <w:tr>
        <w:trPr>
          <w:trHeight w:val="188"/>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0.29 0.25 Diluted earnings per</w:t>
            </w:r>
          </w:p>
        </w:tc>
        <w:tc>
          <w:tcPr>
            <w:tcW w:w="680" w:type="dxa"/>
            <w:vAlign w:val="bottom"/>
          </w:tcPr>
          <w:p>
            <w:pPr>
              <w:spacing w:after="0"/>
              <w:rPr>
                <w:sz w:val="16"/>
                <w:szCs w:val="16"/>
                <w:color w:val="auto"/>
              </w:rPr>
            </w:pPr>
          </w:p>
        </w:tc>
      </w:tr>
      <w:tr>
        <w:trPr>
          <w:trHeight w:val="188"/>
        </w:trPr>
        <w:tc>
          <w:tcPr>
            <w:tcW w:w="1360" w:type="dxa"/>
            <w:vAlign w:val="bottom"/>
          </w:tcPr>
          <w:p>
            <w:pPr>
              <w:jc w:val="right"/>
              <w:spacing w:after="0"/>
              <w:rPr>
                <w:sz w:val="20"/>
                <w:szCs w:val="20"/>
                <w:color w:val="auto"/>
              </w:rPr>
            </w:pPr>
            <w:r>
              <w:rPr>
                <w:rFonts w:ascii="Courier New" w:cs="Courier New" w:eastAsia="Courier New" w:hAnsi="Courier New"/>
                <w:sz w:val="13"/>
                <w:szCs w:val="13"/>
                <w:color w:val="auto"/>
                <w:w w:val="71"/>
              </w:rPr>
              <w:t>share...................</w:t>
            </w:r>
          </w:p>
        </w:tc>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0.29 0.27 0.28 0.24</w:t>
            </w:r>
          </w:p>
        </w:tc>
      </w:tr>
      <w:tr>
        <w:trPr>
          <w:trHeight w:val="564"/>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F-45</w:t>
            </w:r>
          </w:p>
        </w:tc>
      </w:tr>
    </w:tbl>
    <w:p>
      <w:pPr>
        <w:sectPr>
          <w:pgSz w:w="11900" w:h="16838" w:orient="portrait"/>
          <w:cols w:equalWidth="0" w:num="1">
            <w:col w:w="10219"/>
          </w:cols>
          <w:pgMar w:left="240" w:top="492" w:right="1440" w:bottom="1440" w:gutter="0" w:footer="0" w:header="0"/>
        </w:sectPr>
      </w:pPr>
    </w:p>
    <w:bookmarkStart w:id="128" w:name="page129"/>
    <w:bookmarkEnd w:id="128"/>
    <w:p>
      <w:pPr>
        <w:ind w:left="2240"/>
        <w:spacing w:after="0"/>
        <w:rPr>
          <w:sz w:val="20"/>
          <w:szCs w:val="20"/>
          <w:color w:val="auto"/>
        </w:rPr>
      </w:pPr>
      <w:r>
        <w:rPr>
          <w:rFonts w:ascii="Courier New" w:cs="Courier New" w:eastAsia="Courier New" w:hAnsi="Courier New"/>
          <w:sz w:val="16"/>
          <w:szCs w:val="16"/>
          <w:color w:val="auto"/>
        </w:rPr>
        <w:t>VALUATION AND QUALIFYING ACCOUNTS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 THOUSANDS)</w:t>
      </w:r>
    </w:p>
    <w:p>
      <w:pPr>
        <w:spacing w:after="0" w:line="195"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6"/>
          <w:szCs w:val="16"/>
          <w:color w:val="auto"/>
        </w:rPr>
        <w:t>ACCOUNTS VALUATION RECEIVABLE ALLOWANCES ON NET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ALLOWANCES DEFERRED TAX ASSETS ---------- -------------</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 Balance as of October 1,</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2002........................... $ 26,240 $ 10,704</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Additions: Charged to costs and</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expenses......................... -- -- Charged to</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revenue.................................... 17,585 --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Charged to other accounts.............................</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-- 2,578(1)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Deductions..............................................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(25,807)(2) (13,282)(3) -------- -------- Balance as of</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September 30, 2003........................ 18,018 --</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Additions: Charged to costs and</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expenses......................... -- 8,076(4) Charged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to revenue.................................... 2,881 --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Charged to other accounts.............................</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4,176 3,348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Deductions..............................................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(12,904) -- -------- -------- Balance as of September</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30, 2004........................ 12,171 11,424</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Additions: Charged to costs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expenses......................... 571 2,878(5) Charged</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to revenue.................................... 426 --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Charged to other accounts.............................</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2,580(6)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Deductions..............................................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(8,840) -- -------- -------- Balance as of September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30, 2005........................ $ 6,908 $ 14,302</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2799" w:hanging="400"/>
        <w:spacing w:after="0" w:line="252" w:lineRule="auto"/>
        <w:tabs>
          <w:tab w:leader="none" w:pos="40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valuation allowances on net deferred tax assets incurred during fiscal 2003.</w:t>
      </w:r>
    </w:p>
    <w:p>
      <w:pPr>
        <w:spacing w:after="0" w:line="183" w:lineRule="exact"/>
        <w:rPr>
          <w:rFonts w:ascii="Courier New" w:cs="Courier New" w:eastAsia="Courier New" w:hAnsi="Courier New"/>
          <w:sz w:val="16"/>
          <w:szCs w:val="16"/>
          <w:color w:val="auto"/>
        </w:rPr>
      </w:pPr>
    </w:p>
    <w:p>
      <w:pPr>
        <w:ind w:left="400" w:right="3079" w:hanging="400"/>
        <w:spacing w:after="0" w:line="250" w:lineRule="auto"/>
        <w:tabs>
          <w:tab w:leader="none" w:pos="40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accounts receivable allowance eliminated as a result of the acquisition of Certen and write-off of accounts receivable previously reserved.</w:t>
      </w:r>
    </w:p>
    <w:p>
      <w:pPr>
        <w:spacing w:after="0" w:line="185"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of valuation allowance.</w:t>
      </w:r>
    </w:p>
    <w:p>
      <w:pPr>
        <w:spacing w:after="0" w:line="194"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allowances on deferred tax assets incurred during fiscal 2004.</w:t>
      </w:r>
    </w:p>
    <w:p>
      <w:pPr>
        <w:spacing w:after="0" w:line="194"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allowances on deferred tax assets incurred during fiscal 2005.</w:t>
      </w:r>
    </w:p>
    <w:p>
      <w:pPr>
        <w:spacing w:after="0" w:line="194" w:lineRule="exact"/>
        <w:rPr>
          <w:rFonts w:ascii="Courier New" w:cs="Courier New" w:eastAsia="Courier New" w:hAnsi="Courier New"/>
          <w:sz w:val="16"/>
          <w:szCs w:val="16"/>
          <w:color w:val="auto"/>
        </w:rPr>
      </w:pPr>
    </w:p>
    <w:p>
      <w:pPr>
        <w:ind w:left="400" w:right="2799" w:hanging="400"/>
        <w:spacing w:after="0" w:line="252" w:lineRule="auto"/>
        <w:tabs>
          <w:tab w:leader="none" w:pos="40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accounts receivable allowance of $2,580 acquired as part of the acquisitions of DST Innovis and Longshine.</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F-46</w:t>
      </w:r>
    </w:p>
    <w:p>
      <w:pPr>
        <w:sectPr>
          <w:pgSz w:w="11900" w:h="16838" w:orient="portrait"/>
          <w:cols w:equalWidth="0" w:num="1">
            <w:col w:w="10219"/>
          </w:cols>
          <w:pgMar w:left="240" w:top="680" w:right="1440" w:bottom="1440" w:gutter="0" w:footer="0" w:header="0"/>
        </w:sectPr>
      </w:pPr>
    </w:p>
    <w:bookmarkStart w:id="129" w:name="page130"/>
    <w:bookmarkEnd w:id="129"/>
    <w:p>
      <w:pPr>
        <w:jc w:val="right"/>
        <w:ind w:right="3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right"/>
        <w:ind w:right="3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right"/>
        <w:ind w:right="3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right"/>
        <w:ind w:right="3700"/>
        <w:spacing w:after="0"/>
        <w:rPr>
          <w:sz w:val="20"/>
          <w:szCs w:val="20"/>
          <w:color w:val="auto"/>
        </w:rPr>
      </w:pPr>
      <w:r>
        <w:rPr>
          <w:rFonts w:ascii="Courier New" w:cs="Courier New" w:eastAsia="Courier New" w:hAnsi="Courier New"/>
          <w:sz w:val="16"/>
          <w:szCs w:val="16"/>
          <w:color w:val="auto"/>
        </w:rPr>
        <w:t>Exhibit 8</w:t>
      </w:r>
    </w:p>
    <w:p>
      <w:pPr>
        <w:spacing w:after="0" w:line="195"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Significant Subsidiaries of Amdocs Limited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Jurisdiction of</w:t>
            </w:r>
          </w:p>
        </w:tc>
        <w:tc>
          <w:tcPr>
            <w:tcW w:w="4180" w:type="dxa"/>
            <w:vAlign w:val="bottom"/>
          </w:tcPr>
          <w:p>
            <w:pPr>
              <w:spacing w:after="0"/>
              <w:rPr>
                <w:sz w:val="15"/>
                <w:szCs w:val="15"/>
                <w:color w:val="auto"/>
              </w:rPr>
            </w:pPr>
          </w:p>
        </w:tc>
      </w:tr>
      <w:tr>
        <w:trPr>
          <w:trHeight w:val="188"/>
        </w:trPr>
        <w:tc>
          <w:tcPr>
            <w:tcW w:w="6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Incorporation or</w:t>
            </w:r>
          </w:p>
        </w:tc>
        <w:tc>
          <w:tcPr>
            <w:tcW w:w="4180" w:type="dxa"/>
            <w:vAlign w:val="bottom"/>
          </w:tcPr>
          <w:p>
            <w:pPr>
              <w:spacing w:after="0"/>
              <w:rPr>
                <w:sz w:val="16"/>
                <w:szCs w:val="16"/>
                <w:color w:val="auto"/>
              </w:rPr>
            </w:pPr>
          </w:p>
        </w:tc>
      </w:tr>
      <w:tr>
        <w:trPr>
          <w:trHeight w:val="188"/>
        </w:trPr>
        <w:tc>
          <w:tcPr>
            <w:tcW w:w="640" w:type="dxa"/>
            <w:vAlign w:val="bottom"/>
          </w:tcPr>
          <w:p>
            <w:pPr>
              <w:spacing w:after="0"/>
              <w:rPr>
                <w:sz w:val="16"/>
                <w:szCs w:val="16"/>
                <w:color w:val="auto"/>
              </w:rPr>
            </w:pPr>
          </w:p>
        </w:tc>
        <w:tc>
          <w:tcPr>
            <w:tcW w:w="3720" w:type="dxa"/>
            <w:vAlign w:val="bottom"/>
          </w:tcPr>
          <w:p>
            <w:pPr>
              <w:ind w:left="440"/>
              <w:spacing w:after="0"/>
              <w:rPr>
                <w:sz w:val="20"/>
                <w:szCs w:val="20"/>
                <w:color w:val="auto"/>
              </w:rPr>
            </w:pPr>
            <w:r>
              <w:rPr>
                <w:rFonts w:ascii="Courier New" w:cs="Courier New" w:eastAsia="Courier New" w:hAnsi="Courier New"/>
                <w:sz w:val="16"/>
                <w:szCs w:val="16"/>
                <w:color w:val="auto"/>
              </w:rPr>
              <w:t>List of the Subsidiaries</w:t>
            </w:r>
          </w:p>
        </w:tc>
        <w:tc>
          <w:tcPr>
            <w:tcW w:w="2400" w:type="dxa"/>
            <w:vAlign w:val="bottom"/>
          </w:tcPr>
          <w:p>
            <w:pPr>
              <w:ind w:left="720"/>
              <w:spacing w:after="0"/>
              <w:rPr>
                <w:sz w:val="20"/>
                <w:szCs w:val="20"/>
                <w:color w:val="auto"/>
              </w:rPr>
            </w:pPr>
            <w:r>
              <w:rPr>
                <w:rFonts w:ascii="Courier New" w:cs="Courier New" w:eastAsia="Courier New" w:hAnsi="Courier New"/>
                <w:sz w:val="16"/>
                <w:szCs w:val="16"/>
                <w:color w:val="auto"/>
              </w:rPr>
              <w:t>Organization</w:t>
            </w:r>
          </w:p>
        </w:tc>
        <w:tc>
          <w:tcPr>
            <w:tcW w:w="4180" w:type="dxa"/>
            <w:vAlign w:val="bottom"/>
          </w:tcPr>
          <w:p>
            <w:pPr>
              <w:ind w:left="1660"/>
              <w:spacing w:after="0"/>
              <w:rPr>
                <w:sz w:val="20"/>
                <w:szCs w:val="20"/>
                <w:color w:val="auto"/>
              </w:rPr>
            </w:pPr>
            <w:r>
              <w:rPr>
                <w:rFonts w:ascii="Courier New" w:cs="Courier New" w:eastAsia="Courier New" w:hAnsi="Courier New"/>
                <w:sz w:val="16"/>
                <w:szCs w:val="16"/>
                <w:color w:val="auto"/>
              </w:rPr>
              <w:t>Business Name</w:t>
            </w:r>
          </w:p>
        </w:tc>
      </w:tr>
      <w:tr>
        <w:trPr>
          <w:trHeight w:val="188"/>
        </w:trPr>
        <w:tc>
          <w:tcPr>
            <w:tcW w:w="640" w:type="dxa"/>
            <w:vAlign w:val="bottom"/>
          </w:tcPr>
          <w:p>
            <w:pPr>
              <w:spacing w:after="0"/>
              <w:rPr>
                <w:sz w:val="16"/>
                <w:szCs w:val="16"/>
                <w:color w:val="auto"/>
              </w:rPr>
            </w:pPr>
          </w:p>
        </w:tc>
        <w:tc>
          <w:tcPr>
            <w:tcW w:w="37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ind w:left="720"/>
              <w:spacing w:after="0"/>
              <w:rPr>
                <w:sz w:val="20"/>
                <w:szCs w:val="20"/>
                <w:color w:val="auto"/>
              </w:rPr>
            </w:pPr>
            <w:r>
              <w:rPr>
                <w:rFonts w:ascii="Courier New" w:cs="Courier New" w:eastAsia="Courier New" w:hAnsi="Courier New"/>
                <w:sz w:val="16"/>
                <w:szCs w:val="16"/>
                <w:color w:val="auto"/>
              </w:rPr>
              <w:t>------------</w:t>
            </w:r>
          </w:p>
        </w:tc>
        <w:tc>
          <w:tcPr>
            <w:tcW w:w="4180" w:type="dxa"/>
            <w:vAlign w:val="bottom"/>
          </w:tcPr>
          <w:p>
            <w:pPr>
              <w:ind w:left="1660"/>
              <w:spacing w:after="0"/>
              <w:rPr>
                <w:sz w:val="20"/>
                <w:szCs w:val="20"/>
                <w:color w:val="auto"/>
              </w:rPr>
            </w:pPr>
            <w:r>
              <w:rPr>
                <w:rFonts w:ascii="Courier New" w:cs="Courier New" w:eastAsia="Courier New" w:hAnsi="Courier New"/>
                <w:sz w:val="16"/>
                <w:szCs w:val="16"/>
                <w:color w:val="auto"/>
              </w:rPr>
              <w:t>-------------</w:t>
            </w:r>
          </w:p>
        </w:tc>
      </w:tr>
      <w:tr>
        <w:trPr>
          <w:trHeight w:val="564"/>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BCS, Inc.</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State of California</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BCS, Inc.</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BCS Vision, Inc.</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State of North</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BCS Vision, Inc.</w:t>
            </w:r>
          </w:p>
        </w:tc>
      </w:tr>
      <w:tr>
        <w:trPr>
          <w:trHeight w:val="188"/>
        </w:trPr>
        <w:tc>
          <w:tcPr>
            <w:tcW w:w="6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Carolina</w:t>
            </w:r>
          </w:p>
        </w:tc>
        <w:tc>
          <w:tcPr>
            <w:tcW w:w="4180" w:type="dxa"/>
            <w:vAlign w:val="bottom"/>
          </w:tcPr>
          <w:p>
            <w:pPr>
              <w:spacing w:after="0"/>
              <w:rPr>
                <w:sz w:val="16"/>
                <w:szCs w:val="16"/>
                <w:color w:val="auto"/>
              </w:rPr>
            </w:pP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Canada, Inc.</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Canada</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Canada, Inc.</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Canadian Managed Services,</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Canada</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Canadian Managed Services, Inc.</w:t>
            </w:r>
          </w:p>
        </w:tc>
      </w:tr>
      <w:tr>
        <w:trPr>
          <w:trHeight w:val="188"/>
        </w:trPr>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Inc.</w:t>
            </w:r>
          </w:p>
        </w:tc>
        <w:tc>
          <w:tcPr>
            <w:tcW w:w="37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Champaign, Inc.</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State of Delaware</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Champaign, Inc.</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(Denmark) ApS</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Denmark</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(Denmark) ApS</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Development Centre India</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India</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Development Centre India</w:t>
            </w:r>
          </w:p>
        </w:tc>
      </w:tr>
      <w:tr>
        <w:trPr>
          <w:trHeight w:val="188"/>
        </w:trPr>
        <w:tc>
          <w:tcPr>
            <w:tcW w:w="4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Private Limited</w:t>
            </w:r>
          </w:p>
        </w:tc>
        <w:tc>
          <w:tcPr>
            <w:tcW w:w="2400" w:type="dxa"/>
            <w:vAlign w:val="bottom"/>
          </w:tcPr>
          <w:p>
            <w:pPr>
              <w:spacing w:after="0"/>
              <w:rPr>
                <w:sz w:val="16"/>
                <w:szCs w:val="16"/>
                <w:color w:val="auto"/>
              </w:rPr>
            </w:pP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Private Limited</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Development Limited</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Republic of Cyprus</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Development Limited</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Holdings ULC</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Canada</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Holding ULC</w:t>
            </w:r>
          </w:p>
        </w:tc>
      </w:tr>
      <w:tr>
        <w:trPr>
          <w:trHeight w:val="376"/>
        </w:trPr>
        <w:tc>
          <w:tcPr>
            <w:tcW w:w="4360" w:type="dxa"/>
            <w:vAlign w:val="bottom"/>
            <w:gridSpan w:val="2"/>
          </w:tcPr>
          <w:p>
            <w:pPr>
              <w:spacing w:after="0"/>
              <w:rPr>
                <w:sz w:val="20"/>
                <w:szCs w:val="20"/>
                <w:color w:val="auto"/>
              </w:rPr>
            </w:pPr>
            <w:r>
              <w:rPr>
                <w:rFonts w:ascii="Courier New" w:cs="Courier New" w:eastAsia="Courier New" w:hAnsi="Courier New"/>
                <w:sz w:val="16"/>
                <w:szCs w:val="16"/>
                <w:color w:val="auto"/>
              </w:rPr>
              <w:t>Amdocs, Inc.</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State of Delaware</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Inc.</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(Israel) Limited</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Israel</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(Israel) Limited</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Management Limited</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United Kingdom</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Management Limited</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Software Solutions Kft</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Hungary</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Software Solutions Kft</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Software Systems Ltd.</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Ireland</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Software Systems Ltd.</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Stamford, Inc.</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State of Delaware</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Stamford, Inc.</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Amdocs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(UK) Limited</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United Kingdom</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Amdocs (UK) Limited</w:t>
            </w:r>
          </w:p>
        </w:tc>
      </w:tr>
      <w:tr>
        <w:trPr>
          <w:trHeight w:val="376"/>
        </w:trPr>
        <w:tc>
          <w:tcPr>
            <w:tcW w:w="4360" w:type="dxa"/>
            <w:vAlign w:val="bottom"/>
            <w:gridSpan w:val="2"/>
          </w:tcPr>
          <w:p>
            <w:pPr>
              <w:spacing w:after="0"/>
              <w:rPr>
                <w:sz w:val="20"/>
                <w:szCs w:val="20"/>
                <w:color w:val="auto"/>
              </w:rPr>
            </w:pPr>
            <w:r>
              <w:rPr>
                <w:rFonts w:ascii="Courier New" w:cs="Courier New" w:eastAsia="Courier New" w:hAnsi="Courier New"/>
                <w:sz w:val="16"/>
                <w:szCs w:val="16"/>
                <w:color w:val="auto"/>
              </w:rPr>
              <w:t>European Software Marketing Ltd.</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Island of Guernsey,</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European Software Marketing Ltd.</w:t>
            </w:r>
          </w:p>
        </w:tc>
      </w:tr>
      <w:tr>
        <w:trPr>
          <w:trHeight w:val="188"/>
        </w:trPr>
        <w:tc>
          <w:tcPr>
            <w:tcW w:w="6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Channel Islands</w:t>
            </w:r>
          </w:p>
        </w:tc>
        <w:tc>
          <w:tcPr>
            <w:tcW w:w="4180" w:type="dxa"/>
            <w:vAlign w:val="bottom"/>
          </w:tcPr>
          <w:p>
            <w:pPr>
              <w:spacing w:after="0"/>
              <w:rPr>
                <w:sz w:val="16"/>
                <w:szCs w:val="16"/>
                <w:color w:val="auto"/>
              </w:rPr>
            </w:pPr>
          </w:p>
        </w:tc>
      </w:tr>
      <w:tr>
        <w:trPr>
          <w:trHeight w:val="376"/>
        </w:trPr>
        <w:tc>
          <w:tcPr>
            <w:tcW w:w="4360" w:type="dxa"/>
            <w:vAlign w:val="bottom"/>
            <w:gridSpan w:val="2"/>
          </w:tcPr>
          <w:p>
            <w:pPr>
              <w:spacing w:after="0"/>
              <w:rPr>
                <w:sz w:val="20"/>
                <w:szCs w:val="20"/>
                <w:color w:val="auto"/>
              </w:rPr>
            </w:pPr>
            <w:r>
              <w:rPr>
                <w:rFonts w:ascii="Courier New" w:cs="Courier New" w:eastAsia="Courier New" w:hAnsi="Courier New"/>
                <w:sz w:val="16"/>
                <w:szCs w:val="16"/>
                <w:color w:val="auto"/>
              </w:rPr>
              <w:t>Longshine Information Technology Co. Ltd.</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British Virgin</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Longshine Information Technology Co. Ltd.</w:t>
            </w:r>
          </w:p>
        </w:tc>
      </w:tr>
      <w:tr>
        <w:trPr>
          <w:trHeight w:val="188"/>
        </w:trPr>
        <w:tc>
          <w:tcPr>
            <w:tcW w:w="6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Islands</w:t>
            </w:r>
          </w:p>
        </w:tc>
        <w:tc>
          <w:tcPr>
            <w:tcW w:w="4180" w:type="dxa"/>
            <w:vAlign w:val="bottom"/>
          </w:tcPr>
          <w:p>
            <w:pPr>
              <w:spacing w:after="0"/>
              <w:rPr>
                <w:sz w:val="16"/>
                <w:szCs w:val="16"/>
                <w:color w:val="auto"/>
              </w:rPr>
            </w:pPr>
          </w:p>
        </w:tc>
      </w:tr>
      <w:tr>
        <w:trPr>
          <w:trHeight w:val="376"/>
        </w:trPr>
        <w:tc>
          <w:tcPr>
            <w:tcW w:w="4360" w:type="dxa"/>
            <w:vAlign w:val="bottom"/>
            <w:gridSpan w:val="2"/>
          </w:tcPr>
          <w:p>
            <w:pPr>
              <w:spacing w:after="0"/>
              <w:rPr>
                <w:sz w:val="20"/>
                <w:szCs w:val="20"/>
                <w:color w:val="auto"/>
              </w:rPr>
            </w:pPr>
            <w:r>
              <w:rPr>
                <w:rFonts w:ascii="Courier New" w:cs="Courier New" w:eastAsia="Courier New" w:hAnsi="Courier New"/>
                <w:sz w:val="16"/>
                <w:szCs w:val="16"/>
                <w:color w:val="auto"/>
              </w:rPr>
              <w:t>Sypress, Inc.</w:t>
            </w:r>
          </w:p>
        </w:tc>
        <w:tc>
          <w:tcPr>
            <w:tcW w:w="2400" w:type="dxa"/>
            <w:vAlign w:val="bottom"/>
          </w:tcPr>
          <w:p>
            <w:pPr>
              <w:ind w:left="340"/>
              <w:spacing w:after="0"/>
              <w:rPr>
                <w:sz w:val="20"/>
                <w:szCs w:val="20"/>
                <w:color w:val="auto"/>
              </w:rPr>
            </w:pPr>
            <w:r>
              <w:rPr>
                <w:rFonts w:ascii="Courier New" w:cs="Courier New" w:eastAsia="Courier New" w:hAnsi="Courier New"/>
                <w:sz w:val="16"/>
                <w:szCs w:val="16"/>
                <w:color w:val="auto"/>
              </w:rPr>
              <w:t>State of Delaware</w:t>
            </w:r>
          </w:p>
        </w:tc>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rPr>
              <w:t>Sypress, Inc.</w:t>
            </w:r>
          </w:p>
        </w:tc>
      </w:tr>
    </w:tbl>
    <w:p>
      <w:pPr>
        <w:sectPr>
          <w:pgSz w:w="11900" w:h="16838" w:orient="portrait"/>
          <w:cols w:equalWidth="0" w:num="1">
            <w:col w:w="10940"/>
          </w:cols>
          <w:pgMar w:left="820" w:top="330" w:right="139" w:bottom="1440" w:gutter="0" w:footer="0" w:header="0"/>
        </w:sectPr>
      </w:pPr>
    </w:p>
    <w:bookmarkStart w:id="130" w:name="page131"/>
    <w:bookmarkEnd w:id="130"/>
    <w:p>
      <w:pPr>
        <w:jc w:val="right"/>
        <w:ind w:right="2399"/>
        <w:spacing w:after="0"/>
        <w:rPr>
          <w:sz w:val="20"/>
          <w:szCs w:val="20"/>
          <w:color w:val="auto"/>
        </w:rPr>
      </w:pPr>
      <w:r>
        <w:rPr>
          <w:rFonts w:ascii="Courier New" w:cs="Courier New" w:eastAsia="Courier New" w:hAnsi="Courier New"/>
          <w:sz w:val="16"/>
          <w:szCs w:val="16"/>
          <w:color w:val="auto"/>
        </w:rPr>
        <w:t>EXHIBIT 12.1</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CERTIFICATIONS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Dov Baharav, certify that:</w:t>
      </w:r>
    </w:p>
    <w:p>
      <w:pPr>
        <w:spacing w:after="0" w:line="195" w:lineRule="exact"/>
        <w:rPr>
          <w:sz w:val="20"/>
          <w:szCs w:val="20"/>
          <w:color w:val="auto"/>
        </w:rPr>
      </w:pPr>
    </w:p>
    <w:p>
      <w:pPr>
        <w:ind w:left="780" w:hanging="291"/>
        <w:spacing w:after="0"/>
        <w:tabs>
          <w:tab w:leader="none" w:pos="7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20-F of Amdocs Limited;</w:t>
      </w:r>
    </w:p>
    <w:p>
      <w:pPr>
        <w:spacing w:after="0" w:line="194" w:lineRule="exact"/>
        <w:rPr>
          <w:rFonts w:ascii="Courier New" w:cs="Courier New" w:eastAsia="Courier New" w:hAnsi="Courier New"/>
          <w:sz w:val="16"/>
          <w:szCs w:val="16"/>
          <w:color w:val="auto"/>
        </w:rPr>
      </w:pPr>
    </w:p>
    <w:p>
      <w:pPr>
        <w:ind w:right="2399" w:firstLine="489"/>
        <w:spacing w:after="0" w:line="249" w:lineRule="auto"/>
        <w:tabs>
          <w:tab w:leader="none" w:pos="7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ind w:right="2399" w:firstLine="489"/>
        <w:spacing w:after="0" w:line="249" w:lineRule="auto"/>
        <w:tabs>
          <w:tab w:leader="none" w:pos="7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7" w:lineRule="exact"/>
        <w:rPr>
          <w:rFonts w:ascii="Courier New" w:cs="Courier New" w:eastAsia="Courier New" w:hAnsi="Courier New"/>
          <w:sz w:val="16"/>
          <w:szCs w:val="16"/>
          <w:color w:val="auto"/>
        </w:rPr>
      </w:pPr>
    </w:p>
    <w:p>
      <w:pPr>
        <w:ind w:right="2599" w:firstLine="489"/>
        <w:spacing w:after="0" w:line="250" w:lineRule="auto"/>
        <w:tabs>
          <w:tab w:leader="none" w:pos="7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other certifying officer(s) and I are responsible for establishing and maintaining disclosure controls and procedures (as defined in Exchange Act Rules 13a-15(e) and 15d-15(e)) for the company and have:</w:t>
      </w:r>
    </w:p>
    <w:p>
      <w:pPr>
        <w:spacing w:after="0" w:line="185" w:lineRule="exact"/>
        <w:rPr>
          <w:sz w:val="20"/>
          <w:szCs w:val="20"/>
          <w:color w:val="auto"/>
        </w:rPr>
      </w:pPr>
    </w:p>
    <w:p>
      <w:pPr>
        <w:ind w:right="2499" w:firstLine="489"/>
        <w:spacing w:after="0" w:line="249" w:lineRule="auto"/>
        <w:tabs>
          <w:tab w:leader="none" w:pos="8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7" w:lineRule="exact"/>
        <w:rPr>
          <w:rFonts w:ascii="Courier New" w:cs="Courier New" w:eastAsia="Courier New" w:hAnsi="Courier New"/>
          <w:sz w:val="16"/>
          <w:szCs w:val="16"/>
          <w:color w:val="auto"/>
        </w:rPr>
      </w:pPr>
    </w:p>
    <w:p>
      <w:pPr>
        <w:ind w:left="880" w:hanging="391"/>
        <w:spacing w:after="0"/>
        <w:tabs>
          <w:tab w:leader="none" w:pos="8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4" w:lineRule="exact"/>
        <w:rPr>
          <w:rFonts w:ascii="Courier New" w:cs="Courier New" w:eastAsia="Courier New" w:hAnsi="Courier New"/>
          <w:sz w:val="16"/>
          <w:szCs w:val="16"/>
          <w:color w:val="auto"/>
        </w:rPr>
      </w:pPr>
    </w:p>
    <w:p>
      <w:pPr>
        <w:ind w:right="2499" w:firstLine="489"/>
        <w:spacing w:after="0" w:line="249" w:lineRule="auto"/>
        <w:tabs>
          <w:tab w:leader="none" w:pos="8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Courier New" w:cs="Courier New" w:eastAsia="Courier New" w:hAnsi="Courier New"/>
          <w:sz w:val="16"/>
          <w:szCs w:val="16"/>
          <w:color w:val="auto"/>
        </w:rPr>
      </w:pPr>
    </w:p>
    <w:p>
      <w:pPr>
        <w:jc w:val="both"/>
        <w:ind w:right="2599" w:firstLine="489"/>
        <w:spacing w:after="0" w:line="249" w:lineRule="auto"/>
        <w:tabs>
          <w:tab w:leader="none" w:pos="8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8" w:lineRule="exact"/>
        <w:rPr>
          <w:sz w:val="20"/>
          <w:szCs w:val="20"/>
          <w:color w:val="auto"/>
        </w:rPr>
      </w:pPr>
    </w:p>
    <w:p>
      <w:pPr>
        <w:ind w:right="2399" w:firstLine="489"/>
        <w:spacing w:after="0" w:line="249" w:lineRule="auto"/>
        <w:tabs>
          <w:tab w:leader="none" w:pos="78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sz w:val="20"/>
          <w:szCs w:val="20"/>
          <w:color w:val="auto"/>
        </w:rPr>
      </w:pPr>
    </w:p>
    <w:p>
      <w:pPr>
        <w:ind w:right="2599" w:firstLine="489"/>
        <w:spacing w:after="0" w:line="249" w:lineRule="auto"/>
        <w:tabs>
          <w:tab w:leader="none" w:pos="8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7" w:lineRule="exact"/>
        <w:rPr>
          <w:rFonts w:ascii="Courier New" w:cs="Courier New" w:eastAsia="Courier New" w:hAnsi="Courier New"/>
          <w:sz w:val="16"/>
          <w:szCs w:val="16"/>
          <w:color w:val="auto"/>
        </w:rPr>
      </w:pPr>
    </w:p>
    <w:p>
      <w:pPr>
        <w:ind w:right="2599" w:firstLine="489"/>
        <w:spacing w:after="0" w:line="250" w:lineRule="auto"/>
        <w:tabs>
          <w:tab w:leader="none" w:pos="8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company's internal control over financial reporting.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28, 2005</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Dov Baharav</w:t>
      </w:r>
    </w:p>
    <w:p>
      <w:pPr>
        <w:spacing w:after="0" w:line="7" w:lineRule="exact"/>
        <w:rPr>
          <w:sz w:val="20"/>
          <w:szCs w:val="20"/>
          <w:color w:val="auto"/>
        </w:rPr>
      </w:pPr>
    </w:p>
    <w:p>
      <w:pPr>
        <w:ind w:left="200" w:hanging="200"/>
        <w:spacing w:after="0"/>
        <w:tabs>
          <w:tab w:leader="none" w:pos="2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Dov Baharav</w:t>
      </w:r>
    </w:p>
    <w:p>
      <w:pPr>
        <w:spacing w:after="0" w:line="6" w:lineRule="exact"/>
        <w:rPr>
          <w:rFonts w:ascii="Courier New" w:cs="Courier New" w:eastAsia="Courier New" w:hAnsi="Courier New"/>
          <w:sz w:val="16"/>
          <w:szCs w:val="16"/>
          <w:color w:val="auto"/>
        </w:rPr>
      </w:pPr>
    </w:p>
    <w:p>
      <w:pPr>
        <w:ind w:right="77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17" w:right="1440" w:bottom="1440" w:gutter="0" w:footer="0" w:header="0"/>
        </w:sectPr>
      </w:pPr>
    </w:p>
    <w:bookmarkStart w:id="131" w:name="page132"/>
    <w:bookmarkEnd w:id="131"/>
    <w:p>
      <w:pPr>
        <w:jc w:val="right"/>
        <w:ind w:right="2399"/>
        <w:spacing w:after="0"/>
        <w:rPr>
          <w:sz w:val="20"/>
          <w:szCs w:val="20"/>
          <w:color w:val="auto"/>
        </w:rPr>
      </w:pPr>
      <w:r>
        <w:rPr>
          <w:rFonts w:ascii="Courier New" w:cs="Courier New" w:eastAsia="Courier New" w:hAnsi="Courier New"/>
          <w:sz w:val="16"/>
          <w:szCs w:val="16"/>
          <w:color w:val="auto"/>
        </w:rPr>
        <w:t>EXHIBIT 12.2</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CERTIFICATIONS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Ron Moskovitz, certify that:</w:t>
      </w:r>
    </w:p>
    <w:p>
      <w:pPr>
        <w:spacing w:after="0" w:line="195" w:lineRule="exact"/>
        <w:rPr>
          <w:sz w:val="20"/>
          <w:szCs w:val="20"/>
          <w:color w:val="auto"/>
        </w:rPr>
      </w:pPr>
    </w:p>
    <w:p>
      <w:pPr>
        <w:ind w:left="780" w:hanging="291"/>
        <w:spacing w:after="0"/>
        <w:tabs>
          <w:tab w:leader="none" w:pos="7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20-F of Amdocs Limited;</w:t>
      </w:r>
    </w:p>
    <w:p>
      <w:pPr>
        <w:spacing w:after="0" w:line="194" w:lineRule="exact"/>
        <w:rPr>
          <w:rFonts w:ascii="Courier New" w:cs="Courier New" w:eastAsia="Courier New" w:hAnsi="Courier New"/>
          <w:sz w:val="16"/>
          <w:szCs w:val="16"/>
          <w:color w:val="auto"/>
        </w:rPr>
      </w:pPr>
    </w:p>
    <w:p>
      <w:pPr>
        <w:ind w:right="2399" w:firstLine="489"/>
        <w:spacing w:after="0" w:line="249" w:lineRule="auto"/>
        <w:tabs>
          <w:tab w:leader="none" w:pos="78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ind w:right="2399" w:firstLine="489"/>
        <w:spacing w:after="0" w:line="249" w:lineRule="auto"/>
        <w:tabs>
          <w:tab w:leader="none" w:pos="78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7" w:lineRule="exact"/>
        <w:rPr>
          <w:rFonts w:ascii="Courier New" w:cs="Courier New" w:eastAsia="Courier New" w:hAnsi="Courier New"/>
          <w:sz w:val="16"/>
          <w:szCs w:val="16"/>
          <w:color w:val="auto"/>
        </w:rPr>
      </w:pPr>
    </w:p>
    <w:p>
      <w:pPr>
        <w:ind w:right="2599" w:firstLine="489"/>
        <w:spacing w:after="0" w:line="250" w:lineRule="auto"/>
        <w:tabs>
          <w:tab w:leader="none" w:pos="78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other certifying officer(s) and I are responsible for establishing and maintaining disclosure controls and procedures (as defined in Exchange Act Rules 13a-15(e) and 15d-15(e)) for the company and have:</w:t>
      </w:r>
    </w:p>
    <w:p>
      <w:pPr>
        <w:spacing w:after="0" w:line="185" w:lineRule="exact"/>
        <w:rPr>
          <w:sz w:val="20"/>
          <w:szCs w:val="20"/>
          <w:color w:val="auto"/>
        </w:rPr>
      </w:pPr>
    </w:p>
    <w:p>
      <w:pPr>
        <w:ind w:right="2499" w:firstLine="489"/>
        <w:spacing w:after="0" w:line="249" w:lineRule="auto"/>
        <w:tabs>
          <w:tab w:leader="none" w:pos="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7" w:lineRule="exact"/>
        <w:rPr>
          <w:rFonts w:ascii="Courier New" w:cs="Courier New" w:eastAsia="Courier New" w:hAnsi="Courier New"/>
          <w:sz w:val="16"/>
          <w:szCs w:val="16"/>
          <w:color w:val="auto"/>
        </w:rPr>
      </w:pPr>
    </w:p>
    <w:p>
      <w:pPr>
        <w:ind w:left="880" w:hanging="391"/>
        <w:spacing w:after="0"/>
        <w:tabs>
          <w:tab w:leader="none" w:pos="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4" w:lineRule="exact"/>
        <w:rPr>
          <w:rFonts w:ascii="Courier New" w:cs="Courier New" w:eastAsia="Courier New" w:hAnsi="Courier New"/>
          <w:sz w:val="16"/>
          <w:szCs w:val="16"/>
          <w:color w:val="auto"/>
        </w:rPr>
      </w:pPr>
    </w:p>
    <w:p>
      <w:pPr>
        <w:ind w:right="2499" w:firstLine="489"/>
        <w:spacing w:after="0" w:line="249" w:lineRule="auto"/>
        <w:tabs>
          <w:tab w:leader="none" w:pos="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Courier New" w:cs="Courier New" w:eastAsia="Courier New" w:hAnsi="Courier New"/>
          <w:sz w:val="16"/>
          <w:szCs w:val="16"/>
          <w:color w:val="auto"/>
        </w:rPr>
      </w:pPr>
    </w:p>
    <w:p>
      <w:pPr>
        <w:jc w:val="both"/>
        <w:ind w:right="2599" w:firstLine="489"/>
        <w:spacing w:after="0" w:line="249" w:lineRule="auto"/>
        <w:tabs>
          <w:tab w:leader="none" w:pos="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8" w:lineRule="exact"/>
        <w:rPr>
          <w:sz w:val="20"/>
          <w:szCs w:val="20"/>
          <w:color w:val="auto"/>
        </w:rPr>
      </w:pPr>
    </w:p>
    <w:p>
      <w:pPr>
        <w:ind w:right="2399" w:firstLine="489"/>
        <w:spacing w:after="0" w:line="249" w:lineRule="auto"/>
        <w:tabs>
          <w:tab w:leader="none" w:pos="78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sz w:val="20"/>
          <w:szCs w:val="20"/>
          <w:color w:val="auto"/>
        </w:rPr>
      </w:pPr>
    </w:p>
    <w:p>
      <w:pPr>
        <w:ind w:right="2599" w:firstLine="489"/>
        <w:spacing w:after="0" w:line="249" w:lineRule="auto"/>
        <w:tabs>
          <w:tab w:leader="none" w:pos="8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7" w:lineRule="exact"/>
        <w:rPr>
          <w:rFonts w:ascii="Courier New" w:cs="Courier New" w:eastAsia="Courier New" w:hAnsi="Courier New"/>
          <w:sz w:val="16"/>
          <w:szCs w:val="16"/>
          <w:color w:val="auto"/>
        </w:rPr>
      </w:pPr>
    </w:p>
    <w:p>
      <w:pPr>
        <w:ind w:right="2599" w:firstLine="489"/>
        <w:spacing w:after="0" w:line="250" w:lineRule="auto"/>
        <w:tabs>
          <w:tab w:leader="none" w:pos="8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company's internal control over financial reporting.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28, 2005</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Ron Moskovitz</w:t>
      </w:r>
    </w:p>
    <w:p>
      <w:pPr>
        <w:spacing w:after="0" w:line="7" w:lineRule="exact"/>
        <w:rPr>
          <w:sz w:val="20"/>
          <w:szCs w:val="20"/>
          <w:color w:val="auto"/>
        </w:rPr>
      </w:pPr>
    </w:p>
    <w:p>
      <w:pPr>
        <w:ind w:left="200" w:hanging="200"/>
        <w:spacing w:after="0"/>
        <w:tabs>
          <w:tab w:leader="none" w:pos="20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Ron Moskovitz</w:t>
      </w:r>
    </w:p>
    <w:p>
      <w:pPr>
        <w:spacing w:after="0" w:line="6" w:lineRule="exact"/>
        <w:rPr>
          <w:rFonts w:ascii="Courier New" w:cs="Courier New" w:eastAsia="Courier New" w:hAnsi="Courier New"/>
          <w:sz w:val="16"/>
          <w:szCs w:val="16"/>
          <w:color w:val="auto"/>
        </w:rPr>
      </w:pPr>
    </w:p>
    <w:p>
      <w:pPr>
        <w:ind w:right="77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17" w:right="1440" w:bottom="1440" w:gutter="0" w:footer="0" w:header="0"/>
        </w:sectPr>
      </w:pPr>
    </w:p>
    <w:bookmarkStart w:id="132" w:name="page133"/>
    <w:bookmarkEnd w:id="132"/>
    <w:p>
      <w:pPr>
        <w:jc w:val="right"/>
        <w:ind w:right="2399"/>
        <w:spacing w:after="0"/>
        <w:rPr>
          <w:sz w:val="20"/>
          <w:szCs w:val="20"/>
          <w:color w:val="auto"/>
        </w:rPr>
      </w:pPr>
      <w:r>
        <w:rPr>
          <w:rFonts w:ascii="Courier New" w:cs="Courier New" w:eastAsia="Courier New" w:hAnsi="Courier New"/>
          <w:sz w:val="16"/>
          <w:szCs w:val="16"/>
          <w:color w:val="auto"/>
        </w:rPr>
        <w:t>EXHIBIT 13.1</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CERTIFICATION PURSUANT TO 18 U.S.C. SECTION 1350,</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AS ADOPTED PURSUANT TO</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SECTION 906 OF THE SARBANES-OXLEY ACT OF 2002</w:t>
      </w:r>
    </w:p>
    <w:p>
      <w:pPr>
        <w:spacing w:after="0" w:line="195" w:lineRule="exact"/>
        <w:rPr>
          <w:sz w:val="20"/>
          <w:szCs w:val="20"/>
          <w:color w:val="auto"/>
        </w:rPr>
      </w:pPr>
    </w:p>
    <w:p>
      <w:pPr>
        <w:ind w:right="2499" w:firstLine="489"/>
        <w:spacing w:after="0" w:line="24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2005 as filed with the Securities and Exchange Commission on the date hereof (the "Report"), the undersigned, Dov Baharav, Chief Executive Officer of the Company, hereby certifies, pursuant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 U.S.C. Section 1350, that to the best of his knowledge and belief:</w:t>
      </w:r>
    </w:p>
    <w:p>
      <w:pPr>
        <w:spacing w:after="0" w:line="195" w:lineRule="exact"/>
        <w:rPr>
          <w:sz w:val="20"/>
          <w:szCs w:val="20"/>
          <w:color w:val="auto"/>
        </w:rPr>
      </w:pPr>
    </w:p>
    <w:p>
      <w:pPr>
        <w:ind w:right="2799" w:firstLine="489"/>
        <w:spacing w:after="0" w:line="252" w:lineRule="auto"/>
        <w:tabs>
          <w:tab w:leader="none" w:pos="8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83" w:lineRule="exact"/>
        <w:rPr>
          <w:rFonts w:ascii="Courier New" w:cs="Courier New" w:eastAsia="Courier New" w:hAnsi="Courier New"/>
          <w:sz w:val="16"/>
          <w:szCs w:val="16"/>
          <w:color w:val="auto"/>
        </w:rPr>
      </w:pPr>
    </w:p>
    <w:p>
      <w:pPr>
        <w:ind w:right="2879" w:firstLine="489"/>
        <w:spacing w:after="0" w:line="250" w:lineRule="auto"/>
        <w:tabs>
          <w:tab w:leader="none" w:pos="8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28, 2005</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Dov Baharav</w:t>
      </w:r>
    </w:p>
    <w:p>
      <w:pPr>
        <w:spacing w:after="0" w:line="7" w:lineRule="exact"/>
        <w:rPr>
          <w:sz w:val="20"/>
          <w:szCs w:val="20"/>
          <w:color w:val="auto"/>
        </w:rPr>
      </w:pPr>
    </w:p>
    <w:p>
      <w:pPr>
        <w:ind w:left="200" w:hanging="200"/>
        <w:spacing w:after="0"/>
        <w:tabs>
          <w:tab w:leader="none" w:pos="2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Dov Baharav</w:t>
      </w:r>
    </w:p>
    <w:p>
      <w:pPr>
        <w:spacing w:after="0" w:line="6" w:lineRule="exact"/>
        <w:rPr>
          <w:rFonts w:ascii="Courier New" w:cs="Courier New" w:eastAsia="Courier New" w:hAnsi="Courier New"/>
          <w:sz w:val="16"/>
          <w:szCs w:val="16"/>
          <w:color w:val="auto"/>
        </w:rPr>
      </w:pPr>
    </w:p>
    <w:p>
      <w:pPr>
        <w:ind w:right="77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17" w:right="1440" w:bottom="1440" w:gutter="0" w:footer="0" w:header="0"/>
        </w:sectPr>
      </w:pPr>
    </w:p>
    <w:bookmarkStart w:id="133" w:name="page134"/>
    <w:bookmarkEnd w:id="133"/>
    <w:p>
      <w:pPr>
        <w:jc w:val="right"/>
        <w:ind w:right="2399"/>
        <w:spacing w:after="0"/>
        <w:rPr>
          <w:sz w:val="20"/>
          <w:szCs w:val="20"/>
          <w:color w:val="auto"/>
        </w:rPr>
      </w:pPr>
      <w:r>
        <w:rPr>
          <w:rFonts w:ascii="Courier New" w:cs="Courier New" w:eastAsia="Courier New" w:hAnsi="Courier New"/>
          <w:sz w:val="16"/>
          <w:szCs w:val="16"/>
          <w:color w:val="auto"/>
        </w:rPr>
        <w:t>EXHIBIT 13.2</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CERTIFICATION PURSUANT TO 18 U.S.C. SECTION 1350,</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AS ADOPTED PURSUANT TO</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SECTION 906 OF THE SARBANES-OXLEY ACT OF 2002</w:t>
      </w:r>
    </w:p>
    <w:p>
      <w:pPr>
        <w:spacing w:after="0" w:line="19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2005 as filed with the Securities and Exchange Commission on the date hereof (the "Report"), the undersigned, Ron Moskovitz, Chief Financial Officer of the Company, hereby certifies, pursuant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 U.S.C. Section 1350, that to the best of his knowledge and belief:</w:t>
      </w:r>
    </w:p>
    <w:p>
      <w:pPr>
        <w:spacing w:after="0" w:line="195" w:lineRule="exact"/>
        <w:rPr>
          <w:sz w:val="20"/>
          <w:szCs w:val="20"/>
          <w:color w:val="auto"/>
        </w:rPr>
      </w:pPr>
    </w:p>
    <w:p>
      <w:pPr>
        <w:ind w:right="2799" w:firstLine="489"/>
        <w:spacing w:after="0" w:line="252" w:lineRule="auto"/>
        <w:tabs>
          <w:tab w:leader="none" w:pos="8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83" w:lineRule="exact"/>
        <w:rPr>
          <w:rFonts w:ascii="Courier New" w:cs="Courier New" w:eastAsia="Courier New" w:hAnsi="Courier New"/>
          <w:sz w:val="16"/>
          <w:szCs w:val="16"/>
          <w:color w:val="auto"/>
        </w:rPr>
      </w:pPr>
    </w:p>
    <w:p>
      <w:pPr>
        <w:ind w:right="2879" w:firstLine="489"/>
        <w:spacing w:after="0" w:line="250" w:lineRule="auto"/>
        <w:tabs>
          <w:tab w:leader="none" w:pos="8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28, 2005</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Ron Moskovitz</w:t>
      </w:r>
    </w:p>
    <w:p>
      <w:pPr>
        <w:spacing w:after="0" w:line="7" w:lineRule="exact"/>
        <w:rPr>
          <w:sz w:val="20"/>
          <w:szCs w:val="20"/>
          <w:color w:val="auto"/>
        </w:rPr>
      </w:pPr>
    </w:p>
    <w:p>
      <w:pPr>
        <w:ind w:left="200" w:hanging="200"/>
        <w:spacing w:after="0"/>
        <w:tabs>
          <w:tab w:leader="none" w:pos="20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Ron Moskovitz</w:t>
      </w:r>
    </w:p>
    <w:p>
      <w:pPr>
        <w:spacing w:after="0" w:line="6" w:lineRule="exact"/>
        <w:rPr>
          <w:rFonts w:ascii="Courier New" w:cs="Courier New" w:eastAsia="Courier New" w:hAnsi="Courier New"/>
          <w:sz w:val="16"/>
          <w:szCs w:val="16"/>
          <w:color w:val="auto"/>
        </w:rPr>
      </w:pPr>
    </w:p>
    <w:p>
      <w:pPr>
        <w:ind w:right="77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17" w:right="1440" w:bottom="1440" w:gutter="0" w:footer="0" w:header="0"/>
        </w:sectPr>
      </w:pPr>
    </w:p>
    <w:bookmarkStart w:id="134" w:name="page135"/>
    <w:bookmarkEnd w:id="134"/>
    <w:p>
      <w:pPr>
        <w:jc w:val="right"/>
        <w:ind w:right="2399"/>
        <w:spacing w:after="0"/>
        <w:rPr>
          <w:sz w:val="20"/>
          <w:szCs w:val="20"/>
          <w:color w:val="auto"/>
        </w:rPr>
      </w:pPr>
      <w:r>
        <w:rPr>
          <w:rFonts w:ascii="Courier New" w:cs="Courier New" w:eastAsia="Courier New" w:hAnsi="Courier New"/>
          <w:sz w:val="16"/>
          <w:szCs w:val="16"/>
          <w:color w:val="auto"/>
        </w:rPr>
        <w:t>EXHIBIT 14.1</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consent to the reference to our firm in the headnote to Item 3. Key Information -- Selected Financial Data and the use of our report dated November 3, 2005, with respect to the consolidated financial statements and financial statement schedule of Amdocs Limited included in this Annual Report on Form 20-F for the year ended September 30, 2005 filed with the Securities and Exchange Commission and incorporated by reference in the following registration statements:</w:t>
      </w:r>
    </w:p>
    <w:p>
      <w:pPr>
        <w:spacing w:after="0" w:line="18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COMMISSION FILE NO.</w:t>
      </w:r>
    </w:p>
    <w:p>
      <w:pPr>
        <w:spacing w:after="0" w:line="7"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Form S-8,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No. 333-91847</w:t>
            </w:r>
          </w:p>
        </w:tc>
      </w:tr>
      <w:tr>
        <w:trPr>
          <w:trHeight w:val="188"/>
        </w:trPr>
        <w:tc>
          <w:tcPr>
            <w:tcW w:w="8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Form S-8,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No. 333-92705</w:t>
            </w:r>
          </w:p>
        </w:tc>
      </w:tr>
      <w:tr>
        <w:trPr>
          <w:trHeight w:val="188"/>
        </w:trPr>
        <w:tc>
          <w:tcPr>
            <w:tcW w:w="8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Form S-8,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No. 333-31506</w:t>
            </w:r>
          </w:p>
        </w:tc>
      </w:tr>
      <w:tr>
        <w:trPr>
          <w:trHeight w:val="188"/>
        </w:trPr>
        <w:tc>
          <w:tcPr>
            <w:tcW w:w="8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Form S-8,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No. 333-34104</w:t>
            </w:r>
          </w:p>
        </w:tc>
      </w:tr>
      <w:tr>
        <w:trPr>
          <w:trHeight w:val="188"/>
        </w:trPr>
        <w:tc>
          <w:tcPr>
            <w:tcW w:w="8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Form S-8,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No. 333-58454</w:t>
            </w:r>
          </w:p>
        </w:tc>
      </w:tr>
      <w:tr>
        <w:trPr>
          <w:trHeight w:val="188"/>
        </w:trPr>
        <w:tc>
          <w:tcPr>
            <w:tcW w:w="8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Form S-8,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No. 333-114077</w:t>
            </w:r>
          </w:p>
        </w:tc>
      </w:tr>
      <w:tr>
        <w:trPr>
          <w:trHeight w:val="188"/>
        </w:trPr>
        <w:tc>
          <w:tcPr>
            <w:tcW w:w="840" w:type="dxa"/>
            <w:vAlign w:val="bottom"/>
          </w:tcPr>
          <w:p>
            <w:pPr>
              <w:spacing w:after="0"/>
              <w:rPr>
                <w:sz w:val="20"/>
                <w:szCs w:val="20"/>
                <w:color w:val="auto"/>
              </w:rPr>
            </w:pPr>
            <w:r>
              <w:rPr>
                <w:rFonts w:ascii="Courier New" w:cs="Courier New" w:eastAsia="Courier New" w:hAnsi="Courier New"/>
                <w:sz w:val="16"/>
                <w:szCs w:val="16"/>
                <w:color w:val="auto"/>
              </w:rPr>
              <w:t>Form F-3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(and related</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Prospectus), No. 333-39278</w:t>
            </w:r>
          </w:p>
        </w:tc>
      </w:tr>
      <w:tr>
        <w:trPr>
          <w:trHeight w:val="188"/>
        </w:trPr>
        <w:tc>
          <w:tcPr>
            <w:tcW w:w="840" w:type="dxa"/>
            <w:vAlign w:val="bottom"/>
          </w:tcPr>
          <w:p>
            <w:pPr>
              <w:spacing w:after="0"/>
              <w:rPr>
                <w:sz w:val="20"/>
                <w:szCs w:val="20"/>
                <w:color w:val="auto"/>
              </w:rPr>
            </w:pPr>
            <w:r>
              <w:rPr>
                <w:rFonts w:ascii="Courier New" w:cs="Courier New" w:eastAsia="Courier New" w:hAnsi="Courier New"/>
                <w:sz w:val="16"/>
                <w:szCs w:val="16"/>
                <w:color w:val="auto"/>
              </w:rPr>
              <w:t>Form F-3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(and related</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Prospectus), No. 333-44994</w:t>
            </w:r>
          </w:p>
        </w:tc>
      </w:tr>
      <w:tr>
        <w:trPr>
          <w:trHeight w:val="188"/>
        </w:trPr>
        <w:tc>
          <w:tcPr>
            <w:tcW w:w="840" w:type="dxa"/>
            <w:vAlign w:val="bottom"/>
          </w:tcPr>
          <w:p>
            <w:pPr>
              <w:spacing w:after="0"/>
              <w:rPr>
                <w:sz w:val="20"/>
                <w:szCs w:val="20"/>
                <w:color w:val="auto"/>
              </w:rPr>
            </w:pPr>
            <w:r>
              <w:rPr>
                <w:rFonts w:ascii="Courier New" w:cs="Courier New" w:eastAsia="Courier New" w:hAnsi="Courier New"/>
                <w:sz w:val="16"/>
                <w:szCs w:val="16"/>
                <w:color w:val="auto"/>
              </w:rPr>
              <w:t>Form F-3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(and related</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Prospectus), No. 333-57036</w:t>
            </w:r>
          </w:p>
        </w:tc>
      </w:tr>
      <w:tr>
        <w:trPr>
          <w:trHeight w:val="188"/>
        </w:trPr>
        <w:tc>
          <w:tcPr>
            <w:tcW w:w="840" w:type="dxa"/>
            <w:vAlign w:val="bottom"/>
          </w:tcPr>
          <w:p>
            <w:pPr>
              <w:spacing w:after="0"/>
              <w:rPr>
                <w:sz w:val="20"/>
                <w:szCs w:val="20"/>
                <w:color w:val="auto"/>
              </w:rPr>
            </w:pPr>
            <w:r>
              <w:rPr>
                <w:rFonts w:ascii="Courier New" w:cs="Courier New" w:eastAsia="Courier New" w:hAnsi="Courier New"/>
                <w:sz w:val="16"/>
                <w:szCs w:val="16"/>
                <w:color w:val="auto"/>
              </w:rPr>
              <w:t>Form F-3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(and related</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Prospectus), No. 333-67572</w:t>
            </w:r>
          </w:p>
        </w:tc>
      </w:tr>
    </w:tbl>
    <w:p>
      <w:pPr>
        <w:spacing w:after="0" w:line="4"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Form F-3 (and related Prospectus), No. 333-114079</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Form F-3 (and related Prospectus), No. 333-114344</w:t>
      </w:r>
    </w:p>
    <w:p>
      <w:pPr>
        <w:spacing w:after="0" w:line="195"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6"/>
          <w:szCs w:val="16"/>
          <w:color w:val="auto"/>
        </w:rPr>
        <w:t>/s/ Ernst &amp; Young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28, 2005</w:t>
      </w:r>
    </w:p>
    <w:sectPr>
      <w:pgSz w:w="11900" w:h="16838" w:orient="portrait"/>
      <w:cols w:equalWidth="0" w:num="1">
        <w:col w:w="10219"/>
      </w:cols>
      <w:pgMar w:left="24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1]"/>
      <w:numFmt w:val="upperLetter"/>
      <w:start w:val="24"/>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
      <w:numFmt w:val="bullet"/>
      <w:start w:val="1"/>
    </w:lvl>
    <w:lvl w:ilvl="1">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1)"/>
      <w:numFmt w:val="decimal"/>
      <w:start w:val="1"/>
    </w:lvl>
  </w:abstractNum>
  <w:abstractNum w:abstractNumId="12">
    <w:nsid w:val="39386575"/>
    <w:multiLevelType w:val="hybridMultilevel"/>
    <w:lvl w:ilvl="0">
      <w:lvlJc w:val="left"/>
      <w:lvlText w:val="(%1)"/>
      <w:numFmt w:val="decimal"/>
      <w:start w:val="2"/>
    </w:lvl>
  </w:abstractNum>
  <w:abstractNum w:abstractNumId="13">
    <w:nsid w:val="1CF10FD8"/>
    <w:multiLevelType w:val="hybridMultilevel"/>
    <w:lvl w:ilvl="0">
      <w:lvlJc w:val="left"/>
      <w:lvlText w:val="(%1)"/>
      <w:numFmt w:val="decimal"/>
      <w:start w:val="3"/>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lvl w:ilvl="1">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lvl w:ilvl="1">
      <w:lvlJc w:val="left"/>
      <w:lvlText w:val="(%2)"/>
      <w:numFmt w:val="decimal"/>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1)"/>
      <w:numFmt w:val="lowerRoman"/>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1)"/>
      <w:numFmt w:val="upperLetter"/>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lvl w:ilvl="1">
      <w:lvlJc w:val="left"/>
      <w:lvlText w:val="%2."/>
      <w:numFmt w:val="decimal"/>
      <w:start w:val="1"/>
    </w:lvl>
  </w:abstractNum>
  <w:abstractNum w:abstractNumId="58">
    <w:nsid w:val="3B0FD379"/>
    <w:multiLevelType w:val="hybridMultilevel"/>
    <w:lvl w:ilvl="0">
      <w:lvlJc w:val="left"/>
      <w:lvlText w:val="%1."/>
      <w:numFmt w:val="upperLetter"/>
      <w:start w:val="6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
      <w:numFmt w:val="bullet"/>
      <w:start w:val="1"/>
    </w:lvl>
    <w:lvl w:ilvl="1">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lvl w:ilvl="1">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lvl w:ilvl="1">
      <w:lvlJc w:val="left"/>
      <w:lvlText w:val="--"/>
      <w:numFmt w:val="bullet"/>
      <w:start w:val="1"/>
    </w:lvl>
  </w:abstractNum>
  <w:abstractNum w:abstractNumId="69">
    <w:nsid w:val="6EB5BD4"/>
    <w:multiLevelType w:val="hybridMultilevel"/>
    <w:lvl w:ilvl="0">
      <w:lvlJc w:val="left"/>
      <w:lvlText w:val="(%1)"/>
      <w:numFmt w:val="decimal"/>
      <w:start w:val="174"/>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lvl w:ilvl="1">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1)"/>
      <w:numFmt w:val="decimal"/>
      <w:start w:val="1"/>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
      <w:numFmt w:val="bullet"/>
      <w:start w:val="1"/>
    </w:lvl>
    <w:lvl w:ilvl="1">
      <w:lvlJc w:val="left"/>
      <w:lvlText w:val="(%2)"/>
      <w:numFmt w:val="decimal"/>
      <w:start w:val="442"/>
    </w:lvl>
  </w:abstractNum>
  <w:abstractNum w:abstractNumId="80">
    <w:nsid w:val="2DF6D648"/>
    <w:multiLevelType w:val="hybridMultilevel"/>
    <w:lvl w:ilvl="0">
      <w:lvlJc w:val="left"/>
      <w:lvlText w:val="-"/>
      <w:numFmt w:val="bullet"/>
      <w:start w:val="1"/>
    </w:lvl>
    <w:lvl w:ilvl="1">
      <w:lvlJc w:val="left"/>
      <w:lvlText w:val="$"/>
      <w:numFmt w:val="bullet"/>
      <w:start w:val="1"/>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
      <w:numFmt w:val="bullet"/>
      <w:start w:val="1"/>
    </w:lvl>
    <w:lvl w:ilvl="1">
      <w:lvlJc w:val="left"/>
      <w:lvlText w:val="===="/>
      <w:numFmt w:val="bullet"/>
      <w:start w:val="1"/>
    </w:lvl>
  </w:abstractNum>
  <w:abstractNum w:abstractNumId="84">
    <w:nsid w:val="57FC4FBB"/>
    <w:multiLevelType w:val="hybridMultilevel"/>
    <w:lvl w:ilvl="0">
      <w:lvlJc w:val="left"/>
      <w:lvlText w:val="(%1)"/>
      <w:numFmt w:val="decimal"/>
      <w:start w:val="1"/>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1)"/>
      <w:numFmt w:val="lowerLetter"/>
      <w:start w:val="1"/>
    </w:lvl>
  </w:abstractNum>
  <w:abstractNum w:abstractNumId="88">
    <w:nsid w:val="26F324BA"/>
    <w:multiLevelType w:val="hybridMultilevel"/>
    <w:lvl w:ilvl="0">
      <w:lvlJc w:val="left"/>
      <w:lvlText w:val="%1."/>
      <w:numFmt w:val="decimal"/>
      <w:start w:val="5"/>
    </w:lvl>
  </w:abstractNum>
  <w:abstractNum w:abstractNumId="89">
    <w:nsid w:val="7F01579B"/>
    <w:multiLevelType w:val="hybridMultilevel"/>
    <w:lvl w:ilvl="0">
      <w:lvlJc w:val="left"/>
      <w:lvlText w:val="(%1)"/>
      <w:numFmt w:val="lowerLetter"/>
      <w:start w:val="1"/>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1."/>
      <w:numFmt w:val="decimal"/>
      <w:start w:val="1"/>
    </w:lvl>
  </w:abstractNum>
  <w:abstractNum w:abstractNumId="92">
    <w:nsid w:val="5FB8370B"/>
    <w:multiLevelType w:val="hybridMultilevel"/>
    <w:lvl w:ilvl="0">
      <w:lvlJc w:val="left"/>
      <w:lvlText w:val="(%1)"/>
      <w:numFmt w:val="lowerLetter"/>
      <w:start w:val="1"/>
    </w:lvl>
  </w:abstractNum>
  <w:abstractNum w:abstractNumId="93">
    <w:nsid w:val="50801EE1"/>
    <w:multiLevelType w:val="hybridMultilevel"/>
    <w:lvl w:ilvl="0">
      <w:lvlJc w:val="left"/>
      <w:lvlText w:val="%1."/>
      <w:numFmt w:val="decimal"/>
      <w:start w:val="5"/>
    </w:lvl>
  </w:abstractNum>
  <w:abstractNum w:abstractNumId="94">
    <w:nsid w:val="488AC1A"/>
    <w:multiLevelType w:val="hybridMultilevel"/>
    <w:lvl w:ilvl="0">
      <w:lvlJc w:val="left"/>
      <w:lvlText w:val="(%1)"/>
      <w:numFmt w:val="lowerLetter"/>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2019-12-14T21:17:33Z</dcterms:created>
  <dcterms:modified xsi:type="dcterms:W3CDTF">2019-12-14T21:17:33Z</dcterms:modified>
</cp:coreProperties>
</file>