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July, 2011</w:t>
      </w:r>
    </w:p>
    <w:p>
      <w:pPr>
        <w:spacing w:after="0" w:line="22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 1-14840</w:t>
      </w:r>
    </w:p>
    <w:p>
      <w:pPr>
        <w:spacing w:after="0" w:line="196"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319"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060"/>
        <w:spacing w:after="0" w:line="207" w:lineRule="exact"/>
        <w:tabs>
          <w:tab w:leader="none" w:pos="62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680"/>
        <w:spacing w:after="0" w:line="207" w:lineRule="exact"/>
        <w:tabs>
          <w:tab w:leader="none" w:pos="6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240" w:firstLine="225"/>
        <w:spacing w:after="0" w:line="277" w:lineRule="auto"/>
        <w:rPr>
          <w:sz w:val="20"/>
          <w:szCs w:val="20"/>
          <w:color w:val="auto"/>
        </w:rPr>
      </w:pPr>
      <w:r>
        <w:rPr>
          <w:rFonts w:ascii="Arial" w:cs="Arial" w:eastAsia="Arial" w:hAnsi="Arial"/>
          <w:sz w:val="18"/>
          <w:szCs w:val="18"/>
          <w:color w:val="auto"/>
        </w:rPr>
        <w:t>On July 27, 2011, Amdocs Limited (“Amdocs”) issued a press release announcing financial results for the quarter ended June 30, 2011.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36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900" w:type="dxa"/>
            <w:vAlign w:val="bottom"/>
          </w:tcPr>
          <w:p>
            <w:pPr>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Amdocs Limited Press Release dated July 27, 2011.</w:t>
            </w:r>
          </w:p>
        </w:tc>
      </w:tr>
    </w:tbl>
    <w:p>
      <w:pPr>
        <w:sectPr>
          <w:pgSz w:w="11900" w:h="16838" w:orient="portrait"/>
          <w:cols w:equalWidth="0" w:num="1">
            <w:col w:w="11420"/>
          </w:cols>
          <w:pgMar w:left="240" w:top="96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139700</wp:posOffset>
            </wp:positionV>
            <wp:extent cx="12522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2220" cy="26606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P R E S S</w:t>
      </w:r>
      <w:r>
        <w:rPr>
          <w:sz w:val="20"/>
          <w:szCs w:val="20"/>
          <w:color w:val="auto"/>
        </w:rPr>
        <w:tab/>
      </w:r>
      <w:r>
        <w:rPr>
          <w:rFonts w:ascii="Arial" w:cs="Arial" w:eastAsia="Arial" w:hAnsi="Arial"/>
          <w:sz w:val="17"/>
          <w:szCs w:val="17"/>
          <w:color w:val="auto"/>
        </w:rPr>
        <w:t>R E L E A S 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$801 Million, Up 6.4% YoY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04" w:lineRule="exact"/>
        <w:rPr>
          <w:sz w:val="20"/>
          <w:szCs w:val="20"/>
          <w:color w:val="auto"/>
        </w:rPr>
      </w:pPr>
    </w:p>
    <w:p>
      <w:pPr>
        <w:ind w:left="660" w:right="100" w:hanging="436"/>
        <w:spacing w:after="0" w:line="23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After 14 years, Bruce Anderson will retire as Chairman of the Board of Directors at the end of the current fiscal year, but has agreed to stand for reelection for one additional term as a Director to facilitate the transition in leadership. Robert Minicucci, a current Director also with a 14-year tenure on the Board, has been appointed to succeed Mr. Anderson in the role of Chairman, effective October 1, 2011.</w:t>
      </w:r>
    </w:p>
    <w:p>
      <w:pPr>
        <w:spacing w:after="0" w:line="107" w:lineRule="exact"/>
        <w:rPr>
          <w:rFonts w:ascii="Arial" w:cs="Arial" w:eastAsia="Arial" w:hAnsi="Arial"/>
          <w:sz w:val="18"/>
          <w:szCs w:val="18"/>
          <w:b w:val="1"/>
          <w:bCs w:val="1"/>
          <w:color w:val="auto"/>
        </w:rPr>
      </w:pPr>
    </w:p>
    <w:p>
      <w:pPr>
        <w:ind w:left="660" w:right="76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fiscal quarter revenue of $801 million, compared to the $790-$805 million guidance range. Foreign currency movements positively impacted revenue by approximately $5 million sequentially relative to the second fiscal quarter of 2011</w:t>
      </w:r>
    </w:p>
    <w:p>
      <w:pPr>
        <w:spacing w:after="0" w:line="102" w:lineRule="exact"/>
        <w:rPr>
          <w:rFonts w:ascii="Arial" w:cs="Arial" w:eastAsia="Arial" w:hAnsi="Arial"/>
          <w:sz w:val="18"/>
          <w:szCs w:val="18"/>
          <w:b w:val="1"/>
          <w:bCs w:val="1"/>
          <w:color w:val="auto"/>
        </w:rPr>
      </w:pPr>
    </w:p>
    <w:p>
      <w:pPr>
        <w:ind w:left="660" w:right="36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fiscal quarter non-GAAP operating income of $132 million; non-GAAP operating margin of 16.4%; GAAP operating income of $106 million</w:t>
      </w:r>
    </w:p>
    <w:p>
      <w:pPr>
        <w:spacing w:after="0" w:line="102" w:lineRule="exact"/>
        <w:rPr>
          <w:rFonts w:ascii="Arial" w:cs="Arial" w:eastAsia="Arial" w:hAnsi="Arial"/>
          <w:sz w:val="18"/>
          <w:szCs w:val="18"/>
          <w:b w:val="1"/>
          <w:bCs w:val="1"/>
          <w:color w:val="auto"/>
        </w:rPr>
      </w:pPr>
    </w:p>
    <w:p>
      <w:pPr>
        <w:ind w:left="660" w:right="38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fiscal quarter diluted non-GAAP EPS of $0.61, compared to the $0.57-$0.63 guidance range, excluding amortization of purchased intangible assets and other acquisition related costs and equity-based compensation expense, net of related tax effects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$0.50 for the third fiscal quarter, compared to the $0.45-$0.53 guidance range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$125 million for the third fiscal quarter</w:t>
      </w:r>
    </w:p>
    <w:p>
      <w:pPr>
        <w:spacing w:after="0" w:line="117" w:lineRule="exact"/>
        <w:rPr>
          <w:rFonts w:ascii="Arial" w:cs="Arial" w:eastAsia="Arial" w:hAnsi="Arial"/>
          <w:sz w:val="18"/>
          <w:szCs w:val="18"/>
          <w:b w:val="1"/>
          <w:bCs w:val="1"/>
          <w:color w:val="auto"/>
        </w:rPr>
      </w:pPr>
    </w:p>
    <w:p>
      <w:pPr>
        <w:ind w:left="660" w:right="24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Twelve-month backlog of $2.62 billion at the end of the third fiscal quarter, up $30 million from the end of the second fiscal quarter of 2011</w:t>
      </w:r>
    </w:p>
    <w:p>
      <w:pPr>
        <w:spacing w:after="0" w:line="102" w:lineRule="exact"/>
        <w:rPr>
          <w:rFonts w:ascii="Arial" w:cs="Arial" w:eastAsia="Arial" w:hAnsi="Arial"/>
          <w:sz w:val="18"/>
          <w:szCs w:val="18"/>
          <w:b w:val="1"/>
          <w:bCs w:val="1"/>
          <w:color w:val="auto"/>
        </w:rPr>
      </w:pPr>
    </w:p>
    <w:p>
      <w:pPr>
        <w:ind w:left="660" w:right="60" w:hanging="436"/>
        <w:spacing w:after="0" w:line="239"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fiscal 2011 guidance (excluding the impact of the pending acquisition of Bridgewater Systems Corporation): Expected revenue of approximately $800-$815 million and diluted non-GAAP EPS of $0.58-$0.64, excluding amortization of purchased intangible assets and other acquisition related costs and approximately $0.04-$0.05 per share of equity-based compensation expense, net of related tax effects. Diluted GAAP EPS is expected to be approximately $0.46-$0.54</w:t>
      </w:r>
    </w:p>
    <w:p>
      <w:pPr>
        <w:spacing w:after="0" w:line="10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Repurchased $157 million of ordinary shares during the third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ST. LOUIS — July 27, 2011 </w:t>
      </w:r>
      <w:r>
        <w:rPr>
          <w:rFonts w:ascii="Arial" w:cs="Arial" w:eastAsia="Arial" w:hAnsi="Arial"/>
          <w:sz w:val="18"/>
          <w:szCs w:val="18"/>
          <w:color w:val="auto"/>
        </w:rPr>
        <w:t>— Amdocs Limited (NYSE: DOX) today reported that for its third fiscal quarter ended June 30, 2011,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$801.4 million, up 1.6% sequentially from the second fiscal quarter of 2011 and up 6.4% as compared to last year’s third fiscal quarter. Net income on a non-GAAP basis was $113.3 million, or $0.61 per diluted share, compared to non-GAAP net income of $119.4 million, or $0.58 per diluted share, in the third quarter of fiscal 2010. Non-GAAP net income excludes amortization of purchased intangible assets and other acquisition related costs and equity-based compensation expenses of $21.5 million, net of related tax effects, in the third quarter of fiscal 2011 and excludes such amortization, loss from divestiture of a subsidiary and equity-based compensation expenses of $27.1 million, net of related tax effects, in the third quarter of fiscal 2010. The Company’s GAAP net income for the third quarter of fiscal 2011 was $91.8 million, or $0.50 per diluted share, compared to GAAP net income of $92.3 million, or $0.45 per diluted share, in the prior year’s third quarter.</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solid third fiscal quarter results reflect global demand for Amdocs solutions, on-going momentum in the emerging markets, and improving execution in Europe. In the emerging markets, activity levels among current and new customers remain high as service providers in Asia and Latin America increasingly require more sophisticated BSS and OSS systems to support a better customer experience. Additionally, in Europe we are beginning to see the results of our greater focus and management re-alignment in the region. We are also beginning to reap the benefits from our recent investment initiatives, which drove the modest sequential improvement in profitability during the third quarter,” said Eli Gelman, chief executive officer of Amdocs Management Limited.</w:t>
      </w:r>
    </w:p>
    <w:p>
      <w:pPr>
        <w:spacing w:after="0" w:line="9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Gelman continued, “We continue to execute on our share repurchase plan, demonstrating our confidence in Amdocs’ future and our commitment to enhancing shareholder value. Since we resumed our buyback activity in April 2010, we have repurchased $821 million of our ordinary shares, or approximately 14% of our shares outstanding.”</w:t>
      </w:r>
    </w:p>
    <w:p>
      <w:pPr>
        <w:spacing w:after="0" w:line="9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Gelman said, “During the third quarter we signed a definitive agreement to acquire Bridgewater Systems Corporation which, when closed, will mark an additional step forward in our strategy to redefine the ways in which service providers can monetize data services. Service providers today need to find more advanced and innovative methods to fairly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6" w:name="page7"/>
    <w:bookmarkEnd w:id="6"/>
    <w:p>
      <w:pPr>
        <w:ind w:right="80"/>
        <w:spacing w:after="0"/>
        <w:rPr>
          <w:sz w:val="20"/>
          <w:szCs w:val="20"/>
          <w:color w:val="auto"/>
        </w:rPr>
      </w:pPr>
      <w:r>
        <w:rPr>
          <w:rFonts w:ascii="Arial" w:cs="Arial" w:eastAsia="Arial" w:hAnsi="Arial"/>
          <w:sz w:val="18"/>
          <w:szCs w:val="18"/>
          <w:color w:val="auto"/>
        </w:rPr>
        <w:t>for the value and usage of data. The combination of Amdocs and Bridgewater will enable service providers to support virtually any pricing strategy for data services, based on the combination of advanced customer models coupled with network level information. We look forward to closing the deal by the end of the current quarter and officially welcoming the Bridgewater team to Amdocs.”</w:t>
      </w:r>
    </w:p>
    <w:p>
      <w:pPr>
        <w:spacing w:after="0" w:line="9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Gelman concluded, “Looking into the fourth fiscal quarter, we are pleased that our outlook reflects similar trends to those we delivered in the third quarter (excluding the effects of currency fluctuations). Global demand remains stable, and we believe the investments we are currently making in our customers, our products and our people are serving to strengthen our competitive position. Last, we would like to thank Bruce Anderson for his outstanding contributions to Amdocs over the past 14 years as Chairman of the Board. His leadership capabilities have positively impacted the success of Amdocs. We also welcome our long-time Director Rob Minicucci as our new Chairman and look forward to working with him in the next stage of Amdocs’ growth.”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Third Fiscal Quarter Results</w:t>
      </w:r>
    </w:p>
    <w:p>
      <w:pPr>
        <w:spacing w:after="0" w:line="126"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Free cash flow was $125 million for the third fiscal quarter, comprised of cash flow from operations of approximately $150 million less $25 million in net capital expenditures and other.</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$2.62 billion at the end of the third quarter of fiscal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Amdocs expects that revenue for the fourth quarter of fiscal 2011 will be approximately $800-$815 million. Diluted earnings per share on a non-GAAP basis for the fourth quarter are expected to be $0.58-$0.64, excluding amortization of purchased intangible assets and other acquisition related costs and approximately $0.04-$ 0.05 per share of equity-based compensation expense, net of related tax effects. Amdocs estimates GAAP diluted earnings per share for the fourth fiscal quarter will be $0.46-$0.54.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Details</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Amdocs will host a conference call on July 27, 2011 at 5:00 p.m. Eastern Time to discuss the Company’s third fiscal quarter results. The call will be carried live on the Internet via the Amdocs website, www.amdocs.com.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interest and other expense, net, non-GAAP income taxes and non-GAAP net income. These non-GAAP measures exclude the following items:</w:t>
      </w:r>
    </w:p>
    <w:p>
      <w:pPr>
        <w:spacing w:after="0" w:line="94"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 and other acquisition related costs;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loss from divestiture of a subsidiary;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interest and other expense, net, non-GAAP income taxes and non-GAAP net income, when shown in conjunction with the corresponding GAAP measures, provides useful information to investors and management regarding financial and business trends relating to its financial condition and results of operations,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sectPr>
      </w:pPr>
    </w:p>
    <w:bookmarkStart w:id="8" w:name="page9"/>
    <w:bookmarkEnd w:id="8"/>
    <w:p>
      <w:pPr>
        <w:ind w:right="160"/>
        <w:spacing w:after="0" w:line="246" w:lineRule="auto"/>
        <w:rPr>
          <w:sz w:val="20"/>
          <w:szCs w:val="20"/>
          <w:color w:val="auto"/>
        </w:rPr>
      </w:pPr>
      <w:r>
        <w:rPr>
          <w:rFonts w:ascii="Arial" w:cs="Arial" w:eastAsia="Arial" w:hAnsi="Arial"/>
          <w:sz w:val="18"/>
          <w:szCs w:val="18"/>
          <w:color w:val="auto"/>
        </w:rPr>
        <w:t>well as the net amount of cash generated by its business operations after taking into account capital spending required to maintain or expand the business.</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 related costs,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 xml:space="preserve">Amdocs is the market leader in customer experience systems innovation. The company combines business and operational support systems, service delivery platforms, proven services, and deep industry expertise to enable service providers and their customers to do more in the connected world. Amdocs’ offerings help service providers explore new business models, differentiate through personalized customer experiences, and streamline operations. A global company with revenue of approximately $3.0 billion in fiscal 2010, Amdocs has over 19,000 employees and serves customers in more than 60 countries worldwide. 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9" w:name="page10"/>
    <w:bookmarkEnd w:id="9"/>
    <w:p>
      <w:pPr>
        <w:spacing w:after="0" w:line="236"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2010 filed on December 7, 2010 and in our quarterly 6-K filed on February 8, 2011 and May 11, 2011.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234" w:lineRule="auto"/>
        <w:rPr>
          <w:sz w:val="20"/>
          <w:szCs w:val="20"/>
          <w:color w:val="auto"/>
        </w:rPr>
      </w:pPr>
      <w:r>
        <w:rPr>
          <w:rFonts w:ascii="Arial" w:cs="Arial" w:eastAsia="Arial" w:hAnsi="Arial"/>
          <w:sz w:val="18"/>
          <w:szCs w:val="18"/>
          <w:color w:val="auto"/>
        </w:rPr>
        <w:t>Vice President, Corporate Strategy and Investor Relations</w:t>
      </w:r>
    </w:p>
    <w:p>
      <w:pPr>
        <w:spacing w:after="0" w:line="235" w:lineRule="auto"/>
        <w:rPr>
          <w:sz w:val="20"/>
          <w:szCs w:val="20"/>
          <w:color w:val="auto"/>
        </w:rPr>
      </w:pPr>
      <w:r>
        <w:rPr>
          <w:rFonts w:ascii="Arial" w:cs="Arial" w:eastAsia="Arial" w:hAnsi="Arial"/>
          <w:sz w:val="18"/>
          <w:szCs w:val="18"/>
          <w:color w:val="auto"/>
        </w:rPr>
        <w:t>Amdocs</w:t>
      </w:r>
    </w:p>
    <w:p>
      <w:pPr>
        <w:spacing w:after="0" w:line="235" w:lineRule="auto"/>
        <w:rPr>
          <w:sz w:val="20"/>
          <w:szCs w:val="20"/>
          <w:color w:val="auto"/>
        </w:rPr>
      </w:pPr>
      <w:r>
        <w:rPr>
          <w:rFonts w:ascii="Arial" w:cs="Arial" w:eastAsia="Arial" w:hAnsi="Arial"/>
          <w:sz w:val="18"/>
          <w:szCs w:val="18"/>
          <w:color w:val="auto"/>
        </w:rPr>
        <w:t>314-212-8328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29,093</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25,592</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87,694</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772,316</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727,657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2,277,831</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2,146,338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801,409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753,249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2,365,525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2,222,029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630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459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1,528</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521,113</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480,074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1,542,489</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1,417,729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54,414</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52,253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162,942</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102,315</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93,446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305,736</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277,054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17,265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21,748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53,018</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64,506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695,737</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647,980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2,065,713</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1,914,484</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105,672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105,269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299,812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307,545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3,768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3,252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27,244</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105,488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101,501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296,560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280,301</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13,703</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9,236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37,274</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91,785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92,265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259,286</w:t>
            </w: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249,168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0.50</w:t>
            </w:r>
          </w:p>
        </w:tc>
        <w:tc>
          <w:tcPr>
            <w:tcW w:w="2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0.45</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183,273</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w w:val="98"/>
              </w:rPr>
              <w:t>203,786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187,566</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205,078</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184,682</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w w:val="98"/>
              </w:rPr>
              <w:t>205,471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188,973</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206,606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5"/>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r>
      <w:tr>
        <w:trPr>
          <w:trHeight w:val="156"/>
        </w:trPr>
        <w:tc>
          <w:tcPr>
            <w:tcW w:w="4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2010</w:t>
            </w: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5"/>
              </w:rPr>
              <w:t>801,409</w:t>
            </w:r>
          </w:p>
        </w:tc>
        <w:tc>
          <w:tcPr>
            <w:tcW w:w="9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8"/>
              </w:rPr>
              <w:t>753,249</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9"/>
              </w:rPr>
              <w:t>2,365,525</w:t>
            </w:r>
          </w:p>
        </w:tc>
        <w:tc>
          <w:tcPr>
            <w:tcW w:w="8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9"/>
              </w:rPr>
              <w:t>2,222,029</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17"/>
                <w:szCs w:val="17"/>
                <w:color w:val="auto"/>
              </w:rPr>
            </w:pP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w w:val="95"/>
              </w:rPr>
              <w:t>131,709</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w w:val="98"/>
              </w:rPr>
              <w:t>137,774</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379,758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404,379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w w:val="95"/>
              </w:rPr>
              <w:t>113,303</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119,360</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323,393</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349,357</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Non-GAAP diluted earnings per share</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0.61</w:t>
            </w: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0.58</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1.71</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1.69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w w:val="95"/>
              </w:rPr>
              <w:t>184,682</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205,471</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188,973</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206,606</w:t>
            </w:r>
          </w:p>
        </w:tc>
      </w:tr>
      <w:tr>
        <w:trPr>
          <w:trHeight w:val="618"/>
        </w:trPr>
        <w:tc>
          <w:tcPr>
            <w:tcW w:w="49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4720"/>
        <w:spacing w:after="0"/>
        <w:rPr>
          <w:sz w:val="20"/>
          <w:szCs w:val="20"/>
          <w:color w:val="auto"/>
        </w:rPr>
      </w:pPr>
      <w:r>
        <w:rPr>
          <w:rFonts w:ascii="Arial" w:cs="Arial" w:eastAsia="Arial" w:hAnsi="Arial"/>
          <w:sz w:val="14"/>
          <w:szCs w:val="14"/>
          <w:b w:val="1"/>
          <w:bCs w:val="1"/>
          <w:color w:val="auto"/>
        </w:rPr>
        <w:t>Three months ended</w:t>
      </w:r>
    </w:p>
    <w:p>
      <w:pPr>
        <w:jc w:val="center"/>
        <w:ind w:left="4720"/>
        <w:spacing w:after="0" w:line="236" w:lineRule="auto"/>
        <w:rPr>
          <w:sz w:val="20"/>
          <w:szCs w:val="20"/>
          <w:color w:val="auto"/>
        </w:rPr>
      </w:pPr>
      <w:r>
        <w:rPr>
          <w:rFonts w:ascii="Arial" w:cs="Arial" w:eastAsia="Arial" w:hAnsi="Arial"/>
          <w:sz w:val="14"/>
          <w:szCs w:val="14"/>
          <w:b w:val="1"/>
          <w:bCs w:val="1"/>
          <w:color w:val="auto"/>
        </w:rPr>
        <w:t>June 30, 2011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Reconciliation items</w:t>
            </w:r>
          </w:p>
        </w:tc>
        <w:tc>
          <w:tcPr>
            <w:tcW w:w="4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6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273"/>
              <w:spacing w:after="0" w:line="149" w:lineRule="exact"/>
              <w:rPr>
                <w:sz w:val="20"/>
                <w:szCs w:val="20"/>
                <w:color w:val="auto"/>
              </w:rPr>
            </w:pPr>
            <w:r>
              <w:rPr>
                <w:rFonts w:ascii="Arial" w:cs="Arial" w:eastAsia="Arial" w:hAnsi="Arial"/>
                <w:sz w:val="14"/>
                <w:szCs w:val="14"/>
                <w:b w:val="1"/>
                <w:bCs w:val="1"/>
                <w:color w:val="auto"/>
                <w:w w:val="93"/>
              </w:rPr>
              <w:t>purchased</w:t>
            </w:r>
          </w:p>
        </w:tc>
        <w:tc>
          <w:tcPr>
            <w:tcW w:w="16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GAAP</w:t>
            </w:r>
          </w:p>
        </w:tc>
        <w:tc>
          <w:tcPr>
            <w:tcW w:w="150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intangible assets</w:t>
            </w:r>
          </w:p>
        </w:tc>
        <w:tc>
          <w:tcPr>
            <w:tcW w:w="166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compensation</w:t>
            </w:r>
          </w:p>
        </w:tc>
        <w:tc>
          <w:tcPr>
            <w:tcW w:w="13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Tax effect</w:t>
            </w:r>
          </w:p>
        </w:tc>
        <w:tc>
          <w:tcPr>
            <w:tcW w:w="110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and other</w:t>
            </w: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expense</w:t>
            </w:r>
          </w:p>
        </w:tc>
        <w:tc>
          <w:tcPr>
            <w:tcW w:w="1320" w:type="dxa"/>
            <w:vAlign w:val="bottom"/>
            <w:tcBorders>
              <w:bottom w:val="single" w:sz="8" w:color="auto"/>
            </w:tcBorders>
            <w:gridSpan w:val="3"/>
            <w:vMerge w:val="continue"/>
          </w:tcPr>
          <w:p>
            <w:pPr>
              <w:spacing w:after="0"/>
              <w:rPr>
                <w:sz w:val="15"/>
                <w:szCs w:val="15"/>
                <w:color w:val="auto"/>
              </w:rPr>
            </w:pPr>
          </w:p>
        </w:tc>
        <w:tc>
          <w:tcPr>
            <w:tcW w:w="110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630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9"/>
              </w:rPr>
              <w:t>521,113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(3,783)</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517,330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54,414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(821)</w:t>
            </w:r>
          </w:p>
        </w:tc>
        <w:tc>
          <w:tcPr>
            <w:tcW w:w="4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53,593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9"/>
              </w:rPr>
              <w:t>102,315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(4,168)</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17,265</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(17,265)</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89"/>
              </w:rPr>
              <w:t>695,737</w:t>
            </w: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(17,265)</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(8,772)</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669,700</w:t>
            </w:r>
          </w:p>
        </w:tc>
        <w:tc>
          <w:tcPr>
            <w:tcW w:w="0" w:type="dxa"/>
            <w:vAlign w:val="bottom"/>
          </w:tcPr>
          <w:p>
            <w:pPr>
              <w:spacing w:after="0"/>
              <w:rPr>
                <w:sz w:val="1"/>
                <w:szCs w:val="1"/>
                <w:color w:val="auto"/>
              </w:rPr>
            </w:pPr>
          </w:p>
        </w:tc>
      </w:tr>
      <w:tr>
        <w:trPr>
          <w:trHeight w:val="439"/>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89"/>
              </w:rPr>
              <w:t>105,672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17,265</w:t>
            </w: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8,772</w:t>
            </w: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131,709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13,703</w:t>
            </w: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4,519</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439"/>
        </w:trPr>
        <w:tc>
          <w:tcPr>
            <w:tcW w:w="4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91,785</w:t>
            </w:r>
          </w:p>
        </w:tc>
        <w:tc>
          <w:tcPr>
            <w:tcW w:w="4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17,265</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8,772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8"/>
              </w:rPr>
              <w:t>(4,519)</w:t>
            </w:r>
          </w:p>
        </w:tc>
        <w:tc>
          <w:tcPr>
            <w:tcW w:w="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113,303</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3400"/>
        <w:spacing w:after="0"/>
        <w:rPr>
          <w:sz w:val="20"/>
          <w:szCs w:val="20"/>
          <w:color w:val="auto"/>
        </w:rPr>
      </w:pPr>
      <w:r>
        <w:rPr>
          <w:rFonts w:ascii="Arial" w:cs="Arial" w:eastAsia="Arial" w:hAnsi="Arial"/>
          <w:sz w:val="14"/>
          <w:szCs w:val="14"/>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-3175</wp:posOffset>
            </wp:positionV>
            <wp:extent cx="49568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ind w:left="678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60" w:type="dxa"/>
            <w:vAlign w:val="bottom"/>
            <w:tcBorders>
              <w:top w:val="single" w:sz="8" w:color="auto"/>
            </w:tcBorders>
            <w:gridSpan w:val="2"/>
          </w:tcPr>
          <w:p>
            <w:pPr>
              <w:jc w:val="center"/>
              <w:ind w:right="234"/>
              <w:spacing w:after="0" w:line="119" w:lineRule="exact"/>
              <w:rPr>
                <w:sz w:val="20"/>
                <w:szCs w:val="20"/>
                <w:color w:val="auto"/>
              </w:rPr>
            </w:pPr>
            <w:r>
              <w:rPr>
                <w:rFonts w:ascii="Arial" w:cs="Arial" w:eastAsia="Arial" w:hAnsi="Arial"/>
                <w:sz w:val="13"/>
                <w:szCs w:val="13"/>
                <w:b w:val="1"/>
                <w:bCs w:val="1"/>
                <w:color w:val="auto"/>
              </w:rPr>
              <w:t>Amortization</w:t>
            </w:r>
          </w:p>
        </w:tc>
        <w:tc>
          <w:tcPr>
            <w:tcW w:w="4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7"/>
              </w:rPr>
              <w:t>Impairment on</w:t>
            </w:r>
          </w:p>
        </w:tc>
        <w:tc>
          <w:tcPr>
            <w:tcW w:w="4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gridSpan w:val="2"/>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4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Equity based</w:t>
            </w:r>
          </w:p>
        </w:tc>
        <w:tc>
          <w:tcPr>
            <w:tcW w:w="15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54"/>
              <w:spacing w:after="0" w:line="149" w:lineRule="exact"/>
              <w:rPr>
                <w:sz w:val="20"/>
                <w:szCs w:val="20"/>
                <w:color w:val="auto"/>
              </w:rPr>
            </w:pPr>
            <w:r>
              <w:rPr>
                <w:rFonts w:ascii="Arial" w:cs="Arial" w:eastAsia="Arial" w:hAnsi="Arial"/>
                <w:sz w:val="14"/>
                <w:szCs w:val="14"/>
                <w:b w:val="1"/>
                <w:bCs w:val="1"/>
                <w:color w:val="auto"/>
                <w:w w:val="93"/>
              </w:rPr>
              <w:t>intangible</w:t>
            </w:r>
          </w:p>
        </w:tc>
        <w:tc>
          <w:tcPr>
            <w:tcW w:w="14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89"/>
              </w:rPr>
              <w:t>investment</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060" w:type="dxa"/>
            <w:vAlign w:val="bottom"/>
          </w:tcPr>
          <w:p>
            <w:pPr>
              <w:jc w:val="center"/>
              <w:ind w:right="354"/>
              <w:spacing w:after="0" w:line="149" w:lineRule="exact"/>
              <w:rPr>
                <w:sz w:val="20"/>
                <w:szCs w:val="20"/>
                <w:color w:val="auto"/>
              </w:rPr>
            </w:pPr>
            <w:r>
              <w:rPr>
                <w:rFonts w:ascii="Arial" w:cs="Arial" w:eastAsia="Arial" w:hAnsi="Arial"/>
                <w:sz w:val="14"/>
                <w:szCs w:val="14"/>
                <w:b w:val="1"/>
                <w:bCs w:val="1"/>
                <w:color w:val="auto"/>
                <w:w w:val="85"/>
              </w:rPr>
              <w:t>assets and</w:t>
            </w:r>
          </w:p>
        </w:tc>
        <w:tc>
          <w:tcPr>
            <w:tcW w:w="14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2"/>
                <w:szCs w:val="12"/>
                <w:color w:val="auto"/>
              </w:rPr>
            </w:pPr>
          </w:p>
        </w:tc>
        <w:tc>
          <w:tcPr>
            <w:tcW w:w="112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90"/>
              </w:rPr>
              <w:t>in a</w:t>
            </w:r>
          </w:p>
        </w:tc>
        <w:tc>
          <w:tcPr>
            <w:tcW w:w="13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Tax effect</w:t>
            </w: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1"/>
              </w:rPr>
              <w:t>other</w:t>
            </w: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2"/>
              </w:rPr>
              <w:t>expense</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91"/>
              </w:rPr>
              <w:t>subsidiary</w:t>
            </w:r>
          </w:p>
        </w:tc>
        <w:tc>
          <w:tcPr>
            <w:tcW w:w="1340" w:type="dxa"/>
            <w:vAlign w:val="bottom"/>
            <w:tcBorders>
              <w:bottom w:val="single" w:sz="8" w:color="auto"/>
            </w:tcBorders>
            <w:gridSpan w:val="3"/>
            <w:vMerge w:val="continue"/>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42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9"/>
              </w:rPr>
              <w:t>480,074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(4,871)</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475,203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8"/>
                <w:szCs w:val="18"/>
                <w:color w:val="auto"/>
              </w:rPr>
              <w:t>52,253</w:t>
            </w:r>
          </w:p>
        </w:tc>
        <w:tc>
          <w:tcPr>
            <w:tcW w:w="10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18"/>
                <w:szCs w:val="18"/>
                <w:color w:val="auto"/>
              </w:rPr>
            </w:pPr>
          </w:p>
        </w:tc>
        <w:tc>
          <w:tcPr>
            <w:tcW w:w="112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93,446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(4,869)</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88,577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ind w:left="400"/>
              <w:spacing w:after="0"/>
              <w:rPr>
                <w:sz w:val="20"/>
                <w:szCs w:val="20"/>
                <w:color w:val="auto"/>
              </w:rPr>
            </w:pPr>
            <w:r>
              <w:rPr>
                <w:rFonts w:ascii="Arial" w:cs="Arial" w:eastAsia="Arial" w:hAnsi="Arial"/>
                <w:sz w:val="18"/>
                <w:szCs w:val="18"/>
                <w:color w:val="auto"/>
              </w:rPr>
              <w:t>assets and other</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21,748</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(21,748)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9"/>
              </w:rPr>
              <w:t>647,980</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(21,748)</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(10,757)</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615,475</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w w:val="89"/>
              </w:rPr>
              <w:t>105,269</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21,748</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10,757</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137,774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1,599</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439"/>
        </w:trPr>
        <w:tc>
          <w:tcPr>
            <w:tcW w:w="32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9,236</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7,009</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92,265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21,748</w:t>
            </w:r>
          </w:p>
        </w:tc>
        <w:tc>
          <w:tcPr>
            <w:tcW w:w="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10,757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1,599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(7,009)</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119,360</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2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420" w:type="dxa"/>
            <w:vAlign w:val="bottom"/>
            <w:tcBorders>
              <w:top w:val="single" w:sz="8" w:color="auto"/>
              <w:bottom w:val="single" w:sz="8" w:color="808080"/>
            </w:tcBorders>
          </w:tcPr>
          <w:p>
            <w:pPr>
              <w:spacing w:after="0"/>
              <w:rPr>
                <w:sz w:val="24"/>
                <w:szCs w:val="24"/>
                <w:color w:val="auto"/>
              </w:rPr>
            </w:pPr>
          </w:p>
        </w:tc>
        <w:tc>
          <w:tcPr>
            <w:tcW w:w="106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1120" w:type="dxa"/>
            <w:vAlign w:val="bottom"/>
            <w:tcBorders>
              <w:top w:val="single" w:sz="8" w:color="auto"/>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p>
      <w:pPr>
        <w:jc w:val="center"/>
        <w:ind w:left="4540"/>
        <w:spacing w:after="0"/>
        <w:rPr>
          <w:sz w:val="20"/>
          <w:szCs w:val="20"/>
          <w:color w:val="auto"/>
        </w:rPr>
      </w:pPr>
      <w:r>
        <w:rPr>
          <w:rFonts w:ascii="Arial" w:cs="Arial" w:eastAsia="Arial" w:hAnsi="Arial"/>
          <w:sz w:val="14"/>
          <w:szCs w:val="14"/>
          <w:b w:val="1"/>
          <w:bCs w:val="1"/>
          <w:color w:val="auto"/>
        </w:rPr>
        <w:t>Nine months ended</w:t>
      </w:r>
    </w:p>
    <w:p>
      <w:pPr>
        <w:jc w:val="center"/>
        <w:ind w:left="4540"/>
        <w:spacing w:after="0" w:line="236" w:lineRule="auto"/>
        <w:rPr>
          <w:sz w:val="20"/>
          <w:szCs w:val="20"/>
          <w:color w:val="auto"/>
        </w:rPr>
      </w:pPr>
      <w:r>
        <w:rPr>
          <w:rFonts w:ascii="Arial" w:cs="Arial" w:eastAsia="Arial" w:hAnsi="Arial"/>
          <w:sz w:val="14"/>
          <w:szCs w:val="14"/>
          <w:b w:val="1"/>
          <w:bCs w:val="1"/>
          <w:color w:val="auto"/>
        </w:rPr>
        <w:t>June 30, 2011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Reconciliation items</w:t>
            </w:r>
          </w:p>
        </w:tc>
        <w:tc>
          <w:tcPr>
            <w:tcW w:w="3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Equity based</w:t>
            </w: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w w:val="93"/>
              </w:rPr>
              <w:t>purchased</w:t>
            </w:r>
          </w:p>
        </w:tc>
        <w:tc>
          <w:tcPr>
            <w:tcW w:w="16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GAAP</w:t>
            </w:r>
          </w:p>
        </w:tc>
        <w:tc>
          <w:tcPr>
            <w:tcW w:w="148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intangible assets</w:t>
            </w:r>
          </w:p>
        </w:tc>
        <w:tc>
          <w:tcPr>
            <w:tcW w:w="164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compensation</w:t>
            </w:r>
          </w:p>
        </w:tc>
        <w:tc>
          <w:tcPr>
            <w:tcW w:w="13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Tax effect</w:t>
            </w:r>
          </w:p>
        </w:tc>
        <w:tc>
          <w:tcPr>
            <w:tcW w:w="12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and other</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expense</w:t>
            </w:r>
          </w:p>
        </w:tc>
        <w:tc>
          <w:tcPr>
            <w:tcW w:w="1300" w:type="dxa"/>
            <w:vAlign w:val="bottom"/>
            <w:tcBorders>
              <w:bottom w:val="single" w:sz="8" w:color="auto"/>
            </w:tcBorders>
            <w:gridSpan w:val="3"/>
            <w:vMerge w:val="continue"/>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1,528</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600" w:type="dxa"/>
            <w:vAlign w:val="bottom"/>
          </w:tcPr>
          <w:p>
            <w:pPr>
              <w:ind w:lef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9"/>
              </w:rPr>
              <w:t>1,542,489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(9,923)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162,942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color w:val="auto"/>
              </w:rPr>
              <w:t>(1,987)</w:t>
            </w: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305,736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(15,018)</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53,018</w:t>
            </w: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(53,018)</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89"/>
              </w:rPr>
              <w:t>2,065,713</w:t>
            </w: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(53,018)</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(26,928)</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1,985,767</w:t>
            </w:r>
          </w:p>
        </w:tc>
        <w:tc>
          <w:tcPr>
            <w:tcW w:w="0" w:type="dxa"/>
            <w:vAlign w:val="bottom"/>
          </w:tcPr>
          <w:p>
            <w:pPr>
              <w:spacing w:after="0"/>
              <w:rPr>
                <w:sz w:val="1"/>
                <w:szCs w:val="1"/>
                <w:color w:val="auto"/>
              </w:rPr>
            </w:pPr>
          </w:p>
        </w:tc>
      </w:tr>
      <w:tr>
        <w:trPr>
          <w:trHeight w:val="439"/>
        </w:trPr>
        <w:tc>
          <w:tcPr>
            <w:tcW w:w="4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299,812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53,018</w:t>
            </w:r>
          </w:p>
        </w:tc>
        <w:tc>
          <w:tcPr>
            <w:tcW w:w="6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26,928</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379,758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37,274</w:t>
            </w: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15,839</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53,113</w:t>
            </w:r>
          </w:p>
        </w:tc>
        <w:tc>
          <w:tcPr>
            <w:tcW w:w="0" w:type="dxa"/>
            <w:vAlign w:val="bottom"/>
          </w:tcPr>
          <w:p>
            <w:pPr>
              <w:spacing w:after="0"/>
              <w:rPr>
                <w:sz w:val="1"/>
                <w:szCs w:val="1"/>
                <w:color w:val="auto"/>
              </w:rPr>
            </w:pPr>
          </w:p>
        </w:tc>
      </w:tr>
      <w:tr>
        <w:trPr>
          <w:trHeight w:val="439"/>
        </w:trPr>
        <w:tc>
          <w:tcPr>
            <w:tcW w:w="4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259,286</w:t>
            </w:r>
          </w:p>
        </w:tc>
        <w:tc>
          <w:tcPr>
            <w:tcW w:w="46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53,018</w:t>
            </w:r>
          </w:p>
        </w:tc>
        <w:tc>
          <w:tcPr>
            <w:tcW w:w="6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26,928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2"/>
              </w:rPr>
              <w:t>(15,839)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323,393</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June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-3175</wp:posOffset>
            </wp:positionV>
            <wp:extent cx="50939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ind w:left="668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142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4"/>
                <w:szCs w:val="14"/>
                <w:b w:val="1"/>
                <w:bCs w:val="1"/>
                <w:color w:val="auto"/>
              </w:rPr>
              <w:t>Equity based</w:t>
            </w:r>
          </w:p>
        </w:tc>
        <w:tc>
          <w:tcPr>
            <w:tcW w:w="1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Impairment on</w:t>
            </w:r>
          </w:p>
        </w:tc>
        <w:tc>
          <w:tcPr>
            <w:tcW w:w="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413"/>
              <w:spacing w:after="0" w:line="149" w:lineRule="exact"/>
              <w:rPr>
                <w:sz w:val="20"/>
                <w:szCs w:val="20"/>
                <w:color w:val="auto"/>
              </w:rPr>
            </w:pPr>
            <w:r>
              <w:rPr>
                <w:rFonts w:ascii="Arial" w:cs="Arial" w:eastAsia="Arial" w:hAnsi="Arial"/>
                <w:sz w:val="14"/>
                <w:szCs w:val="14"/>
                <w:b w:val="1"/>
                <w:bCs w:val="1"/>
                <w:color w:val="auto"/>
                <w:w w:val="93"/>
              </w:rPr>
              <w:t>purchased</w:t>
            </w:r>
          </w:p>
        </w:tc>
        <w:tc>
          <w:tcPr>
            <w:tcW w:w="14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center"/>
              <w:ind w:right="334"/>
              <w:spacing w:after="0" w:line="149" w:lineRule="exact"/>
              <w:rPr>
                <w:sz w:val="20"/>
                <w:szCs w:val="20"/>
                <w:color w:val="auto"/>
              </w:rPr>
            </w:pPr>
            <w:r>
              <w:rPr>
                <w:rFonts w:ascii="Arial" w:cs="Arial" w:eastAsia="Arial" w:hAnsi="Arial"/>
                <w:sz w:val="14"/>
                <w:szCs w:val="14"/>
                <w:b w:val="1"/>
                <w:bCs w:val="1"/>
                <w:color w:val="auto"/>
                <w:w w:val="91"/>
              </w:rPr>
              <w:t>investment</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GAAP</w:t>
            </w:r>
          </w:p>
        </w:tc>
        <w:tc>
          <w:tcPr>
            <w:tcW w:w="158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rPr>
              <w:t>intangible assets</w:t>
            </w:r>
          </w:p>
        </w:tc>
        <w:tc>
          <w:tcPr>
            <w:tcW w:w="14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2"/>
                <w:szCs w:val="12"/>
                <w:color w:val="auto"/>
              </w:rPr>
            </w:pPr>
          </w:p>
        </w:tc>
        <w:tc>
          <w:tcPr>
            <w:tcW w:w="1100" w:type="dxa"/>
            <w:vAlign w:val="bottom"/>
          </w:tcPr>
          <w:p>
            <w:pPr>
              <w:jc w:val="center"/>
              <w:ind w:right="314"/>
              <w:spacing w:after="0" w:line="149" w:lineRule="exact"/>
              <w:rPr>
                <w:sz w:val="20"/>
                <w:szCs w:val="20"/>
                <w:color w:val="auto"/>
              </w:rPr>
            </w:pPr>
            <w:r>
              <w:rPr>
                <w:rFonts w:ascii="Arial" w:cs="Arial" w:eastAsia="Arial" w:hAnsi="Arial"/>
                <w:sz w:val="14"/>
                <w:szCs w:val="14"/>
                <w:b w:val="1"/>
                <w:bCs w:val="1"/>
                <w:color w:val="auto"/>
                <w:w w:val="90"/>
              </w:rPr>
              <w:t>in a</w:t>
            </w:r>
          </w:p>
        </w:tc>
        <w:tc>
          <w:tcPr>
            <w:tcW w:w="12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Tax effect</w:t>
            </w:r>
          </w:p>
        </w:tc>
        <w:tc>
          <w:tcPr>
            <w:tcW w:w="12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9"/>
              </w:rPr>
              <w:t>expense</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34"/>
              <w:spacing w:after="0"/>
              <w:rPr>
                <w:sz w:val="20"/>
                <w:szCs w:val="20"/>
                <w:color w:val="auto"/>
              </w:rPr>
            </w:pPr>
            <w:r>
              <w:rPr>
                <w:rFonts w:ascii="Arial" w:cs="Arial" w:eastAsia="Arial" w:hAnsi="Arial"/>
                <w:sz w:val="14"/>
                <w:szCs w:val="14"/>
                <w:b w:val="1"/>
                <w:bCs w:val="1"/>
                <w:color w:val="auto"/>
                <w:w w:val="91"/>
              </w:rPr>
              <w:t>subsidiary</w:t>
            </w:r>
          </w:p>
        </w:tc>
        <w:tc>
          <w:tcPr>
            <w:tcW w:w="1280" w:type="dxa"/>
            <w:vAlign w:val="bottom"/>
            <w:tcBorders>
              <w:bottom w:val="single" w:sz="8" w:color="auto"/>
            </w:tcBorders>
            <w:gridSpan w:val="3"/>
            <w:vMerge w:val="continue"/>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1,646</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1,417,729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(14,623)</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1,403,106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153,549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(3,154)</w:t>
            </w:r>
          </w:p>
        </w:tc>
        <w:tc>
          <w:tcPr>
            <w:tcW w:w="38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277,054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(14,551)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262,503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80" w:type="dxa"/>
            <w:vAlign w:val="bottom"/>
          </w:tcPr>
          <w:p>
            <w:pPr>
              <w:ind w:left="400"/>
              <w:spacing w:after="0"/>
              <w:rPr>
                <w:sz w:val="20"/>
                <w:szCs w:val="20"/>
                <w:color w:val="auto"/>
              </w:rPr>
            </w:pPr>
            <w:r>
              <w:rPr>
                <w:rFonts w:ascii="Arial" w:cs="Arial" w:eastAsia="Arial" w:hAnsi="Arial"/>
                <w:sz w:val="18"/>
                <w:szCs w:val="18"/>
                <w:color w:val="auto"/>
              </w:rPr>
              <w:t>intangible assets and other</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64,506</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(64,506)</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87"/>
              </w:rPr>
              <w:t>1,914,484</w:t>
            </w: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(64,506)</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(32,328)</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1,817,650</w:t>
            </w:r>
          </w:p>
        </w:tc>
        <w:tc>
          <w:tcPr>
            <w:tcW w:w="0" w:type="dxa"/>
            <w:vAlign w:val="bottom"/>
          </w:tcPr>
          <w:p>
            <w:pPr>
              <w:spacing w:after="0"/>
              <w:rPr>
                <w:sz w:val="1"/>
                <w:szCs w:val="1"/>
                <w:color w:val="auto"/>
              </w:rPr>
            </w:pPr>
          </w:p>
        </w:tc>
      </w:tr>
      <w:tr>
        <w:trPr>
          <w:trHeight w:val="439"/>
        </w:trPr>
        <w:tc>
          <w:tcPr>
            <w:tcW w:w="3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307,545</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64,506</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32,328</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404,379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(27,244)</w:t>
            </w: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23,399</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439"/>
        </w:trPr>
        <w:tc>
          <w:tcPr>
            <w:tcW w:w="30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31,133</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8"/>
              </w:rPr>
              <w:t>20,044</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51,177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249,168</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64,506</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32,328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23,399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(20,044)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349,357</w:t>
            </w:r>
          </w:p>
        </w:tc>
        <w:tc>
          <w:tcPr>
            <w:tcW w:w="0" w:type="dxa"/>
            <w:vAlign w:val="bottom"/>
          </w:tcPr>
          <w:p>
            <w:pPr>
              <w:spacing w:after="0"/>
              <w:rPr>
                <w:sz w:val="1"/>
                <w:szCs w:val="1"/>
                <w:color w:val="auto"/>
              </w:rPr>
            </w:pPr>
          </w:p>
        </w:tc>
      </w:tr>
      <w:tr>
        <w:trPr>
          <w:trHeight w:val="639"/>
        </w:trPr>
        <w:tc>
          <w:tcPr>
            <w:tcW w:w="20" w:type="dxa"/>
            <w:vAlign w:val="bottom"/>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auto"/>
              <w:bottom w:val="single" w:sz="8" w:color="808080"/>
            </w:tcBorders>
          </w:tcPr>
          <w:p>
            <w:pPr>
              <w:spacing w:after="0"/>
              <w:rPr>
                <w:sz w:val="24"/>
                <w:szCs w:val="24"/>
                <w:color w:val="auto"/>
              </w:rPr>
            </w:pPr>
          </w:p>
        </w:tc>
        <w:tc>
          <w:tcPr>
            <w:tcW w:w="118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380" w:type="dxa"/>
            <w:vAlign w:val="bottom"/>
            <w:tcBorders>
              <w:top w:val="single" w:sz="8" w:color="auto"/>
              <w:bottom w:val="single" w:sz="8" w:color="808080"/>
            </w:tcBorders>
          </w:tcPr>
          <w:p>
            <w:pPr>
              <w:spacing w:after="0"/>
              <w:rPr>
                <w:sz w:val="24"/>
                <w:szCs w:val="24"/>
                <w:color w:val="auto"/>
              </w:rPr>
            </w:pPr>
          </w:p>
        </w:tc>
        <w:tc>
          <w:tcPr>
            <w:tcW w:w="1100" w:type="dxa"/>
            <w:vAlign w:val="bottom"/>
            <w:tcBorders>
              <w:top w:val="single" w:sz="8" w:color="auto"/>
              <w:bottom w:val="single" w:sz="8" w:color="808080"/>
            </w:tcBorders>
          </w:tcPr>
          <w:p>
            <w:pPr>
              <w:spacing w:after="0"/>
              <w:rPr>
                <w:sz w:val="24"/>
                <w:szCs w:val="24"/>
                <w:color w:val="auto"/>
              </w:rPr>
            </w:pPr>
          </w:p>
        </w:tc>
        <w:tc>
          <w:tcPr>
            <w:tcW w:w="40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320" w:type="dxa"/>
            <w:vAlign w:val="bottom"/>
            <w:tcBorders>
              <w:top w:val="single" w:sz="8" w:color="auto"/>
              <w:bottom w:val="single" w:sz="8" w:color="808080"/>
            </w:tcBorders>
          </w:tcPr>
          <w:p>
            <w:pPr>
              <w:spacing w:after="0"/>
              <w:rPr>
                <w:sz w:val="24"/>
                <w:szCs w:val="24"/>
                <w:color w:val="auto"/>
              </w:rPr>
            </w:pPr>
          </w:p>
        </w:tc>
        <w:tc>
          <w:tcPr>
            <w:tcW w:w="38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June 30,</w:t>
            </w:r>
          </w:p>
        </w:tc>
        <w:tc>
          <w:tcPr>
            <w:tcW w:w="5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1,133,844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1,433,299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Accounts receivable, net, including unbilled of $96,687 and $62,246, respectively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589,103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126,156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1,970,905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2,251,799</w:t>
            </w:r>
          </w:p>
        </w:tc>
        <w:tc>
          <w:tcPr>
            <w:tcW w:w="0" w:type="dxa"/>
            <w:vAlign w:val="bottom"/>
          </w:tcPr>
          <w:p>
            <w:pPr>
              <w:spacing w:after="0"/>
              <w:rPr>
                <w:sz w:val="1"/>
                <w:szCs w:val="1"/>
                <w:color w:val="auto"/>
              </w:rPr>
            </w:pPr>
          </w:p>
        </w:tc>
      </w:tr>
      <w:tr>
        <w:trPr>
          <w:trHeight w:val="432"/>
        </w:trPr>
        <w:tc>
          <w:tcPr>
            <w:tcW w:w="742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243,572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1,804,176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1,856,178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486,694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4,505,347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4,820,604</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2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562,237</w:t>
            </w:r>
          </w:p>
        </w:tc>
        <w:tc>
          <w:tcPr>
            <w:tcW w:w="100" w:type="dxa"/>
            <w:vAlign w:val="bottom"/>
          </w:tcPr>
          <w:p>
            <w:pPr>
              <w:spacing w:after="0"/>
              <w:rPr>
                <w:sz w:val="18"/>
                <w:szCs w:val="18"/>
                <w:color w:val="auto"/>
              </w:rPr>
            </w:pP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760,784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1,024,147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604,289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Shareholders’ equity</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3,140,274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3,229,380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4,505,347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4,820,604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259,286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on investment in a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26,928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(48,957)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12,711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23,797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387,851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(80,048)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(440,083)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(1,239,792)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(22,907)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(408,391)</w:t>
            </w:r>
          </w:p>
        </w:tc>
        <w:tc>
          <w:tcPr>
            <w:tcW w:w="0" w:type="dxa"/>
            <w:vAlign w:val="bottom"/>
          </w:tcPr>
          <w:p>
            <w:pPr>
              <w:spacing w:after="0"/>
              <w:rPr>
                <w:sz w:val="1"/>
                <w:szCs w:val="1"/>
                <w:color w:val="auto"/>
              </w:rPr>
            </w:pPr>
          </w:p>
        </w:tc>
      </w:tr>
      <w:tr>
        <w:trPr>
          <w:trHeight w:val="439"/>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Repurchase of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(431,770)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(208,643)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49,696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(582,822)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(186,777)</w:t>
            </w:r>
          </w:p>
        </w:tc>
        <w:tc>
          <w:tcPr>
            <w:tcW w:w="0" w:type="dxa"/>
            <w:vAlign w:val="bottom"/>
          </w:tcPr>
          <w:p>
            <w:pPr>
              <w:spacing w:after="0"/>
              <w:rPr>
                <w:sz w:val="1"/>
                <w:szCs w:val="1"/>
                <w:color w:val="auto"/>
              </w:rPr>
            </w:pPr>
          </w:p>
        </w:tc>
      </w:tr>
      <w:tr>
        <w:trPr>
          <w:trHeight w:val="20"/>
        </w:trPr>
        <w:tc>
          <w:tcPr>
            <w:tcW w:w="8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(231,023)</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1,036,195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805,172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Pr>
          <w:p>
            <w:pPr>
              <w:spacing w:after="0"/>
              <w:rPr>
                <w:sz w:val="10"/>
                <w:szCs w:val="10"/>
                <w:color w:val="auto"/>
              </w:rPr>
            </w:pPr>
          </w:p>
        </w:tc>
        <w:tc>
          <w:tcPr>
            <w:tcW w:w="9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880" w:type="dxa"/>
            <w:vAlign w:val="bottom"/>
            <w:gridSpan w:val="4"/>
          </w:tcPr>
          <w:p>
            <w:pPr>
              <w:ind w:left="380"/>
              <w:spacing w:after="0" w:line="119" w:lineRule="exact"/>
              <w:rPr>
                <w:sz w:val="20"/>
                <w:szCs w:val="20"/>
                <w:color w:val="auto"/>
              </w:rPr>
            </w:pPr>
            <w:r>
              <w:rPr>
                <w:rFonts w:ascii="Arial" w:cs="Arial" w:eastAsia="Arial" w:hAnsi="Arial"/>
                <w:sz w:val="13"/>
                <w:szCs w:val="13"/>
                <w:b w:val="1"/>
                <w:bCs w:val="1"/>
                <w:color w:val="auto"/>
              </w:rPr>
              <w:t>December 31,</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598.4</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564.6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569.7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Pr>
          <w:p>
            <w:pPr>
              <w:spacing w:after="0"/>
              <w:rPr>
                <w:sz w:val="10"/>
                <w:szCs w:val="10"/>
                <w:color w:val="auto"/>
              </w:rPr>
            </w:pPr>
          </w:p>
        </w:tc>
        <w:tc>
          <w:tcPr>
            <w:tcW w:w="9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880" w:type="dxa"/>
            <w:vAlign w:val="bottom"/>
            <w:gridSpan w:val="4"/>
          </w:tcPr>
          <w:p>
            <w:pPr>
              <w:ind w:left="380"/>
              <w:spacing w:after="0" w:line="119" w:lineRule="exact"/>
              <w:rPr>
                <w:sz w:val="20"/>
                <w:szCs w:val="20"/>
                <w:color w:val="auto"/>
              </w:rPr>
            </w:pPr>
            <w:r>
              <w:rPr>
                <w:rFonts w:ascii="Arial" w:cs="Arial" w:eastAsia="Arial" w:hAnsi="Arial"/>
                <w:sz w:val="13"/>
                <w:szCs w:val="13"/>
                <w:b w:val="1"/>
                <w:bCs w:val="1"/>
                <w:color w:val="auto"/>
              </w:rPr>
              <w:t>December 31,</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Emerging Markets Revenue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9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73.2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67.8</w:t>
            </w:r>
          </w:p>
        </w:tc>
        <w:tc>
          <w:tcPr>
            <w:tcW w:w="6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Pr>
          <w:p>
            <w:pPr>
              <w:spacing w:after="0"/>
              <w:rPr>
                <w:sz w:val="10"/>
                <w:szCs w:val="10"/>
                <w:color w:val="auto"/>
              </w:rPr>
            </w:pPr>
          </w:p>
        </w:tc>
        <w:tc>
          <w:tcPr>
            <w:tcW w:w="9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880" w:type="dxa"/>
            <w:vAlign w:val="bottom"/>
            <w:gridSpan w:val="4"/>
          </w:tcPr>
          <w:p>
            <w:pPr>
              <w:ind w:left="380"/>
              <w:spacing w:after="0" w:line="119" w:lineRule="exact"/>
              <w:rPr>
                <w:sz w:val="20"/>
                <w:szCs w:val="20"/>
                <w:color w:val="auto"/>
              </w:rPr>
            </w:pPr>
            <w:r>
              <w:rPr>
                <w:rFonts w:ascii="Arial" w:cs="Arial" w:eastAsia="Arial" w:hAnsi="Arial"/>
                <w:sz w:val="13"/>
                <w:szCs w:val="13"/>
                <w:b w:val="1"/>
                <w:bCs w:val="1"/>
                <w:color w:val="auto"/>
              </w:rPr>
              <w:t>December 31,</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Managed Services Revenue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9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384.2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382.6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371.2</w:t>
            </w:r>
          </w:p>
        </w:tc>
        <w:tc>
          <w:tcPr>
            <w:tcW w:w="6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Pr>
          <w:p>
            <w:pPr>
              <w:spacing w:after="0"/>
              <w:rPr>
                <w:sz w:val="10"/>
                <w:szCs w:val="10"/>
                <w:color w:val="auto"/>
              </w:rPr>
            </w:pPr>
          </w:p>
        </w:tc>
        <w:tc>
          <w:tcPr>
            <w:tcW w:w="9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880" w:type="dxa"/>
            <w:vAlign w:val="bottom"/>
            <w:gridSpan w:val="4"/>
          </w:tcPr>
          <w:p>
            <w:pPr>
              <w:ind w:left="380"/>
              <w:spacing w:after="0" w:line="119" w:lineRule="exact"/>
              <w:rPr>
                <w:sz w:val="20"/>
                <w:szCs w:val="20"/>
                <w:color w:val="auto"/>
              </w:rPr>
            </w:pPr>
            <w:r>
              <w:rPr>
                <w:rFonts w:ascii="Arial" w:cs="Arial" w:eastAsia="Arial" w:hAnsi="Arial"/>
                <w:sz w:val="13"/>
                <w:szCs w:val="13"/>
                <w:b w:val="1"/>
                <w:bCs w:val="1"/>
                <w:color w:val="auto"/>
              </w:rPr>
              <w:t>December 31,</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Experience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737.2</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Directory</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51.7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788.9</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775.2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tcPr>
          <w:p>
            <w:pPr>
              <w:spacing w:after="0"/>
              <w:rPr>
                <w:sz w:val="10"/>
                <w:szCs w:val="10"/>
                <w:color w:val="auto"/>
              </w:rPr>
            </w:pPr>
          </w:p>
        </w:tc>
        <w:tc>
          <w:tcPr>
            <w:tcW w:w="9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880" w:type="dxa"/>
            <w:vAlign w:val="bottom"/>
            <w:gridSpan w:val="4"/>
          </w:tcPr>
          <w:p>
            <w:pPr>
              <w:ind w:left="380"/>
              <w:spacing w:after="0" w:line="119" w:lineRule="exact"/>
              <w:rPr>
                <w:sz w:val="20"/>
                <w:szCs w:val="20"/>
                <w:color w:val="auto"/>
              </w:rPr>
            </w:pPr>
            <w:r>
              <w:rPr>
                <w:rFonts w:ascii="Arial" w:cs="Arial" w:eastAsia="Arial" w:hAnsi="Arial"/>
                <w:sz w:val="13"/>
                <w:szCs w:val="13"/>
                <w:b w:val="1"/>
                <w:bCs w:val="1"/>
                <w:color w:val="auto"/>
              </w:rPr>
              <w:t>December 31,</w:t>
            </w: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12-Month Backlog</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2019-12-10T17:41:55Z</dcterms:created>
  <dcterms:modified xsi:type="dcterms:W3CDTF">2019-12-10T17:41:55Z</dcterms:modified>
</cp:coreProperties>
</file>