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Ordinary Shares, par value £0.01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12/31/2009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17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917565"/>
                    </a:xfrm>
                    <a:prstGeom prst="rect">
                      <a:avLst/>
                    </a:prstGeom>
                    <a:noFill/>
                  </pic:spPr>
                </pic:pic>
              </a:graphicData>
            </a:graphic>
          </wp:anchor>
        </w:drawing>
        <w:t>CUSIP No.: G02602103</w:t>
      </w:r>
    </w:p>
    <w:p>
      <w:pPr>
        <w:spacing w:after="0" w:line="239" w:lineRule="exact"/>
        <w:rPr>
          <w:sz w:val="20"/>
          <w:szCs w:val="20"/>
          <w:color w:val="auto"/>
        </w:rPr>
      </w:pPr>
    </w:p>
    <w:p>
      <w:pPr>
        <w:ind w:left="220"/>
        <w:spacing w:after="0"/>
        <w:tabs>
          <w:tab w:leader="none" w:pos="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Manning &amp; Napier Advisors, Inc.</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I.R.S. Identification Nos. of above persons (entities only):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40"/>
              <w:spacing w:after="0"/>
              <w:rPr>
                <w:sz w:val="20"/>
                <w:szCs w:val="20"/>
                <w:color w:val="auto"/>
              </w:rPr>
            </w:pPr>
            <w:r>
              <w:rPr>
                <w:rFonts w:ascii="Arial" w:cs="Arial" w:eastAsia="Arial" w:hAnsi="Arial"/>
                <w:sz w:val="22"/>
                <w:szCs w:val="22"/>
                <w:color w:val="auto"/>
              </w:rPr>
              <w:t>16-0995736</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1000" w:type="dxa"/>
            <w:vAlign w:val="bottom"/>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Pr>
          <w:p>
            <w:pPr>
              <w:spacing w:after="0"/>
              <w:rPr>
                <w:sz w:val="23"/>
                <w:szCs w:val="23"/>
                <w:color w:val="auto"/>
              </w:rPr>
            </w:pPr>
          </w:p>
        </w:tc>
        <w:tc>
          <w:tcPr>
            <w:tcW w:w="101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spacing w:after="0"/>
              <w:rPr>
                <w:sz w:val="18"/>
                <w:szCs w:val="18"/>
                <w:color w:val="auto"/>
              </w:rPr>
            </w:pPr>
          </w:p>
        </w:tc>
        <w:tc>
          <w:tcPr>
            <w:tcW w:w="10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8"/>
                <w:szCs w:val="18"/>
                <w:color w:val="auto"/>
              </w:rPr>
            </w:pPr>
          </w:p>
        </w:tc>
        <w:tc>
          <w:tcPr>
            <w:tcW w:w="100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8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11,326,615</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720" w:type="dxa"/>
            <w:vAlign w:val="bottom"/>
            <w:tcBorders>
              <w:right w:val="single" w:sz="8" w:color="auto"/>
            </w:tcBorders>
            <w:gridSpan w:val="2"/>
          </w:tcPr>
          <w:p>
            <w:pPr>
              <w:jc w:val="center"/>
              <w:ind w:right="166"/>
              <w:spacing w:after="0"/>
              <w:rPr>
                <w:sz w:val="20"/>
                <w:szCs w:val="20"/>
                <w:color w:val="auto"/>
              </w:rPr>
            </w:pPr>
            <w:r>
              <w:rPr>
                <w:rFonts w:ascii="Arial" w:cs="Arial" w:eastAsia="Arial" w:hAnsi="Arial"/>
                <w:sz w:val="18"/>
                <w:szCs w:val="18"/>
                <w:color w:val="auto"/>
                <w:w w:val="80"/>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06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6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8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8"/>
              </w:rPr>
              <w:t>Owned by</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right w:val="single" w:sz="8" w:color="auto"/>
            </w:tcBorders>
          </w:tcPr>
          <w:p>
            <w:pPr>
              <w:jc w:val="center"/>
              <w:ind w:right="206"/>
              <w:spacing w:after="0" w:line="190"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6"/>
                <w:szCs w:val="16"/>
                <w:color w:val="auto"/>
              </w:rPr>
            </w:pPr>
          </w:p>
        </w:tc>
        <w:tc>
          <w:tcPr>
            <w:tcW w:w="1006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9"/>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60" w:type="dxa"/>
            <w:vAlign w:val="bottom"/>
            <w:vMerge w:val="restart"/>
          </w:tcPr>
          <w:p>
            <w:pPr>
              <w:ind w:left="100"/>
              <w:spacing w:after="0"/>
              <w:rPr>
                <w:sz w:val="20"/>
                <w:szCs w:val="20"/>
                <w:color w:val="auto"/>
              </w:rPr>
            </w:pPr>
            <w:r>
              <w:rPr>
                <w:rFonts w:ascii="Arial" w:cs="Arial" w:eastAsia="Arial" w:hAnsi="Arial"/>
                <w:sz w:val="22"/>
                <w:szCs w:val="22"/>
                <w:color w:val="auto"/>
              </w:rPr>
              <w:t>12,111,330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20" w:type="dxa"/>
            <w:vAlign w:val="bottom"/>
            <w:tcBorders>
              <w:right w:val="single" w:sz="8" w:color="auto"/>
            </w:tcBorders>
            <w:gridSpan w:val="2"/>
          </w:tcPr>
          <w:p>
            <w:pPr>
              <w:jc w:val="center"/>
              <w:ind w:right="146"/>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720" w:type="dxa"/>
            <w:vAlign w:val="bottom"/>
            <w:tcBorders>
              <w:right w:val="single" w:sz="8" w:color="auto"/>
            </w:tcBorders>
            <w:gridSpan w:val="2"/>
            <w:vMerge w:val="restart"/>
          </w:tcPr>
          <w:p>
            <w:pPr>
              <w:jc w:val="center"/>
              <w:ind w:right="146"/>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8"/>
                <w:szCs w:val="18"/>
                <w:color w:val="auto"/>
              </w:rPr>
            </w:pPr>
          </w:p>
        </w:tc>
        <w:tc>
          <w:tcPr>
            <w:tcW w:w="10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12,111,330</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right w:val="single" w:sz="8" w:color="auto"/>
            </w:tcBorders>
            <w:gridSpan w:val="2"/>
          </w:tcPr>
          <w:p>
            <w:pPr>
              <w:spacing w:after="0"/>
              <w:rPr>
                <w:sz w:val="18"/>
                <w:szCs w:val="18"/>
                <w:color w:val="auto"/>
              </w:rPr>
            </w:pPr>
          </w:p>
        </w:tc>
        <w:tc>
          <w:tcPr>
            <w:tcW w:w="11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8.6%</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60"/>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Name of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Tower Hill House Le Bordage, Ste. 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 Peter Port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Island of Guernsey, GY1 3QT Channel Islands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Manning &amp; Napier Advisors,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290 Woodcliff Drive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Fairport, NY 14450</w:t>
      </w:r>
    </w:p>
    <w:p>
      <w:pPr>
        <w:spacing w:after="0" w:line="165" w:lineRule="exact"/>
        <w:rPr>
          <w:sz w:val="20"/>
          <w:szCs w:val="20"/>
          <w:color w:val="auto"/>
        </w:rPr>
      </w:pPr>
    </w:p>
    <w:p>
      <w:pPr>
        <w:jc w:val="center"/>
        <w:ind w:right="9680"/>
        <w:spacing w:after="0"/>
        <w:rPr>
          <w:sz w:val="20"/>
          <w:szCs w:val="20"/>
          <w:color w:val="auto"/>
        </w:rPr>
      </w:pPr>
      <w:r>
        <w:rPr>
          <w:rFonts w:ascii="Arial" w:cs="Arial" w:eastAsia="Arial" w:hAnsi="Arial"/>
          <w:sz w:val="16"/>
          <w:szCs w:val="16"/>
          <w:color w:val="auto"/>
        </w:rPr>
        <w:t>Item 2(c): Citizenship:</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Ordinary Shares, par value £0.01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G02602103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5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Item 4: Ownership: Provide the following information regarding the aggregate number and percentage of the class of securities of the issuer identified in Item 1.</w:t>
      </w:r>
    </w:p>
    <w:p>
      <w:pPr>
        <w:spacing w:after="0" w:line="1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12,111,330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8.6%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11,326,615</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u w:val="single" w:color="auto"/>
          <w:color w:val="auto"/>
        </w:rPr>
        <w:t>-0-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12,111,330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u w:val="single" w:color="auto"/>
          <w:color w:val="auto"/>
        </w:rPr>
        <w:t>-0-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Identification and Classification of the Subsidiary Which Acquired the Security Being Reported on By the Parent Holding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a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1/29/2010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Michelle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Michelle Thomas,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2019-12-10T16:28:06Z</dcterms:created>
  <dcterms:modified xsi:type="dcterms:W3CDTF">2019-12-10T16:28:06Z</dcterms:modified>
</cp:coreProperties>
</file>