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2008</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31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0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5020"/>
        <w:spacing w:after="0" w:line="207" w:lineRule="exact"/>
        <w:tabs>
          <w:tab w:leader="none" w:pos="59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522" w:right="10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6-K</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REPORT OF FOREIGN PRIVATE ISSUER</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QUARTER ENDED JUNE 30, 2008</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Unaudited Consolidated Financial Statements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Balance Sheets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Statements of Income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 of Changes in Shareholders’ Equity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Statements of Cash Flows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Notes to Unaudited Consolidated Financial Statements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2. Operating and Financial Review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1. Changes in Securities, Use of Proceeds and Issuer Purchases of Equity Securities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2. Reports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62"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June 30,</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493,172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98,605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1,971,727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1,869,496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Equipment, vehicles and leasehold improvements,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304,146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200,947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1,505,505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1,489,132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289,388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292,278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4,563,991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4,345,350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206,796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Short-term portion of financing arrangements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975,478</w:t>
            </w: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Noncurrent liabilities and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1,764,622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1,745,107</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200"/>
              <w:spacing w:after="0" w:line="201" w:lineRule="exact"/>
              <w:rPr>
                <w:sz w:val="20"/>
                <w:szCs w:val="20"/>
                <w:color w:val="auto"/>
              </w:rPr>
            </w:pPr>
            <w:r>
              <w:rPr>
                <w:rFonts w:ascii="Arial" w:cs="Arial" w:eastAsia="Arial" w:hAnsi="Arial"/>
                <w:sz w:val="18"/>
                <w:szCs w:val="18"/>
                <w:color w:val="auto"/>
                <w:w w:val="98"/>
              </w:rPr>
              <w:t>Ordinary Shares – Authorized 550,000 shares; £0.01 par value; 240,490 and 238,312 issued and 206,551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209,762 outstanding,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2,247,281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2,168,234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Treasury stock, at cost –33,939 and 28,550 Ordinary Shares,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(824,568)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1,375,894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1,079,699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2,799,369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2,600,243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4,563,991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4,345,350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License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35,244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43,821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93,570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785,044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668,270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2,243,249</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1,996,393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820,288</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712,091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2,336,819</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2,109,484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2,267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528,437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448,795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1,493,134</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1,330,776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56,137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56,727</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168,240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104,632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94,445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300,963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22,796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19,175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66,302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Restructuring charges, in-process research and development and other</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714,337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620,102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2,032,686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1,846,191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105,951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91,989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304,133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263,293</w:t>
            </w: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Interest income and other, net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6,159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14,290</w:t>
            </w:r>
          </w:p>
        </w:tc>
        <w:tc>
          <w:tcPr>
            <w:tcW w:w="1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23,797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112,110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106,279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11,438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18,098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31,735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100,672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296,195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268,694</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2"/>
          </w:tcPr>
          <w:p>
            <w:pPr>
              <w:spacing w:after="0"/>
              <w:rPr>
                <w:sz w:val="20"/>
                <w:szCs w:val="20"/>
                <w:color w:val="auto"/>
              </w:rPr>
            </w:pPr>
            <w:r>
              <w:rPr>
                <w:rFonts w:ascii="Arial" w:cs="Arial" w:eastAsia="Arial" w:hAnsi="Arial"/>
                <w:sz w:val="18"/>
                <w:szCs w:val="18"/>
                <w:color w:val="auto"/>
              </w:rPr>
              <w:t>Basic weighted average number of shares outstanding</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206,329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208,262</w:t>
            </w:r>
          </w:p>
        </w:tc>
        <w:tc>
          <w:tcPr>
            <w:tcW w:w="1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207,069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219,120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223,775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960" w:type="dxa"/>
            <w:vAlign w:val="bottom"/>
            <w:gridSpan w:val="9"/>
          </w:tcPr>
          <w:p>
            <w:pPr>
              <w:jc w:val="center"/>
              <w:ind w:left="23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20" w:type="dxa"/>
            <w:vAlign w:val="bottom"/>
            <w:gridSpan w:val="6"/>
            <w:vMerge w:val="restart"/>
          </w:tcPr>
          <w:p>
            <w:pPr>
              <w:ind w:left="420"/>
              <w:spacing w:after="0"/>
              <w:rPr>
                <w:sz w:val="20"/>
                <w:szCs w:val="20"/>
                <w:color w:val="auto"/>
              </w:rPr>
            </w:pPr>
            <w:r>
              <w:rPr>
                <w:rFonts w:ascii="Arial" w:cs="Arial" w:eastAsia="Arial" w:hAnsi="Arial"/>
                <w:sz w:val="14"/>
                <w:szCs w:val="14"/>
                <w:color w:val="auto"/>
              </w:rPr>
              <w:t>Ordinary Shares</w:t>
            </w:r>
          </w:p>
        </w:tc>
        <w:tc>
          <w:tcPr>
            <w:tcW w:w="2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Additional</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Other</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2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Paid-in</w:t>
            </w:r>
          </w:p>
        </w:tc>
        <w:tc>
          <w:tcPr>
            <w:tcW w:w="240" w:type="dxa"/>
            <w:vAlign w:val="bottom"/>
          </w:tcPr>
          <w:p>
            <w:pPr>
              <w:spacing w:after="0"/>
              <w:rPr>
                <w:sz w:val="13"/>
                <w:szCs w:val="13"/>
                <w:color w:val="auto"/>
              </w:rPr>
            </w:pPr>
          </w:p>
        </w:tc>
        <w:tc>
          <w:tcPr>
            <w:tcW w:w="102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Treasury</w:t>
            </w:r>
          </w:p>
        </w:tc>
        <w:tc>
          <w:tcPr>
            <w:tcW w:w="1360" w:type="dxa"/>
            <w:vAlign w:val="bottom"/>
            <w:gridSpan w:val="4"/>
          </w:tcPr>
          <w:p>
            <w:pPr>
              <w:jc w:val="center"/>
              <w:ind w:right="60"/>
              <w:spacing w:after="0" w:line="154" w:lineRule="exact"/>
              <w:rPr>
                <w:sz w:val="20"/>
                <w:szCs w:val="20"/>
                <w:color w:val="auto"/>
              </w:rPr>
            </w:pPr>
            <w:r>
              <w:rPr>
                <w:rFonts w:ascii="Arial" w:cs="Arial" w:eastAsia="Arial" w:hAnsi="Arial"/>
                <w:sz w:val="14"/>
                <w:szCs w:val="14"/>
                <w:color w:val="auto"/>
                <w:w w:val="91"/>
              </w:rPr>
              <w:t>Comprehensive</w:t>
            </w:r>
          </w:p>
        </w:tc>
        <w:tc>
          <w:tcPr>
            <w:tcW w:w="200" w:type="dxa"/>
            <w:vAlign w:val="bottom"/>
          </w:tcPr>
          <w:p>
            <w:pPr>
              <w:spacing w:after="0"/>
              <w:rPr>
                <w:sz w:val="13"/>
                <w:szCs w:val="13"/>
                <w:color w:val="auto"/>
              </w:rPr>
            </w:pPr>
          </w:p>
        </w:tc>
        <w:tc>
          <w:tcPr>
            <w:tcW w:w="10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Retained</w:t>
            </w:r>
          </w:p>
        </w:tc>
        <w:tc>
          <w:tcPr>
            <w:tcW w:w="240" w:type="dxa"/>
            <w:vAlign w:val="bottom"/>
          </w:tcPr>
          <w:p>
            <w:pPr>
              <w:spacing w:after="0"/>
              <w:rPr>
                <w:sz w:val="13"/>
                <w:szCs w:val="13"/>
                <w:color w:val="auto"/>
              </w:rPr>
            </w:pPr>
          </w:p>
        </w:tc>
        <w:tc>
          <w:tcPr>
            <w:tcW w:w="1240" w:type="dxa"/>
            <w:vAlign w:val="bottom"/>
            <w:gridSpan w:val="3"/>
          </w:tcPr>
          <w:p>
            <w:pPr>
              <w:spacing w:after="0" w:line="154" w:lineRule="exact"/>
              <w:rPr>
                <w:sz w:val="20"/>
                <w:szCs w:val="20"/>
                <w:color w:val="auto"/>
              </w:rPr>
            </w:pPr>
            <w:r>
              <w:rPr>
                <w:rFonts w:ascii="Arial" w:cs="Arial" w:eastAsia="Arial" w:hAnsi="Arial"/>
                <w:sz w:val="14"/>
                <w:szCs w:val="14"/>
                <w:color w:val="auto"/>
              </w:rPr>
              <w:t>Total 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color w:val="auto"/>
              </w:rPr>
              <w:t>Shares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91"/>
              </w:rPr>
              <w:t>Amount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Capital</w:t>
            </w:r>
          </w:p>
        </w:tc>
        <w:tc>
          <w:tcPr>
            <w:tcW w:w="240" w:type="dxa"/>
            <w:vAlign w:val="bottom"/>
          </w:tcPr>
          <w:p>
            <w:pPr>
              <w:spacing w:after="0"/>
              <w:rPr>
                <w:sz w:val="12"/>
                <w:szCs w:val="12"/>
                <w:color w:val="auto"/>
              </w:rPr>
            </w:pPr>
          </w:p>
        </w:tc>
        <w:tc>
          <w:tcPr>
            <w:tcW w:w="102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Stock</w:t>
            </w:r>
          </w:p>
        </w:tc>
        <w:tc>
          <w:tcPr>
            <w:tcW w:w="200" w:type="dxa"/>
            <w:vAlign w:val="bottom"/>
          </w:tcPr>
          <w:p>
            <w:pPr>
              <w:spacing w:after="0"/>
              <w:rPr>
                <w:sz w:val="12"/>
                <w:szCs w:val="12"/>
                <w:color w:val="auto"/>
              </w:rPr>
            </w:pPr>
          </w:p>
        </w:tc>
        <w:tc>
          <w:tcPr>
            <w:tcW w:w="1160" w:type="dxa"/>
            <w:vAlign w:val="bottom"/>
            <w:gridSpan w:val="3"/>
          </w:tcPr>
          <w:p>
            <w:pPr>
              <w:jc w:val="center"/>
              <w:ind w:right="260"/>
              <w:spacing w:after="0" w:line="142" w:lineRule="exact"/>
              <w:rPr>
                <w:sz w:val="20"/>
                <w:szCs w:val="20"/>
                <w:color w:val="auto"/>
              </w:rPr>
            </w:pPr>
            <w:r>
              <w:rPr>
                <w:rFonts w:ascii="Arial" w:cs="Arial" w:eastAsia="Arial" w:hAnsi="Arial"/>
                <w:sz w:val="14"/>
                <w:szCs w:val="14"/>
                <w:color w:val="auto"/>
                <w:w w:val="92"/>
              </w:rPr>
              <w:t>(Loss) Income</w:t>
            </w:r>
          </w:p>
        </w:tc>
        <w:tc>
          <w:tcPr>
            <w:tcW w:w="20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209,762</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$ 2,168,234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(652,229)</w:t>
            </w:r>
          </w:p>
        </w:tc>
        <w:tc>
          <w:tcPr>
            <w:tcW w:w="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689</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$ 1,079,699</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296,195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200"/>
              <w:spacing w:after="0" w:line="201" w:lineRule="exact"/>
              <w:rPr>
                <w:sz w:val="20"/>
                <w:szCs w:val="20"/>
                <w:color w:val="auto"/>
              </w:rPr>
            </w:pPr>
            <w:r>
              <w:rPr>
                <w:rFonts w:ascii="Arial" w:cs="Arial" w:eastAsia="Arial" w:hAnsi="Arial"/>
                <w:sz w:val="18"/>
                <w:szCs w:val="18"/>
                <w:color w:val="auto"/>
              </w:rPr>
              <w:t>Unrealized gain on foreign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00"/>
              <w:spacing w:after="0"/>
              <w:rPr>
                <w:sz w:val="20"/>
                <w:szCs w:val="20"/>
                <w:color w:val="auto"/>
              </w:rPr>
            </w:pPr>
            <w:r>
              <w:rPr>
                <w:rFonts w:ascii="Arial" w:cs="Arial" w:eastAsia="Arial" w:hAnsi="Arial"/>
                <w:sz w:val="18"/>
                <w:szCs w:val="18"/>
                <w:color w:val="auto"/>
              </w:rPr>
              <w:t>currency hedging</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00"/>
              <w:spacing w:after="0"/>
              <w:rPr>
                <w:sz w:val="20"/>
                <w:szCs w:val="20"/>
                <w:color w:val="auto"/>
              </w:rPr>
            </w:pPr>
            <w:r>
              <w:rPr>
                <w:rFonts w:ascii="Arial" w:cs="Arial" w:eastAsia="Arial" w:hAnsi="Arial"/>
                <w:sz w:val="18"/>
                <w:szCs w:val="18"/>
                <w:color w:val="auto"/>
              </w:rPr>
              <w:t>contracts, net of $2,784</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400"/>
              <w:spacing w:after="0"/>
              <w:rPr>
                <w:sz w:val="20"/>
                <w:szCs w:val="20"/>
                <w:color w:val="auto"/>
              </w:rPr>
            </w:pPr>
            <w:r>
              <w:rPr>
                <w:rFonts w:ascii="Arial" w:cs="Arial" w:eastAsia="Arial" w:hAnsi="Arial"/>
                <w:sz w:val="18"/>
                <w:szCs w:val="18"/>
                <w:color w:val="auto"/>
              </w:rPr>
              <w:t>tax</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2,604</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loss on short-</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interest-bearing</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net of $(272)</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(6,424)</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options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33,712</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(172,339)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(172,339)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forfeitures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Tax benefit of stock options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1,625</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related to employees</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43,710</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43,710</w:t>
            </w:r>
          </w:p>
        </w:tc>
        <w:tc>
          <w:tcPr>
            <w:tcW w:w="0" w:type="dxa"/>
            <w:vAlign w:val="bottom"/>
          </w:tcPr>
          <w:p>
            <w:pPr>
              <w:spacing w:after="0"/>
              <w:rPr>
                <w:sz w:val="1"/>
                <w:szCs w:val="1"/>
                <w:color w:val="auto"/>
              </w:rPr>
            </w:pPr>
          </w:p>
        </w:tc>
      </w:tr>
      <w:tr>
        <w:trPr>
          <w:trHeight w:val="216"/>
        </w:trPr>
        <w:tc>
          <w:tcPr>
            <w:tcW w:w="2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June 30, 2008</w:t>
            </w:r>
          </w:p>
        </w:tc>
        <w:tc>
          <w:tcPr>
            <w:tcW w:w="7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320" w:type="dxa"/>
            <w:vAlign w:val="bottom"/>
            <w:gridSpan w:val="3"/>
          </w:tcPr>
          <w:p>
            <w:pPr>
              <w:spacing w:after="0"/>
              <w:rPr>
                <w:sz w:val="18"/>
                <w:szCs w:val="18"/>
                <w:color w:val="auto"/>
              </w:rPr>
            </w:pPr>
          </w:p>
        </w:tc>
        <w:tc>
          <w:tcPr>
            <w:tcW w:w="126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4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gridSpan w:val="2"/>
            <w:vMerge w:val="continue"/>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206,551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$ 2,247,281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(824,568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$ 1,375,894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of June 30, 2008 and September 30, 2007, accumulated other comprehensive (loss) income is comprised of unrealized gain (loss) on foreign currency hedging contracts, net of tax, of $2,025 and $(579), respectively, unrealized (loss) gain on cash equivalents and short-term interest-bearing investments, net of tax, of $(5,883) and $541, respectively and adjustment to accumulated other comprehensive income upon adoption of statement 158, net of tax, of $727.</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296,195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143,978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and other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Gain on sale of equipment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6,378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(148,472)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(40,420)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12,283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Noncurrent liabilities and other</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26,590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305,538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316,763</w:t>
            </w: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 vehicles and leasehold improvements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Payments for purchase of equipment, vehicles and leasehold improvements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(101,530)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575,602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628,167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(513,462)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(782,333)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(81,751)</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(95,257)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(358,992)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33,755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Repurchase of shares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(172,339)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convertible notes upon maturity</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(138,549)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58,685</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71,732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615,501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607,187</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687,233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623,643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paid for:</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40,402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3,585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240" w:right="40" w:firstLine="215"/>
        <w:spacing w:after="0" w:line="259" w:lineRule="auto"/>
        <w:rPr>
          <w:sz w:val="20"/>
          <w:szCs w:val="20"/>
          <w:color w:val="auto"/>
        </w:rPr>
      </w:pPr>
      <w:r>
        <w:rPr>
          <w:rFonts w:ascii="Arial" w:cs="Arial" w:eastAsia="Arial" w:hAnsi="Arial"/>
          <w:sz w:val="18"/>
          <w:szCs w:val="18"/>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79" w:lineRule="exact"/>
        <w:rPr>
          <w:sz w:val="20"/>
          <w:szCs w:val="20"/>
          <w:color w:val="auto"/>
        </w:rPr>
      </w:pPr>
    </w:p>
    <w:p>
      <w:pPr>
        <w:ind w:left="240" w:right="10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ind w:left="240" w:right="20"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left="240" w:firstLine="222"/>
        <w:spacing w:after="0" w:line="302" w:lineRule="auto"/>
        <w:rPr>
          <w:sz w:val="20"/>
          <w:szCs w:val="20"/>
          <w:color w:val="auto"/>
        </w:rPr>
      </w:pPr>
      <w:r>
        <w:rPr>
          <w:rFonts w:ascii="Arial" w:cs="Arial" w:eastAsia="Arial" w:hAnsi="Arial"/>
          <w:sz w:val="16"/>
          <w:szCs w:val="16"/>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2007, set forth in the Company’s Annual Report on Form 20-F filed with the U.S. Securities and Exchange Commission (the “SEC”).</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left="240" w:firstLine="225"/>
        <w:spacing w:after="0" w:line="254" w:lineRule="auto"/>
        <w:rPr>
          <w:sz w:val="20"/>
          <w:szCs w:val="20"/>
          <w:color w:val="auto"/>
        </w:rPr>
      </w:pPr>
      <w:r>
        <w:rPr>
          <w:rFonts w:ascii="Arial" w:cs="Arial" w:eastAsia="Arial" w:hAnsi="Arial"/>
          <w:sz w:val="18"/>
          <w:szCs w:val="18"/>
          <w:color w:val="auto"/>
        </w:rPr>
        <w:t>In June 2008, the Financial Accounting Standards Board (“FASB”) issued FASB Staff Position No. EITF 03-6-1, Determining Whether Instruments Granted in Share-Based Payment Transactions Are Participating Securities (“FSP EITF 03-6-1”). According to FSP EITF 03-6-1, unvested share-based payment awards that contain nonforfeitable rights to dividends or dividend equivalents are considered participating securities under Statement of Financial Accounting Standards No. 128, Earnings per Share. As such, they should be included in the computation of basic earnings per share (“EPS”) using the two-class method. FSP EITF 03-6-1 is effective for financial statements issued for fiscal years beginning after December 15, 2008, as well as interim periods within those years. Once effective, all prior-period EPS data presented must be adjusted retrospectively. The Company is currently evaluating the effect that adopting the provisions of FSP EITF 03-6-1 will have on its consolidated results of operations, and it currently expects that the effect will not be material.</w:t>
      </w:r>
    </w:p>
    <w:p>
      <w:pPr>
        <w:spacing w:after="0" w:line="84" w:lineRule="exact"/>
        <w:rPr>
          <w:sz w:val="20"/>
          <w:szCs w:val="20"/>
          <w:color w:val="auto"/>
        </w:rPr>
      </w:pPr>
    </w:p>
    <w:p>
      <w:pPr>
        <w:ind w:left="240" w:right="40" w:firstLine="225"/>
        <w:spacing w:after="0" w:line="264" w:lineRule="auto"/>
        <w:rPr>
          <w:sz w:val="20"/>
          <w:szCs w:val="20"/>
          <w:color w:val="auto"/>
        </w:rPr>
      </w:pPr>
      <w:r>
        <w:rPr>
          <w:rFonts w:ascii="Arial" w:cs="Arial" w:eastAsia="Arial" w:hAnsi="Arial"/>
          <w:sz w:val="18"/>
          <w:szCs w:val="18"/>
          <w:color w:val="auto"/>
        </w:rPr>
        <w:t>In March 2008, the FASB issued Statement No. 161, Disclosures about Derivative Instruments and Hedging Activities, an amendment of FASB Statement No. 133 (“SFAS 161”). SFAS 161 applies to all derivative instruments and nonderivative instruments that are designated and qualify as hedging instruments and related hedged items accounted for under FASB Statement No. 133, Accounting 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jc w:val="center"/>
        <w:ind w:right="160"/>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Derivative Instruments and Hedging Activities (“SFAS 133”). SFAS 161 requires entities to provide greater transparency through additional disclosures about (a) how and why an entity uses derivative instruments, (b) how derivative instruments and related hedged items are accounted for under SFAS 133 and its related interpretations, and (c) how derivative instruments and related hedged items affect an entity’s financial position, results of operations, and cash flows. SFAS 161 is effective for financial statements issued for fiscal years and interim periods beginning after November 15, 2008. Although SFAS 161 requires the Company to make additional disclosures, it does not affect the underlying accounting policy or the application thereof.</w:t>
      </w:r>
    </w:p>
    <w:p>
      <w:pPr>
        <w:spacing w:after="0" w:line="5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December 2007, the FASB issued Statement No. 141 (revised), Business Combinations (“SFAS 141(R)”). SFAS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141(R) applies to the Company prospectively for business combinations for which the acquisition date is on or after October 1, 2009.</w:t>
      </w:r>
    </w:p>
    <w:p>
      <w:pPr>
        <w:spacing w:after="0" w:line="8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December 2007, the FASB issued Statement No. 160, Noncontrolling Interests in Consolidated Financial Statements, an amendment of ARB No. 51 (“SFAS 160”). SFAS 160 changes the accounting for noncontrolling (minority) interests in consolidated financial statements including the requirements to classify noncontrolling interests as a component of consolidated shareholders’ equity, the elimination of “minority interest” accounting in results of operations and changes in the accounting for both increases and decreases in a parent’s controlling ownership interest. SFAS 160 is effective for fiscal years beginning after December 15, 2008, and early adoption is prohibited. The Company is currently evaluating the effect that the application of SFAS 160 will have on its consolidated results of operations and financial condition.</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February 2007, the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The Company is currently evaluating the effect that the application of SFAS 159 will have on its consolidated results of operations and financial condition.</w:t>
      </w:r>
    </w:p>
    <w:p>
      <w:pPr>
        <w:spacing w:after="0" w:line="81"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September 2006, the FASB issued SFAS 157 which defines fair value, establishes a framework for measuring fair value in generally accepted accounting principles, and expands disclosures about fair value measurements. SFAS 157 applies under other accounting pronouncements that require or permit fair value measurements. SFAS 157 is effective for fiscal years beginning after November 15, 2007, and interim periods within those fiscal years. In February 2008, the FASB issued FASB Staff Position No. SFAS 157-2, Effective Date of FASB Statement No. 157, which provides a one year deferral of the effective date of SFAS 157 for non-financial assets and non-financial liabilities, except those that are recognized or disclosed in the financial statements at fair value on a recurring basis (at least annually). The Company is currently evaluating the effect that the application of SFAS 157 will have on its consolidated results of operations and financial condition.</w:t>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58"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left="240" w:right="80" w:firstLine="225"/>
        <w:spacing w:after="0" w:line="254" w:lineRule="auto"/>
        <w:rPr>
          <w:sz w:val="20"/>
          <w:szCs w:val="20"/>
          <w:color w:val="auto"/>
        </w:rPr>
      </w:pPr>
      <w:r>
        <w:rPr>
          <w:rFonts w:ascii="Arial" w:cs="Arial" w:eastAsia="Arial" w:hAnsi="Arial"/>
          <w:sz w:val="18"/>
          <w:szCs w:val="18"/>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FIN 48 is effective for fiscal years beginning after December 15, 2006. The Company adopted FIN 48 in the first quarter of fiscal 2008. The adoption of FIN 48 did not result in a change to retained earnings. See Note 6 for additional information regarding the Company’s provision for income taxes, including the effects of adoption of FIN 48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$ 592,222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457,393</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35,744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43,870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(39,299)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(27,416)</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$ 588,667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473,847</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w:t>
      </w:r>
    </w:p>
    <w:p>
      <w:pPr>
        <w:spacing w:after="0" w:line="121" w:lineRule="exact"/>
        <w:rPr>
          <w:sz w:val="20"/>
          <w:szCs w:val="20"/>
          <w:color w:val="auto"/>
        </w:rPr>
      </w:pPr>
    </w:p>
    <w:p>
      <w:pPr>
        <w:ind w:left="240" w:right="54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100,672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88,181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$ 296,195</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(loss) gain on foreign currency hedging contracts, net of tax</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(11,330)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7"/>
              </w:rPr>
              <w:t>Unrealized loss on short-term interest-bearing investments, net of tax</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(4,890)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(816)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(6,424)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90,970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76,035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$ 292,375</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$ 258,462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vMerge w:val="restart"/>
          </w:tcPr>
          <w:p>
            <w:pPr>
              <w:jc w:val="right"/>
              <w:ind w:right="65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27,567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26,511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50,735</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Deferred</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10,278</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(9,469)</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5,224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(19,208)</w:t>
            </w:r>
          </w:p>
        </w:tc>
      </w:tr>
      <w:tr>
        <w:trPr>
          <w:trHeight w:val="27"/>
        </w:trPr>
        <w:tc>
          <w:tcPr>
            <w:tcW w:w="3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11,438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18,098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31,735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31,527</w:t>
            </w:r>
          </w:p>
        </w:tc>
      </w:tr>
      <w:tr>
        <w:trPr>
          <w:trHeight w:val="20"/>
        </w:trPr>
        <w:tc>
          <w:tcPr>
            <w:tcW w:w="3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income tax rate varied from the statutory Guernsey tax rate as follows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w w:val="96"/>
              </w:rPr>
              <w:t>June 30,</w:t>
            </w: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199"/>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92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19"/>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92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86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c>
          <w:tcPr>
            <w:tcW w:w="14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420" w:type="dxa"/>
            <w:vAlign w:val="bottom"/>
            <w:gridSpan w:val="4"/>
            <w:shd w:val="clear" w:color="auto" w:fill="CCEEFF"/>
          </w:tcPr>
          <w:p>
            <w:pPr>
              <w:jc w:val="right"/>
              <w:ind w:right="119"/>
              <w:spacing w:after="0"/>
              <w:rPr>
                <w:sz w:val="20"/>
                <w:szCs w:val="20"/>
                <w:color w:val="auto"/>
              </w:rPr>
            </w:pPr>
            <w:r>
              <w:rPr>
                <w:rFonts w:ascii="Arial" w:cs="Arial" w:eastAsia="Arial" w:hAnsi="Arial"/>
                <w:sz w:val="18"/>
                <w:szCs w:val="18"/>
                <w:color w:val="auto"/>
              </w:rPr>
              <w:t>0%</w:t>
            </w: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Guernsey tax-exempt status</w:t>
            </w:r>
          </w:p>
        </w:tc>
        <w:tc>
          <w:tcPr>
            <w:tcW w:w="340" w:type="dxa"/>
            <w:vAlign w:val="bottom"/>
          </w:tcPr>
          <w:p>
            <w:pPr>
              <w:spacing w:after="0"/>
              <w:rPr>
                <w:sz w:val="18"/>
                <w:szCs w:val="18"/>
                <w:color w:val="auto"/>
              </w:rPr>
            </w:pPr>
          </w:p>
        </w:tc>
        <w:tc>
          <w:tcPr>
            <w:tcW w:w="520" w:type="dxa"/>
            <w:vAlign w:val="bottom"/>
            <w:gridSpan w:val="2"/>
          </w:tcPr>
          <w:p>
            <w:pPr>
              <w:jc w:val="right"/>
              <w:ind w:right="259"/>
              <w:spacing w:after="0"/>
              <w:rPr>
                <w:sz w:val="20"/>
                <w:szCs w:val="20"/>
                <w:color w:val="auto"/>
              </w:rPr>
            </w:pPr>
            <w:r>
              <w:rPr>
                <w:rFonts w:ascii="Arial" w:cs="Arial" w:eastAsia="Arial" w:hAnsi="Arial"/>
                <w:sz w:val="18"/>
                <w:szCs w:val="18"/>
                <w:color w:val="auto"/>
                <w:w w:val="88"/>
              </w:rPr>
              <w:t>—</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59"/>
              <w:spacing w:after="0"/>
              <w:rPr>
                <w:sz w:val="20"/>
                <w:szCs w:val="20"/>
                <w:color w:val="auto"/>
              </w:rPr>
            </w:pPr>
            <w:r>
              <w:rPr>
                <w:rFonts w:ascii="Arial" w:cs="Arial" w:eastAsia="Arial" w:hAnsi="Arial"/>
                <w:sz w:val="18"/>
                <w:szCs w:val="18"/>
                <w:color w:val="auto"/>
                <w:w w:val="99"/>
              </w:rPr>
              <w:t>—</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3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99"/>
              <w:spacing w:after="0"/>
              <w:rPr>
                <w:sz w:val="20"/>
                <w:szCs w:val="20"/>
                <w:color w:val="auto"/>
              </w:rPr>
            </w:pPr>
            <w:r>
              <w:rPr>
                <w:rFonts w:ascii="Arial" w:cs="Arial" w:eastAsia="Arial" w:hAnsi="Arial"/>
                <w:sz w:val="18"/>
                <w:szCs w:val="18"/>
                <w:color w:val="auto"/>
                <w:w w:val="87"/>
              </w:rPr>
              <w:t>%</w:t>
            </w:r>
          </w:p>
        </w:tc>
        <w:tc>
          <w:tcPr>
            <w:tcW w:w="900" w:type="dxa"/>
            <w:vAlign w:val="bottom"/>
            <w:gridSpan w:val="2"/>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119"/>
              <w:spacing w:after="0"/>
              <w:rPr>
                <w:sz w:val="20"/>
                <w:szCs w:val="20"/>
                <w:color w:val="auto"/>
              </w:rPr>
            </w:pPr>
            <w:r>
              <w:rPr>
                <w:rFonts w:ascii="Arial" w:cs="Arial" w:eastAsia="Arial" w:hAnsi="Arial"/>
                <w:sz w:val="18"/>
                <w:szCs w:val="18"/>
                <w:color w:val="auto"/>
                <w:w w:val="74"/>
              </w:rPr>
              <w:t>%</w:t>
            </w:r>
          </w:p>
        </w:tc>
        <w:tc>
          <w:tcPr>
            <w:tcW w:w="900" w:type="dxa"/>
            <w:vAlign w:val="bottom"/>
            <w:gridSpan w:val="2"/>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34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w:t>
            </w:r>
          </w:p>
        </w:tc>
        <w:tc>
          <w:tcPr>
            <w:tcW w:w="880" w:type="dxa"/>
            <w:vAlign w:val="bottom"/>
            <w:gridSpan w:val="2"/>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34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20" w:firstLine="215"/>
        <w:spacing w:after="0" w:line="286" w:lineRule="auto"/>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 Tax legislation recently enacted in Guernsey with effect from January 1, 2008 repealed the exemption that the Company previously utilized, and subjects the Company to a corporate tax rate of zero percent, which has not affected the Company’s overall effective tax rate.</w:t>
      </w:r>
    </w:p>
    <w:p>
      <w:pPr>
        <w:spacing w:after="0" w:line="57" w:lineRule="exact"/>
        <w:rPr>
          <w:sz w:val="20"/>
          <w:szCs w:val="20"/>
          <w:color w:val="auto"/>
        </w:rPr>
      </w:pPr>
    </w:p>
    <w:p>
      <w:pPr>
        <w:ind w:left="240" w:right="380" w:firstLine="215"/>
        <w:spacing w:after="0" w:line="259" w:lineRule="auto"/>
        <w:rPr>
          <w:sz w:val="20"/>
          <w:szCs w:val="20"/>
          <w:color w:val="auto"/>
        </w:rPr>
      </w:pPr>
      <w:r>
        <w:rPr>
          <w:rFonts w:ascii="Arial" w:cs="Arial" w:eastAsia="Arial" w:hAnsi="Arial"/>
          <w:sz w:val="18"/>
          <w:szCs w:val="18"/>
          <w:color w:val="auto"/>
        </w:rPr>
        <w:t>As of June 30, 2008, deferred tax assets of $58,628,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 or through goodwill when it relates to a business combination.</w:t>
      </w:r>
    </w:p>
    <w:p>
      <w:pPr>
        <w:spacing w:after="0" w:line="79"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During the quarter ended June 30, 2008, the Company recorded valuation allowances against certain carry forward losses partially in connection with a business combination.</w:t>
      </w:r>
    </w:p>
    <w:p>
      <w:pPr>
        <w:spacing w:after="0" w:line="62" w:lineRule="exact"/>
        <w:rPr>
          <w:sz w:val="20"/>
          <w:szCs w:val="20"/>
          <w:color w:val="auto"/>
        </w:rPr>
      </w:pPr>
    </w:p>
    <w:p>
      <w:pPr>
        <w:ind w:left="240" w:right="340" w:firstLine="225"/>
        <w:spacing w:after="0" w:line="264" w:lineRule="auto"/>
        <w:rPr>
          <w:sz w:val="20"/>
          <w:szCs w:val="20"/>
          <w:color w:val="auto"/>
        </w:rPr>
      </w:pPr>
      <w:r>
        <w:rPr>
          <w:rFonts w:ascii="Arial" w:cs="Arial" w:eastAsia="Arial" w:hAnsi="Arial"/>
          <w:sz w:val="18"/>
          <w:szCs w:val="18"/>
          <w:color w:val="auto"/>
        </w:rPr>
        <w:t>During the quarter ended June 30, 2008, the Company recorded a deferred tax asset for carry forward losses relating to one of its subsidiaries as the statute of limitation related to the fiscal years in which these losses had occurred lapsed. This deferred tax asset was partially offset by a valuation allowance.</w:t>
      </w:r>
    </w:p>
    <w:p>
      <w:pPr>
        <w:spacing w:after="0" w:line="73" w:lineRule="exact"/>
        <w:rPr>
          <w:sz w:val="20"/>
          <w:szCs w:val="20"/>
          <w:color w:val="auto"/>
        </w:rPr>
      </w:pPr>
    </w:p>
    <w:p>
      <w:pPr>
        <w:jc w:val="both"/>
        <w:ind w:left="240" w:right="240" w:firstLine="225"/>
        <w:spacing w:after="0" w:line="264" w:lineRule="auto"/>
        <w:rPr>
          <w:sz w:val="20"/>
          <w:szCs w:val="20"/>
          <w:color w:val="auto"/>
        </w:rPr>
      </w:pPr>
      <w:r>
        <w:rPr>
          <w:rFonts w:ascii="Arial" w:cs="Arial" w:eastAsia="Arial" w:hAnsi="Arial"/>
          <w:sz w:val="18"/>
          <w:szCs w:val="18"/>
          <w:color w:val="auto"/>
        </w:rPr>
        <w:t>During the quarter ended June 30, 2007, the Company released certain valuation allowances in connection with the Company’s estimation that carry forward losses related to one of its subsidiaries would be realized through future taxable earnings. The decrease in the valuation allowance was partially offset by an increase in tax reserves to this same subsidiary.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ind w:right="200"/>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October 1, 2007, the Company adopted FIN 48 which prescribes a comprehensive model for the financial statement recognition, measurement, classification and disclosure of uncertain tax positions. The adoption of FIN 48 did not result in a change to the Company’s retained earnings. The total amount of gross unrecognized tax benefits as of the date of adoption, which includes interest and penalties, was $108,929, of which $104,762 would affect the Company’s effective tax rate if realized. The Company historically classified unrecognized tax benefits in current income taxes payable. In implementing FIN 48, the Company has reclassified unrecognized tax benefits for which the Company does not anticipate making payment within one year to long-term income taxes payable.</w:t>
      </w:r>
    </w:p>
    <w:p>
      <w:pPr>
        <w:spacing w:after="0" w:line="85"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total amount of unrecognized tax benefits, which includes interest and penalties, was $87,033 as of June 30, 2008, of which $82,774 would affect the effective tax rate if realized. As a result of settlements of certain tax matters during the three and nine months ended June 30, 2008, the amount of gross unrecognized tax benefits was reduced by approximately $29,106 and $40,856, respectively, (including interest), of which $8,497 and $13,185 respectively was recorded as tax payable.</w:t>
      </w:r>
    </w:p>
    <w:p>
      <w:pPr>
        <w:spacing w:after="0" w:line="79"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Company’s policy of including interest and penalties related to income taxes, including unrecognized tax benefits, within the provision for income taxes on the consolidated statements of income did not change as a result of implementing FIN 48. As of the date of adoption of FIN 48, the Company had accrued $17,530 in income taxes payable for interest and penalties relating to unrecognized tax benefits. As of June 30, 2008, the Company has accrued $14,164 in income taxes payable for interest and penalties relating to unrecognized tax benefits.</w:t>
      </w:r>
    </w:p>
    <w:p>
      <w:pPr>
        <w:spacing w:after="0" w:line="63"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58"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Numerator for basic earnings per share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100,672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88,181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296,195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assumed conversion of 0.50%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Numerator for diluted earnings per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101,657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89,166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299,150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ind w:left="200"/>
              <w:spacing w:after="0" w:line="201" w:lineRule="exact"/>
              <w:rPr>
                <w:sz w:val="20"/>
                <w:szCs w:val="20"/>
                <w:color w:val="auto"/>
              </w:rPr>
            </w:pPr>
            <w:r>
              <w:rPr>
                <w:rFonts w:ascii="Arial" w:cs="Arial" w:eastAsia="Arial" w:hAnsi="Arial"/>
                <w:sz w:val="18"/>
                <w:szCs w:val="18"/>
                <w:color w:val="auto"/>
                <w:w w:val="98"/>
              </w:rPr>
              <w:t>Denominator for basic earnings per share– weighted average number of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206,329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208,262</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207,069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assumed conversion of 0.50%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2,441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restricted stock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w w:val="98"/>
              </w:rPr>
              <w:t>Denominator for diluted earnings per share – adjusted weighted average shares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and assumed conversions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219,120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223,775</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220,315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222,997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Repurchase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August 2007, the Company announced that its board of directors had authorized a share repurchase plan allowing the repurchase of up to</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$400 million of its outstanding ordinary shares. The authorization permits the Company to purchase its ordinary shares in open market or privately</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negotiated transactions at times and prices that it considers appropriate. During the nine months ended June 30, 2008, the Company repurchased 5,389</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ordinary shares under this repurchase program, at an average price of $31.96 per share (excluding broker and transaction fees). As of June 30, 2008,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may repurchase up to $178 million of its ordinary shares under the share repurchase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 and Incentive Plan</w:t>
      </w:r>
    </w:p>
    <w:p>
      <w:pPr>
        <w:spacing w:after="0" w:line="121" w:lineRule="exact"/>
        <w:rPr>
          <w:sz w:val="20"/>
          <w:szCs w:val="20"/>
          <w:color w:val="auto"/>
        </w:rPr>
      </w:pPr>
    </w:p>
    <w:p>
      <w:pPr>
        <w:ind w:left="240" w:right="100" w:firstLine="225"/>
        <w:spacing w:after="0" w:line="277"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left="240" w:right="120"/>
        <w:spacing w:after="0" w:line="257" w:lineRule="auto"/>
        <w:rPr>
          <w:sz w:val="20"/>
          <w:szCs w:val="20"/>
          <w:color w:val="auto"/>
        </w:rPr>
      </w:pPr>
      <w:r>
        <w:rPr>
          <w:rFonts w:ascii="Arial" w:cs="Arial" w:eastAsia="Arial" w:hAnsi="Arial"/>
          <w:sz w:val="18"/>
          <w:szCs w:val="18"/>
          <w:color w:val="auto"/>
        </w:rPr>
        <w:t>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2008, the maximum number of ordinary shares authorized to be granted under the Plan was increased from 46,300 to 55,300. Awards granted under the Plan generally vest over a period of four years and stock options have a term of ten years.</w:t>
      </w:r>
    </w:p>
    <w:p>
      <w:pPr>
        <w:spacing w:after="0" w:line="76" w:lineRule="exact"/>
        <w:rPr>
          <w:sz w:val="20"/>
          <w:szCs w:val="20"/>
          <w:color w:val="auto"/>
        </w:rPr>
      </w:pPr>
    </w:p>
    <w:p>
      <w:pPr>
        <w:ind w:left="24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nine month period ended June 30, 2008: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31.62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5,281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33.22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(1,257)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35.96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2008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tcPr>
          <w:p>
            <w:pPr>
              <w:spacing w:after="0"/>
              <w:rPr>
                <w:sz w:val="20"/>
                <w:szCs w:val="20"/>
                <w:color w:val="auto"/>
              </w:rPr>
            </w:pPr>
            <w:r>
              <w:rPr>
                <w:rFonts w:ascii="Arial" w:cs="Arial" w:eastAsia="Arial" w:hAnsi="Arial"/>
                <w:sz w:val="18"/>
                <w:szCs w:val="18"/>
                <w:color w:val="auto"/>
              </w:rPr>
              <w:t>Exercisable on June 30, 2008</w:t>
            </w:r>
          </w:p>
        </w:tc>
        <w:tc>
          <w:tcPr>
            <w:tcW w:w="680" w:type="dxa"/>
            <w:vAlign w:val="bottom"/>
          </w:tcPr>
          <w:p>
            <w:pPr>
              <w:jc w:val="right"/>
              <w:spacing w:after="0"/>
              <w:rPr>
                <w:sz w:val="20"/>
                <w:szCs w:val="20"/>
                <w:color w:val="auto"/>
              </w:rPr>
            </w:pPr>
            <w:r>
              <w:rPr>
                <w:rFonts w:ascii="Arial" w:cs="Arial" w:eastAsia="Arial" w:hAnsi="Arial"/>
                <w:sz w:val="18"/>
                <w:szCs w:val="18"/>
                <w:color w:val="auto"/>
              </w:rPr>
              <w:t>12,956</w:t>
            </w:r>
          </w:p>
        </w:tc>
        <w:tc>
          <w:tcPr>
            <w:tcW w:w="3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32.58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340" w:firstLine="222"/>
        <w:spacing w:after="0" w:line="277" w:lineRule="auto"/>
        <w:rPr>
          <w:sz w:val="20"/>
          <w:szCs w:val="20"/>
          <w:color w:val="auto"/>
        </w:rPr>
      </w:pPr>
      <w:r>
        <w:rPr>
          <w:rFonts w:ascii="Arial" w:cs="Arial" w:eastAsia="Arial" w:hAnsi="Arial"/>
          <w:sz w:val="18"/>
          <w:szCs w:val="18"/>
          <w:color w:val="auto"/>
        </w:rPr>
        <w:t>The following table summarizes information relating to awards of restricted shares, as well as changes to such awards during the nine month period ended on June 30,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2007</w:t>
            </w:r>
          </w:p>
        </w:tc>
        <w:tc>
          <w:tcPr>
            <w:tcW w:w="5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700" w:type="dxa"/>
            <w:vAlign w:val="bottom"/>
            <w:gridSpan w:val="3"/>
          </w:tcPr>
          <w:p>
            <w:pPr>
              <w:jc w:val="right"/>
              <w:ind w:right="660"/>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43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2008</w:t>
            </w:r>
          </w:p>
        </w:tc>
        <w:tc>
          <w:tcPr>
            <w:tcW w:w="43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360" w:type="dxa"/>
            <w:vAlign w:val="bottom"/>
            <w:vMerge w:val="restart"/>
          </w:tcPr>
          <w:p>
            <w:pPr>
              <w:jc w:val="right"/>
              <w:ind w:right="3110"/>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left="240" w:firstLine="215"/>
        <w:spacing w:after="0" w:line="264" w:lineRule="auto"/>
        <w:rPr>
          <w:sz w:val="20"/>
          <w:szCs w:val="20"/>
          <w:color w:val="auto"/>
        </w:rPr>
      </w:pPr>
      <w:r>
        <w:rPr>
          <w:rFonts w:ascii="Arial" w:cs="Arial" w:eastAsia="Arial" w:hAnsi="Arial"/>
          <w:sz w:val="18"/>
          <w:szCs w:val="18"/>
          <w:color w:val="auto"/>
        </w:rPr>
        <w:t>As of June 30, 2008, there was $68,825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73" w:lineRule="exact"/>
        <w:rPr>
          <w:sz w:val="20"/>
          <w:szCs w:val="20"/>
          <w:color w:val="auto"/>
        </w:rPr>
      </w:pPr>
    </w:p>
    <w:p>
      <w:pPr>
        <w:jc w:val="both"/>
        <w:ind w:left="240" w:right="60" w:firstLine="225"/>
        <w:spacing w:after="0" w:line="264"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 in accordance with FASB Statement No. 123 (revised 2004), “Share-Based Payment,” a revision of SFAS No. 123 (“SFAS 123(R)”) and Staff Accounting Bulletin No. 107 (“SAB 107”), which provides supplemental implementation guidance on SFAS 123(R).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Employee equity-based compensation pre-tax expense under SFAS 123(R) for the three and nine months ended June 30, 2008 and 2007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17,712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18,914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1,734</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3,626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5,099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4,358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22,372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15,957</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16,081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12,679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43,710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39,970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40" w:right="80" w:firstLine="222"/>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June 30, 2008 and 2007 was $1,395 and $2,161, respectively, and for the nine months ended June 30, 2008 and 2007 was $4,225 and $6,467, respectively.</w:t>
      </w:r>
    </w:p>
    <w:p>
      <w:pPr>
        <w:spacing w:after="0" w:line="16" w:lineRule="exact"/>
        <w:rPr>
          <w:sz w:val="20"/>
          <w:szCs w:val="20"/>
          <w:color w:val="auto"/>
        </w:rPr>
      </w:pPr>
    </w:p>
    <w:p>
      <w:pPr>
        <w:ind w:left="240" w:right="260" w:firstLine="222"/>
        <w:spacing w:after="0" w:line="264"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58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60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4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4.67%</w:t>
            </w:r>
          </w:p>
        </w:tc>
        <w:tc>
          <w:tcPr>
            <w:tcW w:w="15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3.23%</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4.50</w:t>
            </w:r>
          </w:p>
        </w:tc>
        <w:tc>
          <w:tcPr>
            <w:tcW w:w="1640" w:type="dxa"/>
            <w:vAlign w:val="bottom"/>
            <w:gridSpan w:val="3"/>
          </w:tcPr>
          <w:p>
            <w:pPr>
              <w:jc w:val="right"/>
              <w:ind w:right="259"/>
              <w:spacing w:after="0"/>
              <w:rPr>
                <w:sz w:val="20"/>
                <w:szCs w:val="20"/>
                <w:color w:val="auto"/>
              </w:rPr>
            </w:pPr>
            <w:r>
              <w:rPr>
                <w:rFonts w:ascii="Arial" w:cs="Arial" w:eastAsia="Arial" w:hAnsi="Arial"/>
                <w:sz w:val="18"/>
                <w:szCs w:val="18"/>
                <w:color w:val="auto"/>
              </w:rPr>
              <w:t>4.50</w:t>
            </w:r>
          </w:p>
        </w:tc>
        <w:tc>
          <w:tcPr>
            <w:tcW w:w="1540" w:type="dxa"/>
            <w:vAlign w:val="bottom"/>
            <w:gridSpan w:val="2"/>
          </w:tcPr>
          <w:p>
            <w:pPr>
              <w:jc w:val="right"/>
              <w:ind w:right="242"/>
              <w:spacing w:after="0"/>
              <w:rPr>
                <w:sz w:val="20"/>
                <w:szCs w:val="20"/>
                <w:color w:val="auto"/>
              </w:rPr>
            </w:pPr>
            <w:r>
              <w:rPr>
                <w:rFonts w:ascii="Arial" w:cs="Arial" w:eastAsia="Arial" w:hAnsi="Arial"/>
                <w:sz w:val="18"/>
                <w:szCs w:val="18"/>
                <w:color w:val="auto"/>
              </w:rPr>
              <w:t>4.30</w:t>
            </w:r>
          </w:p>
        </w:tc>
        <w:tc>
          <w:tcPr>
            <w:tcW w:w="1560" w:type="dxa"/>
            <w:vAlign w:val="bottom"/>
            <w:gridSpan w:val="2"/>
          </w:tcPr>
          <w:p>
            <w:pPr>
              <w:jc w:val="right"/>
              <w:ind w:right="239"/>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0.347</w:t>
            </w:r>
          </w:p>
        </w:tc>
        <w:tc>
          <w:tcPr>
            <w:tcW w:w="164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0.290</w:t>
            </w:r>
          </w:p>
        </w:tc>
        <w:tc>
          <w:tcPr>
            <w:tcW w:w="15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0.333</w:t>
            </w:r>
          </w:p>
        </w:tc>
        <w:tc>
          <w:tcPr>
            <w:tcW w:w="15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0.315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259"/>
              <w:spacing w:after="0"/>
              <w:rPr>
                <w:sz w:val="20"/>
                <w:szCs w:val="20"/>
                <w:color w:val="auto"/>
              </w:rPr>
            </w:pPr>
            <w:r>
              <w:rPr>
                <w:rFonts w:ascii="Arial" w:cs="Arial" w:eastAsia="Arial" w:hAnsi="Arial"/>
                <w:sz w:val="18"/>
                <w:szCs w:val="18"/>
                <w:color w:val="auto"/>
              </w:rPr>
              <w:t>None</w:t>
            </w:r>
          </w:p>
        </w:tc>
        <w:tc>
          <w:tcPr>
            <w:tcW w:w="500" w:type="dxa"/>
            <w:vAlign w:val="bottom"/>
          </w:tcPr>
          <w:p>
            <w:pPr>
              <w:spacing w:after="0"/>
              <w:rPr>
                <w:sz w:val="20"/>
                <w:szCs w:val="20"/>
                <w:color w:val="auto"/>
              </w:rPr>
            </w:pPr>
          </w:p>
        </w:tc>
        <w:tc>
          <w:tcPr>
            <w:tcW w:w="1040" w:type="dxa"/>
            <w:vAlign w:val="bottom"/>
          </w:tcPr>
          <w:p>
            <w:pPr>
              <w:jc w:val="right"/>
              <w:ind w:right="242"/>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20"/>
                <w:szCs w:val="20"/>
                <w:color w:val="auto"/>
              </w:rPr>
            </w:pPr>
          </w:p>
        </w:tc>
        <w:tc>
          <w:tcPr>
            <w:tcW w:w="1040" w:type="dxa"/>
            <w:vAlign w:val="bottom"/>
          </w:tcPr>
          <w:p>
            <w:pPr>
              <w:jc w:val="right"/>
              <w:ind w:right="239"/>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$ 9.95</w:t>
            </w:r>
          </w:p>
        </w:tc>
        <w:tc>
          <w:tcPr>
            <w:tcW w:w="164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$12.14</w:t>
            </w:r>
          </w:p>
        </w:tc>
        <w:tc>
          <w:tcPr>
            <w:tcW w:w="15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$10.51</w:t>
            </w:r>
          </w:p>
        </w:tc>
        <w:tc>
          <w:tcPr>
            <w:tcW w:w="15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left="240" w:right="24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Operational Efficiency and Cost Reduction Programs</w:t>
      </w:r>
    </w:p>
    <w:p>
      <w:pPr>
        <w:spacing w:after="0" w:line="121" w:lineRule="exact"/>
        <w:rPr>
          <w:sz w:val="20"/>
          <w:szCs w:val="20"/>
          <w:color w:val="auto"/>
        </w:rPr>
      </w:pPr>
    </w:p>
    <w:p>
      <w:pPr>
        <w:ind w:left="240" w:right="280" w:firstLine="225"/>
        <w:spacing w:after="0" w:line="297" w:lineRule="auto"/>
        <w:rPr>
          <w:sz w:val="20"/>
          <w:szCs w:val="20"/>
          <w:color w:val="auto"/>
        </w:rPr>
      </w:pPr>
      <w:r>
        <w:rPr>
          <w:rFonts w:ascii="Arial" w:cs="Arial" w:eastAsia="Arial" w:hAnsi="Arial"/>
          <w:sz w:val="16"/>
          <w:szCs w:val="16"/>
          <w:color w:val="auto"/>
        </w:rPr>
        <w:t>In the quarter ended March 31, 2007, the Company commenced a series of measures designed to align its operational structure to its expected future growth and to improve efficiency. As part of this plan, the Company recorded expense of $6,011, consisting primarily of employee separation costs in connection with the termination of the employment of software and information technology specialists and administrative professionals at various locations around the world and for facility related costs. Approximately $5,014 of the total expense had been paid in cash as of June 30, 2008, the reminder is primarily attributable to facility related costs which are expected to be paid through May 2013.</w:t>
      </w:r>
    </w:p>
    <w:p>
      <w:pPr>
        <w:spacing w:after="0" w:line="50" w:lineRule="exact"/>
        <w:rPr>
          <w:sz w:val="20"/>
          <w:szCs w:val="20"/>
          <w:color w:val="auto"/>
        </w:rPr>
      </w:pPr>
    </w:p>
    <w:p>
      <w:pPr>
        <w:ind w:left="240" w:right="20" w:firstLine="225"/>
        <w:spacing w:after="0" w:line="259" w:lineRule="auto"/>
        <w:rPr>
          <w:sz w:val="20"/>
          <w:szCs w:val="20"/>
          <w:color w:val="auto"/>
        </w:rPr>
      </w:pPr>
      <w:r>
        <w:rPr>
          <w:rFonts w:ascii="Arial" w:cs="Arial" w:eastAsia="Arial" w:hAnsi="Arial"/>
          <w:sz w:val="18"/>
          <w:szCs w:val="18"/>
          <w:color w:val="auto"/>
        </w:rPr>
        <w:t>In connection with the acquisition of DST Innovis, Inc. and DST Interactive, Inc (collectively “DST Innovis”) in fiscal 2005, the Company commenced integration activities with respect to the DST Innovis business based on a plan to exit specific research and development activities and to terminate employees associated with these activities. The liabilities associated with this plan, which were recorded as part of the purchase accounting, are presented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5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Other</w:t>
            </w:r>
          </w:p>
        </w:tc>
        <w:tc>
          <w:tcPr>
            <w:tcW w:w="36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obligations</w:t>
            </w:r>
          </w:p>
        </w:tc>
        <w:tc>
          <w:tcPr>
            <w:tcW w:w="6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2007</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Adjustments (non-cash)</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Balance as of June 30, 2008</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right="9620" w:hanging="452"/>
        <w:spacing w:after="0" w:line="425" w:lineRule="auto"/>
        <w:tabs>
          <w:tab w:leader="none" w:pos="26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left="240" w:right="16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jc w:val="both"/>
        <w:ind w:left="240" w:right="300" w:firstLine="222"/>
        <w:spacing w:after="0" w:line="312" w:lineRule="auto"/>
        <w:rPr>
          <w:sz w:val="20"/>
          <w:szCs w:val="20"/>
          <w:color w:val="auto"/>
        </w:rPr>
      </w:pPr>
      <w:r>
        <w:rPr>
          <w:rFonts w:ascii="Arial" w:cs="Arial" w:eastAsia="Arial" w:hAnsi="Arial"/>
          <w:sz w:val="16"/>
          <w:szCs w:val="16"/>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2008 and 2007.</w:t>
      </w:r>
    </w:p>
    <w:p>
      <w:pPr>
        <w:spacing w:after="0" w:line="39" w:lineRule="exact"/>
        <w:rPr>
          <w:sz w:val="20"/>
          <w:szCs w:val="20"/>
          <w:color w:val="auto"/>
        </w:rPr>
      </w:pPr>
    </w:p>
    <w:p>
      <w:pPr>
        <w:ind w:left="240" w:right="10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2007 that we filed on December 3, 2007 with the United States Securities and Exchange Commission (“SEC”).</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620" w:firstLine="215"/>
        <w:spacing w:after="0" w:line="264" w:lineRule="auto"/>
        <w:rPr>
          <w:sz w:val="20"/>
          <w:szCs w:val="20"/>
          <w:color w:val="auto"/>
        </w:rPr>
      </w:pPr>
      <w:r>
        <w:rPr>
          <w:rFonts w:ascii="Arial" w:cs="Arial" w:eastAsia="Arial" w:hAnsi="Arial"/>
          <w:sz w:val="18"/>
          <w:szCs w:val="18"/>
          <w:color w:val="auto"/>
        </w:rPr>
        <w:t>Amdocs is a leading provider of software and services for communications service providers. Our market focus is primarily Tier 1 and Tier 2 communications companies, including leading wireline and wireless telecommunications, broadband cable and satellite service providers. In addition, Amdocs also supports lower tier communication service providers.</w:t>
      </w:r>
    </w:p>
    <w:p>
      <w:pPr>
        <w:spacing w:after="0" w:line="73"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develop, implement and manage software and services associated with the business support systems and operational support systems (BSS and OSS) that enable service providers to deliver a better, differentiated, and intentional customer experience, by, for example, introducing products quickly, understanding their customers more deeply, processing orders efficiently and solving problems productively. We refer to these systems as customer experience systems.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the demand for our customer experience systems is primarily driven by several needs:</w:t>
      </w:r>
    </w:p>
    <w:p>
      <w:pPr>
        <w:spacing w:after="0" w:line="117" w:lineRule="exact"/>
        <w:rPr>
          <w:sz w:val="20"/>
          <w:szCs w:val="20"/>
          <w:color w:val="auto"/>
        </w:rPr>
      </w:pPr>
    </w:p>
    <w:p>
      <w:pPr>
        <w:ind w:left="1120" w:right="740" w:hanging="437"/>
        <w:spacing w:after="0" w:line="277" w:lineRule="auto"/>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Consolidation in the communications industry is continuing, and competition among incumbent and new entrant service providers is intensifying.</w:t>
      </w:r>
    </w:p>
    <w:p>
      <w:pPr>
        <w:spacing w:after="0" w:line="75" w:lineRule="exact"/>
        <w:rPr>
          <w:rFonts w:ascii="Arial" w:cs="Arial" w:eastAsia="Arial" w:hAnsi="Arial"/>
          <w:sz w:val="18"/>
          <w:szCs w:val="18"/>
          <w:b w:val="1"/>
          <w:bCs w:val="1"/>
          <w:color w:val="auto"/>
        </w:rPr>
      </w:pPr>
    </w:p>
    <w:p>
      <w:pPr>
        <w:ind w:left="1120" w:hanging="437"/>
        <w:spacing w:after="0"/>
        <w:tabs>
          <w:tab w:leader="none" w:pos="11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Convergence is accelerating, with consumers expecting continuous access to voice, data and video services anywhere, through any device.</w:t>
      </w:r>
    </w:p>
    <w:p>
      <w:pPr>
        <w:spacing w:after="0" w:line="153" w:lineRule="exact"/>
        <w:rPr>
          <w:rFonts w:ascii="Arial" w:cs="Arial" w:eastAsia="Arial" w:hAnsi="Arial"/>
          <w:sz w:val="16"/>
          <w:szCs w:val="16"/>
          <w:b w:val="1"/>
          <w:bCs w:val="1"/>
          <w:color w:val="auto"/>
        </w:rPr>
      </w:pPr>
    </w:p>
    <w:p>
      <w:pPr>
        <w:ind w:left="1120" w:hanging="437"/>
        <w:spacing w:after="0"/>
        <w:tabs>
          <w:tab w:leader="none" w:pos="112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Service providers need to develop new revenue streams that take full advantage of ubiquitous connectivity and convergence lifestyle.</w:t>
      </w:r>
    </w:p>
    <w:p>
      <w:pPr>
        <w:spacing w:after="0" w:line="129"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this changing environment, we believe service providers will succeed by differentiating their offerings in order to deliver a customer experience that is simple, personal, and valuable at every point of service. Service providers can do this by adopting our customer experience systems (Amdocs CES) which are designed to help deliver an intentional customer experience. While we recognize that there are some macro-economic indicators that cause uncertainty in our industry, we continue to see demand for Amdocs products and services, and currently expect that we will continue to expand our business in fiscal 2008.</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Offerings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Amdocs offerings of software and related services consist of:</w:t>
      </w:r>
    </w:p>
    <w:p>
      <w:pPr>
        <w:spacing w:after="0" w:line="113" w:lineRule="exact"/>
        <w:rPr>
          <w:sz w:val="20"/>
          <w:szCs w:val="20"/>
          <w:color w:val="auto"/>
        </w:rPr>
      </w:pPr>
    </w:p>
    <w:p>
      <w:pPr>
        <w:ind w:left="1120" w:right="200" w:hanging="446"/>
        <w:spacing w:after="0" w:line="25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complete, modular portfolio of BSS and OSS software, including revenue management (billing, mediation and partner settlement), customer management (ordering, customer relationship management or CRM, and self-service), service and resource management (network management, planning and fulfillment ) digital commerce management (content revenue management, search and digital advertising) and foundation products (such as enterprise product catalog). In January 2008, we introduced our most current version of the portfolio, Amdocs CES 7.5.</w:t>
      </w:r>
    </w:p>
    <w:p>
      <w:pPr>
        <w:spacing w:after="0" w:line="93" w:lineRule="exact"/>
        <w:rPr>
          <w:sz w:val="20"/>
          <w:szCs w:val="20"/>
          <w:color w:val="auto"/>
        </w:rPr>
      </w:pPr>
    </w:p>
    <w:p>
      <w:pPr>
        <w:ind w:left="1120" w:hanging="446"/>
        <w:spacing w:after="0" w:line="27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color w:val="auto"/>
        </w:rPr>
        <w:t>A comprehensive line of services, from strategy to execution. Because our customers’ projects are complex and require systems support expertise,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rating and billing services and communications facility management services.</w:t>
      </w:r>
    </w:p>
    <w:p>
      <w:pPr>
        <w:spacing w:after="0" w:line="68"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have designed our customer experience systems to meet the mission-critical needs of leading service providers around the world. We support their various lines of business, including wireline, wireless, cable and satellite, and a wide range of communication services, including voice, video, data, IP, broadband, content, electronic and mobile commerce applications. We also support companies that offer multiple service packages, commonly referred to as bundled or convergent service packages. We have also applied our experience to assist service providers in the financial services sector to meet operational challenges that are similar to those experienced by communications companies.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right="280" w:firstLine="215"/>
        <w:spacing w:after="0" w:line="277" w:lineRule="auto"/>
        <w:rPr>
          <w:sz w:val="20"/>
          <w:szCs w:val="20"/>
          <w:color w:val="auto"/>
        </w:rPr>
      </w:pPr>
      <w:r>
        <w:rPr>
          <w:rFonts w:ascii="Arial" w:cs="Arial" w:eastAsia="Arial" w:hAnsi="Arial"/>
          <w:sz w:val="18"/>
          <w:szCs w:val="18"/>
          <w:color w:val="auto"/>
        </w:rPr>
        <w:t>Amdocs also offers a full range of directory sales and publishing systems and related services, which we refer to as directory systems, for publishers of both traditional printed yellow page and white page directories and electronic Internet directories.</w:t>
      </w:r>
    </w:p>
    <w:p>
      <w:pPr>
        <w:spacing w:after="0" w:line="62"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industry. We maintain development facilities in China, Cyprus, India, Ireland, Israel and the United States.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that demand for our customer experience systems is primarily driven by the following key factors: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Consolidation &amp; industry transformation, including:</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ubiquitous use of communications and content services,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increases in digital and mobile commerce,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ongoing consolidation among incumbent communications providers,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increased competition from new entrants,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continued convergence of communications, broadband cable and satellite industries, and</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continued commoditization and pricing pressure.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Convergence &amp; technology advances, such as:</w:t>
      </w:r>
    </w:p>
    <w:p>
      <w:pPr>
        <w:spacing w:after="0" w:line="117" w:lineRule="exact"/>
        <w:rPr>
          <w:sz w:val="20"/>
          <w:szCs w:val="20"/>
          <w:color w:val="auto"/>
        </w:rPr>
      </w:pPr>
    </w:p>
    <w:p>
      <w:pPr>
        <w:ind w:left="112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emergence of new communications products and services, especially video, broadband, data and content services, including IP-based services, such as Internet Protocol (IP) Television (IPTV) and Voice over IP (VoIP),</w:t>
      </w:r>
    </w:p>
    <w:p>
      <w:pPr>
        <w:spacing w:after="0" w:line="75" w:lineRule="exact"/>
        <w:rPr>
          <w:sz w:val="20"/>
          <w:szCs w:val="20"/>
          <w:color w:val="auto"/>
        </w:rPr>
      </w:pPr>
    </w:p>
    <w:p>
      <w:pPr>
        <w:ind w:left="1120" w:right="28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evolution to next generation networks such as IP Multimedia Subsystem (IMS), that enable converged services offerings like fixed-mobile convergence, and</w:t>
      </w:r>
    </w:p>
    <w:p>
      <w:pPr>
        <w:spacing w:after="0" w:line="75" w:lineRule="exact"/>
        <w:rPr>
          <w:sz w:val="20"/>
          <w:szCs w:val="20"/>
          <w:color w:val="auto"/>
        </w:rPr>
      </w:pPr>
    </w:p>
    <w:p>
      <w:pPr>
        <w:ind w:left="1120" w:right="26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technological changes, such as the introduction of 3G and 4G wireless technology, next-generation content systems and WiFi-and WiMax-based access technologies.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color w:val="auto"/>
        </w:rPr>
        <w:t>Customer focus, such as: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need for service providers to focus on their customers in order to build profitable customer relationships,</w:t>
      </w:r>
    </w:p>
    <w:p>
      <w:pPr>
        <w:spacing w:after="0" w:line="130" w:lineRule="exact"/>
        <w:rPr>
          <w:sz w:val="20"/>
          <w:szCs w:val="20"/>
          <w:color w:val="auto"/>
        </w:rPr>
      </w:pPr>
    </w:p>
    <w:p>
      <w:pPr>
        <w:ind w:left="1120" w:right="22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 “authority shift” toward the consumer, with customers demanding new, innovative services that can be personalized, that are timely and relevant to them, that they can participate in creating, and that can be accessed anytime and anywhere,</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ever-increasing expectation of customer service and support, including access to self service options, and</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need for service providers to differentiate themselves by creating a unique and mutually valuable customer experience.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need for operational efficiency, including:</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shift from in-house management to vendor solutions,</w:t>
      </w:r>
    </w:p>
    <w:p>
      <w:pPr>
        <w:spacing w:after="0" w:line="130" w:lineRule="exact"/>
        <w:rPr>
          <w:sz w:val="20"/>
          <w:szCs w:val="20"/>
          <w:color w:val="auto"/>
        </w:rPr>
      </w:pPr>
    </w:p>
    <w:p>
      <w:pPr>
        <w:ind w:left="1120" w:right="62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business needs of service providers to reduce costs and lower total cost of ownership while retaining high-value customers in a highly competitive environment,</w:t>
      </w:r>
    </w:p>
    <w:p>
      <w:pPr>
        <w:spacing w:after="0" w:line="75" w:lineRule="exact"/>
        <w:rPr>
          <w:sz w:val="20"/>
          <w:szCs w:val="20"/>
          <w:color w:val="auto"/>
        </w:rPr>
      </w:pPr>
    </w:p>
    <w:p>
      <w:pPr>
        <w:ind w:left="1120" w:right="20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automating and integrating business processes that span service providers’ BSS and OSS systems and create a simple, one-company face to customers,</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integrating and implementing new next-generation networks (and retiring legacy networks) to deploy new technologies, and</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transforming fragmented legacy OSS systems to introduce new services in a timely and cost-effective manner.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ind w:left="220"/>
        <w:spacing w:after="0"/>
        <w:rPr>
          <w:sz w:val="20"/>
          <w:szCs w:val="20"/>
          <w:color w:val="auto"/>
        </w:rPr>
      </w:pPr>
      <w:r>
        <w:rPr>
          <w:rFonts w:ascii="Arial" w:cs="Arial" w:eastAsia="Arial" w:hAnsi="Arial"/>
          <w:sz w:val="18"/>
          <w:szCs w:val="18"/>
          <w:color w:val="auto"/>
        </w:rPr>
        <w:t>We derive our revenue principally from:</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initial sales of licenses to use our products and related services, including modification, implementation and integration services,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sale of high-level business consulting that includes services that advise, transform, integrate and optimize technology and business processes,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providing Managed Services and other related IT services, and</w:t>
      </w:r>
    </w:p>
    <w:p>
      <w:pPr>
        <w:spacing w:after="0" w:line="130" w:lineRule="exact"/>
        <w:rPr>
          <w:sz w:val="20"/>
          <w:szCs w:val="20"/>
          <w:color w:val="auto"/>
        </w:rPr>
      </w:pPr>
    </w:p>
    <w:p>
      <w:pPr>
        <w:ind w:left="660" w:right="30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recurring revenue from ongoing support, maintenance and enhancements provided to our customers, and from incremental license fees resulting from increases in a customer</w:t>
      </w:r>
      <w:r>
        <w:rPr>
          <w:rFonts w:ascii="Arial" w:cs="Arial" w:eastAsia="Arial" w:hAnsi="Arial"/>
          <w:sz w:val="18"/>
          <w:szCs w:val="18"/>
          <w:b w:val="1"/>
          <w:bCs w:val="1"/>
          <w:color w:val="auto"/>
        </w:rPr>
        <w:t>’</w:t>
      </w:r>
      <w:r>
        <w:rPr>
          <w:rFonts w:ascii="Arial" w:cs="Arial" w:eastAsia="Arial" w:hAnsi="Arial"/>
          <w:sz w:val="18"/>
          <w:szCs w:val="18"/>
          <w:color w:val="auto"/>
        </w:rPr>
        <w:t>s business volume.</w:t>
      </w:r>
    </w:p>
    <w:p>
      <w:pPr>
        <w:spacing w:after="0" w:line="66"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Revenue from ongoing support services is recognized as work is performed or based on straight line over the service period.</w:t>
      </w:r>
    </w:p>
    <w:p>
      <w:pPr>
        <w:spacing w:after="0" w:line="80"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ind w:right="480" w:firstLine="215"/>
        <w:spacing w:after="0" w:line="308" w:lineRule="auto"/>
        <w:rPr>
          <w:sz w:val="20"/>
          <w:szCs w:val="20"/>
          <w:color w:val="auto"/>
        </w:rPr>
      </w:pPr>
      <w:r>
        <w:rPr>
          <w:rFonts w:ascii="Arial" w:cs="Arial" w:eastAsia="Arial" w:hAnsi="Arial"/>
          <w:sz w:val="17"/>
          <w:szCs w:val="17"/>
          <w:color w:val="auto"/>
        </w:rPr>
        <w:t>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8"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Revenue from managed services arrangements (for customer experience systems and directory systems) is included in both license and service revenue. Revenue generated in connection with managed services arrangements are a significant part of our business, accounting for approximately 40% of our total revenue in the nine months ended June 30, 2008 and 2007, and generating substantial, long-term revenue streams, cash flow and operating income. In the initial period of our managed services projects, we may invest in modernization and consolidation of the customer’s systems. Invoices are usually structured on a periodic fixed or unit charge basis. Managed services projects can be less profitable in the initial period. Margins tend to improve over time as we derive benefit from the operational efficiencies and from changes in the geographical mix of our resources.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In June 2008, the Financial Accounting Standards Board (“FASB”) issued FASB Staff Position No. EITF 03-6-1, Determining Whether Instruments Granted in Share-Based Payment Transactions Are Participating Securities (“FSP EITF 03-6-1”). According to FSP EITF 03-6-1, unvested share-based payment awards that contain nonforfeitable rights to dividends or dividend equivalents are considered participating securities under Statement of Financial Accounting Standards No. 128, Earnings per Share. As such, they should be included in the computation of basic earnings per share, (“EPS”) using the two-class method. FSP EITF 03-6-1 is effective for financial statements issued for fiscal years beginning after December 15, 2008, as well as interim periods within those years. Once effective, all prior-period EPS data presented must be adjusted retrospectively. We are currently evaluating the effect that adopting the provisions of FSP EITF 03-6-1 will have on our consolidated results of operations, and we currently expect that the effect will not be material.</w:t>
      </w:r>
    </w:p>
    <w:p>
      <w:pPr>
        <w:spacing w:after="0" w:line="59"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In March 2008, the FASB issued Statement No. 161, Disclosures about Derivative Instruments and Hedging Activities, an amendment of FASB Statement No. 133 (“SFAS 161”)”. SFAS 161 applies to all derivative instruments and nonderivative instruments that are designated and qualify as hedging instruments and related hedged items accounted for under FASB Statement No. 133, Accounting for Derivative Instruments and Hedging Activities (“SFAS 133”). SFAS 161 requires entities to provide greater transparency through additional disclosures about (a) how and why an entity uses derivative instruments, (b) how derivative instruments and related hedged items are accounted for under SFAS 133 and its related interpretations, and (c) how derivative instruments and related hedged items affect an entity’s financial position, results of operations, and cash flows. SFAS 161 is effective for financial statements issued for fiscal years and interim periods beginning after November 15, 2008. Although SFAS 161 requires us to make additional disclosures, it does not affect the underlying accounting policy or the application thereof.</w:t>
      </w:r>
    </w:p>
    <w:p>
      <w:pPr>
        <w:spacing w:after="0" w:line="7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In December 2007, the FASB issued Statement No. 141 (revised), Business Combinations (“SFAS 141(R)”). SFAS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141(R) applies to us prospectively for business combinations for which the acquisition date is on or after October 1, 2009.</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December 2007, the FASB issued Statement No. 160, Noncontrolling Interests in Consolidated Financial Statements, an amendment of ARB No. 51 (“SFAS 160”). SFAS 160 changes the accounting for noncontrolling (minority) interests in consolidated financial statements including the requirements to classify noncontrolling interests as a component of consolidated shareholders’ equity, the elimination of “minority interest” accounting in results of operations and changes in the accounting for both increases and decreases in a parent’s controlling ownership interest. SFAS 160 is effective for fiscal years beginning after December 15, 2008, and early adoption is prohibited. We are currently evaluating the effect that the application of SFAS 160 will have on our consolidated results of operations and financial condition.</w:t>
      </w:r>
    </w:p>
    <w:p>
      <w:pPr>
        <w:spacing w:after="0" w:line="85"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February 2007, the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We are currently evaluating the effect that the application of SFAS 159 will have on our consolidated results of operations and financial condition.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ind w:right="20" w:firstLine="225"/>
        <w:spacing w:after="0" w:line="255" w:lineRule="auto"/>
        <w:rPr>
          <w:sz w:val="20"/>
          <w:szCs w:val="20"/>
          <w:color w:val="auto"/>
        </w:rPr>
      </w:pPr>
      <w:r>
        <w:rPr>
          <w:rFonts w:ascii="Arial" w:cs="Arial" w:eastAsia="Arial" w:hAnsi="Arial"/>
          <w:sz w:val="18"/>
          <w:szCs w:val="18"/>
          <w:color w:val="auto"/>
        </w:rPr>
        <w:t>In September 2006, the FASB issued SFAS 157 which defines fair value, establishes a framework for measuring fair value in generally accepted accounting principles, and expands disclosures about fair value measurements. SFAS No.157 applies under other accounting pronouncements that require or permit fair value measurements. SFAS 157 is effective for fiscal years beginning after November 15, 2007, and interim periods within those fiscal years. In February 2008, the FASB issued FASB Staff Position No. SFAS 157-2, Effective Date of FASB Statement No. 157, which provides a one year deferral of the effective date of SFAS 157 for non-financial assets and non-financial liabilities, except those that are recognized or disclosed in the financial statements at fair value on a recurring basis (at least annually). We are currently evaluating the effect that the application of SFAS 157 will have on our consolidated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FIN 48 is effective for fiscal years beginning after December 15, 2006. We adopted FIN 48 in the first quarter of fiscal 2008. The adoption of FIN 48 did not result in a change to retained earnings. See Note 6 to our consolidated financial statements for additional information on our provision for income taxes, including the effects of adoption of FIN 48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2008 and 2007 certain items in our consolidated statements of income reflected as a percentage of total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2"/>
                <w:szCs w:val="12"/>
                <w:color w:val="auto"/>
              </w:rPr>
            </w:pPr>
          </w:p>
        </w:tc>
        <w:tc>
          <w:tcPr>
            <w:tcW w:w="6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License</w:t>
            </w:r>
          </w:p>
        </w:tc>
        <w:tc>
          <w:tcPr>
            <w:tcW w:w="2340" w:type="dxa"/>
            <w:vAlign w:val="bottom"/>
            <w:gridSpan w:val="3"/>
          </w:tcPr>
          <w:p>
            <w:pPr>
              <w:jc w:val="right"/>
              <w:ind w:right="508"/>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6.2%</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4.0%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95.7</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93.8</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96.0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340" w:type="dxa"/>
            <w:vAlign w:val="bottom"/>
            <w:gridSpan w:val="3"/>
          </w:tcPr>
          <w:p>
            <w:pPr>
              <w:jc w:val="right"/>
              <w:ind w:right="668"/>
              <w:spacing w:after="0"/>
              <w:rPr>
                <w:sz w:val="20"/>
                <w:szCs w:val="20"/>
                <w:color w:val="auto"/>
              </w:rPr>
            </w:pPr>
            <w:r>
              <w:rPr>
                <w:rFonts w:ascii="Arial" w:cs="Arial" w:eastAsia="Arial" w:hAnsi="Arial"/>
                <w:sz w:val="18"/>
                <w:szCs w:val="18"/>
                <w:color w:val="auto"/>
              </w:rPr>
              <w:t>0.1</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64.4</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63.0</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63.9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3"/>
          </w:tcPr>
          <w:p>
            <w:pPr>
              <w:jc w:val="right"/>
              <w:ind w:right="668"/>
              <w:spacing w:after="0"/>
              <w:rPr>
                <w:sz w:val="20"/>
                <w:szCs w:val="20"/>
                <w:color w:val="auto"/>
              </w:rPr>
            </w:pPr>
            <w:r>
              <w:rPr>
                <w:rFonts w:ascii="Arial" w:cs="Arial" w:eastAsia="Arial" w:hAnsi="Arial"/>
                <w:sz w:val="18"/>
                <w:szCs w:val="18"/>
                <w:color w:val="auto"/>
              </w:rPr>
              <w:t>6.8</w:t>
            </w: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7.2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12.8</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13.3</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12.9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340" w:type="dxa"/>
            <w:vAlign w:val="bottom"/>
            <w:gridSpan w:val="3"/>
          </w:tcPr>
          <w:p>
            <w:pPr>
              <w:jc w:val="right"/>
              <w:ind w:right="668"/>
              <w:spacing w:after="0"/>
              <w:rPr>
                <w:sz w:val="20"/>
                <w:szCs w:val="20"/>
                <w:color w:val="auto"/>
              </w:rPr>
            </w:pPr>
            <w:r>
              <w:rPr>
                <w:rFonts w:ascii="Arial" w:cs="Arial" w:eastAsia="Arial" w:hAnsi="Arial"/>
                <w:sz w:val="18"/>
                <w:szCs w:val="18"/>
                <w:color w:val="auto"/>
              </w:rPr>
              <w:t>2.8</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2.8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Restructuring charges, in-process research and development and other</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7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7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7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12.9</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12.9</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13.0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920" w:type="dxa"/>
            <w:vAlign w:val="bottom"/>
          </w:tcPr>
          <w:p>
            <w:pPr>
              <w:spacing w:after="0"/>
              <w:rPr>
                <w:sz w:val="18"/>
                <w:szCs w:val="18"/>
                <w:color w:val="auto"/>
              </w:rPr>
            </w:pPr>
          </w:p>
        </w:tc>
        <w:tc>
          <w:tcPr>
            <w:tcW w:w="1420" w:type="dxa"/>
            <w:vAlign w:val="bottom"/>
            <w:gridSpan w:val="2"/>
          </w:tcPr>
          <w:p>
            <w:pPr>
              <w:jc w:val="right"/>
              <w:ind w:right="668"/>
              <w:spacing w:after="0"/>
              <w:rPr>
                <w:sz w:val="20"/>
                <w:szCs w:val="20"/>
                <w:color w:val="auto"/>
              </w:rPr>
            </w:pPr>
            <w:r>
              <w:rPr>
                <w:rFonts w:ascii="Arial" w:cs="Arial" w:eastAsia="Arial" w:hAnsi="Arial"/>
                <w:sz w:val="18"/>
                <w:szCs w:val="18"/>
                <w:color w:val="auto"/>
              </w:rPr>
              <w:t>0.8</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13.7</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14.9</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14.0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18"/>
                <w:szCs w:val="18"/>
                <w:color w:val="auto"/>
              </w:rPr>
            </w:pPr>
          </w:p>
        </w:tc>
        <w:tc>
          <w:tcPr>
            <w:tcW w:w="1420" w:type="dxa"/>
            <w:vAlign w:val="bottom"/>
            <w:gridSpan w:val="2"/>
          </w:tcPr>
          <w:p>
            <w:pPr>
              <w:jc w:val="right"/>
              <w:ind w:right="668"/>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vMerge w:val="restart"/>
          </w:tcPr>
          <w:p>
            <w:pPr>
              <w:jc w:val="right"/>
              <w:ind w:right="470"/>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Nine Months Ended June 30, 2008 and 2007</w:t>
      </w:r>
    </w:p>
    <w:p>
      <w:pPr>
        <w:spacing w:after="0" w:line="12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nine months ended June 30, 2008 compared to the nine months ended June 30, 2007.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Amount</w:t>
            </w:r>
          </w:p>
        </w:tc>
        <w:tc>
          <w:tcPr>
            <w:tcW w:w="6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License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93,570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113,091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(19,521)</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2,243,249</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1,996,393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246,856</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2,336,819</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2,109,484</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227,335</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3,045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(778)</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1,493,134</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1,330,776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162,358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168,240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174,929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(6,689)</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300,963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274,895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26,068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66,302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55,785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10,517</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in-process research and development and other</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(4,981)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2,032,686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1,846,191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186,495</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304,133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263,293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40,840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23,797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36,928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(13,131)</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300,221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27,709</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31,735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31,527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296,195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268,694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27,501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Total revenue increased by $227.3 million, or 10.8%, to $2,336.8 million in the nine months ended June 30, 2008, from $2,109.5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2007. The increase was primarily attributable to revenue from consolidation and transformation projects for Tier One customers as well as from revenue related to the expansion of our managed services activities.</w:t>
      </w:r>
    </w:p>
    <w:p>
      <w:pPr>
        <w:spacing w:after="0" w:line="73"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License revenue decreased by $19.5 million, or 17.3%, to $93.6 million in the nine months ended June 30, 2008, from $113.1 million in the nine months ended June 30, 2007. The decrease was primarily due to timing of projects, as we completed some projects and others are expected to begin in the near future.</w:t>
      </w:r>
    </w:p>
    <w:p>
      <w:pPr>
        <w:spacing w:after="0" w:line="16"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License and service revenue attributable to the sale of Customer Experience Systems was $2,137.8 million in the nine months ended June 30, 2008, an increase of $241.0 million, or 12.7%, over the nine months ended June 30, 2007. The increase was primarily attributable to revenue from consolidation and transformation projects for Tier One customers as well as from revenue related to the expansion of our managed services activities. License and service revenue resulting from the sale of Customer Experience Systems represented 91.5% and 89.9% of our total revenue in the nine months ended June 30, 2008 and 2007,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ind w:firstLine="225"/>
        <w:spacing w:after="0" w:line="259" w:lineRule="auto"/>
        <w:rPr>
          <w:sz w:val="20"/>
          <w:szCs w:val="20"/>
          <w:color w:val="auto"/>
        </w:rPr>
      </w:pPr>
      <w:r>
        <w:rPr>
          <w:rFonts w:ascii="Arial" w:cs="Arial" w:eastAsia="Arial" w:hAnsi="Arial"/>
          <w:sz w:val="18"/>
          <w:szCs w:val="18"/>
          <w:color w:val="auto"/>
        </w:rPr>
        <w:t>License and service revenue from the sale of Directory Systems was $199.0 million in the nine months ended June 30, 2008, a decrease of $13.7 million, or 6.4%, as compared to the nine months ended June 30, 2007. License and service revenue from the sale of Directory Systems represented 8.5% and 10.1% of our total revenue in the nine months ended June 30, 2008 and 2007, respectively. We believe that we are a leading provider of Directory Systems in most of the markets we serve.</w:t>
      </w:r>
    </w:p>
    <w:p>
      <w:pPr>
        <w:spacing w:after="0" w:line="7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In the nine months ended June 30, 2008, revenue from customers in North America, Europe and the rest of the world accounted for 69.0%,17.0% and 14.0%, respectively, of total revenue compared to 66.4%, 22.6% and 11.0%, respectively, in the nine months ended June 30, 2007. The decrease in the percentage of revenue contributed from customers in Europe was attributable primarily to completion of projects. The increase in the percentage of revenue contributed from customers in the rest of the world in the nine months ended June 30, 2008 was attributable primarily to revenue contributed in Asia Pacific as well as to customers in emerging markets.</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mainly includes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The increase in cost of license and service in the nine months ended June 30, 2008 was $161.6 million or 12.1%, which is higher than the increase in our total revenue in the nine months ended June 30, 2008. As a percentage of revenue, cost of license and service was 64.0% in the nine months ended June 30, 2008, compared to 63.2% in the nine months ended</w:t>
      </w:r>
    </w:p>
    <w:p>
      <w:pPr>
        <w:spacing w:after="0" w:line="2"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June 30, 2007. Our cost of service in the nine months ended June 30, 2008 increased as a result of expansion of our Managed Services activities, partially offset by cost savings resulting from our expansion into lower cost jurisdictions and increased efficiencies in our overall operations. Margins from Managed Services tend to improve over time as we realize synergies, create cost efficiencies and improve business processes.</w:t>
      </w:r>
    </w:p>
    <w:p>
      <w:pPr>
        <w:spacing w:after="0" w:line="65"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$6.7 million, or 3.8%, in the nine months ended June 30, 2008 to $168.2 million from $174.9 million in the nine months ended June 30, 2007. Research and development expense decreased as a percentage of revenue from 8.3% in the nine months ended June 30, 2007 to 7.2% in the nine months ended June 30, 2008. We believe that our research and development efforts are a key element of our strategy and are essential to our success and we intend to maintain our level of commitment to research and development. The decrease in research and development expense was attributable to increased efficiency as well as to changes in the geographical mix of our research and development resources. An increase or a decrease in our total revenue would not necessarily result in a proportional increase or decrease in the levels of our research and development expenditures, which could affect our operating margin.</w:t>
      </w:r>
    </w:p>
    <w:p>
      <w:pPr>
        <w:spacing w:after="0" w:line="59"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expense increased by $26.1 million, or 9.5%, in the nine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to $301.0 million, from $274.9 million in the nine months ended June 30, 2007. Selling, general and administrative expense is primarily comprised of compensation expense. The increase in selling, general and administrative expense was attributable to an overall increase in our operations.</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in the nine months ended June 30, 2008 was $66.3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$55.8 million in the nine months ended June 30, 2007. The increase in amortization of purchased intangible assets was primarily attributable to purchased intangible assets acquired in our fiscal 2006 and 2007 acquisitions.</w:t>
      </w:r>
    </w:p>
    <w:p>
      <w:pPr>
        <w:spacing w:after="0" w:line="7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b w:val="1"/>
          <w:bCs w:val="1"/>
          <w:i w:val="1"/>
          <w:iCs w:val="1"/>
          <w:color w:val="auto"/>
        </w:rPr>
        <w:t xml:space="preserve">Restructuring Charges and In-process Research and Development and Other. </w:t>
      </w:r>
      <w:r>
        <w:rPr>
          <w:rFonts w:ascii="Arial" w:cs="Arial" w:eastAsia="Arial" w:hAnsi="Arial"/>
          <w:sz w:val="16"/>
          <w:szCs w:val="16"/>
          <w:color w:val="auto"/>
        </w:rPr>
        <w:t>Restructuring charges, in-process research and development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$5.0 million, or 73.7%, in the nine months ended June 30, 2008 to $1.8 million, from $6.8 million in the nine months ended June 30, 2007. Restructuring charges, in-process research and development and other in the nine months ended June 30, 2008 consisted of a charge $1.8 million for the write-off of purchased in-process research and development related to an immaterial acquisition during fiscal 2008. Restructuring charges, in-process research and development and other in the nine months ended June 30, 2007 consisted of a $6.0 million restructuring charge related to our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300"/>
        <w:spacing w:after="0" w:line="277" w:lineRule="auto"/>
        <w:rPr>
          <w:sz w:val="20"/>
          <w:szCs w:val="20"/>
          <w:color w:val="auto"/>
        </w:rPr>
      </w:pPr>
      <w:r>
        <w:rPr>
          <w:rFonts w:ascii="Arial" w:cs="Arial" w:eastAsia="Arial" w:hAnsi="Arial"/>
          <w:sz w:val="18"/>
          <w:szCs w:val="18"/>
          <w:color w:val="auto"/>
        </w:rPr>
        <w:t>restructuring plan in the second quarter of fiscal 2007, and a net charge of $0.8 million for the write-off of purchased in-process research and development and other related to our fiscal 2007 acquisition.</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$40.8 million, or 15.5%, in the nine months ended June 30, 2008, to $304.1 million, or 13.0%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$263.3 million, or 12.5% of revenue, in the nine months ended June 30, 2007. The increase in operating income as a percentage of revenue was attributable to the 10.8% increase in revenue compared to the 10.1% increase in operating expense that we experienced during the nine months ended June 30, 2008.</w:t>
      </w:r>
    </w:p>
    <w:p>
      <w:pPr>
        <w:spacing w:after="0" w:line="79"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b w:val="1"/>
          <w:bCs w:val="1"/>
          <w:i w:val="1"/>
          <w:iCs w:val="1"/>
          <w:color w:val="auto"/>
        </w:rPr>
        <w:t>Interest Income and Other, Net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income and other, net decreased by $13.1 million in the nine months ended June 30, 2008, to $23.8 million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$36.9 million in the nine months ended June 30, 2007. The decrease in interest income and other, net, is primarily attributable to the impact of foreign exchange losses, and to lower income on our short-term interest-bearing investments due to current market conditions.</w:t>
      </w:r>
    </w:p>
    <w:p>
      <w:pPr>
        <w:spacing w:after="0" w:line="5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nine months ended June 30, 2008 were $31.7 million on pretax income of $327.9 million, resulting in an effective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of 9.7% compared to 10.5% in the nine months ended June 30, 2007. Of the decrease in our effective tax rate, approximately 1.7% was attributable to the changes in our tax reserves, approximately 2.8% was attributable to adjustments made during the three months ended June 30, 2007 to deferred tax liabilities related to two fiscal 2006 acquisitions, and approximately 2.3% was attributable to a tax benefit resulting from a lapse of statute of limitations, partially offset by increases of approximately 5.2% attributable to changes in the valuation allowances and approximately 1.2% attributable to the effect of acquisition-related costs (which include amortization of purchased intangible assets, and in-process research and development and other), restructuring charges and equity-based compensation expense, and the remaining difference was primarily attributable to a decrease in our effective tax rate attributable to the geographical distribution of earnings from global operations. We expect that our effective tax rate for fiscal year 2008 will be between 9% and 12% on an annualized basis, compared to 10.6% in fiscal year 2007. Our effective tax rate may fluctuate between quarters as a result of discrete items that may affect a specific quarter. Please see note 6 to our consolidated financial statements.</w:t>
      </w:r>
    </w:p>
    <w:p>
      <w:pPr>
        <w:spacing w:after="0" w:line="7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$296.2 million in the nine months ended June 30, 2008, compared to net income of $268.7 million in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2007. The increase in net income was attributable to the increase in our operating income and to the decrease of our effective tax rate, offset by the decrease in interest income and other, net.</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increased by $0.14, or 11.5%, to $1.36 in the nine months ended June 30, 2008, from $1.22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2007. The increase in diluted earnings per share resulted from the increase in net income and a reduction in the number of ordinary shares outstanding resulting from repurchases made under our share repurchase program.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Three Months Ended June 30, 2008 and 2007</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2008 compared to the three months ended June 30, 2007.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89"/>
              </w:rPr>
              <w:t>Increase (Decrease)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License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35,244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43,821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(8,577)</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785,044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668,270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116,774</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820,288</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712,091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108,197</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960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528,437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448,795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79,642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56,137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56,727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104,632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10,187</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22,796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19,175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3,621</w:t>
            </w:r>
          </w:p>
        </w:tc>
        <w:tc>
          <w:tcPr>
            <w:tcW w:w="2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Restructuring charges, in-process research and development and 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714,337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620,102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94,235</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105,951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91,989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13,962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6,159</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14,290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(8,131)</w:t>
            </w:r>
          </w:p>
        </w:tc>
        <w:tc>
          <w:tcPr>
            <w:tcW w:w="2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112,110</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106,279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11,438</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18,098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(6,660)</w:t>
            </w:r>
          </w:p>
        </w:tc>
        <w:tc>
          <w:tcPr>
            <w:tcW w:w="2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100,672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12,491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Total revenue increased by $108.2 million, or 15.2%, to $820.3 million in the three months ended June 30, 2008, from $712.1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2007. The increase was primarily attributable to revenue from consolidation and transformation projects for Tier One customers as well as from revenue related to the expansion of our managed services activities.</w:t>
      </w:r>
    </w:p>
    <w:p>
      <w:pPr>
        <w:spacing w:after="0" w:line="73"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License revenue decreased by $8.6 million, or 19.6%, to $35.2 million in the three months ended June 30, 2008, from $43.8 million in the three months ended June 30, 2007. The decrease was primarily due to timing of projects, as we completed some projects and others are expected to begin in the near future.</w:t>
      </w:r>
    </w:p>
    <w:p>
      <w:pPr>
        <w:spacing w:after="0" w:line="16"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License and service revenue attributable to the sale of Customer Experience Systems was $756.9 million in the three months ended June 30, 2008, an increase of $117.0 million, or 18.3%, over the three months ended June 30, 2007. The increase was primarily attributable to revenue from consolidation and transformation projects for Tier One customers as well as from revenue related to the expansion of our managed services activities. License and service revenue resulted from the sale of Customer Experience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Systems represented 92.3% and 89.9% of our total revenue in the three months ended June 30, 2008 and 2007, respectively.</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License and service revenue from the sale of Directory Systems was $63.4 million in the three months ended June 30, 2008, a decrease of $8.8 million, or 12.2%, as compared to the three months ended June 30, 2007. License and service revenue from the sale of Directory Systems represented 7.7% and 10.1% of our total revenue in the three months ended June 30, 2008 and 2007, respectively.</w:t>
      </w:r>
    </w:p>
    <w:p>
      <w:pPr>
        <w:spacing w:after="0" w:line="73"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the three months ended June 30, 2008, revenue from customers in North America, Europe and the rest of the world accounted for 69.5%, 16.2% and 14.3%, respectively, of total revenue compared to 64.1%, 22.7% and 13.2%, respectively, in the three months ended June 30, 2007. The decrease in the percentage of revenue contributed from customers in Europe was attributable primarily to completion of projects. The increase in the percentage of revenue contributed from customers in the rest of the world in the three months ended June 30, 2008 was attributable primarily to revenue contributed in Asia Pacific as well as to customers in emerging markets.</w:t>
      </w:r>
    </w:p>
    <w:p>
      <w:pPr>
        <w:spacing w:after="0" w:line="8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mainly includes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The increase in cost of license and service in the three months ended June 30, 2008 was $79.2 million or 17.6%, which is higher than the increase in our total revenue in the three months ended June 30, 2008. As a percentage of revenue, cost of license and service was 64.5% in the three months ended June 30, 2008, compared to 63.1% in the three months ended June 30, 2007. Our cost of service in the three months ended June 30, 2008 increased as a result of expansion of our Managed Services activities, partially offset by cost savings resulting from our expansion into lower cost jurisdictions and increased efficiencies in our overall operations. Margins from Managed Services tend to improve over time as we realize synergies, create cost efficiencies and improve business processes.</w:t>
      </w:r>
    </w:p>
    <w:p>
      <w:pPr>
        <w:spacing w:after="0" w:line="59" w:lineRule="exact"/>
        <w:rPr>
          <w:sz w:val="20"/>
          <w:szCs w:val="20"/>
          <w:color w:val="auto"/>
        </w:rPr>
      </w:pPr>
    </w:p>
    <w:p>
      <w:pPr>
        <w:ind w:right="280" w:firstLine="225"/>
        <w:spacing w:after="0" w:line="276" w:lineRule="auto"/>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 Research and development expense is primarily comprised of compensation expense. Research and development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by $0.6 million, or 1.0%, in the three months ended June 30, 2008 to $56.1 million from $56.7 million in the three months ended June 30, 2007. Research and development expense decreased as a percentage of revenue from 8.0% in the three months ended June 30, 2007 to 6.8% in the three months ended June 30, 2008. The decrease in research and development expense as a percentage of revenue was attributable to increased efficiency as well as to changes in the geographical mix of our research and development resources.</w:t>
      </w:r>
    </w:p>
    <w:p>
      <w:pPr>
        <w:spacing w:after="0" w:line="6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is primarily comprised of compensation expense.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in the three months ended June 30, 2008 was $10.2 million, or 10.8%, which is lower than the increase in our total revenue in the three months ended June 30, 2008.</w:t>
      </w:r>
    </w:p>
    <w:p>
      <w:pPr>
        <w:spacing w:after="0" w:line="7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w:t>
      </w:r>
      <w:r>
        <w:rPr>
          <w:rFonts w:ascii="Arial" w:cs="Arial" w:eastAsia="Arial" w:hAnsi="Arial"/>
          <w:sz w:val="18"/>
          <w:szCs w:val="18"/>
          <w:color w:val="auto"/>
        </w:rPr>
        <w:t>Amortization of purchased intangible assets in the three months ended June 30, 2008 was $22.8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$19.2 million in the three months ended June 30, 2007. The increase in amortization of purchased intangible assets was due to purchased intangible assets acquired in our fiscal 2006 and 2008 acquisitions.</w:t>
      </w:r>
    </w:p>
    <w:p>
      <w:pPr>
        <w:spacing w:after="0" w:line="7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In-process Research and Development and Other. </w:t>
      </w:r>
      <w:r>
        <w:rPr>
          <w:rFonts w:ascii="Arial" w:cs="Arial" w:eastAsia="Arial" w:hAnsi="Arial"/>
          <w:sz w:val="18"/>
          <w:szCs w:val="18"/>
          <w:color w:val="auto"/>
        </w:rPr>
        <w:t>Restructuring charges, in-process research and development and other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2008 consisted of a charge $1.8 million for the write-off of purchased in-process research and development related to an immaterial acquisition during fiscal 2008.</w:t>
      </w:r>
    </w:p>
    <w:p>
      <w:pPr>
        <w:spacing w:after="0" w:line="73"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$14.0 million, or 15.2%, in the three months ended June 30, 2008, to $106.0 million, or 12.9%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$92.0 million, or 12.9% of revenue, in the three months ended June 30, 2007.</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and Other, Net. </w:t>
      </w:r>
      <w:r>
        <w:rPr>
          <w:rFonts w:ascii="Arial" w:cs="Arial" w:eastAsia="Arial" w:hAnsi="Arial"/>
          <w:sz w:val="18"/>
          <w:szCs w:val="18"/>
          <w:color w:val="auto"/>
        </w:rPr>
        <w:t>Interest income and other, net decreased by $8.1 million in the three months ended June 30, 2008 to $6.2 million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$14.3 million in the three months ended June 30, 2007.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t>decrease in interest income and other, net, is primarily attributable to the impact of foreign exchange losses and to lower income on our short-term interest-bearing investments due to current market conditions.</w:t>
      </w:r>
    </w:p>
    <w:p>
      <w:pPr>
        <w:spacing w:after="0" w:line="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2008 were $11.4 million on pretax income of $112.1 million, resulting in an effective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of 10.2% compared to 17.0% in the three months ended June 30, 2007. Of the decrease in our effective tax rate, approximately 15.7% was attributable to the changes in our tax reserves, approximately 8.5% was attributable to adjustments made during the three months ended June 30, 2007 to deferred tax liabilities related to two fiscal 2006 acquisitions, and approximately 7.0% was attributable to a tax benefit resulting from a lapse of statute of limitations, partially offset by increase of approximately 19.1% attributable to changes in the valuation allowances and approximately 1.0% attributable to the effect of acquisition-related costs (which include amortization of purchased intangible assets, and in-process research and development and other) and equity-based compensation expense, and the remaining difference was primarily attributable to an increase in our effective tax rate attributable to the geographical distribution of earnings from global operations. We expect that our effective tax rate for fiscal year 2008 will be between 9% and 12% on an annualized basis, compared to 10.6% in fiscal year 2007. Our effective tax rate may fluctuate between quarters as a result of discrete items that may affect a specific quarter. Please see note 6 to our consolidated financial statements.</w:t>
      </w:r>
    </w:p>
    <w:p>
      <w:pPr>
        <w:spacing w:after="0" w:line="7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$100.7 million in the three months ended June 30, 2008, compared to net income of $88.2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2007. The increase in net income was attributable to the increase in our operating income and to the decrease of our effective tax rate, offset by the decrease in interest income and other, net.</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$0.06, or 15%, to $0.46 in the three months ended June 30, 2008, from $0.40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2007. The increase in diluted earnings per share resulted primarily from the increase in net income and a reduction in the number of ordinary shares outstanding resulting from repurchases made under our share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firstLine="225"/>
        <w:spacing w:after="0" w:line="276" w:lineRule="auto"/>
        <w:rPr>
          <w:sz w:val="20"/>
          <w:szCs w:val="20"/>
          <w:color w:val="auto"/>
        </w:rPr>
      </w:pPr>
      <w:r>
        <w:rPr>
          <w:rFonts w:ascii="Arial" w:cs="Arial" w:eastAsia="Arial" w:hAnsi="Arial"/>
          <w:sz w:val="17"/>
          <w:szCs w:val="17"/>
          <w:color w:val="auto"/>
        </w:rPr>
        <w:t>Cash, cash equivalents and short-term interest-bearing investments totaled $1,180.4 million as of June 30, 2008, compared to $1,179.3 million as of September 30, 2007. The increase is mainly attributable to $305.5 million in positive cash flows from operations and to $33.6 million in proceeds from the exercise of employee stock options partially offset by $172.3 million used to repurchase ordinary shares pursuant to our share repurchase program, $101.5 million of capital expenditures and $57.0 million in net cash paid for acquisitions. Net cash provided by operating activities amounted to $305.5 million and $316.8 million for the nine months ended June 30, 2008 and 2007, respectively.</w:t>
      </w:r>
    </w:p>
    <w:p>
      <w:pPr>
        <w:spacing w:after="0" w:line="64"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Our policy is to retain substantial cash balances in order to support the growth of the Company. We believe that our current cash balances, cash generated from operations and our current lines of credit will provide sufficient resources to meet our operational needs for at least the next fiscal year.</w:t>
      </w:r>
    </w:p>
    <w:p>
      <w:pPr>
        <w:spacing w:after="0" w:line="16"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Our short-term interest-bearing investments are classified as available-for-sale securities. Unrealized gains or losses are reported as a separate component of accumulated other comprehensive income, net of tax. Such short-term interest-bearing investments consist primarily of commercial paper, certificates of deposit, U.S. government treasuries, U.S. agency securities, corporate bonds, asset backed obligations and mortgages, which are stated at fair value. The estimated fair values of the investments are based on quoted market prices and on observable market inputs as of the end of the reporting period. We generally have conservative investment policy guidelines and, consistent with these guidelines, we purchase only AAA asset-backed obligations and mortgages. We review various factors in determining whether we should recognize an impairment charge for our short-term interest-bearing investments, including the length of time and extent to which the fair value has been less than our cost basis, the credit ratings of the securities, the financial condition and near-term prospects of the issuers and our intent and ability to hold the investment for a period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of time sufficient to allow for any anticipated recovery in market value. Based on our considerations of these factors the other-than-temporary impairment on our short-term interest-bearing investments was immaterial during the first nine months of fiscal 2008 and fiscal 2007.</w:t>
      </w:r>
    </w:p>
    <w:p>
      <w:pPr>
        <w:spacing w:after="0" w:line="62" w:lineRule="exact"/>
        <w:rPr>
          <w:sz w:val="20"/>
          <w:szCs w:val="20"/>
          <w:color w:val="auto"/>
        </w:rPr>
      </w:pPr>
    </w:p>
    <w:p>
      <w:pPr>
        <w:ind w:right="40" w:firstLine="215"/>
        <w:spacing w:after="0" w:line="273" w:lineRule="auto"/>
        <w:rPr>
          <w:sz w:val="20"/>
          <w:szCs w:val="20"/>
          <w:color w:val="auto"/>
        </w:rPr>
      </w:pPr>
      <w:r>
        <w:rPr>
          <w:rFonts w:ascii="Arial" w:cs="Arial" w:eastAsia="Arial" w:hAnsi="Arial"/>
          <w:sz w:val="17"/>
          <w:szCs w:val="17"/>
          <w:color w:val="auto"/>
        </w:rPr>
        <w:t>As of June 30, 2008, $450 million aggregate principal amount of our 0.50% Convertible Senior Notes due 2024 was outstanding. The notes are subject to repurchase, at the holders’ option, on March 15, 2009, 2014 and 2019. As of June 30, 2008, we had available an unsecured $500 million five-year revolving credit facility, none of which was outstanding, and which we may use for general corporate purposes, including acquisitions and repurchases of our ordinary shares that we may consider from time to time. As of June 30, 2008, we also had a $0.9 million short-term general revolving line of credit, none of which was outstanding. In addition, we had outstanding letters of credit and bank guarantees from various banks totaling $6.9 million. As of June 30, 2008, we had outstanding short-term loans totalling $2.0 million secured by specified pledges and guaranties.</w:t>
      </w:r>
    </w:p>
    <w:p>
      <w:pPr>
        <w:spacing w:after="0" w:line="70" w:lineRule="exact"/>
        <w:rPr>
          <w:sz w:val="20"/>
          <w:szCs w:val="20"/>
          <w:color w:val="auto"/>
        </w:rPr>
      </w:pPr>
    </w:p>
    <w:p>
      <w:pPr>
        <w:jc w:val="both"/>
        <w:ind w:right="140" w:firstLine="222"/>
        <w:spacing w:after="0" w:line="286" w:lineRule="auto"/>
        <w:rPr>
          <w:sz w:val="20"/>
          <w:szCs w:val="20"/>
          <w:color w:val="auto"/>
        </w:rPr>
      </w:pPr>
      <w:r>
        <w:rPr>
          <w:rFonts w:ascii="Arial" w:cs="Arial" w:eastAsia="Arial" w:hAnsi="Arial"/>
          <w:sz w:val="17"/>
          <w:szCs w:val="17"/>
          <w:color w:val="auto"/>
        </w:rPr>
        <w:t>We have contractual obligations for our convertible notes, financing arrangements, non-cancelable operating leases and purchase obligations summarized in the tabular disclosure of contractual obligations in our Annual Report on Form 20-F for fiscal year ended September 30, 2007. Since September 30, 2007, there have been no material changes in our contractual obligations other than in the ordinary course of our business.</w:t>
      </w:r>
    </w:p>
    <w:p>
      <w:pPr>
        <w:spacing w:after="0" w:line="57"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Our capital expenditures were approximately $101.5 million in the nine months ended June 30, 2008. Approximately 80% of these expenditures consisted of purchases of computer equipment, and the remainder primarily to leasehold improvements. The capital expenditures in the nine months ended June 30, 2008 were mainly attributable to invetsments in our operating facilities and our development centers around the world. We fund our capital expenditures principally from operating cash flows. We do not anticipate any changes to this policy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Fluctuations</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79"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During the three and nine months ended June 30, 2008 and 2007, approximately 70%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and options.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July 23, 2008, our Board of Directors elected Mr. Zohar Zisapel as a director of Amdocs to fill a vacancy on the Board.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quarter ended June 30, 2008 of equity securities that are registered by us pursuant to Section 12 of the Exchange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Ordinary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32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Purchased</w:t>
            </w:r>
          </w:p>
        </w:tc>
        <w:tc>
          <w:tcPr>
            <w:tcW w:w="3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 per Share (2)</w:t>
            </w:r>
          </w:p>
        </w:tc>
        <w:tc>
          <w:tcPr>
            <w:tcW w:w="32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34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Plans or Programs(1)</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6/1/08-6/30/08</w:t>
            </w:r>
          </w:p>
        </w:tc>
        <w:tc>
          <w:tcPr>
            <w:tcW w:w="320" w:type="dxa"/>
            <w:vAlign w:val="bottom"/>
          </w:tcPr>
          <w:p>
            <w:pPr>
              <w:spacing w:after="0"/>
              <w:rPr>
                <w:sz w:val="18"/>
                <w:szCs w:val="18"/>
                <w:color w:val="auto"/>
              </w:rPr>
            </w:pPr>
          </w:p>
        </w:tc>
        <w:tc>
          <w:tcPr>
            <w:tcW w:w="1160" w:type="dxa"/>
            <w:vAlign w:val="bottom"/>
            <w:gridSpan w:val="2"/>
          </w:tcPr>
          <w:p>
            <w:pPr>
              <w:jc w:val="center"/>
              <w:ind w:left="359"/>
              <w:spacing w:after="0"/>
              <w:rPr>
                <w:sz w:val="20"/>
                <w:szCs w:val="20"/>
                <w:color w:val="auto"/>
              </w:rPr>
            </w:pPr>
            <w:r>
              <w:rPr>
                <w:rFonts w:ascii="Arial" w:cs="Arial" w:eastAsia="Arial" w:hAnsi="Arial"/>
                <w:sz w:val="18"/>
                <w:szCs w:val="18"/>
                <w:color w:val="auto"/>
                <w:w w:val="89"/>
              </w:rPr>
              <w:t>1,562,184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384"/>
              <w:spacing w:after="0"/>
              <w:rPr>
                <w:sz w:val="20"/>
                <w:szCs w:val="20"/>
                <w:color w:val="auto"/>
              </w:rPr>
            </w:pPr>
            <w:r>
              <w:rPr>
                <w:rFonts w:ascii="Arial" w:cs="Arial" w:eastAsia="Arial" w:hAnsi="Arial"/>
                <w:sz w:val="18"/>
                <w:szCs w:val="18"/>
                <w:color w:val="auto"/>
              </w:rPr>
              <w:t>$31.92</w:t>
            </w:r>
          </w:p>
        </w:tc>
        <w:tc>
          <w:tcPr>
            <w:tcW w:w="320" w:type="dxa"/>
            <w:vAlign w:val="bottom"/>
          </w:tcPr>
          <w:p>
            <w:pPr>
              <w:spacing w:after="0"/>
              <w:rPr>
                <w:sz w:val="18"/>
                <w:szCs w:val="18"/>
                <w:color w:val="auto"/>
              </w:rPr>
            </w:pPr>
          </w:p>
        </w:tc>
        <w:tc>
          <w:tcPr>
            <w:tcW w:w="1640" w:type="dxa"/>
            <w:vAlign w:val="bottom"/>
            <w:gridSpan w:val="3"/>
          </w:tcPr>
          <w:p>
            <w:pPr>
              <w:ind w:left="460"/>
              <w:spacing w:after="0"/>
              <w:rPr>
                <w:sz w:val="20"/>
                <w:szCs w:val="20"/>
                <w:color w:val="auto"/>
              </w:rPr>
            </w:pPr>
            <w:r>
              <w:rPr>
                <w:rFonts w:ascii="Arial" w:cs="Arial" w:eastAsia="Arial" w:hAnsi="Arial"/>
                <w:sz w:val="18"/>
                <w:szCs w:val="18"/>
                <w:color w:val="auto"/>
              </w:rPr>
              <w:t>1,562,184</w:t>
            </w:r>
          </w:p>
        </w:tc>
        <w:tc>
          <w:tcPr>
            <w:tcW w:w="340" w:type="dxa"/>
            <w:vAlign w:val="bottom"/>
          </w:tcPr>
          <w:p>
            <w:pPr>
              <w:spacing w:after="0"/>
              <w:rPr>
                <w:sz w:val="18"/>
                <w:szCs w:val="18"/>
                <w:color w:val="auto"/>
              </w:rPr>
            </w:pPr>
          </w:p>
        </w:tc>
        <w:tc>
          <w:tcPr>
            <w:tcW w:w="2220" w:type="dxa"/>
            <w:vAlign w:val="bottom"/>
          </w:tcPr>
          <w:p>
            <w:pPr>
              <w:jc w:val="right"/>
              <w:ind w:right="585"/>
              <w:spacing w:after="0"/>
              <w:rPr>
                <w:sz w:val="20"/>
                <w:szCs w:val="20"/>
                <w:color w:val="auto"/>
              </w:rPr>
            </w:pPr>
            <w:r>
              <w:rPr>
                <w:rFonts w:ascii="Arial" w:cs="Arial" w:eastAsia="Arial" w:hAnsi="Arial"/>
                <w:sz w:val="18"/>
                <w:szCs w:val="18"/>
                <w:color w:val="auto"/>
              </w:rPr>
              <w:t>$177,959,939</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1,562,184</w:t>
            </w:r>
          </w:p>
        </w:tc>
        <w:tc>
          <w:tcPr>
            <w:tcW w:w="420" w:type="dxa"/>
            <w:vAlign w:val="bottom"/>
          </w:tcPr>
          <w:p>
            <w:pPr>
              <w:spacing w:after="0"/>
              <w:rPr>
                <w:sz w:val="19"/>
                <w:szCs w:val="19"/>
                <w:color w:val="auto"/>
              </w:rPr>
            </w:pPr>
          </w:p>
        </w:tc>
        <w:tc>
          <w:tcPr>
            <w:tcW w:w="1660" w:type="dxa"/>
            <w:vAlign w:val="bottom"/>
            <w:gridSpan w:val="2"/>
          </w:tcPr>
          <w:p>
            <w:pPr>
              <w:jc w:val="right"/>
              <w:ind w:right="384"/>
              <w:spacing w:after="0"/>
              <w:rPr>
                <w:sz w:val="20"/>
                <w:szCs w:val="20"/>
                <w:color w:val="auto"/>
              </w:rPr>
            </w:pPr>
            <w:r>
              <w:rPr>
                <w:rFonts w:ascii="Arial" w:cs="Arial" w:eastAsia="Arial" w:hAnsi="Arial"/>
                <w:sz w:val="18"/>
                <w:szCs w:val="18"/>
                <w:color w:val="auto"/>
              </w:rPr>
              <w:t>$31.92</w:t>
            </w:r>
          </w:p>
        </w:tc>
        <w:tc>
          <w:tcPr>
            <w:tcW w:w="78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1,562,184</w:t>
            </w:r>
          </w:p>
        </w:tc>
        <w:tc>
          <w:tcPr>
            <w:tcW w:w="460" w:type="dxa"/>
            <w:vAlign w:val="bottom"/>
          </w:tcPr>
          <w:p>
            <w:pPr>
              <w:spacing w:after="0"/>
              <w:rPr>
                <w:sz w:val="19"/>
                <w:szCs w:val="19"/>
                <w:color w:val="auto"/>
              </w:rPr>
            </w:pPr>
          </w:p>
        </w:tc>
        <w:tc>
          <w:tcPr>
            <w:tcW w:w="2560" w:type="dxa"/>
            <w:vAlign w:val="bottom"/>
            <w:gridSpan w:val="2"/>
          </w:tcPr>
          <w:p>
            <w:pPr>
              <w:jc w:val="right"/>
              <w:ind w:right="585"/>
              <w:spacing w:after="0"/>
              <w:rPr>
                <w:sz w:val="20"/>
                <w:szCs w:val="20"/>
                <w:color w:val="auto"/>
              </w:rPr>
            </w:pPr>
            <w:r>
              <w:rPr>
                <w:rFonts w:ascii="Arial" w:cs="Arial" w:eastAsia="Arial" w:hAnsi="Arial"/>
                <w:sz w:val="18"/>
                <w:szCs w:val="18"/>
                <w:color w:val="auto"/>
              </w:rPr>
              <w:t>$177,959,939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average price per share excludes broker and transaction fees.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6-K</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Company furnished or filed the following reports on Form 6-K during the three months ended June 30, 2008:</w:t>
      </w:r>
    </w:p>
    <w:p>
      <w:pPr>
        <w:spacing w:after="0" w:line="140" w:lineRule="exact"/>
        <w:rPr>
          <w:rFonts w:ascii="Arial" w:cs="Arial" w:eastAsia="Arial" w:hAnsi="Arial"/>
          <w:sz w:val="18"/>
          <w:szCs w:val="18"/>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May 6, 2008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April 22, 2008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April 18, 2008</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2008</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endash "/>
      <w:numFmt w:val="bullet"/>
      <w:start w:val="1"/>
    </w:lvl>
  </w:abstractNum>
  <w:abstractNum w:abstractNumId="4">
    <w:nsid w:val="2EB141F2"/>
    <w:multiLevelType w:val="hybridMultilevel"/>
    <w:lvl w:ilvl="0">
      <w:lvlJc w:val="left"/>
      <w:lvlText w:val="\endash "/>
      <w:numFmt w:val="bullet"/>
      <w:start w:val="1"/>
    </w:lvl>
    <w:lvl w:ilvl="1">
      <w:lvlJc w:val="left"/>
      <w:lvlText w:val="\endash "/>
      <w:numFmt w:val="bullet"/>
      <w:start w:val="1"/>
    </w:lvl>
  </w:abstractNum>
  <w:abstractNum w:abstractNumId="5">
    <w:nsid w:val="41B71EFB"/>
    <w:multiLevelType w:val="hybridMultilevel"/>
    <w:lvl w:ilvl="0">
      <w:lvlJc w:val="left"/>
      <w:lvlText w:val="\endash "/>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2019-12-14T20:54:07Z</dcterms:created>
  <dcterms:modified xsi:type="dcterms:W3CDTF">2019-12-14T20:54:07Z</dcterms:modified>
</cp:coreProperties>
</file>