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Quarter Ended June 30, 2022</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625 Maryville Centre Drive, Suite 200 Saint Louis, Missouri 63141</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20"/>
        <w:spacing w:after="0" w:line="207" w:lineRule="exact"/>
        <w:tabs>
          <w:tab w:leader="none" w:pos="5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80"/>
          </w:cols>
          <w:pgMar w:left="320" w:top="230"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20" w:type="dxa"/>
            <w:vAlign w:val="bottom"/>
            <w:gridSpan w:val="18"/>
          </w:tcPr>
          <w:p>
            <w:pPr>
              <w:spacing w:after="0"/>
              <w:rPr>
                <w:sz w:val="20"/>
                <w:szCs w:val="20"/>
                <w:color w:val="auto"/>
              </w:rPr>
            </w:pPr>
            <w:r>
              <w:rPr>
                <w:rFonts w:ascii="Arial" w:cs="Arial" w:eastAsia="Arial" w:hAnsi="Arial"/>
                <w:sz w:val="18"/>
                <w:szCs w:val="18"/>
                <w:b w:val="1"/>
                <w:bCs w:val="1"/>
                <w:color w:val="0000EE"/>
              </w:rPr>
              <w:t>Table of Contents</w:t>
            </w:r>
          </w:p>
        </w:tc>
        <w:tc>
          <w:tcPr>
            <w:tcW w:w="19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4"/>
          </w:tcPr>
          <w:p>
            <w:pPr>
              <w:jc w:val="center"/>
              <w:ind w:right="2420"/>
              <w:spacing w:after="0"/>
              <w:rPr>
                <w:sz w:val="20"/>
                <w:szCs w:val="20"/>
                <w:color w:val="auto"/>
              </w:rPr>
            </w:pPr>
            <w:r>
              <w:rPr>
                <w:rFonts w:ascii="Arial" w:cs="Arial" w:eastAsia="Arial" w:hAnsi="Arial"/>
                <w:sz w:val="18"/>
                <w:szCs w:val="18"/>
                <w:color w:val="auto"/>
              </w:rPr>
              <w:t>AMDOCS LIMITED</w:t>
            </w:r>
          </w:p>
        </w:tc>
        <w:tc>
          <w:tcPr>
            <w:tcW w:w="19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2"/>
          </w:tcPr>
          <w:p>
            <w:pPr>
              <w:jc w:val="center"/>
              <w:ind w:right="3020"/>
              <w:spacing w:after="0"/>
              <w:rPr>
                <w:sz w:val="20"/>
                <w:szCs w:val="20"/>
                <w:color w:val="auto"/>
              </w:rPr>
            </w:pPr>
            <w:r>
              <w:rPr>
                <w:rFonts w:ascii="Arial" w:cs="Arial" w:eastAsia="Arial" w:hAnsi="Arial"/>
                <w:sz w:val="18"/>
                <w:szCs w:val="18"/>
                <w:color w:val="auto"/>
                <w:w w:val="97"/>
              </w:rPr>
              <w:t>FORM 6-K</w:t>
            </w:r>
          </w:p>
        </w:tc>
        <w:tc>
          <w:tcPr>
            <w:tcW w:w="19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60" w:type="dxa"/>
            <w:vAlign w:val="bottom"/>
            <w:gridSpan w:val="8"/>
          </w:tcPr>
          <w:p>
            <w:pPr>
              <w:jc w:val="center"/>
              <w:ind w:right="1640"/>
              <w:spacing w:after="0"/>
              <w:rPr>
                <w:sz w:val="20"/>
                <w:szCs w:val="20"/>
                <w:color w:val="auto"/>
              </w:rPr>
            </w:pPr>
            <w:r>
              <w:rPr>
                <w:rFonts w:ascii="Arial" w:cs="Arial" w:eastAsia="Arial" w:hAnsi="Arial"/>
                <w:sz w:val="18"/>
                <w:szCs w:val="18"/>
                <w:color w:val="auto"/>
                <w:w w:val="92"/>
              </w:rPr>
              <w:t>REPORT OF FOREIGN PRIVATE ISSUER</w:t>
            </w:r>
          </w:p>
        </w:tc>
        <w:tc>
          <w:tcPr>
            <w:tcW w:w="19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60" w:type="dxa"/>
            <w:vAlign w:val="bottom"/>
            <w:gridSpan w:val="8"/>
          </w:tcPr>
          <w:p>
            <w:pPr>
              <w:jc w:val="center"/>
              <w:ind w:right="1640"/>
              <w:spacing w:after="0"/>
              <w:rPr>
                <w:sz w:val="20"/>
                <w:szCs w:val="20"/>
                <w:color w:val="auto"/>
              </w:rPr>
            </w:pPr>
            <w:r>
              <w:rPr>
                <w:rFonts w:ascii="Arial" w:cs="Arial" w:eastAsia="Arial" w:hAnsi="Arial"/>
                <w:sz w:val="18"/>
                <w:szCs w:val="18"/>
                <w:color w:val="auto"/>
                <w:w w:val="93"/>
              </w:rPr>
              <w:t>FOR THE QUARTER ENDED JUNE 30, 2022</w:t>
            </w:r>
          </w:p>
        </w:tc>
        <w:tc>
          <w:tcPr>
            <w:tcW w:w="196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gridSpan w:val="2"/>
          </w:tcPr>
          <w:p>
            <w:pPr>
              <w:jc w:val="center"/>
              <w:ind w:right="3020"/>
              <w:spacing w:after="0"/>
              <w:rPr>
                <w:sz w:val="20"/>
                <w:szCs w:val="20"/>
                <w:color w:val="auto"/>
              </w:rPr>
            </w:pPr>
            <w:r>
              <w:rPr>
                <w:rFonts w:ascii="Arial" w:cs="Arial" w:eastAsia="Arial" w:hAnsi="Arial"/>
                <w:sz w:val="18"/>
                <w:szCs w:val="18"/>
                <w:color w:val="auto"/>
              </w:rPr>
              <w:t>INDEX</w:t>
            </w:r>
          </w:p>
        </w:tc>
        <w:tc>
          <w:tcPr>
            <w:tcW w:w="196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8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PART I FINANCIAL INFORMATION</w:t>
            </w:r>
          </w:p>
        </w:tc>
        <w:tc>
          <w:tcPr>
            <w:tcW w:w="616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Item 1. Financial Statements</w:t>
            </w:r>
          </w:p>
        </w:tc>
        <w:tc>
          <w:tcPr>
            <w:tcW w:w="6580" w:type="dxa"/>
            <w:vAlign w:val="bottom"/>
            <w:gridSpan w:val="1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80" w:type="dxa"/>
            <w:vAlign w:val="bottom"/>
            <w:gridSpan w:val="15"/>
          </w:tcPr>
          <w:p>
            <w:pPr>
              <w:spacing w:after="0" w:line="196" w:lineRule="exact"/>
              <w:rPr>
                <w:sz w:val="20"/>
                <w:szCs w:val="20"/>
                <w:color w:val="auto"/>
              </w:rPr>
            </w:pPr>
            <w:r>
              <w:rPr>
                <w:rFonts w:ascii="Arial" w:cs="Arial" w:eastAsia="Arial" w:hAnsi="Arial"/>
                <w:sz w:val="18"/>
                <w:szCs w:val="18"/>
                <w:color w:val="0000EE"/>
              </w:rPr>
              <w:t>Unaudited Consolidated Financial Statements</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5000" w:type="dxa"/>
            <w:vAlign w:val="bottom"/>
            <w:gridSpan w:val="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Consolidated Statements of Income</w:t>
            </w:r>
          </w:p>
        </w:tc>
        <w:tc>
          <w:tcPr>
            <w:tcW w:w="5360" w:type="dxa"/>
            <w:vAlign w:val="bottom"/>
            <w:gridSpan w:val="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Consolidated Statements of Comprehensive Income</w:t>
            </w:r>
          </w:p>
        </w:tc>
        <w:tc>
          <w:tcPr>
            <w:tcW w:w="418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rPr>
              <w:t>Consolidated Statements of Changes in Equity</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4580" w:type="dxa"/>
            <w:vAlign w:val="bottom"/>
            <w:gridSpan w:val="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Notes to Unaudited Consolidated Financial Statements</w:t>
            </w:r>
          </w:p>
        </w:tc>
        <w:tc>
          <w:tcPr>
            <w:tcW w:w="3980" w:type="dxa"/>
            <w:vAlign w:val="bottom"/>
            <w:gridSpan w:val="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gridSpan w:val="16"/>
          </w:tcPr>
          <w:p>
            <w:pPr>
              <w:spacing w:after="0" w:line="196" w:lineRule="exact"/>
              <w:rPr>
                <w:sz w:val="20"/>
                <w:szCs w:val="20"/>
                <w:color w:val="auto"/>
              </w:rPr>
            </w:pPr>
            <w:r>
              <w:rPr>
                <w:rFonts w:ascii="Arial" w:cs="Arial" w:eastAsia="Arial" w:hAnsi="Arial"/>
                <w:sz w:val="18"/>
                <w:szCs w:val="18"/>
                <w:color w:val="0000EE"/>
              </w:rPr>
              <w:t>Item 2. Operating and Financial Review and Prospects</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00" w:type="dxa"/>
            <w:vAlign w:val="bottom"/>
            <w:gridSpan w:val="17"/>
          </w:tcPr>
          <w:p>
            <w:pPr>
              <w:spacing w:after="0" w:line="196" w:lineRule="exact"/>
              <w:rPr>
                <w:sz w:val="20"/>
                <w:szCs w:val="20"/>
                <w:color w:val="auto"/>
              </w:rPr>
            </w:pPr>
            <w:r>
              <w:rPr>
                <w:rFonts w:ascii="Arial" w:cs="Arial" w:eastAsia="Arial" w:hAnsi="Arial"/>
                <w:sz w:val="18"/>
                <w:szCs w:val="18"/>
                <w:color w:val="0000EE"/>
              </w:rPr>
              <w:t>PART II OTHER INFORMATION</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gridSpan w:val="16"/>
          </w:tcPr>
          <w:p>
            <w:pPr>
              <w:spacing w:after="0" w:line="196" w:lineRule="exact"/>
              <w:rPr>
                <w:sz w:val="20"/>
                <w:szCs w:val="20"/>
                <w:color w:val="auto"/>
              </w:rPr>
            </w:pPr>
            <w:r>
              <w:rPr>
                <w:rFonts w:ascii="Arial" w:cs="Arial" w:eastAsia="Arial" w:hAnsi="Arial"/>
                <w:sz w:val="18"/>
                <w:szCs w:val="18"/>
                <w:color w:val="0000EE"/>
              </w:rPr>
              <w:t>Item 1. Changes in Securities, Use of Proceeds and Issuer Purchases of Equity Securities</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Item 2. Reports on Form 6-K</w:t>
            </w:r>
          </w:p>
        </w:tc>
        <w:tc>
          <w:tcPr>
            <w:tcW w:w="4220" w:type="dxa"/>
            <w:vAlign w:val="bottom"/>
            <w:tcBorders>
              <w:top w:val="single" w:sz="8" w:color="0000EE"/>
            </w:tcBorders>
            <w:gridSpan w:val="10"/>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SIGNATURES</w:t>
            </w:r>
          </w:p>
        </w:tc>
        <w:tc>
          <w:tcPr>
            <w:tcW w:w="7900" w:type="dxa"/>
            <w:vAlign w:val="bottom"/>
            <w:gridSpan w:val="1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48"/>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597,761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709,064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252,512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256,527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1,039,983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866,819</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226,027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235,089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2,116,283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2,067,499</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747,782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698,768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207,885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233,162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2,671,439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2,622,644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195,475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259,032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563,188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630,669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6,502,052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6,511,774</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190,921</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121,199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612,098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612,303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187,236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274,275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58,714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294,809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237,374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1,334,319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1,303,865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299,541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304,538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177,906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644,974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644,553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484,336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445,728</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2,928,839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2,876,590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20" w:type="dxa"/>
            <w:vAlign w:val="bottom"/>
          </w:tcPr>
          <w:p>
            <w:pPr>
              <w:ind w:left="360"/>
              <w:spacing w:after="0" w:line="201" w:lineRule="exact"/>
              <w:rPr>
                <w:sz w:val="20"/>
                <w:szCs w:val="20"/>
                <w:color w:val="auto"/>
              </w:rPr>
            </w:pPr>
            <w:r>
              <w:rPr>
                <w:rFonts w:ascii="Arial" w:cs="Arial" w:eastAsia="Arial" w:hAnsi="Arial"/>
                <w:sz w:val="18"/>
                <w:szCs w:val="18"/>
                <w:color w:val="auto"/>
                <w:w w:val="95"/>
              </w:rPr>
              <w:t>Ordinary Shares — Authorized 700,000 shares; £0.01 par value; 284,242 and 281,945 issued and 121,961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124,866 outstanding,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4,546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4,076,828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3,951,201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Treasury stock, at cost 162,281 and 157,079 ordinary shares, respectively</w:t>
            </w:r>
          </w:p>
        </w:tc>
        <w:tc>
          <w:tcPr>
            <w:tcW w:w="100" w:type="dxa"/>
            <w:vAlign w:val="bottom"/>
          </w:tcPr>
          <w:p>
            <w:pPr>
              <w:spacing w:after="0"/>
              <w:rPr>
                <w:sz w:val="18"/>
                <w:szCs w:val="18"/>
                <w:color w:val="auto"/>
              </w:rPr>
            </w:pPr>
          </w:p>
        </w:tc>
        <w:tc>
          <w:tcPr>
            <w:tcW w:w="1100" w:type="dxa"/>
            <w:vAlign w:val="bottom"/>
            <w:gridSpan w:val="3"/>
          </w:tcPr>
          <w:p>
            <w:pPr>
              <w:jc w:val="right"/>
              <w:ind w:right="188"/>
              <w:spacing w:after="0"/>
              <w:rPr>
                <w:sz w:val="20"/>
                <w:szCs w:val="20"/>
                <w:color w:val="auto"/>
              </w:rPr>
            </w:pPr>
            <w:r>
              <w:rPr>
                <w:rFonts w:ascii="Arial" w:cs="Arial" w:eastAsia="Arial" w:hAnsi="Arial"/>
                <w:sz w:val="18"/>
                <w:szCs w:val="18"/>
                <w:color w:val="auto"/>
                <w:w w:val="89"/>
              </w:rPr>
              <w:t>(6,624,239)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(6,223,317)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(56,816)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6,130,385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5,850,937</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3,530,704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3,592,675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3,573,213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3,635,184</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6,502,052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6,511,774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8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1,160,290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3,410,193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3,201,331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748,214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689,370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2,206,189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2,103,601</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80,794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258,488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231,617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122,401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399,168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361,240</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53,237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60,510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2,917,082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2,756,968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154,919</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226,410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661,075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96,226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420,565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564,849</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Three months ended</w:t>
            </w:r>
          </w:p>
        </w:tc>
        <w:tc>
          <w:tcPr>
            <w:tcW w:w="17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128,466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$146,150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$420,565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$564,849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(48,248)</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(49,935)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(5,702)</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(3,264)</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990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(16,219)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(687)</w:t>
            </w:r>
          </w:p>
        </w:tc>
      </w:tr>
      <w:tr>
        <w:trPr>
          <w:trHeight w:val="27"/>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(51,512)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(66,154)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(6,389)</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76,954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142,385</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354,411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558,460</w:t>
            </w:r>
          </w:p>
        </w:tc>
        <w:tc>
          <w:tcPr>
            <w:tcW w:w="12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300" w:hanging="424"/>
        <w:spacing w:after="0" w:line="25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$2,335 and $1,910 for the three months ended June 30, 2022 and 2021, respectively and of $2,174 and $3,113 for the nine months ended June 30, 2022 and 2021,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tax (expense) benefit for the three and nine months ended June 30, 2022 and 2021.</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Limited</w:t>
            </w:r>
          </w:p>
        </w:tc>
        <w:tc>
          <w:tcPr>
            <w:tcW w:w="60" w:type="dxa"/>
            <w:vAlign w:val="bottom"/>
          </w:tcPr>
          <w:p>
            <w:pPr>
              <w:spacing w:after="0"/>
              <w:rPr>
                <w:sz w:val="6"/>
                <w:szCs w:val="6"/>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4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(Loss) Income</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4"/>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Balance as of March 31, 2022</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122,840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$ 4,542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$4,036,591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$(6,524,246)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$6,050,099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$ 3,561,682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42,509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$3,604,191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128,466</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128,466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128,466</w:t>
            </w:r>
          </w:p>
        </w:tc>
        <w:tc>
          <w:tcPr>
            <w:tcW w:w="0" w:type="dxa"/>
            <w:vAlign w:val="bottom"/>
          </w:tcPr>
          <w:p>
            <w:pPr>
              <w:spacing w:after="0"/>
              <w:rPr>
                <w:sz w:val="1"/>
                <w:szCs w:val="1"/>
                <w:color w:val="auto"/>
              </w:rPr>
            </w:pPr>
          </w:p>
        </w:tc>
      </w:tr>
      <w:tr>
        <w:trPr>
          <w:trHeight w:val="216"/>
        </w:trPr>
        <w:tc>
          <w:tcPr>
            <w:tcW w:w="2460" w:type="dxa"/>
            <w:vAlign w:val="bottom"/>
          </w:tcPr>
          <w:p>
            <w:pPr>
              <w:ind w:left="360"/>
              <w:spacing w:after="0"/>
              <w:rPr>
                <w:sz w:val="20"/>
                <w:szCs w:val="20"/>
                <w:color w:val="auto"/>
              </w:rPr>
            </w:pPr>
            <w:r>
              <w:rPr>
                <w:rFonts w:ascii="Arial" w:cs="Arial" w:eastAsia="Arial" w:hAnsi="Arial"/>
                <w:sz w:val="18"/>
                <w:szCs w:val="18"/>
                <w:color w:val="auto"/>
                <w:w w:val="99"/>
              </w:rPr>
              <w:t>Other comprehensive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(51,512)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(51,512)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(51,512)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76,954</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Employee stock options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22,115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22,119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22,119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(1, 221)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(99,993)</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w w:val="92"/>
              </w:rPr>
              <w:t>Cash dividends declared ($0.395</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(48,180)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(48,180)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(48,180)</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restricted stock, net</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w w:val="94"/>
              </w:rPr>
              <w:t>expense related to employees</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18,122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18,122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18,122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4,546</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4,076,828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(6,624,239)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(56,816)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6,130,385</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$ 3,530,704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3,573,213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Limited</w:t>
            </w:r>
          </w:p>
        </w:tc>
        <w:tc>
          <w:tcPr>
            <w:tcW w:w="60" w:type="dxa"/>
            <w:vAlign w:val="bottom"/>
          </w:tcPr>
          <w:p>
            <w:pPr>
              <w:spacing w:after="0"/>
              <w:rPr>
                <w:sz w:val="6"/>
                <w:szCs w:val="6"/>
                <w:color w:val="auto"/>
              </w:rPr>
            </w:pPr>
          </w:p>
        </w:tc>
        <w:tc>
          <w:tcPr>
            <w:tcW w:w="7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4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4"/>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Balance as of March 31, 2021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127,654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$ 4,513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$3,912,275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$(5,993,395)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$5,671,798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$ 3,604,229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42,509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$3,646,738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146,150</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146,150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146,150</w:t>
            </w:r>
          </w:p>
        </w:tc>
        <w:tc>
          <w:tcPr>
            <w:tcW w:w="0" w:type="dxa"/>
            <w:vAlign w:val="bottom"/>
          </w:tcPr>
          <w:p>
            <w:pPr>
              <w:spacing w:after="0"/>
              <w:rPr>
                <w:sz w:val="1"/>
                <w:szCs w:val="1"/>
                <w:color w:val="auto"/>
              </w:rPr>
            </w:pPr>
          </w:p>
        </w:tc>
      </w:tr>
      <w:tr>
        <w:trPr>
          <w:trHeight w:val="216"/>
        </w:trPr>
        <w:tc>
          <w:tcPr>
            <w:tcW w:w="2460" w:type="dxa"/>
            <w:vAlign w:val="bottom"/>
          </w:tcPr>
          <w:p>
            <w:pPr>
              <w:ind w:left="360"/>
              <w:spacing w:after="0"/>
              <w:rPr>
                <w:sz w:val="20"/>
                <w:szCs w:val="20"/>
                <w:color w:val="auto"/>
              </w:rPr>
            </w:pPr>
            <w:r>
              <w:rPr>
                <w:rFonts w:ascii="Arial" w:cs="Arial" w:eastAsia="Arial" w:hAnsi="Arial"/>
                <w:sz w:val="18"/>
                <w:szCs w:val="18"/>
                <w:color w:val="auto"/>
                <w:w w:val="99"/>
              </w:rPr>
              <w:t>Other comprehensive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(3,765)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142,385</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Employee stock options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6,107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6,109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(89,895)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(89,895)</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w w:val="96"/>
              </w:rPr>
              <w:t>Cash dividends declared ($0.36</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(45,580)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(45,580)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(45,580)</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restricted stock, net</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w w:val="94"/>
              </w:rPr>
              <w:t>expense related to employees</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13,991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13,991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126,605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4,515</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3,932,373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(6,083,290)</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5,772,368</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$ 3,631,239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3,673,748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0" w:hanging="424"/>
        <w:spacing w:after="0" w:line="255"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2022 and 2021, accumulated other comprehensive (loss) income is comprised of unrealized (loss) gain on derivatives, net of tax, of $(36,162) and $13,134 unrealized loss on short-term interest-bearing investments, net of tax, of $(17,493) and $(689), and unrealized loss on defined benefit plan, net of tax, of $(3,161) and $(7,172).</w:t>
      </w:r>
    </w:p>
    <w:p>
      <w:pPr>
        <w:spacing w:after="0" w:line="2" w:lineRule="exact"/>
        <w:rPr>
          <w:rFonts w:ascii="Arial" w:cs="Arial" w:eastAsia="Arial" w:hAnsi="Arial"/>
          <w:sz w:val="18"/>
          <w:szCs w:val="18"/>
          <w:color w:val="auto"/>
        </w:rPr>
      </w:pPr>
    </w:p>
    <w:p>
      <w:pPr>
        <w:ind w:left="540" w:right="260" w:hanging="424"/>
        <w:spacing w:after="0" w:line="26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and nine months ended June 30, 2022, and 2021, all of the Company’s net income is attributable to Amdocs Limited as the net income attributable to the Non-controlling interests is negligible.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Limited</w:t>
            </w:r>
          </w:p>
        </w:tc>
        <w:tc>
          <w:tcPr>
            <w:tcW w:w="60" w:type="dxa"/>
            <w:vAlign w:val="bottom"/>
          </w:tcPr>
          <w:p>
            <w:pPr>
              <w:spacing w:after="0"/>
              <w:rPr>
                <w:sz w:val="6"/>
                <w:szCs w:val="6"/>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4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(Loss) Income</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4"/>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4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Balance as of September 30,</w:t>
            </w: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124,866</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$ 4,516</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$3,951,201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$(6,223,317)</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$5,850,937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$ 3,592,675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$3,635,184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420,565</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420,565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420,565</w:t>
            </w:r>
          </w:p>
        </w:tc>
        <w:tc>
          <w:tcPr>
            <w:tcW w:w="0" w:type="dxa"/>
            <w:vAlign w:val="bottom"/>
          </w:tcPr>
          <w:p>
            <w:pPr>
              <w:spacing w:after="0"/>
              <w:rPr>
                <w:sz w:val="1"/>
                <w:szCs w:val="1"/>
                <w:color w:val="auto"/>
              </w:rPr>
            </w:pPr>
          </w:p>
        </w:tc>
      </w:tr>
      <w:tr>
        <w:trPr>
          <w:trHeight w:val="216"/>
        </w:trPr>
        <w:tc>
          <w:tcPr>
            <w:tcW w:w="2460" w:type="dxa"/>
            <w:vAlign w:val="bottom"/>
          </w:tcPr>
          <w:p>
            <w:pPr>
              <w:ind w:left="360"/>
              <w:spacing w:after="0"/>
              <w:rPr>
                <w:sz w:val="20"/>
                <w:szCs w:val="20"/>
                <w:color w:val="auto"/>
              </w:rPr>
            </w:pPr>
            <w:r>
              <w:rPr>
                <w:rFonts w:ascii="Arial" w:cs="Arial" w:eastAsia="Arial" w:hAnsi="Arial"/>
                <w:sz w:val="18"/>
                <w:szCs w:val="18"/>
                <w:color w:val="auto"/>
                <w:w w:val="99"/>
              </w:rPr>
              <w:t>Other comprehensive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(66,154)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(66,154)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(66,154)</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354,411</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Employee stock options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1,263</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72,927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72,942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72,942</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(5, 202)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(400,922)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(400,922)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(400,922)</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w w:val="96"/>
              </w:rPr>
              <w:t>Cash dividends declared ($1.15</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(141,117)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(141,117)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(141,117)</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restricted stock, net</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w w:val="94"/>
              </w:rPr>
              <w:t>expense related to employees</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52,700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52,700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52,700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4,546</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4,076,828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(6,624,239)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(56,816)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6,130,385</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$ 3,530,704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3,573,213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Limited</w:t>
            </w:r>
          </w:p>
        </w:tc>
        <w:tc>
          <w:tcPr>
            <w:tcW w:w="60" w:type="dxa"/>
            <w:vAlign w:val="bottom"/>
          </w:tcPr>
          <w:p>
            <w:pPr>
              <w:spacing w:after="0"/>
              <w:rPr>
                <w:sz w:val="6"/>
                <w:szCs w:val="6"/>
                <w:color w:val="auto"/>
              </w:rPr>
            </w:pPr>
          </w:p>
        </w:tc>
        <w:tc>
          <w:tcPr>
            <w:tcW w:w="7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4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4"/>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4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Balance as of September 30,</w:t>
            </w: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131,535</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$ 4,483</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$3,807,915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$(5,543,321)</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$5,341,907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$ 3,622,646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$3,665,155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564,849</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564,849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564,849</w:t>
            </w:r>
          </w:p>
        </w:tc>
        <w:tc>
          <w:tcPr>
            <w:tcW w:w="0" w:type="dxa"/>
            <w:vAlign w:val="bottom"/>
          </w:tcPr>
          <w:p>
            <w:pPr>
              <w:spacing w:after="0"/>
              <w:rPr>
                <w:sz w:val="1"/>
                <w:szCs w:val="1"/>
                <w:color w:val="auto"/>
              </w:rPr>
            </w:pPr>
          </w:p>
        </w:tc>
      </w:tr>
      <w:tr>
        <w:trPr>
          <w:trHeight w:val="216"/>
        </w:trPr>
        <w:tc>
          <w:tcPr>
            <w:tcW w:w="2460" w:type="dxa"/>
            <w:vAlign w:val="bottom"/>
          </w:tcPr>
          <w:p>
            <w:pPr>
              <w:ind w:left="360"/>
              <w:spacing w:after="0"/>
              <w:rPr>
                <w:sz w:val="20"/>
                <w:szCs w:val="20"/>
                <w:color w:val="auto"/>
              </w:rPr>
            </w:pPr>
            <w:r>
              <w:rPr>
                <w:rFonts w:ascii="Arial" w:cs="Arial" w:eastAsia="Arial" w:hAnsi="Arial"/>
                <w:sz w:val="18"/>
                <w:szCs w:val="18"/>
                <w:color w:val="auto"/>
                <w:w w:val="99"/>
              </w:rPr>
              <w:t>Other comprehensive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(6,389)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558,460</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Employee stock options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1,463</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84,515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84,535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84,535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(539,969)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(539,969)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(539,969)</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Cash dividends declared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w w:val="99"/>
              </w:rPr>
              <w:t>($1.0475 per ordinary share)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(134,388)</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(134,388)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(134,388)</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restricted stock, net</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w w:val="94"/>
              </w:rPr>
              <w:t>expense related to employees</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39,943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39,943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39,943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126,605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4,515</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3,932,373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(6,083,290)</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5,772,368</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$ 3,631,239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3,673,748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Nine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420,565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564,849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amortization and impairment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174,712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157,024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39,943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(226,410)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(20,442)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(64,882)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(157,557)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(121,653)</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110,982</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205,915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44,711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57,754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27,297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539,800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726,094</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(145,400)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(149,565)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(208,626)</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(111,932)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288,990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(179,092)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(167,132)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(100,000)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(400,922)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(539,969)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84,474</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(137,893)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(131,892)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(472,011)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(688,849)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(111,303)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(129,887)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709,064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983,188</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597,761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853,301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Income taxes, net of refunds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55,979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98,630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60" w:hanging="424"/>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$521 and $233 for the nine months ended June 30, 2022 and 2021,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2021, set forth in the Company’s Annual Report on Form 20-F filed on December 9, 2021 with the U.S. Securities and Exchange Commission, or the SEC. There have been no material changes to the company’s significant accounting policies from its Annual Report on Form 20-F for the fiscal year ended September 30,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2021, the Financial Accounting Standards Board, or FASB, issued Accounting Standard Update, or ASU No.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(Topic 805): Accounting for Contract Assets and Contract Liabilities from Contracts with Customers.” </w:t>
      </w:r>
      <w:r>
        <w:rPr>
          <w:rFonts w:ascii="Arial" w:cs="Arial" w:eastAsia="Arial" w:hAnsi="Arial"/>
          <w:sz w:val="18"/>
          <w:szCs w:val="18"/>
          <w:color w:val="auto"/>
        </w:rPr>
        <w:t>The ASU requires companies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ASC 606 to recognize and measure contract assets and contract liabilities from contracts with customers acquired in a business combination. This ASU will be effective for the Company on October 1, 2023 and early adoption is permitted. The Company is currently evaluating the impact of adoption of this ASU on its consolidated financial statements.</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March 2020, the FASB, issued ASU No. 2020-04, “</w:t>
      </w:r>
      <w:r>
        <w:rPr>
          <w:rFonts w:ascii="Arial" w:cs="Arial" w:eastAsia="Arial" w:hAnsi="Arial"/>
          <w:sz w:val="18"/>
          <w:szCs w:val="18"/>
          <w:i w:val="1"/>
          <w:iCs w:val="1"/>
          <w:color w:val="auto"/>
        </w:rPr>
        <w:t>Reference Rate Reform: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ASU provides temporary optional expedients and exceptions on certain contract modifications, hedge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reference London Inter-Bank Offered Rate (“LIBOR”) or other reference rates expected to be discontinued due to the reference rate reform. This ASU is effective as of March 12, 2020 through December 31, 2022. The Company expects that the adoption of this ASU will not have a material impact on its consolidated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right="7480" w:hanging="4"/>
        <w:spacing w:after="0" w:line="3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and Divestiture of a Subsidiary Divestiture of a Subsidiary</w:t>
      </w:r>
    </w:p>
    <w:p>
      <w:pPr>
        <w:spacing w:after="0" w:line="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On December 31, 2020, the Company completed the divestiture. Based on the total consideration, the Company recorded pre-tax gain of</w:t>
      </w:r>
    </w:p>
    <w:p>
      <w:pPr>
        <w:spacing w:after="0" w:line="23"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$226,410, (net of immaterial transaction costs) in the Consolidated Statements of Income during the nine months ended June 30, 2021. In connection with this divestiture, $9,194 of net assets and $61,396 of goodwill, were disposed. During the nine months ended June 30, 2022 the Company recorded additional pre-tax gain of $10,000, in the Consolidated Statements of Income as a result of achievement of certain performance metrics and received such additional consideration during the three months ended March 31, 2022. The divestiture does not represent a strategic shift that will have a major effect on operations and financial results and, therefore, did not qualify for presentation as a discontinued operation, see also Note 9.</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On May 20, 2022, the Company entered into a definitive agreement to acquire MYCOM OSI, a UK-headquartered company providing SaaS-based cloud network and service assurance solutions to communications service providers globally, for approximately $188,000 in cash which, subject to the satisfaction of the conditions to closing, is expected to be completed in the first quarter of fiscal year 2023.</w:t>
      </w:r>
    </w:p>
    <w:p>
      <w:pPr>
        <w:spacing w:after="0" w:line="269" w:lineRule="exact"/>
        <w:rPr>
          <w:sz w:val="20"/>
          <w:szCs w:val="20"/>
          <w:color w:val="auto"/>
        </w:rPr>
      </w:pPr>
    </w:p>
    <w:p>
      <w:pPr>
        <w:ind w:left="120" w:right="9540" w:hanging="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Revenue Contract Balances</w:t>
      </w:r>
    </w:p>
    <w:p>
      <w:pPr>
        <w:ind w:left="56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Accounts receivable - billed (net of allowances for credit losses of $16,534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$20,065 as of June 30, 2022 and September 30, 2021,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902,572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704,541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137,411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162,278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26,790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38,252</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164,201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200,530</w:t>
            </w:r>
          </w:p>
        </w:tc>
        <w:tc>
          <w:tcPr>
            <w:tcW w:w="10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(294,809)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(237,374)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(79,706)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(108,675)</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(374,515)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(346,049)</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recognized during the three and nine months ended June 30, 2022, which was included in deferred revenue (current) as of September 30,</w:t>
      </w:r>
    </w:p>
    <w:p>
      <w:pPr>
        <w:spacing w:after="0" w:line="46"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2021 was $15,271 and $198,767, respectively. Revenue recognized during the three and nine months ended June 30, 2021, which was included in deferred revenue (current) as of September 30, 2020 was $5,574 and $108,521 respectively.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of June 30, 2022, the aggregate amount of the transaction price allocated to remaining performance obligations that are unsatisfied or partially unsatisfied was approximately $6.5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$2,040,931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$1,908,822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442,406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415,713</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1,369,262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1,292,509</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1,160,290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1,066,254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3,410,193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3,201,331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787,987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$2,305,646</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$2,068,637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146,082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155,658</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435,814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476,025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226,221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224,460</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668,733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656,669</w:t>
            </w:r>
          </w:p>
        </w:tc>
        <w:tc>
          <w:tcPr>
            <w:tcW w:w="0" w:type="dxa"/>
            <w:vAlign w:val="bottom"/>
          </w:tcPr>
          <w:p>
            <w:pPr>
              <w:spacing w:after="0"/>
              <w:rPr>
                <w:sz w:val="1"/>
                <w:szCs w:val="1"/>
                <w:color w:val="auto"/>
              </w:rPr>
            </w:pPr>
          </w:p>
        </w:tc>
      </w:tr>
      <w:tr>
        <w:trPr>
          <w:trHeight w:val="223"/>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1,160,290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1,066,254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3,410,193</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3,201,331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left="120" w:right="30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June 30, 2022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0"/>
              </w:rPr>
              <w:t>As of June 30, 2022</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$265,038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173,031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41,423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Bond</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10,631</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306,461</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211,089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42,915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(41,587)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(40,725)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(40,725)</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306,461</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169,502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478,153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1"/>
              </w:rPr>
              <w:t>As of September 30, 2021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$209,026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$209,026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190,437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54,752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263,778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201,775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465,553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37,581</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liabilities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(51,590)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263,778</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(14,009)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462,523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2022.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June 30, 2022 and September 30, 2021. The decrease in Level 3 liabilities was primarily attributable to payments of certain acquisition-related liabilities, partially offset by changes recorded against goodwill in connection with recent acquisitions and changes in the fair value recorded in the consolidated statement of income during the three and nine months ended June 30, 2022. Level 3 assets relate to equity investments, which were valued based on price changes in orderly transactions for similar private investments of the same issuer. The increase in Level 3 assets is primarily as changes in the fair value which was recorded during the three and nine months ended June 30, 2022 in the consolidated statement of income.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12.</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As of June 30, 2022</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5"/>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$265,038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$265,038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Corporate bonds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184,752</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11,721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44,643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Municipal bond</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19,263</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1,301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11,104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tcPr>
          <w:p>
            <w:pPr>
              <w:jc w:val="right"/>
              <w:spacing w:after="0"/>
              <w:rPr>
                <w:sz w:val="20"/>
                <w:szCs w:val="20"/>
                <w:color w:val="auto"/>
              </w:rPr>
            </w:pPr>
            <w:r>
              <w:rPr>
                <w:rFonts w:ascii="Arial" w:cs="Arial" w:eastAsia="Arial" w:hAnsi="Arial"/>
                <w:sz w:val="18"/>
                <w:szCs w:val="18"/>
                <w:color w:val="auto"/>
              </w:rPr>
              <w:t>10,243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778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535,043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17,493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517,550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20" w:hanging="424"/>
        <w:spacing w:after="0" w:line="27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2022, $252,512 of securities were classified as short-term interest-bearing investments and $265,038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10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$209,026</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$209,026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191,445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1,084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190,437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7,479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Total(1)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466,827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color w:val="auto"/>
                <w:w w:val="73"/>
              </w:rPr>
              <w:t>80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465,553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20" w:hanging="424"/>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2021, $256,527 of securities were classified as short-term interest-bearing investments and $209,026 of securities were classified as cash and cash equivalents.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June 30, 2022,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 Based on this assessment, the Company did not recognize any credit losses in the three and nine months ended June 30, 2022 and 2021. Realized gains and losses on short-term interest-bearing investments are included in earnings and are determined based on specific identification method.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2022,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276,857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49,481</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86,168</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76,677</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28,367</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517,550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$1,346 as of June 30, 2022. The Company has limited its credit risk by entering into derivative transactions exclusively with investment-grade rated financial institutions and monitors the creditworthiness of these financial institutions on an ongoing basis.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2022. Notional values are in U.S. dollars and are translated and calculated based on forward rates as of June 30, 2022 for forward contracts, and based on spot rates as of June 30, 2022 for options.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1,904,843</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220" w:hanging="424"/>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June 30, 2022 and September 30, 2021,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9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1,488</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6,962</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(32,156)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(10,181)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(40,539)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6,902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w:t>
            </w:r>
          </w:p>
        </w:tc>
      </w:tr>
      <w:tr>
        <w:trPr>
          <w:trHeight w:val="230"/>
        </w:trPr>
        <w:tc>
          <w:tcPr>
            <w:tcW w:w="4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(1,048)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(41,587)</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10,979</w:t>
            </w: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and half years. A significant portion of the forward and option contracts outstanding as of June 30, 2022 is scheduled to mature within the next 12 months.</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nine months ended June 30, 2022 and 2021, respectively, which partially offsets the foreign currency impact from the underlying exposures, is summarized as follows: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8"/>
          </w:tcPr>
          <w:p>
            <w:pPr>
              <w:jc w:val="right"/>
              <w:ind w:right="141"/>
              <w:spacing w:after="0"/>
              <w:rPr>
                <w:sz w:val="20"/>
                <w:szCs w:val="20"/>
                <w:color w:val="auto"/>
              </w:rPr>
            </w:pPr>
            <w:r>
              <w:rPr>
                <w:rFonts w:ascii="Arial" w:cs="Arial" w:eastAsia="Arial" w:hAnsi="Arial"/>
                <w:sz w:val="14"/>
                <w:szCs w:val="14"/>
                <w:b w:val="1"/>
                <w:bCs w:val="1"/>
                <w:color w:val="auto"/>
                <w:w w:val="91"/>
              </w:rPr>
              <w:t>(Losses) Gains Reclassified from</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2"/>
          </w:tcPr>
          <w:p>
            <w:pPr>
              <w:jc w:val="right"/>
              <w:spacing w:after="0" w:line="149" w:lineRule="exact"/>
              <w:rPr>
                <w:sz w:val="20"/>
                <w:szCs w:val="20"/>
                <w:color w:val="auto"/>
              </w:rPr>
            </w:pPr>
            <w:r>
              <w:rPr>
                <w:rFonts w:ascii="Arial" w:cs="Arial" w:eastAsia="Arial" w:hAnsi="Arial"/>
                <w:sz w:val="14"/>
                <w:szCs w:val="14"/>
                <w:b w:val="1"/>
                <w:bCs w:val="1"/>
                <w:color w:val="auto"/>
              </w:rPr>
              <w:t>Accumulated Other Comprehensive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7"/>
          </w:tcPr>
          <w:p>
            <w:pPr>
              <w:jc w:val="right"/>
              <w:ind w:right="321"/>
              <w:spacing w:after="0" w:line="149" w:lineRule="exact"/>
              <w:rPr>
                <w:sz w:val="20"/>
                <w:szCs w:val="20"/>
                <w:color w:val="auto"/>
              </w:rPr>
            </w:pPr>
            <w:r>
              <w:rPr>
                <w:rFonts w:ascii="Arial" w:cs="Arial" w:eastAsia="Arial" w:hAnsi="Arial"/>
                <w:sz w:val="14"/>
                <w:szCs w:val="14"/>
                <w:b w:val="1"/>
                <w:bCs w:val="1"/>
                <w:color w:val="auto"/>
                <w:w w:val="94"/>
              </w:rPr>
              <w:t>Income (Effective Portion)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1"/>
              </w:rPr>
              <w:t>Three months ended June 30,</w:t>
            </w:r>
          </w:p>
        </w:tc>
        <w:tc>
          <w:tcPr>
            <w:tcW w:w="100" w:type="dxa"/>
            <w:vAlign w:val="bottom"/>
          </w:tcPr>
          <w:p>
            <w:pPr>
              <w:spacing w:after="0"/>
              <w:rPr>
                <w:sz w:val="14"/>
                <w:szCs w:val="14"/>
                <w:color w:val="auto"/>
              </w:rPr>
            </w:pPr>
          </w:p>
        </w:tc>
        <w:tc>
          <w:tcPr>
            <w:tcW w:w="19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Nine months ended June 30,</w:t>
            </w:r>
          </w:p>
        </w:tc>
      </w:tr>
      <w:tr>
        <w:trPr>
          <w:trHeight w:val="142"/>
        </w:trPr>
        <w:tc>
          <w:tcPr>
            <w:tcW w:w="6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180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15,944</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(1,385)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(1,575)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4,943</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25,870</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activity related to the changes in net unrealized (losses) gains on cash flow hedges recorded in accumulated other comprehensive (loss)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net of tax, is as follows:</w:t>
      </w:r>
    </w:p>
    <w:p>
      <w:pPr>
        <w:spacing w:after="0" w:line="229"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Nine months ended</w:t>
      </w:r>
    </w:p>
    <w:p>
      <w:pPr>
        <w:jc w:val="center"/>
        <w:ind w:left="64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58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$ 13,773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(55,967)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17,595</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(23,297)</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(36,162</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$ 13,134</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Net (losses) gains from cash flow hedges recognized in other comprehensive loss were $(58,777) and $17,055, or $(55,967) and $17,595 net of taxes, during the nine months ended June 30, 2022 and 2021, respectively.</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Of the net unrealized losses related to derivatives designated as cash flow hedges and recorded in accumulated other comprehensive (loss) income as of June 30, 2022, a net loss of $30,320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2022 and 2021, was not material.</w:t>
      </w:r>
    </w:p>
    <w:p>
      <w:pPr>
        <w:spacing w:after="0" w:line="170"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2022 and 2021, respectively, which partially offsets the foreign currency impact from the underlying exposure, is summarized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12"/>
          </w:tcPr>
          <w:p>
            <w:pPr>
              <w:ind w:left="160"/>
              <w:spacing w:after="0"/>
              <w:rPr>
                <w:sz w:val="20"/>
                <w:szCs w:val="20"/>
                <w:color w:val="auto"/>
              </w:rPr>
            </w:pPr>
            <w:r>
              <w:rPr>
                <w:rFonts w:ascii="Arial" w:cs="Arial" w:eastAsia="Arial" w:hAnsi="Arial"/>
                <w:sz w:val="14"/>
                <w:szCs w:val="14"/>
                <w:b w:val="1"/>
                <w:bCs w:val="1"/>
                <w:color w:val="auto"/>
              </w:rPr>
              <w:t>Losses Recognized in Income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0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ind w:left="40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(6,231)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8"/>
                <w:szCs w:val="18"/>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(6,218)</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(1,673)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(1,860)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(4,318)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(9,967)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(2,261)</w:t>
            </w: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  (17,464)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8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3"/>
          </w:tcPr>
          <w:p>
            <w:pPr>
              <w:ind w:left="440"/>
              <w:spacing w:after="0"/>
              <w:rPr>
                <w:sz w:val="20"/>
                <w:szCs w:val="20"/>
                <w:color w:val="auto"/>
              </w:rPr>
            </w:pPr>
            <w:r>
              <w:rPr>
                <w:rFonts w:ascii="Arial" w:cs="Arial" w:eastAsia="Arial" w:hAnsi="Arial"/>
                <w:sz w:val="18"/>
                <w:szCs w:val="18"/>
                <w:color w:val="auto"/>
                <w:w w:val="97"/>
              </w:rPr>
              <w:t>Accrued expenses and other current liabilities consist of the following:</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190,729</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206,905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96,363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125,612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48,180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Taxes payable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40,303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34,717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40,106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196,417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196,832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612,098</w:t>
            </w:r>
          </w:p>
        </w:tc>
        <w:tc>
          <w:tcPr>
            <w:tcW w:w="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612,303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9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Three months</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left="520"/>
              <w:spacing w:after="0" w:line="149" w:lineRule="exact"/>
              <w:rPr>
                <w:sz w:val="20"/>
                <w:szCs w:val="20"/>
                <w:color w:val="auto"/>
              </w:rPr>
            </w:pPr>
            <w:r>
              <w:rPr>
                <w:rFonts w:ascii="Arial" w:cs="Arial" w:eastAsia="Arial" w:hAnsi="Arial"/>
                <w:sz w:val="14"/>
                <w:szCs w:val="14"/>
                <w:b w:val="1"/>
                <w:bCs w:val="1"/>
                <w:color w:val="auto"/>
                <w:w w:val="92"/>
              </w:rPr>
              <w:t>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9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46,207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$ 83,996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Deferred</w:t>
            </w:r>
          </w:p>
        </w:tc>
        <w:tc>
          <w:tcPr>
            <w:tcW w:w="35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15,437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(37,104)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(20,442)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(64,882)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100" w:type="dxa"/>
            <w:vAlign w:val="bottom"/>
            <w:gridSpan w:val="3"/>
            <w:shd w:val="clear" w:color="auto" w:fill="CCEEFF"/>
          </w:tcPr>
          <w:p>
            <w:pPr>
              <w:jc w:val="center"/>
              <w:ind w:left="339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33,037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$ 63,554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500" w:type="dxa"/>
            <w:vAlign w:val="bottom"/>
            <w:vMerge w:val="restart"/>
          </w:tcPr>
          <w:p>
            <w:pPr>
              <w:jc w:val="right"/>
              <w:ind w:right="1210"/>
              <w:spacing w:after="0"/>
              <w:rPr>
                <w:sz w:val="20"/>
                <w:szCs w:val="20"/>
                <w:color w:val="auto"/>
              </w:rPr>
            </w:pPr>
            <w:r>
              <w:rPr>
                <w:rFonts w:ascii="Arial" w:cs="Arial" w:eastAsia="Arial" w:hAnsi="Arial"/>
                <w:sz w:val="18"/>
                <w:szCs w:val="18"/>
                <w:color w:val="auto"/>
              </w:rPr>
              <w:t>17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taxes (1)</w:t>
            </w:r>
          </w:p>
        </w:tc>
        <w:tc>
          <w:tcPr>
            <w:tcW w:w="1160" w:type="dxa"/>
            <w:vAlign w:val="bottom"/>
            <w:gridSpan w:val="2"/>
          </w:tcPr>
          <w:p>
            <w:pPr>
              <w:jc w:val="right"/>
              <w:ind w:right="528"/>
              <w:spacing w:after="0"/>
              <w:rPr>
                <w:sz w:val="20"/>
                <w:szCs w:val="20"/>
                <w:color w:val="auto"/>
              </w:rPr>
            </w:pPr>
            <w:r>
              <w:rPr>
                <w:rFonts w:ascii="Arial" w:cs="Arial" w:eastAsia="Arial" w:hAnsi="Arial"/>
                <w:sz w:val="18"/>
                <w:szCs w:val="18"/>
                <w:color w:val="auto"/>
              </w:rPr>
              <w:t>(20.5)</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508"/>
              <w:spacing w:after="0"/>
              <w:rPr>
                <w:sz w:val="20"/>
                <w:szCs w:val="20"/>
                <w:color w:val="auto"/>
              </w:rPr>
            </w:pPr>
            <w:r>
              <w:rPr>
                <w:rFonts w:ascii="Arial" w:cs="Arial" w:eastAsia="Arial" w:hAnsi="Arial"/>
                <w:sz w:val="18"/>
                <w:szCs w:val="18"/>
                <w:color w:val="auto"/>
              </w:rPr>
              <w:t>13.1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(20.5%)</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13.1%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820" w:hanging="264"/>
        <w:spacing w:after="0"/>
        <w:tabs>
          <w:tab w:leader="none" w:pos="8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nine months ended June 30, 2022:</w:t>
      </w:r>
    </w:p>
    <w:p>
      <w:pPr>
        <w:spacing w:after="0" w:line="117" w:lineRule="exact"/>
        <w:rPr>
          <w:sz w:val="20"/>
          <w:szCs w:val="20"/>
          <w:color w:val="auto"/>
        </w:rPr>
      </w:pPr>
    </w:p>
    <w:p>
      <w:pPr>
        <w:ind w:left="560" w:right="160" w:firstLine="423"/>
        <w:spacing w:after="0" w:line="301" w:lineRule="auto"/>
        <w:rPr>
          <w:sz w:val="20"/>
          <w:szCs w:val="20"/>
          <w:color w:val="auto"/>
        </w:rPr>
      </w:pPr>
      <w:r>
        <w:rPr>
          <w:rFonts w:ascii="Arial" w:cs="Arial" w:eastAsia="Arial" w:hAnsi="Arial"/>
          <w:sz w:val="16"/>
          <w:szCs w:val="16"/>
          <w:color w:val="auto"/>
        </w:rPr>
        <w:t>During the nine months ended June 30, 2022, the Company recorded a tax benefit of $37,000 related to the release of accrued withholding taxes on unremitted earnings accumulated in Israel. The release of the accrued withholding taxes followed the Company’s funding decisions relating to the construction of its new Israeli campus; such funding decisions have also taken into consideration the recent changes in Israeli law and the recent application of the Preferred Technological Enterprise regime to the company’s main Israeli operating subsidiary.</w:t>
      </w:r>
    </w:p>
    <w:p>
      <w:pPr>
        <w:spacing w:after="0" w:line="49" w:lineRule="exact"/>
        <w:rPr>
          <w:sz w:val="20"/>
          <w:szCs w:val="20"/>
          <w:color w:val="auto"/>
        </w:rPr>
      </w:pPr>
    </w:p>
    <w:p>
      <w:pPr>
        <w:ind w:left="560" w:right="260" w:firstLine="423"/>
        <w:spacing w:after="0" w:line="259" w:lineRule="auto"/>
        <w:rPr>
          <w:sz w:val="20"/>
          <w:szCs w:val="20"/>
          <w:color w:val="auto"/>
        </w:rPr>
      </w:pPr>
      <w:r>
        <w:rPr>
          <w:rFonts w:ascii="Arial" w:cs="Arial" w:eastAsia="Arial" w:hAnsi="Arial"/>
          <w:sz w:val="18"/>
          <w:szCs w:val="18"/>
          <w:color w:val="auto"/>
        </w:rPr>
        <w:t>Foreign taxes in the nine months ended June 30, 2022 also included a benefit of $4,578 relating to changes in tax regulations in certain jurisdiction, an expense of $3,193 for the estimated additional tax charge as a result of the gain from sale of a business, (see also Note 3) and a benefit of $4,525 relating to release of gross unrecognized tax benefits due to settlements of tax audits and expiration of the periods set forth in statutes of limitations in certain jurisdictions.</w:t>
      </w:r>
    </w:p>
    <w:p>
      <w:pPr>
        <w:spacing w:after="0" w:line="295" w:lineRule="exact"/>
        <w:rPr>
          <w:sz w:val="20"/>
          <w:szCs w:val="20"/>
          <w:color w:val="auto"/>
        </w:rPr>
      </w:pPr>
    </w:p>
    <w:p>
      <w:pPr>
        <w:ind w:left="820" w:hanging="264"/>
        <w:spacing w:after="0"/>
        <w:tabs>
          <w:tab w:leader="none" w:pos="8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nine months ended June 30, 2021:</w:t>
      </w:r>
    </w:p>
    <w:p>
      <w:pPr>
        <w:spacing w:after="0" w:line="117" w:lineRule="exact"/>
        <w:rPr>
          <w:sz w:val="20"/>
          <w:szCs w:val="20"/>
          <w:color w:val="auto"/>
        </w:rPr>
      </w:pPr>
    </w:p>
    <w:p>
      <w:pPr>
        <w:ind w:left="560" w:right="160" w:firstLine="423"/>
        <w:spacing w:after="0" w:line="277" w:lineRule="auto"/>
        <w:rPr>
          <w:sz w:val="20"/>
          <w:szCs w:val="20"/>
          <w:color w:val="auto"/>
        </w:rPr>
      </w:pPr>
      <w:r>
        <w:rPr>
          <w:rFonts w:ascii="Arial" w:cs="Arial" w:eastAsia="Arial" w:hAnsi="Arial"/>
          <w:sz w:val="18"/>
          <w:szCs w:val="18"/>
          <w:color w:val="auto"/>
        </w:rPr>
        <w:t>Foreign taxes in the nine months ended June 30, 2021 included an expense of $39,596 for the estimated additional tax charge as a result of the gain from sale of a business, see also Note 3.</w:t>
      </w:r>
    </w:p>
    <w:p>
      <w:pPr>
        <w:spacing w:after="0" w:line="62" w:lineRule="exact"/>
        <w:rPr>
          <w:sz w:val="20"/>
          <w:szCs w:val="20"/>
          <w:color w:val="auto"/>
        </w:rPr>
      </w:pPr>
    </w:p>
    <w:p>
      <w:pPr>
        <w:ind w:left="560" w:right="380" w:firstLine="423"/>
        <w:spacing w:after="0" w:line="277" w:lineRule="auto"/>
        <w:rPr>
          <w:sz w:val="20"/>
          <w:szCs w:val="20"/>
          <w:color w:val="auto"/>
        </w:rPr>
      </w:pPr>
      <w:r>
        <w:rPr>
          <w:rFonts w:ascii="Arial" w:cs="Arial" w:eastAsia="Arial" w:hAnsi="Arial"/>
          <w:sz w:val="18"/>
          <w:szCs w:val="18"/>
          <w:color w:val="auto"/>
        </w:rPr>
        <w:t>Foreign taxes in the three and the nine months ended June 30, 2021 also included a benefit of $10,933 resulting from internal structural changes in certain jurisdictions in which the Company operates.</w:t>
      </w:r>
    </w:p>
    <w:p>
      <w:pPr>
        <w:spacing w:after="0" w:line="62"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Foreign taxes in the nine months ended June 30, 2021 also included a benefit of $5,272 relating to release of gross unrecognized tax benefits due to expiration of the periods set forth in statutes of limitations in certain jurisdictions, and changes in facts and circumstances resulting in a change in measurement of certain positions.</w:t>
      </w:r>
    </w:p>
    <w:p>
      <w:pPr>
        <w:spacing w:after="0" w:line="18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As of June 30, 2022, deferred tax assets of $59,936,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$208,329 as of June 30, 2022, all of which would affect the effective tax rate if realized.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June 30, 2022, the Company had accrued $31,595 in income taxes payable for interest and penalties relating to unrecognized tax benefits.</w:t>
      </w:r>
    </w:p>
    <w:p>
      <w:pPr>
        <w:spacing w:after="0" w:line="24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128,466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146,150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420,565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564,849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126,540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144,535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414,583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559,195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126,548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144,542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414,609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559,219</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122,319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127,172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123,271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129,362</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120,485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125,766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121,518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128,067</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and restricted stock units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121,319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126,645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122,345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128,820</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For the three and nine months ended June 30, 2022, 6 and 55 shares, respectively, on a weighted average basis, were attributable to antidilutive outstanding stock options and restricted stock units. For the three and nine months ended June 30, 2021, 0 and 1,144 shares, respectively, on a weighted average basis, were attributable to antidilutive outstanding stock options and restricted stock units. Shares attributable to antidilutive outstanding stock options and restricted stock units were not included in the calculation of diluted earnings per share.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On May 12, 2021, the Company’s Board of Directors adopted a share repurchase plan for the repurchase of up to $1.0 billion of the Company’s outstanding ordinary shares with no expiration date. The May 2021 plan permits the Company to purchase our ordinary shares in the open market or through privately negotiated transactions at times and prices that the Company considers appropriate. In the nine months ended June 30, 2022, the Company repurchased 5,202 ordinary shares at an average price of $77.05 per share (excluding broker and transaction fees). As of June 30, 2022, the Company had remaining authority to repurchase up to $597,639 of its outstanding ordinary shares under the May 2021 plan.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June 30, 2022, the Company was in compliance with the financial covenants and had no outstanding borrowings under the Revolving Credit Facility.</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total interest expense recognized in connection with the Senior Notes for the three and nine months ended June 30, 2022 was $4,261 and $12,761, respectively. The accrued interest on the Senior Notes is included in accrued expenses and other current liabilities and was immaterial as of June 30, 2022. As of June 30, 2022, the noncurrent outstanding principal portion was $650,000.</w:t>
      </w:r>
    </w:p>
    <w:p>
      <w:pPr>
        <w:spacing w:after="0" w:line="18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total estimated fair value of the Senior Notes as of June 30, 2022 was $551,265. The fair value was determined based on the closing trading price of Senior Notes as of June 30, 2022 and is deemed a Level 2 liability within the fair value measurement framework.</w:t>
      </w:r>
    </w:p>
    <w:p>
      <w:pPr>
        <w:spacing w:after="0" w:line="14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June 30, 2022, the Company had additional uncommitted lines of credit available for general corporate and other specific purposes and had outstanding letters of credit and bank guarantees from various banks totaling $76,286.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are issued at or above the market price at the time of grant.</w:t>
      </w:r>
    </w:p>
    <w:p>
      <w:pPr>
        <w:spacing w:after="0" w:line="17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nine months ended June 30, 2022, the Company granted 1,389 restricted shares and restricted stock units. The weighted average fair values associated with these grants were $74.12 per restricted share.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equity-based compensation pre-tax expense for the three and nine months ended June 30, 2022 and 2021 was as follows: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6,020</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$23,740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1,032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4,093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2,876</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6,939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24,867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20,524</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18,122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13,991</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52,700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39,943</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June 30, 2022, there was $82,047 of unrecognized compensation expense related to unvested stock options and unvested restricted shares which is expected to be recognized over a weighted average period of approximately one year, based on the vesting periods of the grants.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2022 and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3320" w:type="dxa"/>
            <w:vAlign w:val="bottom"/>
            <w:vMerge w:val="restart"/>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00" w:type="dxa"/>
            <w:vAlign w:val="bottom"/>
          </w:tcPr>
          <w:p>
            <w:pPr>
              <w:spacing w:after="0"/>
              <w:rPr>
                <w:sz w:val="14"/>
                <w:szCs w:val="14"/>
                <w:color w:val="auto"/>
              </w:rPr>
            </w:pPr>
          </w:p>
        </w:tc>
        <w:tc>
          <w:tcPr>
            <w:tcW w:w="18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22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12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Ordinary Share</w:t>
            </w:r>
          </w:p>
        </w:tc>
        <w:tc>
          <w:tcPr>
            <w:tcW w:w="2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11, 2022</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0.395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30, 2022</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48,180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29, 2022</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February 1, 2022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0.395</w:t>
            </w:r>
          </w:p>
        </w:tc>
        <w:tc>
          <w:tcPr>
            <w:tcW w:w="2000" w:type="dxa"/>
            <w:vAlign w:val="bottom"/>
            <w:gridSpan w:val="3"/>
          </w:tcPr>
          <w:p>
            <w:pPr>
              <w:ind w:left="200"/>
              <w:spacing w:after="0"/>
              <w:rPr>
                <w:sz w:val="20"/>
                <w:szCs w:val="20"/>
                <w:color w:val="auto"/>
              </w:rPr>
            </w:pPr>
            <w:r>
              <w:rPr>
                <w:rFonts w:ascii="Arial" w:cs="Arial" w:eastAsia="Arial" w:hAnsi="Arial"/>
                <w:sz w:val="18"/>
                <w:szCs w:val="18"/>
                <w:color w:val="auto"/>
              </w:rPr>
              <w:t>March 31, 2022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48,527</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April 29, 2022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 2021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December 31, 2021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44,410</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January 28, 2022</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May 12, 2021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2000" w:type="dxa"/>
            <w:vAlign w:val="bottom"/>
            <w:gridSpan w:val="3"/>
          </w:tcPr>
          <w:p>
            <w:pPr>
              <w:ind w:left="200"/>
              <w:spacing w:after="0"/>
              <w:rPr>
                <w:sz w:val="20"/>
                <w:szCs w:val="20"/>
                <w:color w:val="auto"/>
              </w:rPr>
            </w:pPr>
            <w:r>
              <w:rPr>
                <w:rFonts w:ascii="Arial" w:cs="Arial" w:eastAsia="Arial" w:hAnsi="Arial"/>
                <w:sz w:val="18"/>
                <w:szCs w:val="18"/>
                <w:color w:val="auto"/>
              </w:rPr>
              <w:t>June 30, 2021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45,580</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July 23, 2021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2021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March 31, 2021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45,958</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November 10, 2020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0.3275</w:t>
            </w:r>
          </w:p>
        </w:tc>
        <w:tc>
          <w:tcPr>
            <w:tcW w:w="2000" w:type="dxa"/>
            <w:vAlign w:val="bottom"/>
            <w:gridSpan w:val="3"/>
          </w:tcPr>
          <w:p>
            <w:pPr>
              <w:ind w:left="200"/>
              <w:spacing w:after="0"/>
              <w:rPr>
                <w:sz w:val="20"/>
                <w:szCs w:val="20"/>
                <w:color w:val="auto"/>
              </w:rPr>
            </w:pPr>
            <w:r>
              <w:rPr>
                <w:rFonts w:ascii="Arial" w:cs="Arial" w:eastAsia="Arial" w:hAnsi="Arial"/>
                <w:sz w:val="18"/>
                <w:szCs w:val="18"/>
                <w:color w:val="auto"/>
              </w:rPr>
              <w:t>December 31, 2020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42,850</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w w:val="87"/>
              </w:rPr>
              <w:t>January 22, 2021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amounts payable as a result of the May 11, 2022 and May 12, 2021 declarations were included in accrued expenses and other current liabilities as of June 30, 2022 and 2021, respectively.</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On August 3, 2022 the Company’s Board of Directors approved the next quarterly dividend payment of $0.395 per share and set September 30, 2022 as the record date for determining the shareholders entitled to receive the dividend, which is payable on October 28, 2022.</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320" w:top="459" w:right="6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8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prevailing level of macro-economic, business, and operational uncertainty, the duration and severity of the COVID-19 (coronavirus) pandemic, and its impact on the global economy; changes in competition in markets in which we operate; changes in the demand for our products and services; consolidation within the industries in which our customers operate; our ability to derive revenues in the future from our current research and development efforts;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and other risks including the COVID-19 risk, please read the information set forth under the caption “Risk Factors” in our Annual Report on Form 20-F for fiscal year 2021, filed on December 9, 2021 with the U.S. Securities and Exchange Commission.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and help them modernize, automate and digitize their business in the cloud.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offerings, grouped by technology capabilities such as commerce and care, catalog management, monetization, subscription and content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They enable modular expansion as a service provider evolves, ensuring lower cost and reduced-risk implementations, while their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consulting, delivery, quality engineering, operations, systems integration, mobile network services, experience design and content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nine months ended June 30, 2022, customers in North America accounted for 67.6% of our revenue, while customers in Europe and the rest of the world accounted for 12.8% and 19.6%,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results of operations are affected by general economic conditions and the level of economic activity in the industries and markets that we serve. The current COVID-19 pandemic has increased that level of volatility and uncertainty globally and has created economic disruption. While the extent of the impact of the COVID-19 pandemic on our business remains uncertain, we have been able to continue to seamlessly serve our customers and operate their mission-critical systems without interruption. In addition, the prevailing level of macro-economic, business, and operational uncertainty and foreign exchange rates fluctuation, may continue to present challenges in future periods. Although we try to mitigate the foreign currency exchange rates impact on our results through our hedging policy, we cannot assure that we will be able to effectively limit all of our exposure.</w:t>
      </w:r>
    </w:p>
    <w:p>
      <w:pPr>
        <w:spacing w:after="0" w:line="16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$717.9 million and $650.5 million in the three months ended June 30, 2022 and 2021, respectively, and $2.04 billion and $1.91 billion in the nine months ended June 30, 2022 and 2021,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2022 and 2021. Certain items in our consolidated statements of income are reflected as a percentage of revenue (figures may not sum because of rounding):</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2022</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64.5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64.7</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64.7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0" w:type="dxa"/>
            <w:vAlign w:val="bottom"/>
            <w:gridSpan w:val="3"/>
          </w:tcPr>
          <w:p>
            <w:pPr>
              <w:jc w:val="right"/>
              <w:ind w:right="308"/>
              <w:spacing w:after="0"/>
              <w:rPr>
                <w:sz w:val="20"/>
                <w:szCs w:val="20"/>
                <w:color w:val="auto"/>
              </w:rPr>
            </w:pPr>
            <w:r>
              <w:rPr>
                <w:rFonts w:ascii="Arial" w:cs="Arial" w:eastAsia="Arial" w:hAnsi="Arial"/>
                <w:sz w:val="18"/>
                <w:szCs w:val="18"/>
                <w:color w:val="auto"/>
              </w:rPr>
              <w:t>7.7</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7.6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11.7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w w:val="98"/>
              </w:rPr>
              <w:t>Amortization of purchased intangible assets and other</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85.5</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85.5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4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(0.7)</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2640" w:type="dxa"/>
            <w:vAlign w:val="bottom"/>
          </w:tcPr>
          <w:p>
            <w:pPr>
              <w:spacing w:after="0"/>
              <w:rPr>
                <w:sz w:val="18"/>
                <w:szCs w:val="18"/>
                <w:color w:val="auto"/>
              </w:rPr>
            </w:pPr>
          </w:p>
        </w:tc>
        <w:tc>
          <w:tcPr>
            <w:tcW w:w="3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14.2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11.1%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12.3%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40" w:type="dxa"/>
            <w:vAlign w:val="bottom"/>
            <w:vMerge w:val="restart"/>
          </w:tcPr>
          <w:p>
            <w:pPr>
              <w:jc w:val="right"/>
              <w:ind w:right="1990"/>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June 30, 2022 and 2021</w:t>
      </w:r>
    </w:p>
    <w:p>
      <w:pPr>
        <w:spacing w:after="0" w:line="12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2022 compared to the nine months ended June 30, 2021. Following the table is a discussion and analysis of our business and results of operations for such periods.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72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3,410,193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3,201,331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$ 208,862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2,206,189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2,103,601</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102,588</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258,488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231,617</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26,871</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361,240</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37,928</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60,510</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(7,273)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2,917,082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2,756,968</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160,114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48,748</w:t>
            </w: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(9,698)</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(9,294)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226,410</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(216,410)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661,075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(176,956)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96,226</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(32,672)</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420,565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564,849</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(144,284)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$208.9 million, or 6.5%, to $3,410.2 million in the nine months ended June 30, 2022, from $3,201.3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2021. The increase in revenue was attributable primarily to an increase in managed services arrangements and transformation activities in North America reflecting strong business activity building next-generation platforms for our customers and was partially offset by a decrease in revenue as a result of the divestiture of OpenMarket completed on December 31, 2020. Revenue for the nine months ended June 30, 2022, increased by 7.6% compared to the nine months ended June 30, 2021, excluding approximately 1.1% negative foreign exchange fluctuations impact, primarily in Europe.</w:t>
      </w:r>
    </w:p>
    <w:p>
      <w:pPr>
        <w:spacing w:after="0" w:line="19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the nine months ended June 30, 2022, revenue from customers in North America, Europe and the rest of the world accounted for 67.6%, 12.8% and 19.6%, respectively, of total revenue, compared to 64.6%, 14.9% and 20.5%, respectively, in the nine months ended June 30, 2021. The increase in revenue from customers in North America was primarily attributable to higher revenue from managed services arrangements and transformation activities from key customers in North America which was partially offset by the divestiture of OpenMarket completed on December 31, 2020.</w:t>
      </w:r>
    </w:p>
    <w:p>
      <w:pPr>
        <w:spacing w:after="0" w:line="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Revenue from customers in Europe decreased during the nine months ended June 30, 2022, primarily as a result of the impact of negative foreign exchange fluctuations as well as the divestiture of OpenMarket completed on December 31, 2020.</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Revenue from customers in the rest of the world in absolute amount increased while the percentage of total revenue increased at a higher rate, which resulted in a decrease of revenue from customers in rest of the world as a percentage of total revenue. This increase was partially offset by negative foreign exchange fluctuations impact.</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costs of third-party products, as well as fee and royalty payments to software suppliers. Cost of revenue increased by $102.6 million, or 4.9%, to $2,206.2 million in the nine months ended June 30, 2022, from $2,103.6 million in the nine months ended June 30, 2021. The Cost of revenue as a percentage of revenue, decreased to 64.7% in the nine months ended June 30, 2022, from 65.7% in in the nine months ended June 30, 2021. This decrease in cost of revenue as a percentage of revenue was attributable to operational excellence initiatives through automation and new methodologies, the divestiture of OpenMarket completed on December 31, 2020 (as OpenMarket’s cost of revenue as a percentage of revenue was higher than the Company average), and the impact of changes of certain acquisition-related liabilities measured at fair value recognized in the nine months ended June 30, 2022 and June 30, 2021. Our Cost of Revenue also increased as a result of negative foreign exchange impacts.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$26.9 million, or 11.6%, to $258.5 million in the nine months ended June 30, 2022, from $231.6 million in the nine months ended June 30, 2021. Research and development expense increased as a percentage of revenue from 7.2% in the nine months ended June 30, 2021, to 7.6% in the nine months ended June 30, 2022, as we have been accelerating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6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$37.9 million, or 10.5%, to $399.2 million in the nine months ended June 30, 2022, from $361.2 million in the nine months ended June 30, 2021. Selling, general and administrative expense increased as a percentage of revenue from 11.3% in the nine months ended June 30, 2021, to 11.7% in the nine months ended June 30, 2022. The increase as a percentage of revenue was primarily attributable to sales and marketing efforts, and to selling, general and administrative expense attributable to recent completed acquisitions, which were partially offset by decrease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77"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in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decreased by $7.3 million, or 12.0% to $53.2 million from $60.5 million in the nine months ended June 30, 2021. The decrease in amortization of purchased intangible assets and other was primarily attributable to a completion of amortization of previously purchased intangible assets, and to a lesser extent, a decrease in acquisition-related costs, partially offset by an increase in amortization of intangible assets due to recently completed acquisitions.</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$48.7 million, or 11.0%, in the nine months ended June 30, 2022, to $493.1 million, or 14.5%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from $444.4 million, or 13.9% of revenue, in the nine months ended June 30, 2021. Our revenue in the nine months ended June 30, 2022 increased in a higher rate than the increase in cost of revenue, which resulted in an increase in our operating income. The increase in operating income was partially offset by increase in research and development expense and selling, general and administrative expense. Our operating income was negatively affected by foreign exchange impacts.</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b w:val="1"/>
          <w:bCs w:val="1"/>
          <w:i w:val="1"/>
          <w:iCs w:val="1"/>
          <w:color w:val="auto"/>
        </w:rPr>
        <w:t>Interest and Other (Expense) Income,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income, net, changed from a net expense of $9.7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to a net expense of $19.0 million in the nine months ended June 30, 2022. The increase in interest and other (expense) income, net, was primarily attributable to an increase in foreign exchange fluctuation impacts and changes of minority equity investments measured at fair value, partially offset by decrease in interest expenses related to financing activities recorded in the nine months ended June 30, 2022 compared to the nine months ended June 30, 2021.</w:t>
      </w:r>
    </w:p>
    <w:p>
      <w:pPr>
        <w:spacing w:after="0" w:line="188"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Gain from sale of a business. </w:t>
      </w:r>
      <w:r>
        <w:rPr>
          <w:rFonts w:ascii="Arial" w:cs="Arial" w:eastAsia="Arial" w:hAnsi="Arial"/>
          <w:sz w:val="16"/>
          <w:szCs w:val="16"/>
          <w:color w:val="auto"/>
        </w:rPr>
        <w:t>Gain from sale of a business, in the nine months ended June 30, 2022, decreased by $216.4 million, or 95.6%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million from $226.4 million in the nine months ended June 30, 2022. Please see Note 3 to our consolidated financial statements.</w:t>
      </w:r>
    </w:p>
    <w:p>
      <w:pPr>
        <w:spacing w:after="0" w:line="12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the nine months ended June 30, 2022 were $63.6 million on pre-tax income of $484.1 million, resulting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tax rate of 13.1%, compared to 14.6% in the nine months ended June 30, 2021. The decrease in the effective tax rate is primarily attributable to income taxes for the nine months ended June 30, 2022, included a tax benefit recorded that period, see also note 9 to our consolidated financial statement. Our effective tax rate may fluctuate between periods as a result of discrete items that may affect a particular period.</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$144.3 million, or 25.5%, to $420.6 million in the nine months ended June 30, 2022, from $564.8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nine months ended June 30, 2021. The decrease in net income was primarily attributable to the gain from sale of a business, net of tax, which was recorded in the nine months ended June 30, 2021, partially offset by an increase in operating income and a decrease in income taxes in the nine months ended June 30, 2022.</w:t>
      </w:r>
    </w:p>
    <w:p>
      <w:pPr>
        <w:spacing w:after="0" w:line="18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earnings per share decreased by $0.95, or 21.9%, to $3.39 in the nine months ended June 30, 2022,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$4.34 in the nine months ended June 30, 2021. The decrease in diluted earnings per share was primarily attributable to the gain from sale of a business, net of tax, which increased the diluted earnings per share by $0.06 and $1.43 for the nine months ended June 30, 2022 and 2021, respectively. The decrease was partially offset by an increase in operating income, decrease in income taxes and by the decrease in the diluted weighted average number of shares outstanding, which resulted from share repurchases. Please see also Note 10 to our consolidated financial statements.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June 30, 2022 and 2021</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2022 compared to the three months ended June 30, 2021. Following the table is a discussion and analysis of our business and results of operations for such periods.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rPr>
              <w:t>June 30,</w:t>
            </w:r>
          </w:p>
        </w:tc>
        <w:tc>
          <w:tcPr>
            <w:tcW w:w="1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1,160,290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1,066,254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$ 94,036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748,214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689,370</w:t>
            </w: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58,844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89,479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80,794</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8,685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122,401</w:t>
            </w: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13,709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18,770</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(1,597)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911,335</w:t>
            </w: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79,641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154,919</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(8,145)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(2,438.6)</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155,253</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9,103</w:t>
            </w: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23,934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128,466</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146,150</w:t>
            </w:r>
          </w:p>
        </w:tc>
        <w:tc>
          <w:tcPr>
            <w:tcW w:w="3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(17,684</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$94.0 million, or 8.8%, to $1,160.3 million in the three months ended June 30, 2022, from $1,066.3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2021. The increase in revenue was primarily attributable to an increase in managed services arrangements and transformation activities in North America reflecting strong business activity building next-generation platforms for our customers. Revenue for the three months ended June 30, 2022, increased by 10.8% compared to the three months ended June 30, 2021, excluding approximately 2.0% negative foreign exchange fluctuations impact.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three months ended June 30, 2022, revenue from customers in North America, Europe and the rest of the world accounted for 67.9%, 12.6% and 19.5%, respectively, of total revenue, compared to 64.3%, 14.6% and 21.1%, respectively, in the three months ended June 30, 2021. The increase in revenue from customers in North America was primarily attributable to higher revenue from managed services arrangements and transformation activities from key customers in North America.</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from customers in Europe decreased during the three months ended June 30, 2022, primarily as a result of the impact of negative foreign exchange fluctuations. Excluding negative foreign exchange fluctuations, the absolute amount in revenue from customers in Europe increased during the three months ended June 30, 2022.</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Revenue from customers in the rest of the world in absolute amount remained stable while the percentage of total revenue increased at a higher rate, which resulted in a decrease of revenue from customers in rest of the world as a percentage of total revenue. Revenue from customers in rest of the world was negatively affected by foreign exchange fluctuations.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$58.8 million, or 8.5%, to $748.2 million in the three months ended June 30, 2022, from $689.4 million in the three months ended June 30, 2021. The Cost of revenue as a percentage of revenue, decreased to 64.5% in the three months ended June 30, 2022, from 64.7% in the three months ended June 30, 2021. This decrease in cost of revenue as a percentage of revenue was primarily attributable to operational excellence initiatives through automation and new methodologies. Our cost of revenue increased as a result of negative foreign exchange impacts.</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$8.7 million, or 10.7%, to $89.5 million in the three months ended June 30, 2022, from $80.8 million in the three months ended June 30, 2021. Research and development expense increased as a percentage of revenue from 7.6% in the three months ended June 30, 2021, to 7.7% in the three months ended June 30, 2022, as we have been accelerating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$13.7 million, or 11.2%, to $136.1 million in the three months ended June 30, 2022, from $122.4 million in the three months ended June 30, 2021. Selling, general and administrative expense remained relatively stable as a percentage of revenue, 11.5% in the three months ended June 30, 2021, and 11.7% in the three months ended June 30, 2022. Selling, general and administrative expense may fluctuate from time to time, depending upon such factors as changes in our workforce and sales efforts and the results of any operational efficiency programs that we may undertake.</w:t>
      </w:r>
    </w:p>
    <w:p>
      <w:pPr>
        <w:spacing w:after="0" w:line="161"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decreased by $1.6 million, or 8.5% to $17.2 million from $18.8 million in the three months ended June 30, 2021. The decrease in amortization of purchased intangible assets and other was primarily attributable to a completion of amortization of previously purchased intangible assets, partially offset by an increase in amortization of intangible assets due to recently completed acquisitions and, to a lesser extent, an increase in acquisition related costs.</w:t>
      </w:r>
    </w:p>
    <w:p>
      <w:pPr>
        <w:spacing w:after="0" w:line="18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$14.4 million, or 9.3%, in the three months ended June 30, 2022, to $169.3 million, or 14.6%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revenue, from $154.9 million, or 14.5% of revenue, in the three months ended June 30, 2021. The increase in operating income was attributable primarily to the benefit of operational excellence initiatives, partially offset by increase in selling, general and administrative expense and research and development expense. Our operating income was negatively affected by foreign exchange impacts.</w:t>
      </w:r>
    </w:p>
    <w:p>
      <w:pPr>
        <w:spacing w:after="0" w:line="17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b w:val="1"/>
          <w:bCs w:val="1"/>
          <w:i w:val="1"/>
          <w:iCs w:val="1"/>
          <w:color w:val="auto"/>
        </w:rPr>
        <w:t>Interest and Other (Expense) Income,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income, net, changed from a net income of $0.3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to a net expense of $7.8 million in the three months ended June 30, 2022. The increase in interest and other (expense) income, net, was primarily attributable to an increase in foreign exchange fluctuation impacts and changes of minority equity investments measured at fair value, partially offset by decrease in interest expenses related to financing activities recorded in the three months ended June 30, 2022 compared to the three months ended June 30, 2021.</w:t>
      </w:r>
    </w:p>
    <w:p>
      <w:pPr>
        <w:spacing w:after="0" w:line="18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2022 were $33.0 million on pre-tax income of $161.5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20.5%, compared to 5.9% in the three months ended June 30, 2021. Our effective tax rate may fluctuate between periods as a result of discrete items that may affect a particular period. Please see Note 9 to our consolidated financial statements.</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$17.7 million, or 12.1%, to $128.5 million in the three months ended June 30, 2022, from $146.2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2021. The decrease in net income during the three months ended June 30, 2022 was primarily attributable to the increase in income taxes, partially offset by an increase in operating income.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decreased by $0.1, or 8.8%, to $1.04 in the three months ended June 30,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$1.14 in the three months ended June 30, 2021. The decrease in diluted earnings per share was primarily attributable to the decrease in net income during the three months ended June 30, 2022, partially offset by a decrease in the diluted weighted average number of shares outstanding which resulted from share repurchases. Please see also Note 10 to our consolidated financial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r>
        <w:rPr>
          <w:rFonts w:ascii="Arial" w:cs="Arial" w:eastAsia="Arial" w:hAnsi="Arial"/>
          <w:sz w:val="16"/>
          <w:szCs w:val="16"/>
          <w:i w:val="1"/>
          <w:iCs w:val="1"/>
          <w:color w:val="auto"/>
        </w:rPr>
        <w:t xml:space="preserve"> </w:t>
      </w:r>
      <w:r>
        <w:rPr>
          <w:rFonts w:ascii="Arial" w:cs="Arial" w:eastAsia="Arial" w:hAnsi="Arial"/>
          <w:sz w:val="16"/>
          <w:szCs w:val="16"/>
          <w:color w:val="auto"/>
        </w:rPr>
        <w:t>$850.3 million as of June 30, 2022, compared to $965.6 million as of September 30, 2021. The decrease was mainly attributable to $400.9 million repurchase of our ordinary shares pursuant to our repurchase program, $145.4 million for capital expenditures, net, $137.9 million of cash dividend payment, and $30.6 million payments for business acquisitions, partially offset by $539.8 million positive cash flow from operating activities, reflecting healthy cash collections, $73.0 million of proceeds from stock option exercises and additional $10.0 million cash received from sale of a business. Net cash provided by operating activities amounted to $539.8 million and $726.1 million in the nine months ended June 30, 2022 and 2021, respectively. The net cash provided in the nine months ended June 30, 2021 included the cash benefit of a multi-year strategic partnership agreement with T-Mobile.</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free cash flow for the nine months ended June 30, 2022 was $394.4 million and is calculated as net cash provided by operating activities of $539.8 million for the period less $145.4 million for capital expenditures, net (which included capital expenditures of $77.7 million as part of our investment in our new campus in Israel).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twelve months.</w:t>
      </w:r>
    </w:p>
    <w:p>
      <w:pPr>
        <w:spacing w:after="0" w:line="184"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municipal bonds, which are stated at market value. We believe we have conservative investment policy guidelines. Our interest-bearing investments are stated at fair value with the unrealized gains or losses reported as a separate component of accumulated other comprehensive (loss) income,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2022 and 2021, we did not recognize any credit losses. Please see Notes 5 and 6 to the consolidated financial statements.</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Revolving Credit Facility, Loans, Senior Notes, Letters of Credit, Guarantees and Contractual Obligations. </w:t>
      </w:r>
      <w:r>
        <w:rPr>
          <w:rFonts w:ascii="Arial" w:cs="Arial" w:eastAsia="Arial" w:hAnsi="Arial"/>
          <w:sz w:val="16"/>
          <w:szCs w:val="16"/>
          <w:color w:val="auto"/>
        </w:rPr>
        <w:t>In December 2011, we entered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June 30, 2022, we were in compliance with the financial covenants and had no outstanding borrowing under the Revolving Credit Facility.</w:t>
      </w:r>
    </w:p>
    <w:p>
      <w:pPr>
        <w:spacing w:after="0" w:line="15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June 30, 2022, the noncurrent outstanding principal portion was $650.0 million, please see Note 12 to our consolidated financial statements.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June 30, 2022, we had additional uncommitted lines of credit available for general corporate and other specific purposes and had outstanding letters of credit and bank guarantees from various banks totaling $76.3 million. These were supported by a combination of the uncommitted lines of credit that we maintain with various banks.</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have contractual obligations for Long-term and Short-term debt and accrued interests,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2021, filed on December 9, 2021 with the SEC. Since September 30, 2021, there have been no material changes in our aggregate contractual obligations mentioned above.</w:t>
      </w:r>
    </w:p>
    <w:p>
      <w:pPr>
        <w:spacing w:after="0" w:line="15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the majority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$145.4 million in the nine months ended June 30, 2022 and were mainly attributable to investments in our operating facilities and our development centers around the world (including the investment in our new campus in Israel).</w:t>
      </w:r>
    </w:p>
    <w:p>
      <w:pPr>
        <w:spacing w:after="0" w:line="18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total net investment we expect to make in connection with the construction of the new campus is estimated to be approximately $350 million over a period of five years, starting with fiscal year 2018, out of which approximately $96 million was incurred in fiscal year 2018 by both us and our partner Union at equal portions (i.e. our net investment was approximately $48 million), $7 million was incurred by us in fiscal year 2019 (which is net of proceed of $9.7 million relating to the refund of betterment levy), $63 million was incurred by us in fiscal year 2020 and $101 million was incurred by us in fiscal year 2021. We expect to incur approximately $110 million in fiscal year 2022, the majority of which has been incurred as of June 30, 2022. In addition, we expect to complete and start occupying our campus during the later part of calendar year 2022.</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can adopt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On May 12, 2021, our Board of Directors adopted a share repurchase plan authorizing the repurchase of up to $1.0 billion of our outstanding ordinary shares with no expiration date. During the nine months ended June 30, 2022, we repurchased approximately 5.2 million ordinary shares at an average price of $77.05 per share (excluding broker and transaction fees). The May 2021 plan permits us to purchase our ordinary shares in the open market or through privately negotiated transactions at times and prices that we consider appropriate. As of June 30, 2022, we had remaining authority to repurchase up to $597.6 million of our outstanding ordinary shares under the May 2021 plan.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2022 and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68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Dividends Per</w:t>
            </w:r>
          </w:p>
        </w:tc>
        <w:tc>
          <w:tcPr>
            <w:tcW w:w="17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2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Ordinary Share</w:t>
            </w:r>
          </w:p>
        </w:tc>
        <w:tc>
          <w:tcPr>
            <w:tcW w:w="1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w w:val="89"/>
              </w:rPr>
              <w:t>in millions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11, 2022</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0.395</w:t>
            </w:r>
          </w:p>
        </w:tc>
        <w:tc>
          <w:tcPr>
            <w:tcW w:w="4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June 30, 2022</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48.2</w:t>
            </w:r>
          </w:p>
        </w:tc>
        <w:tc>
          <w:tcPr>
            <w:tcW w:w="4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July 29, 2022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February 1, 2022</w:t>
            </w:r>
          </w:p>
        </w:tc>
        <w:tc>
          <w:tcPr>
            <w:tcW w:w="1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0.395</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March 31, 2022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48.5</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April 29, 2022</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 2021</w:t>
            </w:r>
          </w:p>
        </w:tc>
        <w:tc>
          <w:tcPr>
            <w:tcW w:w="16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0.36</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December 31, 2021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44.4</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January 28, 2022</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May 12, 2021</w:t>
            </w:r>
          </w:p>
        </w:tc>
        <w:tc>
          <w:tcPr>
            <w:tcW w:w="1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0.36</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June 30, 2021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45.6</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July 23, 2021</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2021</w:t>
            </w:r>
          </w:p>
        </w:tc>
        <w:tc>
          <w:tcPr>
            <w:tcW w:w="16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0.36</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March 31, 2021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46.0</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November 10, 2020</w:t>
            </w:r>
          </w:p>
        </w:tc>
        <w:tc>
          <w:tcPr>
            <w:tcW w:w="1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0.3275</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December 31, 2020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42.9</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0"/>
              </w:rPr>
              <w:t>January 22, 2021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August 3, 2022, our Board of Directors approved the next quarterly dividend payment of $0.395 and set September 30, 2022 as the record date for determining the shareholders entitled to receive the dividend, which is payable on October 28, 2022.</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During the nine months ended June 30, 2022 and 2021,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2022 of equity securities that are registered by us pursuant to Section 12 of the Exchange Act:</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680" w:type="dxa"/>
            <w:vAlign w:val="bottom"/>
            <w:vMerge w:val="restart"/>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06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5"/>
                <w:szCs w:val="15"/>
                <w:color w:val="auto"/>
              </w:rPr>
            </w:pPr>
          </w:p>
        </w:tc>
        <w:tc>
          <w:tcPr>
            <w:tcW w:w="16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Paid per Share(1)</w:t>
            </w: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or Programs(2)</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04/01/22-04/30/22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390,067</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82.59</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390,067</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665,398,244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05/01/22-05/31/22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575,231</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80.88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575,231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618,873,069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06/01/22-06/30/22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255,530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83.10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255,530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597,639,241</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1,220,828</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81.89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1,220,828</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597,639,241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right="20" w:hanging="424"/>
        <w:spacing w:after="0" w:line="255"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May 12, 2021, our Board of Directors adopted a share repurchase plan for the repurchase of up to $1.0 billion of our outstanding ordinary shares. The authorizations have no expiration date and permit us to purchase our ordinary shares in open market or privately negotiated transactions at times and prices we consider appropriate.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2022:</w:t>
      </w:r>
    </w:p>
    <w:p>
      <w:pPr>
        <w:spacing w:after="0" w:line="117" w:lineRule="exact"/>
        <w:rPr>
          <w:sz w:val="20"/>
          <w:szCs w:val="20"/>
          <w:color w:val="auto"/>
        </w:rPr>
      </w:pPr>
    </w:p>
    <w:p>
      <w:pPr>
        <w:ind w:left="820" w:hanging="2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6-K dated May 12, 2022</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6-K dated May 24, 2022</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40"/>
          </w:cols>
          <w:pgMar w:left="320" w:top="459" w:right="8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Secretary and Authorized Signatory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15, 2022</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33</w:t>
      </w:r>
    </w:p>
    <w:sectPr>
      <w:pgSz w:w="11900" w:h="16838" w:orient="portrait"/>
      <w:cols w:equalWidth="0" w:num="1">
        <w:col w:w="10820"/>
      </w:cols>
      <w:pgMar w:left="320" w:top="45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2022-08-15T16:43:34Z</dcterms:created>
  <dcterms:modified xsi:type="dcterms:W3CDTF">2022-08-15T16:43:34Z</dcterms:modified>
</cp:coreProperties>
</file>