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37" w:lineRule="exact"/>
        <w:rPr>
          <w:sz w:val="24"/>
          <w:szCs w:val="24"/>
          <w:color w:val="auto"/>
        </w:rPr>
      </w:pPr>
    </w:p>
    <w:p>
      <w:pPr>
        <w:ind w:left="5580" w:right="1400" w:hanging="5572"/>
        <w:spacing w:after="0" w:line="282"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7" w:lineRule="exact"/>
        <w:rPr>
          <w:sz w:val="24"/>
          <w:szCs w:val="24"/>
          <w:color w:val="auto"/>
        </w:rPr>
      </w:pPr>
    </w:p>
    <w:p>
      <w:pPr>
        <w:ind w:left="4040" w:right="2400" w:hanging="4032"/>
        <w:spacing w:after="0" w:line="29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2016</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580" w:right="2040" w:hanging="5572"/>
        <w:spacing w:after="0" w:line="289" w:lineRule="auto"/>
        <w:tabs>
          <w:tab w:leader="none" w:pos="451"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13"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Date of event requiring this shell company report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5540" w:type="dxa"/>
            <w:vAlign w:val="bottom"/>
          </w:tcPr>
          <w:p>
            <w:pPr>
              <w:ind w:left="3240"/>
              <w:spacing w:after="0" w:line="190" w:lineRule="exact"/>
              <w:rPr>
                <w:sz w:val="20"/>
                <w:szCs w:val="20"/>
                <w:color w:val="auto"/>
              </w:rPr>
            </w:pPr>
            <w:r>
              <w:rPr>
                <w:rFonts w:ascii="Arial" w:cs="Arial" w:eastAsia="Arial" w:hAnsi="Arial"/>
                <w:sz w:val="18"/>
                <w:szCs w:val="18"/>
                <w:b w:val="1"/>
                <w:bCs w:val="1"/>
                <w:color w:val="auto"/>
                <w:w w:val="90"/>
              </w:rPr>
              <w:t>For the transition period from</w:t>
            </w:r>
          </w:p>
        </w:tc>
        <w:tc>
          <w:tcPr>
            <w:tcW w:w="700" w:type="dxa"/>
            <w:vAlign w:val="bottom"/>
            <w:tcBorders>
              <w:bottom w:val="single" w:sz="8" w:color="auto"/>
            </w:tcBorders>
          </w:tcPr>
          <w:p>
            <w:pPr>
              <w:spacing w:after="0"/>
              <w:rPr>
                <w:sz w:val="16"/>
                <w:szCs w:val="16"/>
                <w:color w:val="auto"/>
              </w:rPr>
            </w:pPr>
          </w:p>
        </w:tc>
        <w:tc>
          <w:tcPr>
            <w:tcW w:w="240" w:type="dxa"/>
            <w:vAlign w:val="bottom"/>
          </w:tcPr>
          <w:p>
            <w:pPr>
              <w:ind w:left="60"/>
              <w:spacing w:after="0" w:line="190" w:lineRule="exact"/>
              <w:rPr>
                <w:sz w:val="20"/>
                <w:szCs w:val="20"/>
                <w:color w:val="auto"/>
              </w:rPr>
            </w:pPr>
            <w:r>
              <w:rPr>
                <w:rFonts w:ascii="Arial" w:cs="Arial" w:eastAsia="Arial" w:hAnsi="Arial"/>
                <w:sz w:val="18"/>
                <w:szCs w:val="18"/>
                <w:b w:val="1"/>
                <w:bCs w:val="1"/>
                <w:color w:val="auto"/>
                <w:w w:val="93"/>
              </w:rPr>
              <w:t>to</w:t>
            </w:r>
          </w:p>
        </w:tc>
        <w:tc>
          <w:tcPr>
            <w:tcW w:w="700" w:type="dxa"/>
            <w:vAlign w:val="bottom"/>
            <w:tcBorders>
              <w:bottom w:val="single" w:sz="8" w:color="auto"/>
            </w:tcBorders>
          </w:tcPr>
          <w:p>
            <w:pPr>
              <w:spacing w:after="0"/>
              <w:rPr>
                <w:sz w:val="16"/>
                <w:szCs w:val="16"/>
                <w:color w:val="auto"/>
              </w:rPr>
            </w:pPr>
          </w:p>
        </w:tc>
        <w:tc>
          <w:tcPr>
            <w:tcW w:w="10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35"/>
        </w:trPr>
        <w:tc>
          <w:tcPr>
            <w:tcW w:w="7180" w:type="dxa"/>
            <w:vAlign w:val="bottom"/>
            <w:gridSpan w:val="4"/>
          </w:tcPr>
          <w:p>
            <w:pPr>
              <w:ind w:left="3980"/>
              <w:spacing w:after="0"/>
              <w:rPr>
                <w:sz w:val="20"/>
                <w:szCs w:val="20"/>
                <w:color w:val="auto"/>
              </w:rPr>
            </w:pPr>
            <w:r>
              <w:rPr>
                <w:rFonts w:ascii="Arial" w:cs="Arial" w:eastAsia="Arial" w:hAnsi="Arial"/>
                <w:sz w:val="18"/>
                <w:szCs w:val="18"/>
                <w:b w:val="1"/>
                <w:bCs w:val="1"/>
                <w:color w:val="auto"/>
              </w:rPr>
              <w:t>Commission File Number 1-14840</w:t>
            </w:r>
          </w:p>
        </w:tc>
        <w:tc>
          <w:tcPr>
            <w:tcW w:w="1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215900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AMDOCS LIMITED</w:t>
      </w:r>
    </w:p>
    <w:p>
      <w:pPr>
        <w:spacing w:after="0" w:line="49"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4"/>
          <w:szCs w:val="14"/>
          <w:b w:val="1"/>
          <w:bCs w:val="1"/>
          <w:u w:val="single" w:color="auto"/>
          <w:color w:val="auto"/>
        </w:rPr>
        <w:t>Island of Guernsey</w:t>
      </w:r>
    </w:p>
    <w:p>
      <w:pPr>
        <w:jc w:val="center"/>
        <w:ind w:right="-19"/>
        <w:spacing w:after="0" w:line="223"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St. Peter Port, Island of Guernsey, GY1 2NG</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Matthew E. Smith</w:t>
      </w:r>
    </w:p>
    <w:p>
      <w:pPr>
        <w:jc w:val="center"/>
        <w:ind w:right="-19"/>
        <w:spacing w:after="0" w:line="223"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2"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gridSpan w:val="2"/>
          </w:tcPr>
          <w:p>
            <w:pPr>
              <w:jc w:val="right"/>
              <w:ind w:right="4092"/>
              <w:spacing w:after="0"/>
              <w:rPr>
                <w:sz w:val="20"/>
                <w:szCs w:val="20"/>
                <w:color w:val="auto"/>
              </w:rPr>
            </w:pPr>
            <w:r>
              <w:rPr>
                <w:rFonts w:ascii="Arial" w:cs="Arial" w:eastAsia="Arial" w:hAnsi="Arial"/>
                <w:sz w:val="14"/>
                <w:szCs w:val="14"/>
                <w:b w:val="1"/>
                <w:bCs w:val="1"/>
                <w:color w:val="auto"/>
                <w:w w:val="85"/>
              </w:rPr>
              <w:t>Title of Each Class</w:t>
            </w: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w w:val="78"/>
              </w:rPr>
              <w:t>Ordinary</w:t>
            </w: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78"/>
              </w:rPr>
              <w:t>Shares, par value</w:t>
            </w:r>
          </w:p>
        </w:tc>
        <w:tc>
          <w:tcPr>
            <w:tcW w:w="4220" w:type="dxa"/>
            <w:vAlign w:val="bottom"/>
          </w:tcPr>
          <w:p>
            <w:pPr>
              <w:jc w:val="right"/>
              <w:ind w:right="3772"/>
              <w:spacing w:after="0" w:line="155" w:lineRule="exact"/>
              <w:rPr>
                <w:sz w:val="20"/>
                <w:szCs w:val="20"/>
                <w:color w:val="auto"/>
              </w:rPr>
            </w:pPr>
            <w:r>
              <w:rPr>
                <w:rFonts w:ascii="Arial" w:cs="Arial" w:eastAsia="Arial" w:hAnsi="Arial"/>
                <w:sz w:val="14"/>
                <w:szCs w:val="14"/>
                <w:color w:val="auto"/>
              </w:rPr>
              <w:t>£0.01</w:t>
            </w:r>
          </w:p>
        </w:tc>
        <w:tc>
          <w:tcPr>
            <w:tcW w:w="216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rPr>
              <w:t>Nasdaq Global Select Market</w:t>
            </w:r>
          </w:p>
        </w:tc>
        <w:tc>
          <w:tcPr>
            <w:tcW w:w="160" w:type="dxa"/>
            <w:vAlign w:val="bottom"/>
          </w:tcPr>
          <w:p>
            <w:pPr>
              <w:spacing w:after="0"/>
              <w:rPr>
                <w:sz w:val="14"/>
                <w:szCs w:val="14"/>
                <w:color w:val="auto"/>
              </w:rPr>
            </w:pP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128905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jc w:val="center"/>
        <w:ind w:right="1700"/>
        <w:spacing w:after="0"/>
        <w:rPr>
          <w:sz w:val="20"/>
          <w:szCs w:val="20"/>
          <w:color w:val="auto"/>
        </w:rPr>
      </w:pPr>
      <w:r>
        <w:rPr>
          <w:rFonts w:ascii="Arial" w:cs="Arial" w:eastAsia="Arial" w:hAnsi="Arial"/>
          <w:sz w:val="12"/>
          <w:szCs w:val="12"/>
          <w:color w:val="auto"/>
        </w:rPr>
        <w:t>Ordinary Shares, par value £0.01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220"/>
        <w:spacing w:after="0"/>
        <w:rPr>
          <w:sz w:val="20"/>
          <w:szCs w:val="20"/>
          <w:color w:val="auto"/>
        </w:rPr>
      </w:pPr>
      <w:r>
        <w:rPr>
          <w:rFonts w:ascii="Arial" w:cs="Arial" w:eastAsia="Arial" w:hAnsi="Arial"/>
          <w:sz w:val="14"/>
          <w:szCs w:val="14"/>
          <w:color w:val="auto"/>
        </w:rPr>
        <w:t>147,134,228(1)</w:t>
      </w:r>
    </w:p>
    <w:p>
      <w:pPr>
        <w:jc w:val="center"/>
        <w:ind w:right="2220"/>
        <w:spacing w:after="0"/>
        <w:rPr>
          <w:sz w:val="20"/>
          <w:szCs w:val="20"/>
          <w:color w:val="auto"/>
        </w:rPr>
      </w:pPr>
      <w:r>
        <w:rPr>
          <w:rFonts w:ascii="Arial" w:cs="Arial" w:eastAsia="Arial" w:hAnsi="Arial"/>
          <w:sz w:val="12"/>
          <w:szCs w:val="12"/>
          <w:color w:val="auto"/>
        </w:rPr>
        <w:t>(Number of shares)</w:t>
      </w:r>
    </w:p>
    <w:p>
      <w:pPr>
        <w:spacing w:after="0" w:line="23"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85" w:lineRule="exact"/>
        <w:rPr>
          <w:sz w:val="24"/>
          <w:szCs w:val="24"/>
          <w:color w:val="auto"/>
        </w:rPr>
      </w:pPr>
    </w:p>
    <w:p>
      <w:pPr>
        <w:sectPr>
          <w:pgSz w:w="11900" w:h="16838" w:orient="portrait"/>
          <w:cols w:equalWidth="0" w:num="5">
            <w:col w:w="6700" w:space="120"/>
            <w:col w:w="200" w:space="60"/>
            <w:col w:w="120" w:space="140"/>
            <w:col w:w="160" w:space="80"/>
            <w:col w:w="3840"/>
          </w:cols>
          <w:pgMar w:left="240" w:top="230" w:right="239" w:bottom="1440" w:gutter="0" w:footer="0" w:header="0"/>
          <w:type w:val="continuous"/>
        </w:sectPr>
      </w:pPr>
    </w:p>
    <w:p>
      <w:pPr>
        <w:ind w:right="1340" w:firstLine="342"/>
        <w:spacing w:after="0" w:line="16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5" w:lineRule="exact"/>
        <w:rPr>
          <w:sz w:val="24"/>
          <w:szCs w:val="24"/>
          <w:color w:val="auto"/>
        </w:rPr>
      </w:pPr>
    </w:p>
    <w:p>
      <w:pPr>
        <w:spacing w:after="0" w:line="161" w:lineRule="exact"/>
        <w:tabs>
          <w:tab w:leader="none" w:pos="6560" w:val="left"/>
          <w:tab w:leader="none" w:pos="10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230" w:right="239" w:bottom="1440" w:gutter="0" w:footer="0" w:header="0"/>
          <w:type w:val="continuous"/>
        </w:sectPr>
      </w:pPr>
    </w:p>
    <w:p>
      <w:pPr>
        <w:spacing w:after="0" w:line="42" w:lineRule="exact"/>
        <w:rPr>
          <w:sz w:val="24"/>
          <w:szCs w:val="24"/>
          <w:color w:val="auto"/>
        </w:rPr>
      </w:pPr>
    </w:p>
    <w:p>
      <w:pPr>
        <w:ind w:left="920"/>
        <w:spacing w:after="0"/>
        <w:rPr>
          <w:sz w:val="20"/>
          <w:szCs w:val="20"/>
          <w:color w:val="auto"/>
        </w:rPr>
      </w:pPr>
      <w:r>
        <w:rPr>
          <w:rFonts w:ascii="Arial" w:cs="Arial" w:eastAsia="Arial" w:hAnsi="Arial"/>
          <w:sz w:val="12"/>
          <w:szCs w:val="12"/>
          <w:color w:val="auto"/>
        </w:rPr>
        <w:t>U.S. GAAP</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right"/>
        <w:spacing w:after="0" w:line="283" w:lineRule="auto"/>
        <w:rPr>
          <w:sz w:val="20"/>
          <w:szCs w:val="20"/>
          <w:color w:val="auto"/>
        </w:rPr>
      </w:pPr>
      <w:r>
        <w:rPr>
          <w:rFonts w:ascii="Arial" w:cs="Arial" w:eastAsia="Arial" w:hAnsi="Arial"/>
          <w:sz w:val="12"/>
          <w:szCs w:val="12"/>
          <w:color w:val="auto"/>
        </w:rPr>
        <w:t>International Financial Reporting Standards as issued by the International Accounting Standards Board</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color w:val="auto"/>
        </w:rPr>
        <w:t>Other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6">
            <w:col w:w="1560" w:space="80"/>
            <w:col w:w="2080" w:space="720"/>
            <w:col w:w="2880" w:space="60"/>
            <w:col w:w="1900" w:space="720"/>
            <w:col w:w="320" w:space="60"/>
            <w:col w:w="1040"/>
          </w:cols>
          <w:pgMar w:left="240" w:top="230" w:right="239" w:bottom="1440" w:gutter="0" w:footer="0" w:header="0"/>
          <w:type w:val="continuous"/>
        </w:sectPr>
      </w:pPr>
    </w:p>
    <w:p>
      <w:pPr>
        <w:spacing w:after="0" w:line="25"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5">
            <w:col w:w="7900" w:space="120"/>
            <w:col w:w="200" w:space="80"/>
            <w:col w:w="120" w:space="140"/>
            <w:col w:w="160" w:space="60"/>
            <w:col w:w="2640"/>
          </w:cols>
          <w:pgMar w:left="240" w:top="230" w:right="239" w:bottom="1440" w:gutter="0" w:footer="0" w:header="0"/>
          <w:type w:val="continuous"/>
        </w:sectPr>
      </w:pPr>
    </w:p>
    <w:p>
      <w:pPr>
        <w:ind w:left="340" w:right="26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123,862,565 shares held in treasury. Does not include 7,762,679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6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rPr>
              <w:t>AMDOCS LIMITED</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760" w:type="dxa"/>
            <w:vAlign w:val="bottom"/>
            <w:gridSpan w:val="9"/>
          </w:tcPr>
          <w:p>
            <w:pPr>
              <w:jc w:val="center"/>
              <w:ind w:right="3600"/>
              <w:spacing w:after="0"/>
              <w:rPr>
                <w:sz w:val="20"/>
                <w:szCs w:val="20"/>
                <w:color w:val="auto"/>
              </w:rPr>
            </w:pPr>
            <w:r>
              <w:rPr>
                <w:rFonts w:ascii="Arial" w:cs="Arial" w:eastAsia="Arial" w:hAnsi="Arial"/>
                <w:sz w:val="18"/>
                <w:szCs w:val="18"/>
                <w:b w:val="1"/>
                <w:bCs w:val="1"/>
                <w:color w:val="auto"/>
                <w:w w:val="96"/>
              </w:rPr>
              <w:t>FORM 20-F</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40" w:type="dxa"/>
            <w:vAlign w:val="bottom"/>
            <w:gridSpan w:val="27"/>
          </w:tcPr>
          <w:p>
            <w:pPr>
              <w:jc w:val="center"/>
              <w:ind w:right="1140"/>
              <w:spacing w:after="0"/>
              <w:rPr>
                <w:sz w:val="20"/>
                <w:szCs w:val="20"/>
                <w:color w:val="auto"/>
              </w:rPr>
            </w:pPr>
            <w:r>
              <w:rPr>
                <w:rFonts w:ascii="Arial" w:cs="Arial" w:eastAsia="Arial" w:hAnsi="Arial"/>
                <w:sz w:val="18"/>
                <w:szCs w:val="18"/>
                <w:b w:val="1"/>
                <w:bCs w:val="1"/>
                <w:color w:val="auto"/>
                <w:w w:val="96"/>
              </w:rPr>
              <w:t>ANNUAL REPORT FOR THE FISCAL YEAR ENDED SEPTEMBER 30, 2016</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rPr>
              <w:t>INDEX</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0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3940" w:type="dxa"/>
            <w:vAlign w:val="bottom"/>
            <w:tcBorders>
              <w:bottom w:val="single" w:sz="8" w:color="CCEEFF"/>
            </w:tcBorders>
            <w:gridSpan w:val="4"/>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w:t>
            </w:r>
          </w:p>
        </w:tc>
        <w:tc>
          <w:tcPr>
            <w:tcW w:w="8780" w:type="dxa"/>
            <w:vAlign w:val="bottom"/>
            <w:gridSpan w:val="3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2.</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Offer Statistics and Expected Timetable</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3.</w:t>
            </w:r>
          </w:p>
        </w:tc>
        <w:tc>
          <w:tcPr>
            <w:tcW w:w="28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5980" w:type="dxa"/>
            <w:vAlign w:val="bottom"/>
            <w:tcBorders>
              <w:top w:val="single" w:sz="8" w:color="CCEEFF"/>
            </w:tcBorders>
            <w:gridSpan w:val="18"/>
          </w:tcPr>
          <w:p>
            <w:pPr>
              <w:spacing w:after="0"/>
              <w:rPr>
                <w:sz w:val="15"/>
                <w:szCs w:val="15"/>
                <w:color w:val="auto"/>
              </w:rPr>
            </w:pPr>
          </w:p>
        </w:tc>
        <w:tc>
          <w:tcPr>
            <w:tcW w:w="152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4.</w:t>
            </w:r>
          </w:p>
        </w:tc>
        <w:tc>
          <w:tcPr>
            <w:tcW w:w="20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Information on the Company</w:t>
              </w:r>
            </w:hyperlink>
          </w:p>
        </w:tc>
        <w:tc>
          <w:tcPr>
            <w:tcW w:w="6720" w:type="dxa"/>
            <w:vAlign w:val="bottom"/>
            <w:tcBorders>
              <w:bottom w:val="single" w:sz="8" w:color="CCEEFF"/>
            </w:tcBorders>
            <w:gridSpan w:val="21"/>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4A.</w:t>
            </w:r>
          </w:p>
        </w:tc>
        <w:tc>
          <w:tcPr>
            <w:tcW w:w="8780" w:type="dxa"/>
            <w:vAlign w:val="bottom"/>
            <w:gridSpan w:val="3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5.</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Operating and Financial Review and Prospects</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6.</w:t>
            </w:r>
          </w:p>
        </w:tc>
        <w:tc>
          <w:tcPr>
            <w:tcW w:w="3300" w:type="dxa"/>
            <w:vAlign w:val="bottom"/>
            <w:tcBorders>
              <w:top w:val="single" w:sz="8" w:color="0000EE"/>
              <w:bottom w:val="single" w:sz="8" w:color="0000EE"/>
            </w:tcBorders>
            <w:gridSpan w:val="16"/>
          </w:tcPr>
          <w:p>
            <w:pPr>
              <w:spacing w:after="0" w:line="17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Directors, Senior Management and Employees</w:t>
              </w:r>
            </w:hyperlink>
          </w:p>
        </w:tc>
        <w:tc>
          <w:tcPr>
            <w:tcW w:w="5480" w:type="dxa"/>
            <w:vAlign w:val="bottom"/>
            <w:tcBorders>
              <w:top w:val="single" w:sz="8" w:color="CCEEFF"/>
            </w:tcBorders>
            <w:gridSpan w:val="16"/>
          </w:tcPr>
          <w:p>
            <w:pPr>
              <w:spacing w:after="0"/>
              <w:rPr>
                <w:sz w:val="15"/>
                <w:szCs w:val="15"/>
                <w:color w:val="auto"/>
              </w:rPr>
            </w:pPr>
          </w:p>
        </w:tc>
        <w:tc>
          <w:tcPr>
            <w:tcW w:w="152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7.</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Major Shareholders and Related Party Transactions</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8.</w:t>
            </w:r>
          </w:p>
        </w:tc>
        <w:tc>
          <w:tcPr>
            <w:tcW w:w="36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Financial Information</w:t>
              </w:r>
            </w:hyperlink>
          </w:p>
        </w:tc>
        <w:tc>
          <w:tcPr>
            <w:tcW w:w="5160" w:type="dxa"/>
            <w:vAlign w:val="bottom"/>
            <w:tcBorders>
              <w:top w:val="single" w:sz="8" w:color="CCEEFF"/>
            </w:tcBorders>
            <w:gridSpan w:val="13"/>
          </w:tcPr>
          <w:p>
            <w:pPr>
              <w:spacing w:after="0"/>
              <w:rPr>
                <w:sz w:val="15"/>
                <w:szCs w:val="15"/>
                <w:color w:val="auto"/>
              </w:rPr>
            </w:pPr>
          </w:p>
        </w:tc>
        <w:tc>
          <w:tcPr>
            <w:tcW w:w="152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9.</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The Offer and Listing</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10.</w:t>
            </w:r>
          </w:p>
        </w:tc>
        <w:tc>
          <w:tcPr>
            <w:tcW w:w="8780" w:type="dxa"/>
            <w:vAlign w:val="bottom"/>
            <w:gridSpan w:val="32"/>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Additional Information</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11.</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12.</w:t>
            </w:r>
          </w:p>
        </w:tc>
        <w:tc>
          <w:tcPr>
            <w:tcW w:w="426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Securities Other than Equity Securities</w:t>
              </w:r>
            </w:hyperlink>
          </w:p>
        </w:tc>
        <w:tc>
          <w:tcPr>
            <w:tcW w:w="4520" w:type="dxa"/>
            <w:vAlign w:val="bottom"/>
            <w:tcBorders>
              <w:top w:val="single" w:sz="8" w:color="CCEEFF"/>
            </w:tcBorders>
            <w:gridSpan w:val="8"/>
          </w:tcPr>
          <w:p>
            <w:pPr>
              <w:spacing w:after="0"/>
              <w:rPr>
                <w:sz w:val="15"/>
                <w:szCs w:val="15"/>
                <w:color w:val="auto"/>
              </w:rPr>
            </w:pPr>
          </w:p>
        </w:tc>
        <w:tc>
          <w:tcPr>
            <w:tcW w:w="152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PART II</w:t>
              </w:r>
            </w:hyperlink>
          </w:p>
        </w:tc>
        <w:tc>
          <w:tcPr>
            <w:tcW w:w="4120" w:type="dxa"/>
            <w:vAlign w:val="bottom"/>
            <w:tcBorders>
              <w:bottom w:val="single" w:sz="8" w:color="CCEEFF"/>
            </w:tcBorders>
            <w:gridSpan w:val="6"/>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13.</w:t>
            </w:r>
          </w:p>
        </w:tc>
        <w:tc>
          <w:tcPr>
            <w:tcW w:w="8780" w:type="dxa"/>
            <w:vAlign w:val="bottom"/>
            <w:gridSpan w:val="32"/>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Defaults, Dividend Arrearages and Delinquencies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14.</w:t>
            </w:r>
          </w:p>
        </w:tc>
        <w:tc>
          <w:tcPr>
            <w:tcW w:w="548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Material Modifications to the Rights of Security Holders and Use of Proceeds</w:t>
              </w:r>
            </w:hyperlink>
          </w:p>
        </w:tc>
        <w:tc>
          <w:tcPr>
            <w:tcW w:w="3300" w:type="dxa"/>
            <w:vAlign w:val="bottom"/>
            <w:tcBorders>
              <w:bottom w:val="single" w:sz="8" w:color="CCEEFF"/>
            </w:tcBorders>
            <w:gridSpan w:val="2"/>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15.</w:t>
            </w:r>
          </w:p>
        </w:tc>
        <w:tc>
          <w:tcPr>
            <w:tcW w:w="8780" w:type="dxa"/>
            <w:vAlign w:val="bottom"/>
            <w:gridSpan w:val="32"/>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16A.</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Audit Committee Financial Expert</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16B.</w:t>
            </w:r>
          </w:p>
        </w:tc>
        <w:tc>
          <w:tcPr>
            <w:tcW w:w="24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Code of Ethics</w:t>
              </w:r>
            </w:hyperlink>
          </w:p>
        </w:tc>
        <w:tc>
          <w:tcPr>
            <w:tcW w:w="6340" w:type="dxa"/>
            <w:vAlign w:val="bottom"/>
            <w:tcBorders>
              <w:top w:val="single" w:sz="8" w:color="CCEEFF"/>
            </w:tcBorders>
            <w:gridSpan w:val="19"/>
          </w:tcPr>
          <w:p>
            <w:pPr>
              <w:spacing w:after="0"/>
              <w:rPr>
                <w:sz w:val="15"/>
                <w:szCs w:val="15"/>
                <w:color w:val="auto"/>
              </w:rPr>
            </w:pPr>
          </w:p>
        </w:tc>
        <w:tc>
          <w:tcPr>
            <w:tcW w:w="152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16C.</w:t>
            </w:r>
          </w:p>
        </w:tc>
        <w:tc>
          <w:tcPr>
            <w:tcW w:w="28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Principal Accountant Fees and Services</w:t>
              </w:r>
            </w:hyperlink>
          </w:p>
        </w:tc>
        <w:tc>
          <w:tcPr>
            <w:tcW w:w="5980" w:type="dxa"/>
            <w:vAlign w:val="bottom"/>
            <w:tcBorders>
              <w:bottom w:val="single" w:sz="8" w:color="CCEEFF"/>
            </w:tcBorders>
            <w:gridSpan w:val="18"/>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16D.</w:t>
            </w:r>
          </w:p>
        </w:tc>
        <w:tc>
          <w:tcPr>
            <w:tcW w:w="8780" w:type="dxa"/>
            <w:vAlign w:val="bottom"/>
            <w:gridSpan w:val="3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Exemptions from the Listing Standards for Audit Committees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16E.</w:t>
            </w:r>
          </w:p>
        </w:tc>
        <w:tc>
          <w:tcPr>
            <w:tcW w:w="492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Purchases of Equity Securities by the Issuer and Affiliated Purchasers</w:t>
              </w:r>
            </w:hyperlink>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16F.</w:t>
            </w:r>
          </w:p>
        </w:tc>
        <w:tc>
          <w:tcPr>
            <w:tcW w:w="8780" w:type="dxa"/>
            <w:vAlign w:val="bottom"/>
            <w:gridSpan w:val="32"/>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Change in Registrant’s Certifying Accountant</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16G.</w:t>
            </w:r>
          </w:p>
        </w:tc>
        <w:tc>
          <w:tcPr>
            <w:tcW w:w="8780" w:type="dxa"/>
            <w:vAlign w:val="bottom"/>
            <w:gridSpan w:val="3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Corporate Governance</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16H.</w:t>
            </w:r>
          </w:p>
        </w:tc>
        <w:tc>
          <w:tcPr>
            <w:tcW w:w="8780" w:type="dxa"/>
            <w:vAlign w:val="bottom"/>
            <w:gridSpan w:val="3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Mine Safety Disclosure</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4080" w:type="dxa"/>
            <w:vAlign w:val="bottom"/>
            <w:tcBorders>
              <w:bottom w:val="single" w:sz="8" w:color="CCEEFF"/>
            </w:tcBorders>
            <w:gridSpan w:val="5"/>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17.</w:t>
            </w:r>
          </w:p>
        </w:tc>
        <w:tc>
          <w:tcPr>
            <w:tcW w:w="8780" w:type="dxa"/>
            <w:vAlign w:val="bottom"/>
            <w:gridSpan w:val="3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Financial Statements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18.</w:t>
            </w:r>
          </w:p>
        </w:tc>
        <w:tc>
          <w:tcPr>
            <w:tcW w:w="14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6"/>
              </w:rPr>
            </w:pPr>
            <w:hyperlink w:anchor="page69">
              <w:r>
                <w:rPr>
                  <w:rFonts w:ascii="Arial" w:cs="Arial" w:eastAsia="Arial" w:hAnsi="Arial"/>
                  <w:sz w:val="18"/>
                  <w:szCs w:val="18"/>
                  <w:color w:val="0000EE"/>
                  <w:w w:val="86"/>
                </w:rPr>
                <w:t>Financial Statements</w:t>
              </w:r>
            </w:hyperlink>
          </w:p>
        </w:tc>
        <w:tc>
          <w:tcPr>
            <w:tcW w:w="7300" w:type="dxa"/>
            <w:vAlign w:val="bottom"/>
            <w:tcBorders>
              <w:bottom w:val="single" w:sz="8" w:color="CCEEFF"/>
            </w:tcBorders>
            <w:gridSpan w:val="28"/>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line="176" w:lineRule="exact"/>
              <w:rPr>
                <w:sz w:val="20"/>
                <w:szCs w:val="20"/>
                <w:color w:val="auto"/>
              </w:rPr>
            </w:pPr>
            <w:r>
              <w:rPr>
                <w:rFonts w:ascii="Arial" w:cs="Arial" w:eastAsia="Arial" w:hAnsi="Arial"/>
                <w:sz w:val="18"/>
                <w:szCs w:val="18"/>
                <w:b w:val="1"/>
                <w:bCs w:val="1"/>
                <w:color w:val="auto"/>
              </w:rPr>
              <w:t>Item 19.</w:t>
            </w:r>
          </w:p>
        </w:tc>
        <w:tc>
          <w:tcPr>
            <w:tcW w:w="8780" w:type="dxa"/>
            <w:vAlign w:val="bottom"/>
            <w:gridSpan w:val="3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152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80" w:type="dxa"/>
            <w:vAlign w:val="bottom"/>
            <w:gridSpan w:val="33"/>
            <w:shd w:val="clear" w:color="auto" w:fill="CCEEFF"/>
          </w:tcPr>
          <w:p>
            <w:pPr>
              <w:spacing w:after="0" w:line="17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Index to Consolidated Financial Statements</w:t>
              </w:r>
            </w:hyperlink>
          </w:p>
        </w:tc>
        <w:tc>
          <w:tcPr>
            <w:tcW w:w="152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2016 as “fiscal 2016.”</w:t>
      </w:r>
    </w:p>
    <w:p>
      <w:pPr>
        <w:spacing w:after="0" w:line="6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 CES™ and The New World of Customer Experience™, among others.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2016 is derived from our consolidated financial statements, which have been audited by Ernst &amp; Young LLP, our independent registered public accounting firm. You should read the information presented below in conjunction with those statements.</w:t>
      </w:r>
    </w:p>
    <w:p>
      <w:pPr>
        <w:spacing w:after="0" w:line="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$ 3,718,229</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$ 3,643,538</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$ 3,563,637</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$ 3,345,854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$ 3,246,903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483,141</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515,948</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495,648</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481,552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442,472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409,331</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446,163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422,122</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412,439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391,371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2.74</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2.89</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2.65</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2.71</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2.85</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2.62</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2.53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0.755</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0.665</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0.595</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0.520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0.130</w:t>
            </w:r>
          </w:p>
        </w:tc>
      </w:tr>
      <w:tr>
        <w:trPr>
          <w:trHeight w:val="351"/>
        </w:trPr>
        <w:tc>
          <w:tcPr>
            <w:tcW w:w="5100" w:type="dxa"/>
            <w:vAlign w:val="bottom"/>
          </w:tcPr>
          <w:p>
            <w:pPr>
              <w:spacing w:after="0"/>
              <w:rPr>
                <w:sz w:val="24"/>
                <w:szCs w:val="24"/>
                <w:color w:val="auto"/>
              </w:rPr>
            </w:pPr>
          </w:p>
        </w:tc>
        <w:tc>
          <w:tcPr>
            <w:tcW w:w="14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4"/>
              </w:rPr>
              <w:t>Cash, cash equivalents and short-term interest-bearing investments</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$ 1,095,723</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$ 1,354,012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$ 1,424,465</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$ 1,326,380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$ 1,118,177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5,331,355</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5,324,652</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5,185,277</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4,925,813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4,645,223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obligations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571</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603</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gridSpan w:val="2"/>
          </w:tcPr>
          <w:p>
            <w:pPr>
              <w:jc w:val="right"/>
              <w:ind w:right="132"/>
              <w:spacing w:after="0"/>
              <w:rPr>
                <w:sz w:val="20"/>
                <w:szCs w:val="20"/>
                <w:color w:val="auto"/>
              </w:rPr>
            </w:pPr>
            <w:r>
              <w:rPr>
                <w:rFonts w:ascii="Arial" w:cs="Arial" w:eastAsia="Arial" w:hAnsi="Arial"/>
                <w:sz w:val="18"/>
                <w:szCs w:val="18"/>
                <w:color w:val="auto"/>
              </w:rPr>
              <w:t>3,453,561</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3,406,842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3,395,836</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3,274,783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3,033,202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fourth quarter of fiscal 2012, we instituted a discretionary quarterly cash dividend program in the amount of $0.13 per share, with the first payment in the first quarter of fiscal 2013. In January 2014, January 2015 and February 2016, our shareholders approved increases in the rate of the quarterly cash dividend to $0.155 per share, $0.17 per share and $0.195 per share, respectively. In November 2016, our Board of Directors approved, subject to shareholder approval at the January 2017 annual general meeting of shareholders, an increase in the rate of the quarterly cash dividend to $0.22 per share, with the first payment anticipated to be paid in April 2017.</w:t>
      </w:r>
    </w:p>
    <w:p>
      <w:pPr>
        <w:ind w:left="460" w:right="4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September 6, 2016 (the “Redemption Date”), we redeemed all of our outstanding convertible notes due 2024 at a redemption price of 100% of the principal amount of the notes, plus accrued and unpaid interest up to, but excluding, the Redemption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6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Ordinary Shares</w:t>
            </w:r>
          </w:p>
        </w:tc>
        <w:tc>
          <w:tcPr>
            <w:tcW w:w="3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500" w:type="dxa"/>
            <w:vAlign w:val="bottom"/>
          </w:tcPr>
          <w:p>
            <w:pPr>
              <w:spacing w:after="0"/>
              <w:rPr>
                <w:sz w:val="5"/>
                <w:szCs w:val="5"/>
                <w:color w:val="auto"/>
              </w:rPr>
            </w:pPr>
          </w:p>
        </w:tc>
        <w:tc>
          <w:tcPr>
            <w:tcW w:w="6020" w:type="dxa"/>
            <w:vAlign w:val="bottom"/>
          </w:tcPr>
          <w:p>
            <w:pPr>
              <w:spacing w:after="0"/>
              <w:rPr>
                <w:sz w:val="5"/>
                <w:szCs w:val="5"/>
                <w:color w:val="auto"/>
              </w:rPr>
            </w:pPr>
          </w:p>
        </w:tc>
        <w:tc>
          <w:tcPr>
            <w:tcW w:w="1460" w:type="dxa"/>
            <w:vAlign w:val="bottom"/>
            <w:tcBorders>
              <w:bottom w:val="single" w:sz="8" w:color="auto"/>
            </w:tcBorders>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restart"/>
          </w:tcPr>
          <w:p>
            <w:pPr>
              <w:jc w:val="right"/>
              <w:ind w:right="117"/>
              <w:spacing w:after="0" w:line="149" w:lineRule="exact"/>
              <w:rPr>
                <w:sz w:val="20"/>
                <w:szCs w:val="20"/>
                <w:color w:val="auto"/>
              </w:rPr>
            </w:pPr>
            <w:r>
              <w:rPr>
                <w:rFonts w:ascii="Arial" w:cs="Arial" w:eastAsia="Arial" w:hAnsi="Arial"/>
                <w:sz w:val="14"/>
                <w:szCs w:val="14"/>
                <w:b w:val="1"/>
                <w:bCs w:val="1"/>
                <w:color w:val="auto"/>
              </w:rPr>
              <w:t>Paid-In</w:t>
            </w:r>
          </w:p>
        </w:tc>
        <w:tc>
          <w:tcPr>
            <w:tcW w:w="300" w:type="dxa"/>
            <w:vAlign w:val="bottom"/>
          </w:tcPr>
          <w:p>
            <w:pPr>
              <w:spacing w:after="0"/>
              <w:rPr>
                <w:sz w:val="5"/>
                <w:szCs w:val="5"/>
                <w:color w:val="auto"/>
              </w:rPr>
            </w:pPr>
          </w:p>
        </w:tc>
        <w:tc>
          <w:tcPr>
            <w:tcW w:w="10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62"/>
        </w:trPr>
        <w:tc>
          <w:tcPr>
            <w:tcW w:w="1500" w:type="dxa"/>
            <w:vAlign w:val="bottom"/>
          </w:tcPr>
          <w:p>
            <w:pPr>
              <w:spacing w:after="0"/>
              <w:rPr>
                <w:sz w:val="5"/>
                <w:szCs w:val="5"/>
                <w:color w:val="auto"/>
              </w:rPr>
            </w:pPr>
          </w:p>
        </w:tc>
        <w:tc>
          <w:tcPr>
            <w:tcW w:w="6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15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9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September 30, 2013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160,062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$ 2,878,898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 (2,785,071)</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128,063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(8,425)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(372,014)</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44,578</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September 30, 2014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156,704</w:t>
            </w: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4,284</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3,054,780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 (3,157,085)</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78,543</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(8,596)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(454,020)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September 30, 2015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151,150</w:t>
            </w: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4,331</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3,182,573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 (3,611,105)</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89,728</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Repurchase of shares(1)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(7,236)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(413,423)</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benefit from equity-based awards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tcPr>
          <w:p>
            <w:pPr>
              <w:ind w:left="22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Equity-based compensation expense related to employees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September 30, 2016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147,134</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4,377</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3,322,789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 (4,024,527)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9"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In April 2014, our Board of Directors adopted a share repurchase plan authorizing the repurchase of up to $750.0 million of our outstanding ordinary shares and in February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that we consider appropriate. In May 2016, we completed the repurchase of the remaining authorized amount under the April 2014 share repurchase plan and began executing repurchases under the February 2016 plan. In fiscal year 2016, we repurchased 7.2 million ordinary shares at an average price of $57.12 per share (excluding broker and transaction fees). As of September 30, 2016, we had remaining authority to repurchase up to $596.8 million of our outstanding ordinary shares under the February 2016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general global economic and market conditions, particularly those impacting the communications industry.</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Industry consolidation involving our customers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18"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If we do not continually enhance our products and service offerings and introduce new products and features, we may have difficulty retaining existing customers and attracting new customers.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services and to introduce new products, services and features to meet the requirements of our customers in a rapidly developing and evolving market. We devote significant resources to refining and expanding our base software modules and to developing our customer experience solutions. In some instances, we rely on cooperative relationships with third parties to assist us in delivering certain products and services to our customers. Our present or future products and services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14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business is dependent on a limited number of significant customers, of which AT&amp;T has historically been our largest. AT&amp;T accounted for 33% of our revenue in fiscal 2016 and 34% in fiscal 2015 (Revenue attributable to DIRECTV following its July 2015 acquisition by AT&amp;T has been included in the total revenue attributable to AT&amp;T). Aggregate revenue derived from the multiple business arrangements we have with the ten largest of our significant customers accounted for approximately 73% of our revenue in fiscal 2016 and 72% in fiscal 2015. The loss of any significant customer, a significant decrease in business from any such customer or a reduction in customer revenue due to adverse changes in the terms of our contractual arrangements, market conditions, customer circumstances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13"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solutions.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16"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seek to acquire companies or technologies and cannot assure you that these acquisitions will enhance our products and services or strengthen our competitive position, and they may adversely affect our results of operations.</w:t>
      </w:r>
    </w:p>
    <w:p>
      <w:pPr>
        <w:spacing w:after="0" w:line="51"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It is a part of our business strategy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Consistent with this strategy, we are actively evaluating potential acquisition opportunities, some of which could be significant, stand alone or in the aggregate. In the future, we intend to continue to pursue acquisitions of other companies, products, services and technologies that we believe will advance our business strategy. However, we may not be able to identify suitable future acquisition candidates, consummate acquisitions on favorable terms or complete otherwise favorable acquisitions because of antitrust, regulatory or other concerns.</w:t>
      </w:r>
    </w:p>
    <w:p>
      <w:pPr>
        <w:spacing w:after="0" w:line="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acquisitions we have completed, or any future acquisitions that we may make, will enhance our products and services or strengthen our competitive position. Due to the multiple risks and difficulties associated with any acquisition, there can be no assurance that we will be successful in achieving our expected strategic, operating, and financial goals for any such acquisition.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18"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Our business operations depend in large part on our ability to attract, train, motivate and retain highly skilled information technology professionals, software programmers and communications engineers on a worldwide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6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6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3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a national union and a group of our employees have attempted to secure the approval of the minimum number of employees needed for union certification with respect to our employees in Israel. While these efforts have not resulted in either group being recognized as a representative union, we expect such efforts to continue.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w:t>
      </w:r>
    </w:p>
    <w:p>
      <w:pPr>
        <w:spacing w:after="0" w:line="3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success will also depend upon the continued active participation of a relatively small group of senior management personnel. The loss of the services of all or some of these executives could harm our operations and impair our efforts to expand our business.</w:t>
      </w:r>
    </w:p>
    <w:p>
      <w:pPr>
        <w:spacing w:after="0" w:line="132"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times, we have experienced fluctuations in our quarterly operating results and anticipate that such movements may continue to occur. Fluctuations may result from many factors, including:</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by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Generally, our revenue relating to software licenses that require significant customization, modification, implementation and integration is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16"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1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Acquisitions, organic growth and absorption of significant numbers of customers’ employees in connection with managed services projects have, from time to time, increased our headcount. Our total workforce, which includes employees and consultants, has increased from 24,950 at the end of fiscal 2015 to 25,561 as of September 30, 2016.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cash, cash equivalents and short-term interest-bearing investments totaled $896 million, net of short-term debt, as of September 30, 2016. Our policy is to retain sufficient cash balances in order to support our growth. Our short-term investments consist primarily of money market funds, U.S. government treasuries, corporate bonds and U.S. agency securities. Although we believe that we generally adhere to conservative investment guidelines, adverse market conditions have resulted in immaterial impairments of the carrying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weakened markets.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legal and economic conditions worldwide.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24"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w:t>
      </w:r>
    </w:p>
    <w:p>
      <w:pPr>
        <w:spacing w:after="0" w:line="9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the referendum in favor of the United Kingdom exiting the European Union and the timing and manner of any such exit, as and when it occurs.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One or more of these factors could have a material adverse effect on our operations, which could harm our results of operations and financial condition.</w:t>
      </w:r>
    </w:p>
    <w:p>
      <w:pPr>
        <w:spacing w:after="0" w:line="194"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we continue our efforts to expand our business internationally, including in emerging markets such as those in Latin America,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1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dollars, each of which could have a material adverse effect on our results of operations and financial condition.</w:t>
      </w:r>
    </w:p>
    <w:p>
      <w:pPr>
        <w:spacing w:after="0" w:line="3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particularly in light of recent significant increases in volatility in foreign exchange markets.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20%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3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40%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3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w:t>
      </w:r>
    </w:p>
    <w:p>
      <w:pPr>
        <w:spacing w:after="0" w:line="118"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serve our customers depends on our ability to protect our systems and infrastructure against damage from fire, power loss, water damage, telecommunications failure, cyber-attacks, earthquake, severe weather condition, terrorism attack, vandalism and other similar unexpected adverse events. We also depend on various cloud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20"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and our business may be harmed.</w:t>
      </w:r>
    </w:p>
    <w:p>
      <w:pPr>
        <w:spacing w:after="0" w:line="5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network security measures, we cannot guarantee that our systems are fully protected from vulnerabilities related to IT-related viruses, worms and other malicious software programs, attacks, break-ins and similar disruptions from unauthorized tampering by computer hackers and others. Such cybersecurity incident could include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42"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Any of the events described above could cause our customers to make claims against us for damages allegedly resulting from a security breach or service disruption, and security incidents could also lead to data or privacy breaches, regulatory investigations and claims, all of which could increase our legal liability.</w:t>
      </w:r>
    </w:p>
    <w:p>
      <w:pPr>
        <w:spacing w:after="0" w:line="62" w:lineRule="exact"/>
        <w:rPr>
          <w:sz w:val="20"/>
          <w:szCs w:val="20"/>
          <w:color w:val="auto"/>
        </w:rPr>
      </w:pPr>
    </w:p>
    <w:p>
      <w:pPr>
        <w:ind w:left="240" w:right="700"/>
        <w:spacing w:after="0" w:line="357" w:lineRule="auto"/>
        <w:rPr>
          <w:sz w:val="20"/>
          <w:szCs w:val="20"/>
          <w:color w:val="auto"/>
        </w:rPr>
      </w:pPr>
      <w:r>
        <w:rPr>
          <w:rFonts w:ascii="Arial" w:cs="Arial" w:eastAsia="Arial" w:hAnsi="Arial"/>
          <w:sz w:val="15"/>
          <w:szCs w:val="15"/>
          <w:b w:val="1"/>
          <w:bCs w:val="1"/>
          <w:i w:val="1"/>
          <w:iCs w:val="1"/>
          <w:color w:val="auto"/>
        </w:rPr>
        <w:t>Changes in the tax policies and regulations imposed by the jurisdictions in which we operate, the termination or reduction of certain government programs and tax benefits, or challenges by tax authorities of our tax positions could adversely affect our overall effective tax rate.</w:t>
      </w:r>
    </w:p>
    <w:p>
      <w:pPr>
        <w:ind w:right="20" w:firstLine="456"/>
        <w:spacing w:after="0" w:line="259" w:lineRule="auto"/>
        <w:rPr>
          <w:sz w:val="20"/>
          <w:szCs w:val="20"/>
          <w:color w:val="auto"/>
        </w:rPr>
      </w:pPr>
      <w:r>
        <w:rPr>
          <w:rFonts w:ascii="Arial" w:cs="Arial" w:eastAsia="Arial" w:hAnsi="Arial"/>
          <w:sz w:val="18"/>
          <w:szCs w:val="18"/>
          <w:color w:val="auto"/>
        </w:rPr>
        <w:t>There can be no assurance that our effective tax rate of 15.5% for the year ended September 30, 2016 will not change over time as a result of changes in corporate income tax rates or other changes in the tax laws of Guernsey, the jurisdiction in which our holding company is organized, or of the various countries in which we operate.</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benefited or currently benefit from a variety of government programs and tax benefits that generally carry conditions that we must meet in order to be eligible to obtain any benefit. For example, through a subsidiary, we operate development centers and a business processing operations center in India. In 2016, the effective corporate tax rate applicable in India on trading activities was 34.6%. Our subsidiary in India operates under specific favorable tax entitlements that are based upon pre-approved information technology related services activity. As a result, these activities are entitled to considerable corporate income tax reductions for our eligible income, which reduce the current applicable effective tax rate (cash basis) to 20.0%. Such favorable tax treatment is applied on eligible profits from export of services derived from such pre-approved information technology activity, provided the subsidiary continues to meet the conditions required for such tax benefits. These benefits are scheduled to phase out over 15 years from the commencement of operations of the respective units within our Indian subsidiary. Please see “Item 10 — Additional Information — Taxation — Certain Indian Tax Considerations” for more information.</w:t>
      </w:r>
    </w:p>
    <w:p>
      <w:pPr>
        <w:spacing w:after="0" w:line="3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tax benefit programs may be limited in duration or may be discontinued,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meet the requirements for continuing to qualify for some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programs and tax benefits may be unavailable at their current levels,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expiration of a particular benefit, we may not be eligible to participate in a new program or qualify for a new tax benefit that would offset the loss of the expiring tax benefit.</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(BEPS) initiative, which was endorsed by the G20 finance ministers. Many of the initiatives in the BEPS package require specific amendments to the domestic tax legislation of various jurisdictions. We continuously monitor these developments. However, it is still difficult to assess to what extent these changes would ultimately be implemented in the jurisdictions in which we conduct our business or to what extent they may impact the way in which we conduct our business or our effective tax rate due to the unpredictability and interdependency of these potential changes. As these and other tax laws and related regulations change, our financial results could be harmed.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Amdocs Limited was organized as a company with limited liability under the laws of the Island of Guernsey in 1988. Since 1995, Amdocs Limited has been a holding company for the various subsidiaries that conduct our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business on a worldwide basis. Our global business is providing software and services solutions to enable communications, entertainment and media companies that are major service providers in North America, Europe and the rest of the world to move toward an integrated approach to customer experience. Our registered office is Hirzel House, Smith Street, St. Peter Port, Island of Guernsey, GY1 2NG, and the telephone number at that location is +44-1481-728444.</w:t>
      </w:r>
    </w:p>
    <w:p>
      <w:pPr>
        <w:spacing w:after="0" w:line="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Hungary, India, Ireland, Israel, Switzerland, the United Kingdom and the United States. Please see Exhibit 8 to this Annual Report on Form 20-F for a listing of our significant subsidiaries.</w:t>
      </w:r>
    </w:p>
    <w:p>
      <w:pPr>
        <w:spacing w:after="0" w:line="5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and optimization domains. In 2014 we acquired substantially all of the assets of Celcite Management Solutions LLC, a provider of network management and self-optimizing network solutions. In July 2015, we acquired a substantial majority of the business support systems (BSS) assets of Comverse, Inc., which geographically complemented our market focus by expanding and diversifying our global customer base, particularly in Asia Pacific, Latin America and Europe. In January 2016, we acquired cVidya Networks, Inc., a vendor of revenue assurance and fraud management solutions, which adds to our capabilities in the area of revenue guard and fraud management. Additionally, in September 2016, we acquired Vindicia, Inc., a software-as-a-service subscription management and payment solution provider, Brite:Bill Group Limited, a provider of personalized digital interactive billing services and Pontis, Inc., a provider of contextual digital engagement solutions, which we believe will, among other things, enable us to expand our digital offerings.</w:t>
      </w:r>
    </w:p>
    <w:p>
      <w:pPr>
        <w:spacing w:after="0" w:line="4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has increased over the last three years from 21,112 as of the end of fiscal 2014 to 23,971 as of the end of fiscal 2016. In the past, our workforce has fluctuated with changes in business conditions.</w:t>
      </w:r>
    </w:p>
    <w:p>
      <w:pPr>
        <w:spacing w:after="0" w:line="5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principal capital expenditures for fiscal 2016, 2015 and 2014 have been for computer equipment in our operating facilities and development centers, for which we spent approximately $111.1 million, $107.3 million and $94.1 million, respectively. Any future expansion of our managed services activity could result in additional capital expenditures. We anticipate our capital expenditures in fiscal 2017 will be financed internally and will consist of, among other things, additional computer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Amdocs is a leading provider of software and services for communications, Pay TV, entertainment and media industry service providers in developed countries and emerging markets. These communications and cable service providers include some of the largest telecommunications companies in the world, including AT&amp;T, Bell Canada, Deutsche Telekom, Singtel, Sprint, Telefonica and Vodafone, as well as cable and satellite providers, including Altice (USA), Comcast, J:COM and Rogers Communications, midsized communications businesses and mobile virtual network enablers/mobile virtual network operators and directory publishers and other providers of media services.</w:t>
      </w:r>
    </w:p>
    <w:p>
      <w:pPr>
        <w:spacing w:after="0" w:line="3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develop, implement and manage software and services associated with business support systems (BSS), operational support systems (OSS), network solutions and big data analytics to enable service providers to efficiently and cost-effectively introduce new products and services, process orders, monetize data, support new business models and generally enhance their understanding of their customers. Our technology and expertise help service providers to further transform into digital service providers, enhance their over-the-top (OTT) entertainment offerings and serve their customers across all channels. We refer to these products, systems and services collectively as customer experience solutions because of the crucial impact they have on the service providers’ end-user experience.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We believe the demand for our customer experience solutions is driven by our clients continued transformation into digital service providers to provide wireless access services, content and apps on any device through digital channels. Our solutions enable service providers to help their consumer and business customers navigate the increasing number of devices, services and plans available in today’s digital world and the need of service providers to cope with the rapidly growing demand for data that these devices and services have created, as well as to compete with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and the Asia-Pacific region.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service providers will maintain a strong focus on growing new revenue streams, cost reduction and efficient operations, and that the trends of ongoing digital transformation and consolidation within the industry will continue. The smartphone and associated communications and entertainment applications, or apps, other connected devices such as tablets, e-readers, wearables, and improvements in the Internet of Things (IoT) technology continue to drive unprecedented growth in the demand for multi-modal customer engagement capabilities and data. In response to the demand for digital experiences, service providers are continuing to focus on providing digital services, investing in their networks to meet the demand for increased bandwidth and searching for ways to provide new digital services, improve their business agility and optimize and monetize their investments in such services.</w:t>
      </w:r>
    </w:p>
    <w:p>
      <w:pPr>
        <w:spacing w:after="0" w:line="3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Non-traditional service providers and device manufacturers continue to penetrate the wireless market and are now competing for customer attention in the entertainment market as well. Additionally, social networks such as Facebook and Twitter, alongside OTT-focused players such as Skype, Viber and WhatsApp, have become widely-accepted alternatives to traditional voice communications. To meet the challenges from new competitors, service providers are moving towards a model of bundled services and developing cooperative partnerships with OTT-focused players to improve the customer experience.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3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 capture new revenue streams, service providers are expanding within existing and non-traditional business models and deploying new network technologies. We believe service providers will place an emphasis on network virtualization and on modernization and transformation projects for their networks and operational and business support systems as they look for innovative ways to improve operations.</w:t>
      </w:r>
    </w:p>
    <w:p>
      <w:pPr>
        <w:spacing w:after="0" w:line="2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that our product-led services approach, commitment to and support of quality personnel and deep industry knowledge and expertise enable us to create and deliver effective offerings and services that are highly innovative, reliable and cost-effective. We believe our success derives from a combination of the following factors that differentiate us from most of our competitors.</w:t>
      </w:r>
    </w:p>
    <w:p>
      <w:pPr>
        <w:spacing w:after="0" w:line="59" w:lineRule="exact"/>
        <w:rPr>
          <w:sz w:val="20"/>
          <w:szCs w:val="20"/>
          <w:color w:val="auto"/>
        </w:rPr>
      </w:pPr>
    </w:p>
    <w:p>
      <w:pPr>
        <w:ind w:left="660" w:hanging="206"/>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Software products</w:t>
      </w:r>
      <w:r>
        <w:rPr>
          <w:rFonts w:ascii="Arial" w:cs="Arial" w:eastAsia="Arial" w:hAnsi="Arial"/>
          <w:sz w:val="18"/>
          <w:szCs w:val="18"/>
          <w:color w:val="auto"/>
        </w:rPr>
        <w:t>. Our Amdocs CES portfolio of pre-integrated software products is designed to allow modular expansion as a service provider evolves,</w:t>
      </w:r>
      <w:r>
        <w:rPr>
          <w:rFonts w:ascii="Arial" w:cs="Arial" w:eastAsia="Arial" w:hAnsi="Arial"/>
          <w:sz w:val="18"/>
          <w:szCs w:val="18"/>
          <w:i w:val="1"/>
          <w:iCs w:val="1"/>
          <w:color w:val="auto"/>
        </w:rPr>
        <w:t xml:space="preserve"> </w:t>
      </w:r>
      <w:r>
        <w:rPr>
          <w:rFonts w:ascii="Arial" w:cs="Arial" w:eastAsia="Arial" w:hAnsi="Arial"/>
          <w:sz w:val="18"/>
          <w:szCs w:val="18"/>
          <w:color w:val="auto"/>
        </w:rPr>
        <w:t>ensuring rapid, low-cost and reduced-risk implementations. In fiscal 2015, we released Amdocs CES 9.2 and Amdocs CES 9.3 to enable service providers to close the loop from the customer to the network using insights derived from big data analytics and improve big data analytics capabilities. In the second quarter of fiscal 2016, we released Amdocs CES 10, a cloud-enabled portfolio that spans BSS/OSS and network solutions to deliver contextualized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88" w:lineRule="auto"/>
        <w:rPr>
          <w:sz w:val="20"/>
          <w:szCs w:val="20"/>
          <w:color w:val="auto"/>
        </w:rPr>
      </w:pPr>
      <w:r>
        <w:rPr>
          <w:rFonts w:ascii="Arial" w:cs="Arial" w:eastAsia="Arial" w:hAnsi="Arial"/>
          <w:sz w:val="16"/>
          <w:szCs w:val="16"/>
          <w:color w:val="auto"/>
        </w:rPr>
        <w:t>personalized customer experiences across all channels; diversify revenue streams with new services to target a new customer base; empower service providers with data analytics and insights; and accelerate the rollout of new technologies. In the first quarter of fiscal 2016, we released Amdocs Kenan AX 3.1, a post-paid billing system and Amdocs C1 3.7.8, a converged billing system, based on the BSS assets we acquired from Comverse. Released in the fourth quarter of fiscal 2016, Amdocs Kenan 4.0 introduced new features and extended core billing, order management and revenue management functionality for fast, reliable and secure monetization of any service. In the fourth quarter of fiscal 2016, Amdocs launched Amdocs Optima, a converged, multi-tenant digital customer management and commerce platform. It serves midsized communications businesses and mobile virtual network enablers/mobile virtual network operators, as well as digital enterprises and can be deployed on premise or in the cloud. Released in the first quarter of fiscal 2017, Amdocs C1 4.0 introduced additional capabilities for the omni-channel experience, operational efficiency, enhanced data monetization and performance improvement.</w:t>
      </w:r>
    </w:p>
    <w:p>
      <w:pPr>
        <w:spacing w:after="0" w:line="39" w:lineRule="exact"/>
        <w:rPr>
          <w:sz w:val="20"/>
          <w:szCs w:val="20"/>
          <w:color w:val="auto"/>
        </w:rPr>
      </w:pPr>
    </w:p>
    <w:p>
      <w:pPr>
        <w:ind w:left="700" w:right="40"/>
        <w:spacing w:after="0" w:line="289" w:lineRule="auto"/>
        <w:rPr>
          <w:sz w:val="20"/>
          <w:szCs w:val="20"/>
          <w:color w:val="auto"/>
        </w:rPr>
      </w:pPr>
      <w:r>
        <w:rPr>
          <w:rFonts w:ascii="Arial" w:cs="Arial" w:eastAsia="Arial" w:hAnsi="Arial"/>
          <w:sz w:val="16"/>
          <w:szCs w:val="16"/>
          <w:color w:val="auto"/>
        </w:rPr>
        <w:t>The Amdocs CES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that our products operate together or as stand-alone applications within existing environments. Our proprietary knowledge library of more than 200 industry-specific best practice processes, and a single tool for the unified installation, maintenance and management of the entire BSS, OSS and network suite, facilitates Amdocs CES rapid time to production. We believe this flexibility enables our customers to achieve significant time-to-market advantages and reduces their dependence on technical and other personnel. Amdocs CES 10 is an end-to-end BSS, OSS and network virtualized suite, which many of our customers have deployed in virtualized and cloud environments.</w:t>
      </w:r>
    </w:p>
    <w:p>
      <w:pPr>
        <w:spacing w:after="0" w:line="37" w:lineRule="exact"/>
        <w:rPr>
          <w:sz w:val="20"/>
          <w:szCs w:val="20"/>
          <w:color w:val="auto"/>
        </w:rPr>
      </w:pPr>
    </w:p>
    <w:p>
      <w:pPr>
        <w:ind w:left="660" w:right="120" w:hanging="206"/>
        <w:spacing w:after="0" w:line="28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Services</w:t>
      </w:r>
      <w:r>
        <w:rPr>
          <w:rFonts w:ascii="Arial" w:cs="Arial" w:eastAsia="Arial" w:hAnsi="Arial"/>
          <w:sz w:val="16"/>
          <w:szCs w:val="16"/>
          <w:color w:val="auto"/>
        </w:rPr>
        <w:t>. We offer a comprehensive line of services designed to address every stage of a service provider’s lifecycle, from vision creation and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through transformation and implementation to operations. Our services include thought leadership and advisory services, systems integration, transformation, managed services, digital business operations for order to activation, order gateway services, testing, revenue guard and Amdocs Academy. Our managed services provide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 As a lead systems integrator, we assume end-to-end responsibility to monitor, manage and deploy the overall development and integration activities of Amdocs and third-party vendors throughout the transformation lifecycle. In the second quarter of fiscal 2016, Amdocs released enhanced digital services designed to be used with, or independently of, Amdocs CES 10. The new services support service providers as they improve customer experiences across digital interactions, create more diversified businesses, become data-empowered and achieve service agility.</w:t>
      </w:r>
    </w:p>
    <w:p>
      <w:pPr>
        <w:spacing w:after="0" w:line="41" w:lineRule="exact"/>
        <w:rPr>
          <w:rFonts w:ascii="Arial" w:cs="Arial" w:eastAsia="Arial" w:hAnsi="Arial"/>
          <w:sz w:val="16"/>
          <w:szCs w:val="16"/>
          <w:color w:val="auto"/>
        </w:rPr>
      </w:pPr>
    </w:p>
    <w:p>
      <w:pPr>
        <w:ind w:left="660" w:right="20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Experience</w:t>
      </w:r>
      <w:r>
        <w:rPr>
          <w:rFonts w:ascii="Arial" w:cs="Arial" w:eastAsia="Arial" w:hAnsi="Arial"/>
          <w:sz w:val="18"/>
          <w:szCs w:val="18"/>
          <w:color w:val="auto"/>
        </w:rPr>
        <w:t>. We are able to offer our customers superior products and services on a worldwide basis, in large part because of our highly qualified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Our goal is to provide business products, offerings, services and support to the world’s leading service providers as they strive to deliver digital engagements and remain competitive. We seek to accomplish our goal by pursuing the strategies described below.</w:t>
      </w:r>
    </w:p>
    <w:p>
      <w:pPr>
        <w:spacing w:after="0" w:line="51" w:lineRule="exact"/>
        <w:rPr>
          <w:sz w:val="20"/>
          <w:szCs w:val="20"/>
          <w:color w:val="auto"/>
        </w:rPr>
      </w:pPr>
    </w:p>
    <w:p>
      <w:pPr>
        <w:jc w:val="both"/>
        <w:ind w:left="660" w:right="340" w:hanging="206"/>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Focus on the Communications, Entertainment and Media Industry</w:t>
      </w:r>
      <w:r>
        <w:rPr>
          <w:rFonts w:ascii="Arial" w:cs="Arial" w:eastAsia="Arial" w:hAnsi="Arial"/>
          <w:sz w:val="16"/>
          <w:szCs w:val="16"/>
          <w:color w:val="auto"/>
        </w:rPr>
        <w:t>. We focus our resources and efforts primarily on providing customer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to service providers in the communications, entertainment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customer experience solutions required by the leading wireless, wireline, broadband, cable and satellite companies. These strengths have enabled us to diversify our customer base and expand our offering domains and may continue to provide us with opportunities to expand within other vertical segment markets.</w:t>
      </w:r>
    </w:p>
    <w:p>
      <w:pPr>
        <w:spacing w:after="0" w:line="39" w:lineRule="exact"/>
        <w:rPr>
          <w:rFonts w:ascii="Arial" w:cs="Arial" w:eastAsia="Arial" w:hAnsi="Arial"/>
          <w:sz w:val="16"/>
          <w:szCs w:val="16"/>
          <w:color w:val="auto"/>
        </w:rPr>
      </w:pPr>
    </w:p>
    <w:p>
      <w:pPr>
        <w:ind w:left="660" w:right="40" w:hanging="206"/>
        <w:spacing w:after="0" w:line="335"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Target Industry Leaders</w:t>
      </w:r>
      <w:r>
        <w:rPr>
          <w:rFonts w:ascii="Arial" w:cs="Arial" w:eastAsia="Arial" w:hAnsi="Arial"/>
          <w:sz w:val="15"/>
          <w:szCs w:val="15"/>
          <w:color w:val="auto"/>
        </w:rPr>
        <w:t>. We intend to continue to direct our marketing efforts primarily toward communications and media industry leaders. By</w:t>
      </w:r>
      <w:r>
        <w:rPr>
          <w:rFonts w:ascii="Arial" w:cs="Arial" w:eastAsia="Arial" w:hAnsi="Arial"/>
          <w:sz w:val="15"/>
          <w:szCs w:val="15"/>
          <w:i w:val="1"/>
          <w:iCs w:val="1"/>
          <w:color w:val="auto"/>
        </w:rPr>
        <w:t xml:space="preserve"> </w:t>
      </w:r>
      <w:r>
        <w:rPr>
          <w:rFonts w:ascii="Arial" w:cs="Arial" w:eastAsia="Arial" w:hAnsi="Arial"/>
          <w:sz w:val="15"/>
          <w:szCs w:val="15"/>
          <w:color w:val="auto"/>
        </w:rPr>
        <w:t>targeting such leading service providers, which require the most sophisticated customer experience solutions, we believe that we are better able to remain at the forefront of developments in the industry. We believe that the development of this customer base has helped position us as a market leader.</w:t>
      </w:r>
    </w:p>
    <w:p>
      <w:pPr>
        <w:spacing w:after="0" w:line="7" w:lineRule="exact"/>
        <w:rPr>
          <w:rFonts w:ascii="Arial" w:cs="Arial" w:eastAsia="Arial" w:hAnsi="Arial"/>
          <w:sz w:val="15"/>
          <w:szCs w:val="15"/>
          <w:color w:val="auto"/>
        </w:rPr>
      </w:pPr>
    </w:p>
    <w:p>
      <w:pPr>
        <w:ind w:left="660" w:right="40" w:hanging="206"/>
        <w:spacing w:after="0" w:line="28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Emerging Markets. </w:t>
      </w:r>
      <w:r>
        <w:rPr>
          <w:rFonts w:ascii="Arial" w:cs="Arial" w:eastAsia="Arial" w:hAnsi="Arial"/>
          <w:sz w:val="16"/>
          <w:szCs w:val="16"/>
          <w:color w:val="auto"/>
        </w:rPr>
        <w:t>We seek to serve the needs of service providers operating in emerging markets. Prepaid subscriber growth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remains high and average revenue per user remains relatively low in these markets in comparison to more developed markets. In order to increase subscriber revenue, service providers are focusing on the customer experience and on increasing capacity, particularly for data,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37" w:lineRule="exact"/>
        <w:rPr>
          <w:rFonts w:ascii="Arial" w:cs="Arial" w:eastAsia="Arial" w:hAnsi="Arial"/>
          <w:sz w:val="16"/>
          <w:szCs w:val="16"/>
          <w:color w:val="auto"/>
        </w:rPr>
      </w:pPr>
    </w:p>
    <w:p>
      <w:pPr>
        <w:ind w:left="660" w:hanging="206"/>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Provide Customers with a Broad, Deep Portfolio of Integrated Products. </w:t>
      </w:r>
      <w:r>
        <w:rPr>
          <w:rFonts w:ascii="Arial" w:cs="Arial" w:eastAsia="Arial" w:hAnsi="Arial"/>
          <w:sz w:val="18"/>
          <w:szCs w:val="18"/>
          <w:color w:val="auto"/>
        </w:rPr>
        <w:t>We seek to provide our customers with a broad, yet integrated,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help them deliver a customer experience that is simple, personal and valuable at every point of service. We provide customer experience solutions across the BSS, OSS and network domains and multiple lines of business, including wireline, wireless, broadband, cable and satellite services. Integration of our systems is achieved through an open, service-oriented architecture, allowing our products to work well together and with third-party products. We believe that our ability to provide a broad, deep and integrated suite of products helps position us as a strategic partner for our customers as they continue to transform into digital service providers and provides us with multiple avenues for strengthening and expanding our ongoing customer relationships.</w:t>
      </w:r>
    </w:p>
    <w:p>
      <w:pPr>
        <w:spacing w:after="0" w:line="66" w:lineRule="exact"/>
        <w:rPr>
          <w:rFonts w:ascii="Arial" w:cs="Arial" w:eastAsia="Arial" w:hAnsi="Arial"/>
          <w:sz w:val="18"/>
          <w:szCs w:val="18"/>
          <w:color w:val="auto"/>
        </w:rPr>
      </w:pPr>
    </w:p>
    <w:p>
      <w:pPr>
        <w:ind w:left="660" w:right="60" w:hanging="206"/>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Expand Our Managed Services Capabilities</w:t>
      </w:r>
      <w:r>
        <w:rPr>
          <w:rFonts w:ascii="Arial" w:cs="Arial" w:eastAsia="Arial" w:hAnsi="Arial"/>
          <w:sz w:val="18"/>
          <w:szCs w:val="18"/>
          <w:color w:val="auto"/>
        </w:rPr>
        <w:t>. We seek to assume responsibility for the operation, development and management of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Amdocs systems, as well as systems developed by in-house IT departments or by other vendors. Our mandate can extend across the service provider’s entire IT environment and encompass key business process operational needs. Our customers receive predictable service levels as well as improved efficiencies and long-term savings over the day-to-day costs of operating and maintaining these systems, so they can focus on their own internal strengths and grow their businesses, leaving system concerns to us. Managed services also benefit us, as they can be a source of predictable revenue and long-term relationships.</w:t>
      </w:r>
    </w:p>
    <w:p>
      <w:pPr>
        <w:spacing w:after="0" w:line="63"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Develop and Maintain Long-Term Customer Relationships</w:t>
      </w:r>
      <w:r>
        <w:rPr>
          <w:rFonts w:ascii="Arial" w:cs="Arial" w:eastAsia="Arial" w:hAnsi="Arial"/>
          <w:sz w:val="18"/>
          <w:szCs w:val="18"/>
          <w:color w:val="auto"/>
        </w:rPr>
        <w:t>. We seek to develop and maintain long-term, mutually beneficial relationships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have organized our internal operations to better anticipate and respond to our customers’ needs. We believe these relationships can lead to additional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20"/>
        <w:spacing w:after="0" w:line="256" w:lineRule="auto"/>
        <w:rPr>
          <w:sz w:val="20"/>
          <w:szCs w:val="20"/>
          <w:color w:val="auto"/>
        </w:rPr>
      </w:pPr>
      <w:r>
        <w:rPr>
          <w:rFonts w:ascii="Arial" w:cs="Arial" w:eastAsia="Arial" w:hAnsi="Arial"/>
          <w:sz w:val="18"/>
          <w:szCs w:val="18"/>
          <w:color w:val="auto"/>
        </w:rPr>
        <w:t>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offerings consist of a combination of software and services that addresses service providers’ business and operational needs. Our software solutions support the full span of the customer relationship. We also provide solutions for high growth and emerging markets, midsized communications businesses and mobile virtual network enablers/mobile virtual network operators, as well as entertainment and media solutions for media publishers, TV networks, video streaming providers, ad agencies, advertising service providers and directory publishers.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key products suites are:</w:t>
      </w:r>
    </w:p>
    <w:p>
      <w:pPr>
        <w:spacing w:after="0" w:line="90" w:lineRule="exact"/>
        <w:rPr>
          <w:sz w:val="20"/>
          <w:szCs w:val="20"/>
          <w:color w:val="auto"/>
        </w:rPr>
      </w:pPr>
    </w:p>
    <w:p>
      <w:pPr>
        <w:jc w:val="both"/>
        <w:ind w:left="660" w:right="60" w:hanging="206"/>
        <w:spacing w:after="0" w:line="318"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i w:val="1"/>
          <w:iCs w:val="1"/>
          <w:color w:val="auto"/>
        </w:rPr>
        <w:t xml:space="preserve">Digital Experience for Consumer Multiplay and Business Customers (enterprises and small medium businesses): </w:t>
      </w:r>
      <w:r>
        <w:rPr>
          <w:rFonts w:ascii="Arial" w:cs="Arial" w:eastAsia="Arial" w:hAnsi="Arial"/>
          <w:sz w:val="15"/>
          <w:szCs w:val="15"/>
          <w:color w:val="auto"/>
        </w:rPr>
        <w:t>This portfolio of customer experience</w:t>
      </w:r>
      <w:r>
        <w:rPr>
          <w:rFonts w:ascii="Arial" w:cs="Arial" w:eastAsia="Arial" w:hAnsi="Arial"/>
          <w:sz w:val="15"/>
          <w:szCs w:val="15"/>
          <w:i w:val="1"/>
          <w:iCs w:val="1"/>
          <w:color w:val="auto"/>
        </w:rPr>
        <w:t xml:space="preserve"> </w:t>
      </w:r>
      <w:r>
        <w:rPr>
          <w:rFonts w:ascii="Arial" w:cs="Arial" w:eastAsia="Arial" w:hAnsi="Arial"/>
          <w:sz w:val="15"/>
          <w:szCs w:val="15"/>
          <w:color w:val="auto"/>
        </w:rPr>
        <w:t>and monetization solutions enables service providers to manage the customer and business-to-business experience. These products allow our customers to provide contextual and personalized interactions across all interaction channels, including contact center, retail stores, Web, mobile and social media, and all devices, including smartphones, tablets and personal computers, and offer a range of digital, multi-play, entertainment and network services. Our recent acquisitions of Vindicia, Brite:Bill and Pontis complement and enhance our revenue and customer management digital capabilities.</w:t>
      </w:r>
    </w:p>
    <w:p>
      <w:pPr>
        <w:spacing w:after="0" w:line="18" w:lineRule="exact"/>
        <w:rPr>
          <w:rFonts w:ascii="Arial" w:cs="Arial" w:eastAsia="Arial" w:hAnsi="Arial"/>
          <w:sz w:val="15"/>
          <w:szCs w:val="15"/>
          <w:color w:val="auto"/>
        </w:rPr>
      </w:pPr>
    </w:p>
    <w:p>
      <w:pPr>
        <w:ind w:left="660" w:right="140" w:hanging="206"/>
        <w:spacing w:after="0" w:line="29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Network Solutions: </w:t>
      </w:r>
      <w:r>
        <w:rPr>
          <w:rFonts w:ascii="Arial" w:cs="Arial" w:eastAsia="Arial" w:hAnsi="Arial"/>
          <w:sz w:val="16"/>
          <w:szCs w:val="16"/>
          <w:color w:val="auto"/>
        </w:rPr>
        <w:t>These offerings are designed to improve service agility in the open network, including accelerating the rollout of new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optimizing the mobile network for improved performance and quality of experience. They include a holistic approach to NFV service lifecycle management, hybrid order fulfillment capabilities for enterprise services and a portfolio of network services to help operators design, deploy, operate and optimize mobile networks. In the fourth quarter of fiscal 2016, Amdocs announced a collaboration with AT&amp;T to serve as co-creator and integrator for service providers adopting AT&amp;T’s open source Enhanced Control, Orchestration, Management and Policy (ECOMP) platform, a comprehensive software suite spanning the entire network functions virtualization (NFV) service lifecycle for shorter introduction times, improved operational efficiencies and agile data-driven service management of NFV and software-defined networking (SDN) functions and services.</w:t>
      </w:r>
    </w:p>
    <w:p>
      <w:pPr>
        <w:spacing w:after="0" w:line="37" w:lineRule="exact"/>
        <w:rPr>
          <w:rFonts w:ascii="Arial" w:cs="Arial" w:eastAsia="Arial" w:hAnsi="Arial"/>
          <w:sz w:val="16"/>
          <w:szCs w:val="16"/>
          <w:color w:val="auto"/>
        </w:rPr>
      </w:pPr>
    </w:p>
    <w:p>
      <w:pPr>
        <w:ind w:left="660" w:right="300" w:hanging="206"/>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Operational Support Systems (OSS): </w:t>
      </w:r>
      <w:r>
        <w:rPr>
          <w:rFonts w:ascii="Arial" w:cs="Arial" w:eastAsia="Arial" w:hAnsi="Arial"/>
          <w:sz w:val="16"/>
          <w:szCs w:val="16"/>
          <w:color w:val="auto"/>
        </w:rPr>
        <w:t>These products comprise our core operational support systems for fixed line, broadband, wireless and cable TV</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The offerings facilitate network operational processes, including network planning and rollout across multiple technologies, service fulfillment and assurance, inventory management, order orchestration and activation of new services.</w:t>
      </w:r>
    </w:p>
    <w:p>
      <w:pPr>
        <w:spacing w:after="0" w:line="25" w:lineRule="exact"/>
        <w:rPr>
          <w:rFonts w:ascii="Arial" w:cs="Arial" w:eastAsia="Arial" w:hAnsi="Arial"/>
          <w:sz w:val="16"/>
          <w:szCs w:val="16"/>
          <w:color w:val="auto"/>
        </w:rPr>
      </w:pPr>
    </w:p>
    <w:p>
      <w:pPr>
        <w:ind w:left="660" w:hanging="206"/>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Network Optimization: </w:t>
      </w:r>
      <w:r>
        <w:rPr>
          <w:rFonts w:ascii="Arial" w:cs="Arial" w:eastAsia="Arial" w:hAnsi="Arial"/>
          <w:sz w:val="16"/>
          <w:szCs w:val="16"/>
          <w:color w:val="auto"/>
        </w:rPr>
        <w:t>This integrated suite of software and services is designed to help service providers plan, build, launch, manage and optimize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radio access networks (RANs). Vendor and technology agnostic, this offering affords service providers the analytics and managed services capabilities needed to maximize network investments, roll out networks quickly and optimize network performance and capacity.</w:t>
      </w:r>
    </w:p>
    <w:p>
      <w:pPr>
        <w:spacing w:after="0" w:line="25" w:lineRule="exact"/>
        <w:rPr>
          <w:rFonts w:ascii="Arial" w:cs="Arial" w:eastAsia="Arial" w:hAnsi="Arial"/>
          <w:sz w:val="16"/>
          <w:szCs w:val="16"/>
          <w:color w:val="auto"/>
        </w:rPr>
      </w:pPr>
    </w:p>
    <w:p>
      <w:pPr>
        <w:ind w:left="660" w:right="100" w:hanging="206"/>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Network Functions Virtualization (NFV): </w:t>
      </w:r>
      <w:r>
        <w:rPr>
          <w:rFonts w:ascii="Arial" w:cs="Arial" w:eastAsia="Arial" w:hAnsi="Arial"/>
          <w:sz w:val="18"/>
          <w:szCs w:val="18"/>
          <w:color w:val="auto"/>
        </w:rPr>
        <w:t>These offerings comprise standards-based software solutions to enable service providers to virtualize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benefit from improved service agility. Our vendor-neutral Network Cloud Service Orchestrator solution orchestrates virtual network functions (VNFs) over any virtual infrastructure. The Amdocs Service Design and Create solution automates VNF on-boarding enabling the design, testing and launching of new network services in weeks rather than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00" w:hanging="206"/>
        <w:spacing w:after="0" w:line="33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Network Control: </w:t>
      </w:r>
      <w:r>
        <w:rPr>
          <w:rFonts w:ascii="Arial" w:cs="Arial" w:eastAsia="Arial" w:hAnsi="Arial"/>
          <w:sz w:val="16"/>
          <w:szCs w:val="16"/>
          <w:color w:val="auto"/>
        </w:rPr>
        <w:t>This suite of pre-integrated products manages the subscriber or device experience in real time and controls access to 3G, 4G, LTE,</w:t>
      </w:r>
      <w:r>
        <w:rPr>
          <w:rFonts w:ascii="Arial" w:cs="Arial" w:eastAsia="Arial" w:hAnsi="Arial"/>
          <w:sz w:val="16"/>
          <w:szCs w:val="16"/>
          <w:i w:val="1"/>
          <w:iCs w:val="1"/>
          <w:color w:val="auto"/>
        </w:rPr>
        <w:t xml:space="preserve"> </w:t>
      </w:r>
      <w:r>
        <w:rPr>
          <w:rFonts w:ascii="Arial" w:cs="Arial" w:eastAsia="Arial" w:hAnsi="Arial"/>
          <w:sz w:val="16"/>
          <w:szCs w:val="16"/>
          <w:color w:val="auto"/>
        </w:rPr>
        <w:t>fixed and convergent networks, managing bandwidth consumption based on location, time of day and type of plan.</w:t>
      </w:r>
    </w:p>
    <w:p>
      <w:pPr>
        <w:spacing w:after="0" w:line="4" w:lineRule="exact"/>
        <w:rPr>
          <w:rFonts w:ascii="Arial" w:cs="Arial" w:eastAsia="Arial" w:hAnsi="Arial"/>
          <w:sz w:val="16"/>
          <w:szCs w:val="16"/>
          <w:color w:val="auto"/>
        </w:rPr>
      </w:pPr>
    </w:p>
    <w:p>
      <w:pPr>
        <w:ind w:left="660" w:right="4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Internet of Things (IoT): </w:t>
      </w:r>
      <w:r>
        <w:rPr>
          <w:rFonts w:ascii="Arial" w:cs="Arial" w:eastAsia="Arial" w:hAnsi="Arial"/>
          <w:sz w:val="18"/>
          <w:szCs w:val="18"/>
          <w:color w:val="auto"/>
        </w:rPr>
        <w:t>This suite of solutions enables service providers to offer intuitive, flexible and innovative IoT products and services. Amdocs’</w:t>
      </w:r>
      <w:r>
        <w:rPr>
          <w:rFonts w:ascii="Arial" w:cs="Arial" w:eastAsia="Arial" w:hAnsi="Arial"/>
          <w:sz w:val="18"/>
          <w:szCs w:val="18"/>
          <w:i w:val="1"/>
          <w:iCs w:val="1"/>
          <w:color w:val="auto"/>
        </w:rPr>
        <w:t xml:space="preserve"> </w:t>
      </w:r>
      <w:r>
        <w:rPr>
          <w:rFonts w:ascii="Arial" w:cs="Arial" w:eastAsia="Arial" w:hAnsi="Arial"/>
          <w:sz w:val="18"/>
          <w:szCs w:val="18"/>
          <w:color w:val="auto"/>
        </w:rPr>
        <w:t>IoT Monetization Platform and Connected Home offering provides service providers with a reliable and scalable platform to support connected devices, a cloud-based environment to offer integrated home services, and a solution that allows enterprises to purchase connectivity from service providers in a wholesale mode.</w:t>
      </w:r>
    </w:p>
    <w:p>
      <w:pPr>
        <w:spacing w:after="0" w:line="62" w:lineRule="exact"/>
        <w:rPr>
          <w:rFonts w:ascii="Arial" w:cs="Arial" w:eastAsia="Arial" w:hAnsi="Arial"/>
          <w:sz w:val="18"/>
          <w:szCs w:val="18"/>
          <w:color w:val="auto"/>
        </w:rPr>
      </w:pPr>
    </w:p>
    <w:p>
      <w:pPr>
        <w:ind w:left="660" w:right="640" w:hanging="206"/>
        <w:spacing w:after="0" w:line="30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Customer Operational Intelligence: </w:t>
      </w:r>
      <w:r>
        <w:rPr>
          <w:rFonts w:ascii="Arial" w:cs="Arial" w:eastAsia="Arial" w:hAnsi="Arial"/>
          <w:sz w:val="16"/>
          <w:szCs w:val="16"/>
          <w:color w:val="auto"/>
        </w:rPr>
        <w:t>Our big data management and analytics offerings and the acquired Pontis assets enable service providers to</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effectively access, integrate and analyze data from BSS, OSS, network and digital sources to generate actionable insights to drive contextual engagements, improve the network and care experience and modernize data management capabilities.</w:t>
      </w:r>
    </w:p>
    <w:p>
      <w:pPr>
        <w:spacing w:after="0" w:line="25" w:lineRule="exact"/>
        <w:rPr>
          <w:rFonts w:ascii="Arial" w:cs="Arial" w:eastAsia="Arial" w:hAnsi="Arial"/>
          <w:sz w:val="16"/>
          <w:szCs w:val="16"/>
          <w:color w:val="auto"/>
        </w:rPr>
      </w:pPr>
    </w:p>
    <w:p>
      <w:pPr>
        <w:ind w:left="660" w:right="8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Mobile Financial Services: </w:t>
      </w:r>
      <w:r>
        <w:rPr>
          <w:rFonts w:ascii="Arial" w:cs="Arial" w:eastAsia="Arial" w:hAnsi="Arial"/>
          <w:sz w:val="18"/>
          <w:szCs w:val="18"/>
          <w:color w:val="auto"/>
        </w:rPr>
        <w:t>Our financial-grade offerings enable service providers and financial institutions to serve financially underserved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by offering a variety of secure mobile financial services, such as money transfers, bill payments, mobile commerce, savings, loans, insurance, loyalty management and top-up transactions.</w:t>
      </w:r>
    </w:p>
    <w:p>
      <w:pPr>
        <w:spacing w:after="0" w:line="59" w:lineRule="exact"/>
        <w:rPr>
          <w:rFonts w:ascii="Arial" w:cs="Arial" w:eastAsia="Arial" w:hAnsi="Arial"/>
          <w:sz w:val="18"/>
          <w:szCs w:val="18"/>
          <w:color w:val="auto"/>
        </w:rPr>
      </w:pPr>
    </w:p>
    <w:p>
      <w:pPr>
        <w:ind w:left="660" w:right="6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Amdocs Optima: </w:t>
      </w:r>
      <w:r>
        <w:rPr>
          <w:rFonts w:ascii="Arial" w:cs="Arial" w:eastAsia="Arial" w:hAnsi="Arial"/>
          <w:sz w:val="18"/>
          <w:szCs w:val="18"/>
          <w:color w:val="auto"/>
        </w:rPr>
        <w:t>Built on the foundation of Amdocs Kenan and combined with capabilities of Amdocs Compact Convergence, Amdocs Optima is a</w:t>
      </w:r>
      <w:r>
        <w:rPr>
          <w:rFonts w:ascii="Arial" w:cs="Arial" w:eastAsia="Arial" w:hAnsi="Arial"/>
          <w:sz w:val="18"/>
          <w:szCs w:val="18"/>
          <w:i w:val="1"/>
          <w:iCs w:val="1"/>
          <w:color w:val="auto"/>
        </w:rPr>
        <w:t xml:space="preserve"> </w:t>
      </w:r>
      <w:r>
        <w:rPr>
          <w:rFonts w:ascii="Arial" w:cs="Arial" w:eastAsia="Arial" w:hAnsi="Arial"/>
          <w:sz w:val="18"/>
          <w:szCs w:val="18"/>
          <w:color w:val="auto"/>
        </w:rPr>
        <w:t>converged, multi-tenant digital customer management and commerce platform. It serves midsized communications businesses and mobile virtual network enablers/mobile virtual network operators, as well as businesses offering SaaS-based services and products, and can be deployed on premise or in the cloud.</w:t>
      </w:r>
    </w:p>
    <w:p>
      <w:pPr>
        <w:spacing w:after="0" w:line="62" w:lineRule="exact"/>
        <w:rPr>
          <w:rFonts w:ascii="Arial" w:cs="Arial" w:eastAsia="Arial" w:hAnsi="Arial"/>
          <w:sz w:val="18"/>
          <w:szCs w:val="18"/>
          <w:color w:val="auto"/>
        </w:rPr>
      </w:pPr>
    </w:p>
    <w:p>
      <w:pPr>
        <w:ind w:left="660" w:right="80" w:hanging="206"/>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Entertainment and Media Solutions: </w:t>
      </w:r>
      <w:r>
        <w:rPr>
          <w:rFonts w:ascii="Arial" w:cs="Arial" w:eastAsia="Arial" w:hAnsi="Arial"/>
          <w:sz w:val="18"/>
          <w:szCs w:val="18"/>
          <w:color w:val="auto"/>
        </w:rPr>
        <w:t>Our entertainment and media offerings for media publishers, TV networks, video streaming providers, ad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service providers are comprised of a comprehensive, analytics-driven set of business and operational products and services designed to enable the management of media and advertising selling, fulfillment, operations, advertiser and consumer experience and financial processes across digital and print media.</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offer a broad suite of services to help service providers achieve their objectives through each stage of the business lifecycle. Our services methodology incorporates a rigorous focus on the people, processes and technology of an organization, and we invite active customer participation at all stages to help prioritize and implement time-critical system solutions that address the customer’s individual needs.</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thought leadership and advisory services through solution development and business operations to managed services and training,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and orchestrating large-scale transformation projects. Depending on the customer’s needs, system implementation and integration activities are often conducted jointly by teams from Amdocs, our partner ecosystem and the customer. In some cases, Amdocs personnel provide support services to the customer’s own implementation and integration team, which has primary responsibility for the task. In other cases, we take a primary role in facilitating implementation and integration. Sometimes customers require turnkey solutions, in which case we provide full system implementation and integration services.</w:t>
      </w:r>
    </w:p>
    <w:p>
      <w:pPr>
        <w:spacing w:after="0" w:line="3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Once the system becomes operational,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key services are:</w:t>
      </w:r>
    </w:p>
    <w:p>
      <w:pPr>
        <w:spacing w:after="0" w:line="90" w:lineRule="exact"/>
        <w:rPr>
          <w:sz w:val="20"/>
          <w:szCs w:val="20"/>
          <w:color w:val="auto"/>
        </w:rPr>
      </w:pPr>
    </w:p>
    <w:p>
      <w:pPr>
        <w:ind w:left="660" w:right="24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Thought Leadership &amp; Advisory Services </w:t>
      </w:r>
      <w:r>
        <w:rPr>
          <w:rFonts w:ascii="Arial" w:cs="Arial" w:eastAsia="Arial" w:hAnsi="Arial"/>
          <w:sz w:val="18"/>
          <w:szCs w:val="18"/>
          <w:color w:val="auto"/>
        </w:rPr>
        <w:t>— We provide thought leadership, insight and advice to enable service providers to understand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landscape, solve current and future business challenges and seize revenue opportunities.</w:t>
      </w:r>
    </w:p>
    <w:p>
      <w:pPr>
        <w:spacing w:after="0" w:line="50" w:lineRule="exact"/>
        <w:rPr>
          <w:rFonts w:ascii="Arial" w:cs="Arial" w:eastAsia="Arial" w:hAnsi="Arial"/>
          <w:sz w:val="18"/>
          <w:szCs w:val="18"/>
          <w:color w:val="auto"/>
        </w:rPr>
      </w:pPr>
    </w:p>
    <w:p>
      <w:pPr>
        <w:ind w:left="660" w:right="140" w:hanging="206"/>
        <w:spacing w:after="0" w:line="335"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Transformation Services </w:t>
      </w:r>
      <w:r>
        <w:rPr>
          <w:rFonts w:ascii="Arial" w:cs="Arial" w:eastAsia="Arial" w:hAnsi="Arial"/>
          <w:sz w:val="15"/>
          <w:szCs w:val="15"/>
          <w:color w:val="auto"/>
        </w:rPr>
        <w:t>— We act as a lead integrator for program management, project deployment, solution implementation and operations. Our</w:t>
      </w:r>
      <w:r>
        <w:rPr>
          <w:rFonts w:ascii="Arial" w:cs="Arial" w:eastAsia="Arial" w:hAnsi="Arial"/>
          <w:sz w:val="15"/>
          <w:szCs w:val="15"/>
          <w:i w:val="1"/>
          <w:iCs w:val="1"/>
          <w:color w:val="auto"/>
        </w:rPr>
        <w:t xml:space="preserve"> </w:t>
      </w:r>
      <w:r>
        <w:rPr>
          <w:rFonts w:ascii="Arial" w:cs="Arial" w:eastAsia="Arial" w:hAnsi="Arial"/>
          <w:sz w:val="15"/>
          <w:szCs w:val="15"/>
          <w:color w:val="auto"/>
        </w:rPr>
        <w:t>advanced methodologies, based on our proprietary knowledge and industry best practices, for managing end-to-end large and complex projects enable faster, more reliable and cost-efficient completion of transformation programs, which can help enable service providers to focus on their core business.</w:t>
      </w:r>
    </w:p>
    <w:p>
      <w:pPr>
        <w:spacing w:after="0" w:line="7" w:lineRule="exact"/>
        <w:rPr>
          <w:rFonts w:ascii="Arial" w:cs="Arial" w:eastAsia="Arial" w:hAnsi="Arial"/>
          <w:sz w:val="15"/>
          <w:szCs w:val="15"/>
          <w:color w:val="auto"/>
        </w:rPr>
      </w:pPr>
    </w:p>
    <w:p>
      <w:pPr>
        <w:ind w:left="660" w:right="34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Managed Services </w:t>
      </w:r>
      <w:r>
        <w:rPr>
          <w:rFonts w:ascii="Arial" w:cs="Arial" w:eastAsia="Arial" w:hAnsi="Arial"/>
          <w:sz w:val="18"/>
          <w:szCs w:val="18"/>
          <w:color w:val="auto"/>
        </w:rPr>
        <w:t>— We provide long-term operations, applications and infrastructure services, including system modernization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our customer’s IT environment includes Amdocs products, third-party software or in-house and legacy systems, our specialized services support mobile, wireline, broadband, cable and satellite providers.</w:t>
      </w:r>
    </w:p>
    <w:p>
      <w:pPr>
        <w:spacing w:after="0" w:line="59" w:lineRule="exact"/>
        <w:rPr>
          <w:rFonts w:ascii="Arial" w:cs="Arial" w:eastAsia="Arial" w:hAnsi="Arial"/>
          <w:sz w:val="18"/>
          <w:szCs w:val="18"/>
          <w:color w:val="auto"/>
        </w:rPr>
      </w:pPr>
    </w:p>
    <w:p>
      <w:pPr>
        <w:jc w:val="both"/>
        <w:ind w:left="660" w:right="28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Network Services </w:t>
      </w:r>
      <w:r>
        <w:rPr>
          <w:rFonts w:ascii="Arial" w:cs="Arial" w:eastAsia="Arial" w:hAnsi="Arial"/>
          <w:sz w:val="18"/>
          <w:szCs w:val="18"/>
          <w:color w:val="auto"/>
        </w:rPr>
        <w:t>— This suite of comprehensive network services provides cross-domain expertise that spans radio access network (RAN), evolved</w:t>
      </w:r>
      <w:r>
        <w:rPr>
          <w:rFonts w:ascii="Arial" w:cs="Arial" w:eastAsia="Arial" w:hAnsi="Arial"/>
          <w:sz w:val="18"/>
          <w:szCs w:val="18"/>
          <w:i w:val="1"/>
          <w:iCs w:val="1"/>
          <w:color w:val="auto"/>
        </w:rPr>
        <w:t xml:space="preserve"> </w:t>
      </w:r>
      <w:r>
        <w:rPr>
          <w:rFonts w:ascii="Arial" w:cs="Arial" w:eastAsia="Arial" w:hAnsi="Arial"/>
          <w:sz w:val="18"/>
          <w:szCs w:val="18"/>
          <w:color w:val="auto"/>
        </w:rPr>
        <w:t>packet core (EPC) and IP Multimedia Subsystem (IMS) to ensure operator networks have the coverage and capacity needed to continuously delivery content to subscribers, where and when they want it.</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Systems Integration </w:t>
      </w:r>
      <w:r>
        <w:rPr>
          <w:rFonts w:ascii="Arial" w:cs="Arial" w:eastAsia="Arial" w:hAnsi="Arial"/>
          <w:sz w:val="18"/>
          <w:szCs w:val="18"/>
          <w:color w:val="auto"/>
        </w:rPr>
        <w:t>— We act as a lead integrator, from solution design and implementation to operations. We have developed advanced methodologies,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proprietary knowledge and industry best practices, to manage end-to-end large and complex projects involving Amdocs and third-party vendors.</w:t>
      </w:r>
    </w:p>
    <w:p>
      <w:pPr>
        <w:spacing w:after="0" w:line="59"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Digital Business Operations for Order to Activation </w:t>
      </w:r>
      <w:r>
        <w:rPr>
          <w:rFonts w:ascii="Arial" w:cs="Arial" w:eastAsia="Arial" w:hAnsi="Arial"/>
          <w:sz w:val="18"/>
          <w:szCs w:val="18"/>
          <w:color w:val="auto"/>
        </w:rPr>
        <w:t>— This service digitalizes business operations to enable enhanced customer experience and faster</w:t>
      </w:r>
      <w:r>
        <w:rPr>
          <w:rFonts w:ascii="Arial" w:cs="Arial" w:eastAsia="Arial" w:hAnsi="Arial"/>
          <w:sz w:val="18"/>
          <w:szCs w:val="18"/>
          <w:i w:val="1"/>
          <w:iCs w:val="1"/>
          <w:color w:val="auto"/>
        </w:rPr>
        <w:t xml:space="preserve"> </w:t>
      </w:r>
      <w:r>
        <w:rPr>
          <w:rFonts w:ascii="Arial" w:cs="Arial" w:eastAsia="Arial" w:hAnsi="Arial"/>
          <w:sz w:val="18"/>
          <w:szCs w:val="18"/>
          <w:color w:val="auto"/>
        </w:rPr>
        <w:t>rollout of innovative offers.</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Order Gateway Services </w:t>
      </w:r>
      <w:r>
        <w:rPr>
          <w:rFonts w:ascii="Arial" w:cs="Arial" w:eastAsia="Arial" w:hAnsi="Arial"/>
          <w:sz w:val="16"/>
          <w:szCs w:val="16"/>
          <w:color w:val="auto"/>
        </w:rPr>
        <w:t>— We offer services to streamline transactions from-and-to any source. These services enable and accelerate digital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provide a consolidated view of all transactions to enable the fast integration of new or acquired channels.</w:t>
      </w:r>
    </w:p>
    <w:p>
      <w:pPr>
        <w:spacing w:after="0" w:line="4" w:lineRule="exact"/>
        <w:rPr>
          <w:rFonts w:ascii="Arial" w:cs="Arial" w:eastAsia="Arial" w:hAnsi="Arial"/>
          <w:sz w:val="16"/>
          <w:szCs w:val="16"/>
          <w:color w:val="auto"/>
        </w:rPr>
      </w:pPr>
    </w:p>
    <w:p>
      <w:pPr>
        <w:ind w:left="660" w:right="32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Testing Services </w:t>
      </w:r>
      <w:r>
        <w:rPr>
          <w:rFonts w:ascii="Arial" w:cs="Arial" w:eastAsia="Arial" w:hAnsi="Arial"/>
          <w:sz w:val="18"/>
          <w:szCs w:val="18"/>
          <w:color w:val="auto"/>
        </w:rPr>
        <w:t>— Leveraging Amdocs’ patented testing framework, BEAT™, we offer our customers industry-specific testing experience, domain</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and a global presence to help ensure seamless and ongoing support throughout the testing lifecycle.</w:t>
      </w:r>
    </w:p>
    <w:p>
      <w:pPr>
        <w:spacing w:after="0" w:line="5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Revenue Guard </w:t>
      </w:r>
      <w:r>
        <w:rPr>
          <w:rFonts w:ascii="Arial" w:cs="Arial" w:eastAsia="Arial" w:hAnsi="Arial"/>
          <w:sz w:val="18"/>
          <w:szCs w:val="18"/>
          <w:color w:val="auto"/>
        </w:rPr>
        <w:t>— We offer fraud management and revenue assurance services designed to ensure faster, more accurate detection and resolution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leakage, security and fraud.</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Amdocs Academy </w:t>
      </w:r>
      <w:r>
        <w:rPr>
          <w:rFonts w:ascii="Arial" w:cs="Arial" w:eastAsia="Arial" w:hAnsi="Arial"/>
          <w:sz w:val="18"/>
          <w:szCs w:val="18"/>
          <w:color w:val="auto"/>
        </w:rPr>
        <w:t>—We offer a cloud-based learning portal to provide a personalized role- and scenario-based learning experience to improve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Powered by a proprietary personalization engine, Amdocs Academy is designed to identify employee learning needs, such as role, knowledge or performance-based, and provide tailored learning programs to effectively fill them.</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flexibility of our technology affords our customers the freedom to choose a preferred operating environment and to maximize return on existing infrastructure investments. Our portfolio architecture allows our applications to work in multiple customer environments.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help service providers respond more quickly to changes in their markets and lower their integration costs, we employ:</w:t>
      </w:r>
    </w:p>
    <w:p>
      <w:pPr>
        <w:spacing w:after="0" w:line="90" w:lineRule="exact"/>
        <w:rPr>
          <w:sz w:val="20"/>
          <w:szCs w:val="20"/>
          <w:color w:val="auto"/>
        </w:rPr>
      </w:pPr>
    </w:p>
    <w:p>
      <w:pPr>
        <w:ind w:left="660" w:right="4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cloud technology principles in our portfolio development that uses Free or Open Source Software (FOSS) and working with leading cloud vendors including VMware and OpenStack; and</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service-oriented architecture principles in our portfolio design. For example, Amdocs Web Services Factory exposes the Amdocs portfolio application programming interfaces to external systems, allowing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applications to integrate with each other and with third-party enterprise server bus or legacy applications.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portfolio applications are based around consistent architectural guidelines and software infrastructure, and they also leverage, where appropriate, consistent foundation tools. Our services encompass installation, integration, testing, process management, monitoring and control, security and information management. Our platform foundation layer spans our applications and helps us evolve our products towards robust service-oriented architecture integration and business process support. With these tools, we aim to provide our customers with a sound framework upon which to implement, integrate and centralize their operating environments. This allows service providers to mitigate many risks and costs associated with deploying and operating new applications, such as those related to installation, configuration, integration, testing and monitoring.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adopt cloud principles, including:</w:t>
      </w:r>
    </w:p>
    <w:p>
      <w:pPr>
        <w:spacing w:after="0" w:line="90" w:lineRule="exact"/>
        <w:rPr>
          <w:sz w:val="20"/>
          <w:szCs w:val="20"/>
          <w:color w:val="auto"/>
        </w:rPr>
      </w:pPr>
    </w:p>
    <w:p>
      <w:pPr>
        <w:ind w:left="660" w:right="8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Our applications are designed to take full advantage of the scalability capabilities of the underlying platform, allowing progressive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proportional with increases in business volumes. Using the same software, our applications can support operations for small, as well as very large service providers.</w:t>
      </w:r>
    </w:p>
    <w:p>
      <w:pPr>
        <w:spacing w:after="0" w:line="59"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system and component architecture supports high availability and redundancy to allow connected and uninterrupted operations at full</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speed and device load.</w:t>
      </w:r>
    </w:p>
    <w:p>
      <w:pPr>
        <w:spacing w:after="0" w:line="50" w:lineRule="exact"/>
        <w:rPr>
          <w:rFonts w:ascii="Arial" w:cs="Arial" w:eastAsia="Arial" w:hAnsi="Arial"/>
          <w:sz w:val="18"/>
          <w:szCs w:val="18"/>
          <w:color w:val="auto"/>
        </w:rPr>
      </w:pPr>
    </w:p>
    <w:p>
      <w:pPr>
        <w:ind w:left="660" w:right="140" w:hanging="206"/>
        <w:spacing w:after="0" w:line="298"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Modularity</w:t>
      </w:r>
      <w:r>
        <w:rPr>
          <w:rFonts w:ascii="Arial" w:cs="Arial" w:eastAsia="Arial" w:hAnsi="Arial"/>
          <w:sz w:val="16"/>
          <w:szCs w:val="16"/>
          <w:color w:val="auto"/>
        </w:rPr>
        <w:t>. Each of our applications can be installed on an individual stand-alone basis, interfacing with the customer’s existing systems, or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integrated Amdocs system environment. This modularity provides our customers with a highly flexible and cost-effective solution that is able to incrementally expand with the customer’s growing needs and capabilities. The modular approach preserves the service provider’s initial investment in our products and minimizes disruptions and the overall cost of system implementation.</w:t>
      </w:r>
    </w:p>
    <w:p>
      <w:pPr>
        <w:spacing w:after="0" w:line="31"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Upgradability and Backward Compatibility</w:t>
      </w:r>
      <w:r>
        <w:rPr>
          <w:rFonts w:ascii="Arial" w:cs="Arial" w:eastAsia="Arial" w:hAnsi="Arial"/>
          <w:sz w:val="18"/>
          <w:szCs w:val="18"/>
          <w:color w:val="auto"/>
        </w:rPr>
        <w:t>. Version interoperability eliminates risky upgrades and allows for a gradual upgrade approach of suite</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Virtualization allows the use of all server resources, which helps to eliminate idle resources. This is critical in today’s IT world as it</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costs and improves operational efficiency through server consolidation, resource utilization, improved server availability, elasticity and sustainability.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activities are primarily directed at major communications, cable, entertainment and media companies.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of the strategic importance of our customer experience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systems integrators that provide complementary products and services. We also have value-added reseller agreements with certain hardware and database vendors. Our sales and marketing activities also support projects with partner companies, such as Adobe, Nokia Networks, Hewlett Packard Enterprise, IBM and Microsoft.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target market is comprised of service providers in the communications, cable, entertainment and media industry that require customer experience solutions with advanced functionality and technology. The companies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90 countries.</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customers include global and national communications, broadband, cable and satellite providers and network operators, as well as local marketing service providers, such as:</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A1 Telekom Austria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Botswana Telecommunications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and Wireless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CenturyLink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Dominican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Dex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Dish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FarEasTone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Instituto Costarricense de Electricidad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Kyivstar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Optus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Post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Brasil (Vivo)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de Espana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TeliaSonera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TELUS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Ireland (Hutchison)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Deutschland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UPC Broadband Holding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Verizon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VimpelCom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84" w:lineRule="exact"/>
        <w:rPr>
          <w:sz w:val="20"/>
          <w:szCs w:val="20"/>
          <w:color w:val="auto"/>
        </w:rPr>
      </w:pPr>
    </w:p>
    <w:p>
      <w:pPr>
        <w:sectPr>
          <w:pgSz w:w="11900" w:h="16838" w:orient="portrait"/>
          <w:cols w:equalWidth="0" w:num="2">
            <w:col w:w="5460" w:space="720"/>
            <w:col w:w="5200"/>
          </w:cols>
          <w:pgMar w:left="240" w:top="459" w:right="27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Our business is dependent on a limited number of significant customers, of which AT&amp;T has historically been our largest. AT&amp;T accounted for 33% of our revenue in fiscal 2016 and 34% in fiscal 2015. Aggregate revenue derived from the multiple business arrangements we have with the ten largest of our significant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customers accounted for approximately 73% of our revenue in fiscal 2016 and 72% in fiscal 2015. Revenue attributable to DIRECTV following its July 2015 acquisition by AT&amp;T has been included in the total revenue attributable to AT&amp;T.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2016</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70.1%</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72.7%</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Europe</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13.8</w:t>
            </w:r>
          </w:p>
        </w:tc>
        <w:tc>
          <w:tcPr>
            <w:tcW w:w="380" w:type="dxa"/>
            <w:vAlign w:val="bottom"/>
          </w:tcPr>
          <w:p>
            <w:pPr>
              <w:ind w:left="80"/>
              <w:spacing w:after="0"/>
              <w:rPr>
                <w:sz w:val="20"/>
                <w:szCs w:val="20"/>
                <w:color w:val="auto"/>
              </w:rPr>
            </w:pPr>
            <w:r>
              <w:rPr>
                <w:rFonts w:ascii="Arial" w:cs="Arial" w:eastAsia="Arial" w:hAnsi="Arial"/>
                <w:sz w:val="18"/>
                <w:szCs w:val="18"/>
                <w:color w:val="auto"/>
                <w:w w:val="79"/>
              </w:rPr>
              <w:t>11.6</w:t>
            </w:r>
          </w:p>
        </w:tc>
        <w:tc>
          <w:tcPr>
            <w:tcW w:w="50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12.6</w:t>
            </w:r>
          </w:p>
        </w:tc>
        <w:tc>
          <w:tcPr>
            <w:tcW w:w="2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22.2</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18.3</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14.7</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market for customer experience solutions in the communications, cable, entertainment and media industry continues to become more competitive. Amdocs’ competitive landscape is comprised of internal IT departments of large communications companies, as well as independent competitors or new entrants that may compete broadly with us or in limited segments of our market, and can be generally categorized as follows:</w:t>
      </w:r>
    </w:p>
    <w:p>
      <w:pPr>
        <w:spacing w:after="0" w:line="2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providers of BSS/OSS systems, including CSG International, Oracle, Redknee, Salesforce and SAP;</w:t>
      </w:r>
    </w:p>
    <w:p>
      <w:pPr>
        <w:spacing w:after="0" w:line="90" w:lineRule="exact"/>
        <w:rPr>
          <w:rFonts w:ascii="Arial" w:cs="Arial" w:eastAsia="Arial" w:hAnsi="Arial"/>
          <w:sz w:val="18"/>
          <w:szCs w:val="18"/>
          <w:color w:val="auto"/>
        </w:rPr>
      </w:pPr>
    </w:p>
    <w:p>
      <w:pPr>
        <w:ind w:left="660" w:right="240" w:hanging="206"/>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CSC, Hewlett Packard Enterprise, IBM Global Services, Infosys, Tata Consultancy Services, Tech Mahindra and Wipro (some of whom we also cooperate with in certain opportunities and projects); and</w:t>
      </w:r>
    </w:p>
    <w:p>
      <w:pPr>
        <w:spacing w:after="0" w:line="4"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equipment providers such as Cisco, Ericsson, Huawei, Nokia Networks, NEC and its subsidiary NetCracker, and ZTE (some of whom we also cooperate with in certain opportunities and projects and some of whom have also moved into the BSS/OSS space).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90" w:lineRule="exact"/>
        <w:rPr>
          <w:sz w:val="20"/>
          <w:szCs w:val="20"/>
          <w:color w:val="auto"/>
        </w:rPr>
      </w:pPr>
    </w:p>
    <w:p>
      <w:pPr>
        <w:ind w:left="660" w:right="18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applying our more than 30-year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cable, entertainment and media industry,</w:t>
      </w:r>
    </w:p>
    <w:p>
      <w:pPr>
        <w:spacing w:after="0" w:line="9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high-availability cloud technology and high-quality, reliable, scalable, integrated and modular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future success depends in large part upon our continuing ability to attract and retain highly qualified managerial, technical, sales and marketing personnel and outstanding leaders.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“Directors, Senior Management and Employees — Workforce Personnel” for further details regarding our employees and our relationships with them.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lease land and buildings for our executive offices, sales, marketing, administrative, development and support centers. We lease an aggregate of approximately 3.3 million square feet worldwide, including significant leases in the United States, Israel, Canada, Cyprus, India and the United Kingdom. Our aggregate annual lease costs with respect to our properties as of September 30, 2016, including maintenance and other related costs, were approximately $63 million. The following table summarizes information with respect to the principal facilities leased by us and our subsidiaries as of September 30, 2016:</w:t>
      </w:r>
    </w:p>
    <w:p>
      <w:pPr>
        <w:spacing w:after="0" w:line="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Champaign, IL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 Louis, MO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Seattle, WA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Eldorado Hills,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Ra’anana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Sderot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Haifa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Montreal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Ottawa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Toronto</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118,568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(Limassol)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Pune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Delhi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942,940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Other locations (29 countries)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3,279,305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leases expire on various dates through 2026, not including various options to terminate or extend lease terms.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develop our customer experience solutions over a system of UNIX, Linux and Windows servers owned or leased by us. We use a variety of software products in our development centers, including products by Microsoft, Oracle, Syncsort, Red Hat, CA, IBM and Hewlett-Packard. Our data storage is based mainly on equipment from EMC, NetApp, IBM, Hitachi and Hewlett-Packard. Our development servers are connected to more than 25,000 personal computers owned or leased by us.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is a leading provider of software and services for communications, cable, entertainment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interaction and across all channels.</w:t>
      </w:r>
    </w:p>
    <w:p>
      <w:pPr>
        <w:spacing w:after="0" w:line="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develop, implement and manage software and services associated with BSS/OSS, network solutions and big data analytics to enable service providers to efficiently and cost-effectively introduce new products and services, process orders, monetize data, support new business models and generally enhance their understanding of their customers. Our technology and expertise help service providers to further transform into digital service providers, enhance their OTT entertainment offerings and serve their customers across all channels. We refer to these products, systems and services collectively as customer experience solutions because of the crucial impact they have on the service providers’ end-user experience.</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 global communications industry impacted by unprecedented growth in data demand, an increasing number of connected devices, improvement in IoT technologies, the rising influence of device makers and over-the-top players that bypass traditional service providers, consumers expect immediate and constant connectivity to personalized services, information and applications. To capture new revenue streams, service providers are continuing to transform to become digital service providers, investing in their networks to meet the demand for increased bandwidth and are searching for ways to provide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and their markets grow and change.</w:t>
      </w:r>
    </w:p>
    <w:p>
      <w:pPr>
        <w:spacing w:after="0" w:line="3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part, we have sought, through acquisitions, to expand our service offerings and customer base and to enhance our ability to provide managed services to our customers. In recent years, we have completed numerous acquisitions (including our fiscal 2016 acquisitions of Vindicia, Brite:Bill and Pontis), which, among other things, we believe will enable us to expand our digital offerings. As part of our strategy, we may continue to pursue acquisitions and other initiatives in order to offer new products or services, enter into new vertical markets or otherwise enhance our market position or strategic strengths.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90" w:lineRule="exact"/>
        <w:rPr>
          <w:sz w:val="20"/>
          <w:szCs w:val="20"/>
          <w:color w:val="auto"/>
        </w:rPr>
      </w:pPr>
    </w:p>
    <w:p>
      <w:pPr>
        <w:ind w:left="660" w:right="22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complete, modular yet integrated portfolio of customer experience solutions, including revenue and customer management, network solutions, IoT, customer operational intelligence and mobile financial services, all employing a unified foundation of products and tools.</w:t>
      </w:r>
    </w:p>
    <w:p>
      <w:pPr>
        <w:spacing w:after="0" w:line="4" w:lineRule="exact"/>
        <w:rPr>
          <w:rFonts w:ascii="Arial" w:cs="Arial" w:eastAsia="Arial" w:hAnsi="Arial"/>
          <w:sz w:val="16"/>
          <w:szCs w:val="16"/>
          <w:color w:val="auto"/>
        </w:rPr>
      </w:pPr>
    </w:p>
    <w:p>
      <w:pPr>
        <w:ind w:left="660" w:right="20" w:hanging="206"/>
        <w:spacing w:after="0" w:line="294"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comprehensive line of services designed to address every stage of a service provider’s lifecycle. Our services include thought leadership and advisory services, systems integration, transformation, managed services, digital business operations for order to activation, order gateway services, testing, revenue guard and Amdocs Academy. Our managed services provide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designed our customer experience solutions to meet the high-volume, complex needs of Tier-1 and Tier-2 service providers and to address the issues of service providers in high-growth emerging markets. In addition, Amdocs Optima has been designed to service midsized communications businesses and mobile virtual network enablers/mobile virtual network operators, as well as digital enterprises. We support our customers’ various lines of business, including wireline, wireless, broadband, cable and satellite, and a wide range of communication services, including voice, video, data, content, electronic and mobile commerce applications. In addition, we support service providers that offer bundled or convergent service packages.</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 to facilitate cost-effective operations, from selling ads to the management of the fulfillment, operations, advertiser and consumer experience and financial processes across digital and print media.</w:t>
      </w:r>
    </w:p>
    <w:p>
      <w:pPr>
        <w:spacing w:after="0" w:line="5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fiscal 2016, customers in North America accounted for 64.0% of our revenue, while customers in Europe and the rest of the world accounted for 13.8% and 22.2%, respectively. We maintain development facilities in Brazil, Canada, Cyprus, India, Ireland, Israel, Mexico, the Philippines, the United Kingdom and the United States. Historically, AT&amp;T has been our largest customer, accounting for 33% of our revenue in fiscal 2016 and 34% in fiscal 2015. Aggregate revenue derived from the multiple business arrangements we have with our ten largest customers accounted for approximately 73% of our revenue in fiscal 2016 and 72% in fiscal 2015. Revenue attributable to DIRECTV following its July 2015 acquisition by AT&amp;T has been included in the total revenue attributable to AT&amp;T.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demand for our customer experience solutions is primarily driven by the following key factors:</w:t>
      </w:r>
    </w:p>
    <w:p>
      <w:pPr>
        <w:spacing w:after="0" w:line="90"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Transformation within the communications industry,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90" w:lineRule="exact"/>
        <w:rPr>
          <w:rFonts w:ascii="Arial" w:cs="Arial" w:eastAsia="Arial" w:hAnsi="Arial"/>
          <w:sz w:val="18"/>
          <w:szCs w:val="18"/>
          <w:color w:val="auto"/>
        </w:rPr>
      </w:pPr>
    </w:p>
    <w:p>
      <w:pPr>
        <w:ind w:left="900" w:right="40" w:hanging="217"/>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emergence and development of new communications products and services, such as Web services, video on demand (VOD), data and content services, including IP-based services, such as Internet Protocol Television (IPTV), IoT, Wi-Fi, Voice over Wi-Fi (VoWiFI) and Voice over IP (VoIP),</w:t>
      </w:r>
    </w:p>
    <w:p>
      <w:pPr>
        <w:spacing w:after="0" w:line="4" w:lineRule="exact"/>
        <w:rPr>
          <w:rFonts w:ascii="Arial" w:cs="Arial" w:eastAsia="Arial" w:hAnsi="Arial"/>
          <w:sz w:val="16"/>
          <w:szCs w:val="16"/>
          <w:color w:val="auto"/>
        </w:rPr>
      </w:pPr>
    </w:p>
    <w:p>
      <w:pPr>
        <w:ind w:left="900" w:right="160" w:hanging="217"/>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evolution to and expansion of more sophisticated and connected communication devices, such as smart devices, electronic book readers, energy meters and systems for global positioning, home security and home health monitoring, that enable communication across and between devices and widespread access to information,</w:t>
      </w:r>
    </w:p>
    <w:p>
      <w:pPr>
        <w:spacing w:after="0" w:line="59" w:lineRule="exact"/>
        <w:rPr>
          <w:rFonts w:ascii="Arial" w:cs="Arial" w:eastAsia="Arial" w:hAnsi="Arial"/>
          <w:sz w:val="18"/>
          <w:szCs w:val="18"/>
          <w:color w:val="auto"/>
        </w:rPr>
      </w:pPr>
    </w:p>
    <w:p>
      <w:pPr>
        <w:ind w:left="900" w:right="30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adoption of cloud technologies to enable new revenue models and business opportunities, such as traditional communications services and cloud services bundled together and targeted to enterprise and small- to medium-sized businesses,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evolution to next-generation networks that enable converged services offerings, such as fixed-mobile convergence, and</w:t>
      </w:r>
    </w:p>
    <w:p>
      <w:pPr>
        <w:spacing w:after="0" w:line="90" w:lineRule="exact"/>
        <w:rPr>
          <w:rFonts w:ascii="Arial" w:cs="Arial" w:eastAsia="Arial" w:hAnsi="Arial"/>
          <w:sz w:val="18"/>
          <w:szCs w:val="18"/>
          <w:color w:val="auto"/>
        </w:rPr>
      </w:pPr>
    </w:p>
    <w:p>
      <w:pPr>
        <w:ind w:left="900" w:right="160" w:hanging="217"/>
        <w:spacing w:after="0" w:line="357" w:lineRule="auto"/>
        <w:tabs>
          <w:tab w:leader="none" w:pos="90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technological changes, such as emerging 5G wireless technology, next-generation content systems, fiber to the x (FTTx), Wi-Fi, network functions virtualization (NFV), enhanced packet core (EPC), IP Multimedia Subsystem (IMS) and LTE-based access technologies such as VoLTE.</w:t>
      </w: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90" w:lineRule="exact"/>
        <w:rPr>
          <w:rFonts w:ascii="Arial" w:cs="Arial" w:eastAsia="Arial" w:hAnsi="Arial"/>
          <w:sz w:val="18"/>
          <w:szCs w:val="18"/>
          <w:color w:val="auto"/>
        </w:rPr>
      </w:pPr>
    </w:p>
    <w:p>
      <w:pPr>
        <w:ind w:left="900" w:right="10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need for service providers to have a unified view of the customer and deliver a contextual and personalized experience across multiple services, devices and channels,</w:t>
      </w:r>
    </w:p>
    <w:p>
      <w:pPr>
        <w:spacing w:after="0" w:line="50" w:lineRule="exact"/>
        <w:rPr>
          <w:rFonts w:ascii="Arial" w:cs="Arial" w:eastAsia="Arial" w:hAnsi="Arial"/>
          <w:sz w:val="18"/>
          <w:szCs w:val="18"/>
          <w:color w:val="auto"/>
        </w:rPr>
      </w:pPr>
    </w:p>
    <w:p>
      <w:pPr>
        <w:ind w:left="900" w:right="56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 and</w:t>
      </w:r>
    </w:p>
    <w:p>
      <w:pPr>
        <w:spacing w:after="0" w:line="50"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access to self-service options that are convenient, proactive and consistent across all channels.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90" w:lineRule="exact"/>
        <w:rPr>
          <w:rFonts w:ascii="Arial" w:cs="Arial" w:eastAsia="Arial" w:hAnsi="Arial"/>
          <w:sz w:val="18"/>
          <w:szCs w:val="18"/>
          <w:color w:val="auto"/>
        </w:rPr>
      </w:pPr>
    </w:p>
    <w:p>
      <w:pPr>
        <w:ind w:left="900" w:right="120" w:hanging="217"/>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automating and integrating business processes that span service providers’ BSS/OSS and network solutions,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fiscal 2016, our total revenue was $3.72 billion, of which $3.63 billion, or 97.6%, was attributable to the sale of customer experience solutions. Revenue from managed services arrangements (for customer experience solutions and entertainment and media directory systems) is a significant part of our business generating substantial, long-term recurring revenue streams and cash flow. Revenue from managed services arrangements accounted for approximately $1.95 billion and $1.84 billion of revenue in fiscal 2016 and 2015,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markets and to provide new and enhanced functionality to our existing product offerings. We use Agile, a software development methodology based on iterative and incremental development where requirements and solutions evolve through collaboration between self-organizing, cross-functional teams.</w:t>
      </w:r>
    </w:p>
    <w:p>
      <w:pPr>
        <w:spacing w:after="0" w:line="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Substantially all of our research and development expenditures are directed at our customer experience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small cells and Wi-Fi; big data analytics related to consumer and business satisfaction, marketing effectiveness and network operations and experience; mobile financial services, increased focused for the business segment, digital, commerce and entertainment domains.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7"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Our software and software systems are the results of long, robust and intensive development processes, and although our technology is not significantly dependent on patents or licenses from third parties, certain aspects of our products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for the fiscal years ended September 30, 2016, 2015 and 2014, certain items in our consolidated statements of income reflected as a percentage of revenue:</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3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64.8</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64.5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20" w:type="dxa"/>
            <w:vAlign w:val="bottom"/>
            <w:gridSpan w:val="3"/>
          </w:tcPr>
          <w:p>
            <w:pPr>
              <w:jc w:val="right"/>
              <w:ind w:right="140"/>
              <w:spacing w:after="0"/>
              <w:rPr>
                <w:sz w:val="20"/>
                <w:szCs w:val="20"/>
                <w:color w:val="auto"/>
              </w:rPr>
            </w:pPr>
            <w:r>
              <w:rPr>
                <w:rFonts w:ascii="Arial" w:cs="Arial" w:eastAsia="Arial" w:hAnsi="Arial"/>
                <w:sz w:val="18"/>
                <w:szCs w:val="18"/>
                <w:color w:val="auto"/>
              </w:rPr>
              <w:t>6.8</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7.0</w:t>
            </w: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62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1660" w:type="dxa"/>
            <w:vAlign w:val="bottom"/>
            <w:gridSpan w:val="3"/>
          </w:tcPr>
          <w:p>
            <w:pPr>
              <w:jc w:val="right"/>
              <w:ind w:right="70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85.8</w:t>
            </w:r>
          </w:p>
        </w:tc>
        <w:tc>
          <w:tcPr>
            <w:tcW w:w="44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3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taxes</w:t>
            </w:r>
          </w:p>
        </w:tc>
        <w:tc>
          <w:tcPr>
            <w:tcW w:w="3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1.9</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80" w:type="dxa"/>
            <w:vAlign w:val="bottom"/>
            <w:vMerge w:val="restart"/>
          </w:tcPr>
          <w:p>
            <w:pPr>
              <w:jc w:val="right"/>
              <w:ind w:right="2232"/>
              <w:spacing w:after="0"/>
              <w:rPr>
                <w:sz w:val="20"/>
                <w:szCs w:val="20"/>
                <w:color w:val="auto"/>
              </w:rPr>
            </w:pPr>
            <w:r>
              <w:rPr>
                <w:rFonts w:ascii="Arial" w:cs="Arial" w:eastAsia="Arial" w:hAnsi="Arial"/>
                <w:sz w:val="18"/>
                <w:szCs w:val="18"/>
                <w:color w:val="auto"/>
              </w:rPr>
              <w:t>29</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2016 and 2015</w:t>
      </w:r>
    </w:p>
    <w:p>
      <w:pPr>
        <w:spacing w:after="0" w:line="90" w:lineRule="exact"/>
        <w:rPr>
          <w:sz w:val="20"/>
          <w:szCs w:val="20"/>
          <w:color w:val="auto"/>
        </w:rPr>
      </w:pPr>
    </w:p>
    <w:p>
      <w:pPr>
        <w:ind w:right="660" w:firstLine="456"/>
        <w:spacing w:after="0" w:line="331"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2016, compared to the fiscal year ended September 30, 2015. Following the table is a discussion and analysis of our business and results of operations for these fiscal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5"/>
              </w:rPr>
              <w:t>Year Ended September 30,</w:t>
            </w:r>
          </w:p>
        </w:tc>
        <w:tc>
          <w:tcPr>
            <w:tcW w:w="10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6"/>
              </w:rPr>
              <w:t>Amount</w:t>
            </w: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3,718,229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3,643,538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74,691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2,408,040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2,349,488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58,552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252,292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254,944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(2,652)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440,085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109,873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70,073</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39,800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3,235,088</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3,127,590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107,498</w:t>
            </w:r>
          </w:p>
        </w:tc>
        <w:tc>
          <w:tcPr>
            <w:tcW w:w="2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515,948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(32,807)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(4,101)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(28,706)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taxes</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2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(36,832)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by $74.7 million, or 2.0%, to $3,718.2 million in fiscal year 2016, from $3,643.5 million in fiscal year 2015.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attributable to increased activity in the rest of the world and, to a lesser extent, in Europe, partially offset by lower revenue from North America. The 2.0% increase in revenue was net of a decrease of approximately 1.5% from foreign exchange fluctuations.</w:t>
      </w:r>
    </w:p>
    <w:p>
      <w:pPr>
        <w:spacing w:after="0" w:line="59"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Revenue attributable to the sale of customer experience solutions increased by $87.2 million, or 2.5%, to $3,629.7 million in fiscal year 2016, from $3,542.5 million in fiscal year 2015. The increase in revenue was attributable to increased activity in the rest of the world and, to a lesser extent, in Europe, partially offset by lower revenue from North America. Revenue resulting from the sale of customer experience solutions represented 97.6% and 97.2% of our total revenue in fiscal years 2016 and 2015, respectively.</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attributable to the sale of directory systems decreased by $12.5 million, or 12.4%, to $88.5 in fiscal year 2016, from $101.0 million in fiscal year 2015. This decrease was primarily attributable to continued slowness in the directory systems market. We anticipate revenue from the sale of directory systems will continue to decline in fiscal year 2017. Revenue from the sale of directory systems represented 2.4% and 2.8% of our total revenue in fiscal years 2016 and 2015, respectively.</w:t>
      </w:r>
    </w:p>
    <w:p>
      <w:pPr>
        <w:spacing w:after="0" w:line="6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fiscal year 2016, revenue from customers in North America, Europe and the rest of the world accounted for 64.0%, 13.8% and 22.2%, respectively, of total revenue, compared to 70.1%, 11.6% and 18.3%, respectively, in fiscal year 2015. The decrease in the percentage of revenue from customers in North America was driven by the increase in revenue from customers in Europe and the rest of the world, while revenue from customers in North America decreased, mainly due to AT&amp;T’s slower pace of discretionary spending. The increase in revenue from customers in Europe was attributable to expanding our business relations with new and existing customers, including Vodafone and former Comverse customers. Revenue from customers in the rest of the world increased as a result of our progress in implementing complex modernization projects in both Latin America and Asia-Pacific, as well as capitalizing on the sustained business momentum with former Comverse customers.</w:t>
      </w:r>
    </w:p>
    <w:p>
      <w:pPr>
        <w:spacing w:after="0" w:line="3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primarily of costs associated with providing services to customers, including compensation expense and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products, as well as fee and royalty payments to software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suppliers. Cost of revenue increased by $58.6 million, or 2.5%, to $2,408.0 million in fiscal year 2016, from $2,349.5 million in fiscal year 2015. As a percentage of revenue, cost of revenue increased to 64.8% in fiscal year 2016, from 64.5% in fiscal year 2015. The decrease in the gross margin in fiscal year 2016 was primarily attributable to a gain resulting from changes in fair value of certain acquisition-related liabilities recognized in fiscal year 2015, which was partially offset by improvement to our gross margin as a result of ongoing focus on achieving operational efficiencies.</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$2.7 million, or 1.0%, to $252.3 million in fiscal year 2016, from $254.9 million in fiscal year 2015. Research and development expense decreased as a percentage of revenue from 7.0% in fiscal year 2015, to 6.8% in fiscal year 2016.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 which is primarily comprised of compensation expense, increased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$24.8 million, or 5.6%, to $464.9 million in fiscal year 2016, from $440.1 million in fiscal year 2015. The increase in selling, general and administrative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the acquisition of the BSS assets of Comverse, as well as to an increase in the allowance for doubtful accounts.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 may fluctuate from time to time, depending upon such factors as changes in our workforce and sales efforts and the results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operational efficiency programs that we may undertake.</w:t>
      </w:r>
    </w:p>
    <w:p>
      <w:pPr>
        <w:spacing w:after="0" w:line="8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increased by $39.8 million, or 56.8%, to</w:t>
      </w:r>
      <w:r>
        <w:rPr>
          <w:rFonts w:ascii="Arial" w:cs="Arial" w:eastAsia="Arial" w:hAnsi="Arial"/>
          <w:sz w:val="18"/>
          <w:szCs w:val="18"/>
          <w:i w:val="1"/>
          <w:iCs w:val="1"/>
          <w:color w:val="auto"/>
        </w:rPr>
        <w:t xml:space="preserve"> </w:t>
      </w:r>
      <w:r>
        <w:rPr>
          <w:rFonts w:ascii="Arial" w:cs="Arial" w:eastAsia="Arial" w:hAnsi="Arial"/>
          <w:sz w:val="18"/>
          <w:szCs w:val="18"/>
          <w:color w:val="auto"/>
        </w:rPr>
        <w:t>$109.9 million in fiscal year 2016, from $70.1 million in fiscal year 2015. The increase in amortization of purchased intangible assets and other was primarily attributable to an increase in amortization of intangible assets due to the acquisition of the BSS assets of Comverse, and, to a lesser extent, an increase in acquisition-related costs.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The fiscal year 2015 restructuring charges were recognized in connection with the acquisition of the BSS assets of Comverse.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3 to our consolidated financial statements.</w:t>
      </w:r>
    </w:p>
    <w:p>
      <w:pPr>
        <w:spacing w:after="0" w:line="8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decreased by $32.8 million, or 6.4%, to $483.1 million in fiscal year 2016, from $515.9 million in fiscal year 2015.</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income decreased as a percentage of revenue, from 14.2% in fiscal year 2015 to 13.0% in fiscal year 2016. The decrease in operating income as a percentage of revenue was attributable to operating expenses, particularly amortization of purchased intangible assets and other, as well as cost of revenue, increasing at a higher rate than revenue. Positive foreign exchange impacts on our operating expenses were partially offset by the negative foreign exchange impacts on our revenue, resulting in a minor positive impact on our operating income.</w:t>
      </w:r>
    </w:p>
    <w:p>
      <w:pPr>
        <w:spacing w:after="0" w:line="3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and other income (expense), net, changed from a net loss of $2.5 million in fiscal year 2015 to a net gain</w:t>
      </w:r>
      <w:r>
        <w:rPr>
          <w:rFonts w:ascii="Arial" w:cs="Arial" w:eastAsia="Arial" w:hAnsi="Arial"/>
          <w:sz w:val="16"/>
          <w:szCs w:val="16"/>
          <w:i w:val="1"/>
          <w:iCs w:val="1"/>
          <w:color w:val="auto"/>
        </w:rPr>
        <w:t xml:space="preserve"> </w:t>
      </w:r>
      <w:r>
        <w:rPr>
          <w:rFonts w:ascii="Arial" w:cs="Arial" w:eastAsia="Arial" w:hAnsi="Arial"/>
          <w:sz w:val="16"/>
          <w:szCs w:val="16"/>
          <w:color w:val="auto"/>
        </w:rPr>
        <w:t>of $1.6 million in fiscal year 2016. This change in interest and other income (expense), net, was primarily attributable to foreign exchange impacts.</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2016 were $75.4 million on pre-tax income of $484.7 million, resulting in an effective tax rate of 15.5%,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13.1% in fiscal year 2015. Our effective tax rate may fluctuate between periods as a result of discrete items that may affect a particular period. Please see Note 10 to our consolidated financial statements.</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by $36.8 million, or 8.3%, to $409.3 million in fiscal year 2016, from $446.2 million in fiscal year 2015.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net income was primarily attributable to the decrease in operating income.</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decreased by $0.14, or 4.9%, to $2.71 in fiscal year 2016, from $2.85 in fiscal year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diluted earnings per share was mainly attributable to the decrease in net income, which was partially offset by the decrease in the diluted weighted average number of shares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2015 and 2014</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2015, compared to the fiscal year ended September 30, 2014.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3"/>
              </w:rPr>
              <w:t>Year Ended September 30,</w:t>
            </w:r>
          </w:p>
        </w:tc>
        <w:tc>
          <w:tcPr>
            <w:tcW w:w="40" w:type="dxa"/>
            <w:vAlign w:val="bottom"/>
          </w:tcPr>
          <w:p>
            <w:pPr>
              <w:spacing w:after="0"/>
              <w:rPr>
                <w:sz w:val="14"/>
                <w:szCs w:val="14"/>
                <w:color w:val="auto"/>
              </w:rPr>
            </w:pPr>
          </w:p>
        </w:tc>
        <w:tc>
          <w:tcPr>
            <w:tcW w:w="16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3,643,538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3,563,637</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$79,901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2,349,488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2,306,892</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42,596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254,944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257,896</w:t>
            </w:r>
          </w:p>
        </w:tc>
        <w:tc>
          <w:tcPr>
            <w:tcW w:w="4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(2,952)</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58,067</w:t>
            </w:r>
          </w:p>
        </w:tc>
        <w:tc>
          <w:tcPr>
            <w:tcW w:w="4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12,006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3,127,590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3,067,989</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59,601</w:t>
            </w:r>
          </w:p>
        </w:tc>
        <w:tc>
          <w:tcPr>
            <w:tcW w:w="2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495,648</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20,300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(3,554)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489,550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67,428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422,122</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24,041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by $79.9 million, or 2.2%, to $3,643.5 million in fiscal year 2015, from $3,563.6 million in fiscal 2014.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primarily attributable to increased activity in the rest of the world partially offset by lower revenue from customers in Europe and North America. The 2.2% increase in revenue was net of a decrease of approximately 3.0% from foreign exchange fluctuations.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Effective October 1, 2014, we combined the presentation of license and service revenue, as well as the related costs, since license revenue comprises an insignificant portion of total revenue and is no longer meaningful as a business indicator.</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attributable to the sale of customer experience solutions increased by $107.0 million, or 3.1%, to $3,542.5 million in fiscal year 2015, from $3,435.5 million in fiscal 2014. This increase was primarily attributable to increased activity in the rest of the world partially offset by lower revenue from customers in Europe and North America. Revenue resulting from the sale of customer experience solutions represented 97.2% and 96.4% of our total revenue in fiscal years 2015 and 2014, respectively.</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Revenue attributable to the sale of directory systems decreased by $27.2 million, or 21.2%, to $101.0 in fiscal year 2015, from $128.2 million in fiscal 2014. This decrease was primarily attributable to continued slowness in the directory systems market leading to lower revenue from managed services arrangements for directory systems customers. Revenue from the sale of directory systems represented 2.8% and 3.6% of our total revenue in fiscal years 2015 and 2014, respectively.</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fiscal year 2015, revenue from customers in North America, Europe and the rest of the world accounted for 70.1%, 11.6% and 18.3%, respectively, of total revenue, compared to 72.7%, 12.6% and 14.7%, respectively, in fiscal 2014. The decrease in the percentage of revenue from customers in North America was attributable primarily to negative impact from foreign exchange fluctuations due to the strengthening of the U.S. dollar against the Canadian dollar. Revenue from customers in North America was also impacted from the persistent uncertainty resulting from customer consolidation activity in the United States. The decrease in the percentage of revenue from customers in Europe was attributable primarily to the negative impact from foreign exchange fluctuations. Revenue from customers in the rest of the world increased as a percentage of total revenue as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result of our progress in implementing complex modernization projects in both Latin America and Asia-Pacific for new and existing customers, which was partially offset by negative impact from foreign exchange fluctuations.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$42.6 million, or 1.8%, to $2,349.5 million in fiscal year 2015, from $2,306.9 million in fiscal year 2014. As</w:t>
      </w:r>
      <w:r>
        <w:rPr>
          <w:rFonts w:ascii="Arial" w:cs="Arial" w:eastAsia="Arial" w:hAnsi="Arial"/>
          <w:sz w:val="16"/>
          <w:szCs w:val="16"/>
          <w:i w:val="1"/>
          <w:iCs w:val="1"/>
          <w:color w:val="auto"/>
        </w:rPr>
        <w:t xml:space="preserve"> </w:t>
      </w:r>
      <w:r>
        <w:rPr>
          <w:rFonts w:ascii="Arial" w:cs="Arial" w:eastAsia="Arial" w:hAnsi="Arial"/>
          <w:sz w:val="16"/>
          <w:szCs w:val="16"/>
          <w:color w:val="auto"/>
        </w:rPr>
        <w:t>a percentage of revenue, cost of revenue decreased to 64.5% in fiscal year 2015, from 64.8% in fiscal 2014. The improvement in the gross margin in fiscal year 2015 was mainly attributable to a gain resulting from changes in fair value of certain acquisition-related liabilities recognized in fiscal year 2015, partially offset by our increased activity outside of North America, where we continued our penetration efforts in order to expand our business into those markets.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decreased by $3.0 million, or 1.1%, to $254.9 million in fiscal year 2015, from</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$257.9 million in fiscal year 2014. Research and development expense decreased as a percentage of revenue from 7.2% in fiscal year 2014, to 7.0% in fiscal year 2015.</w:t>
      </w:r>
    </w:p>
    <w:p>
      <w:pPr>
        <w:spacing w:after="0" w:line="5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or 1.1%, to $440.1 million in fiscal year 2015, from $445.1 million in fiscal year 2014.</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increased by $12.0 million, or 20.7%, to</w:t>
      </w:r>
      <w:r>
        <w:rPr>
          <w:rFonts w:ascii="Arial" w:cs="Arial" w:eastAsia="Arial" w:hAnsi="Arial"/>
          <w:sz w:val="18"/>
          <w:szCs w:val="18"/>
          <w:i w:val="1"/>
          <w:iCs w:val="1"/>
          <w:color w:val="auto"/>
        </w:rPr>
        <w:t xml:space="preserve"> </w:t>
      </w:r>
      <w:r>
        <w:rPr>
          <w:rFonts w:ascii="Arial" w:cs="Arial" w:eastAsia="Arial" w:hAnsi="Arial"/>
          <w:sz w:val="18"/>
          <w:szCs w:val="18"/>
          <w:color w:val="auto"/>
        </w:rPr>
        <w:t>$70.1 million in fiscal year 2015, from $58.1 million in fiscal year 2014. The increase in amortization of purchased intangible assets and other was primarily attributable to an increase in amortization of intangible assets due to the acquisition of the BSS assets of Comverse, as well as to an increase in acquisition-related costs.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amounted to $13.0 million in fiscal year 2015, while there were no such charges in fiscal year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2015 restructuring charges were recognized in connection with the acquisition of the BSS assets of Comverse. Please see Note 3 to our consolidated financial statements.</w:t>
      </w:r>
    </w:p>
    <w:p>
      <w:pPr>
        <w:spacing w:after="0" w:line="59"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 xml:space="preserve">Operating Income. </w:t>
      </w:r>
      <w:r>
        <w:rPr>
          <w:rFonts w:ascii="Arial" w:cs="Arial" w:eastAsia="Arial" w:hAnsi="Arial"/>
          <w:sz w:val="15"/>
          <w:szCs w:val="15"/>
          <w:color w:val="auto"/>
        </w:rPr>
        <w:t>Operating income increased by $20.3 million, or 4.1%, to $515.9 million in fiscal year 2015, from $495.6 million in fiscal year 2014.</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income increased as a percentage of revenue, from 13.9% in fiscal year 2014 to 14.2% in fiscal year 2015.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positive impact on our operating income.</w:t>
      </w:r>
    </w:p>
    <w:p>
      <w:pPr>
        <w:spacing w:after="0" w:line="1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and other expense, net, decreased by $3.6 million to $2.5 million in fiscal year 2015, from $6.1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2014. The decrease in interest and other expense, net, was primarily attributable to changes in fair value of certain acquisition-related liabilities. The decrease in interest and other expense, net, as a result of these changes was partially offset by foreign exchange impacts.</w:t>
      </w:r>
    </w:p>
    <w:p>
      <w:pPr>
        <w:spacing w:after="0" w:line="2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year 2015 were $67.2 million on pre-tax income of $513.4 million, resulting in an effective tax rate of 13.1%,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13.8% in fiscal year 2014. Please see Note 10 to our consolidated financial statements.</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$24.0 million, or 5.7%, to $446.2 million in fiscal year 2015, from $422.1 million in fiscal year 2014.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was primarily attributable to the increase in operating income.</w:t>
      </w:r>
    </w:p>
    <w:p>
      <w:pPr>
        <w:spacing w:after="0" w:line="5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increased by $0.23, or 8.8%, to $2.85 in fiscal year 2015, from $2.62 in fiscal year 2014.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diluted earnings per share was mainly attributable to the increase in net income and, to a lesser extent, the decrease in the diluted weighted average number of shares outstanding resulting from our repurchase of ordinary shares, partially offset by stock option exercises.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net of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totaled $0.90 billion as of September 30,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compared to $1.13 billion as of September 30, 2015. The decrease during fiscal year 2016 was mainly attributable to $413.4 million used to repurchase our ordinary shares, $283.5 million in net cash paid for acquisitions, $130.1 million for capital expenditures, net, and $109.3 million of cash dividend payments, partially offset by $620.2 million in cash flow from operations and $89.6 million of proceeds from stock option exercises. Net cash provided by operating activities amounted to $620.2 million and $772.6 million in fiscal years 2016 and 2015, respectively.</w:t>
      </w:r>
    </w:p>
    <w:p>
      <w:pPr>
        <w:spacing w:after="0" w:line="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5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62"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(loss),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2016 and 2015 we recognized immaterial credit losses. Please see Notes 4 and 5 to our consolidated financial statements.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Revolving Credit Facility, Letters of Credit and Guarantees. </w:t>
      </w:r>
      <w:r>
        <w:rPr>
          <w:rFonts w:ascii="Arial" w:cs="Arial" w:eastAsia="Arial" w:hAnsi="Arial"/>
          <w:sz w:val="16"/>
          <w:szCs w:val="16"/>
          <w:color w:val="auto"/>
        </w:rPr>
        <w:t>In 2011, we entered into an unsecured $500.0 million five-year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 of banks. In December 2014, the credit facility was amended and restated to, among other things, extend the maturity date of the facility to December 2019.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As of September 30, 2016, we were in compliance with the financial covenants under the revolving credit facility. In September 2016, we borrowed an aggregate of $200.0 million under the facility and repaid it in October 2016.</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2016, we had additional uncommitted lines of credit available for general corporate and other specific purposes and had outstanding letters of credit and bank guarantees from various banks totaling $62.9 million. These were supported by a combination of the uncommitted lines of credit that we maintain with various banks.</w:t>
      </w:r>
    </w:p>
    <w:p>
      <w:pPr>
        <w:spacing w:after="0" w:line="59"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fiscal year 2016, we acquired three technology companies to expand our digital offering: Vindicia, Brite:Bill and Pontis,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purchase price of $258.5 million in cash, with the potential for additional consideration subject to the achievement of certain performance metrics. During fiscal year 2015, we acquired a substantial majority of the BSS assets of Comverse for $271.8 million in cash, of which a total of $13.0 million was attributable to a restructuring activity. Please see Note 3 to our consolidated financial statements.</w:t>
      </w:r>
    </w:p>
    <w:p>
      <w:pPr>
        <w:spacing w:after="0" w:line="32"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consist of purchases of computer equipment, and the remainder is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mainly to leasehold improvements. Our capital expenditures were approximately $130.1 million in fiscal year 2016. Our fiscal year 2016 capital expenditures were mainly attributable to investments in our operating facilities and our development centers around the world. Our policy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is to fund our capital expenditures from operating cash flows and we do not anticipate any changes to this policy in the foreseeable future.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has adopted share repurchase plans authorizing the repurchase of our outstanding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Our Board of Directors adopted a share repurchase plan in April 2014 for the repurchase of up to $750.0 million of our outstanding ordinary shares and on February 2,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that we consider appropriate. In May 2016, we completed the repurchase of the remaining authorized amount under the April 2014 plan and began executing repurchases under the February 2016 plan. In fiscal year 2016, we repurchased 7.2 million ordinary shares at an average price of $57.12 per share (excluding broker and transaction fees), and as of September 30, 2016, we had remaining authority to repurchase up to $596.8 million of our outstanding ordinary shares.</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 the Redemption Date, we redeemed all of our outstanding convertible notes due 2024 at a redemption price of 100% of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notes, plus accrued and unpaid interest up to, but excluding, the Redemption Date.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2016, 2015 and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140" w:type="dxa"/>
            <w:vAlign w:val="bottom"/>
            <w:gridSpan w:val="2"/>
          </w:tcPr>
          <w:p>
            <w:pPr>
              <w:ind w:left="1940"/>
              <w:spacing w:after="0"/>
              <w:rPr>
                <w:sz w:val="20"/>
                <w:szCs w:val="20"/>
                <w:color w:val="auto"/>
              </w:rPr>
            </w:pPr>
            <w:r>
              <w:rPr>
                <w:rFonts w:ascii="Arial" w:cs="Arial" w:eastAsia="Arial" w:hAnsi="Arial"/>
                <w:sz w:val="14"/>
                <w:szCs w:val="14"/>
                <w:b w:val="1"/>
                <w:bCs w:val="1"/>
                <w:color w:val="auto"/>
              </w:rPr>
              <w:t>Dividends Per</w:t>
            </w:r>
          </w:p>
        </w:tc>
        <w:tc>
          <w:tcPr>
            <w:tcW w:w="2020" w:type="dxa"/>
            <w:vAlign w:val="bottom"/>
          </w:tcPr>
          <w:p>
            <w:pPr>
              <w:spacing w:after="0"/>
              <w:rPr>
                <w:sz w:val="14"/>
                <w:szCs w:val="14"/>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 Amount</w:t>
            </w:r>
          </w:p>
        </w:tc>
        <w:tc>
          <w:tcPr>
            <w:tcW w:w="1560" w:type="dxa"/>
            <w:vAlign w:val="bottom"/>
          </w:tcPr>
          <w:p>
            <w:pPr>
              <w:spacing w:after="0"/>
              <w:rPr>
                <w:sz w:val="14"/>
                <w:szCs w:val="14"/>
                <w:color w:val="auto"/>
              </w:rPr>
            </w:pPr>
          </w:p>
        </w:tc>
      </w:tr>
      <w:tr>
        <w:trPr>
          <w:trHeight w:val="188"/>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3140" w:type="dxa"/>
            <w:vAlign w:val="bottom"/>
            <w:tcBorders>
              <w:bottom w:val="single" w:sz="8" w:color="auto"/>
            </w:tcBorders>
            <w:gridSpan w:val="2"/>
          </w:tcPr>
          <w:p>
            <w:pPr>
              <w:ind w:left="1880"/>
              <w:spacing w:after="0"/>
              <w:rPr>
                <w:sz w:val="20"/>
                <w:szCs w:val="20"/>
                <w:color w:val="auto"/>
              </w:rPr>
            </w:pPr>
            <w:r>
              <w:rPr>
                <w:rFonts w:ascii="Arial" w:cs="Arial" w:eastAsia="Arial" w:hAnsi="Arial"/>
                <w:sz w:val="14"/>
                <w:szCs w:val="14"/>
                <w:b w:val="1"/>
                <w:bCs w:val="1"/>
                <w:color w:val="auto"/>
              </w:rPr>
              <w:t>Ordinary Share</w:t>
            </w:r>
          </w:p>
        </w:tc>
        <w:tc>
          <w:tcPr>
            <w:tcW w:w="20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Payment Date</w:t>
            </w: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July 26, 2016</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0.195</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28.7</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21, 2016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May 4, 2016</w:t>
            </w:r>
          </w:p>
        </w:tc>
        <w:tc>
          <w:tcPr>
            <w:tcW w:w="22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0.195</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2016</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28.8</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15, 2016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February 2, 2016</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0.195</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31, 2016</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29.2</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15, 2016</w:t>
            </w: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220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2015</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25.6</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15, 2016</w:t>
            </w:r>
          </w:p>
        </w:tc>
      </w:tr>
      <w:tr>
        <w:trPr>
          <w:trHeight w:val="221"/>
        </w:trPr>
        <w:tc>
          <w:tcPr>
            <w:tcW w:w="3280" w:type="dxa"/>
            <w:vAlign w:val="bottom"/>
          </w:tcPr>
          <w:p>
            <w:pPr>
              <w:spacing w:after="0"/>
              <w:rPr>
                <w:sz w:val="20"/>
                <w:szCs w:val="20"/>
                <w:color w:val="auto"/>
              </w:rPr>
            </w:pPr>
            <w:r>
              <w:rPr>
                <w:rFonts w:ascii="Arial" w:cs="Arial" w:eastAsia="Arial" w:hAnsi="Arial"/>
                <w:sz w:val="18"/>
                <w:szCs w:val="18"/>
                <w:color w:val="auto"/>
              </w:rPr>
              <w:t>July 29, 2015</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25.7</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16, 2015</w:t>
            </w: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22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2015</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26.1</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17, 2015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January 27, 2015</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0.170</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31, 2015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26.3</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16, 2015</w:t>
            </w: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220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2014</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24.1</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16, 2015</w:t>
            </w:r>
          </w:p>
        </w:tc>
      </w:tr>
      <w:tr>
        <w:trPr>
          <w:trHeight w:val="221"/>
        </w:trPr>
        <w:tc>
          <w:tcPr>
            <w:tcW w:w="3280" w:type="dxa"/>
            <w:vAlign w:val="bottom"/>
          </w:tcPr>
          <w:p>
            <w:pPr>
              <w:spacing w:after="0"/>
              <w:rPr>
                <w:sz w:val="20"/>
                <w:szCs w:val="20"/>
                <w:color w:val="auto"/>
              </w:rPr>
            </w:pPr>
            <w:r>
              <w:rPr>
                <w:rFonts w:ascii="Arial" w:cs="Arial" w:eastAsia="Arial" w:hAnsi="Arial"/>
                <w:sz w:val="18"/>
                <w:szCs w:val="18"/>
                <w:color w:val="auto"/>
              </w:rPr>
              <w:t>July 29, 2014</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Pr>
          <w:p>
            <w:pPr>
              <w:ind w:left="320"/>
              <w:spacing w:after="0"/>
              <w:rPr>
                <w:sz w:val="20"/>
                <w:szCs w:val="20"/>
                <w:color w:val="auto"/>
              </w:rPr>
            </w:pPr>
            <w:r>
              <w:rPr>
                <w:rFonts w:ascii="Arial" w:cs="Arial" w:eastAsia="Arial" w:hAnsi="Arial"/>
                <w:sz w:val="18"/>
                <w:szCs w:val="18"/>
                <w:color w:val="auto"/>
              </w:rPr>
              <w:t>September 30, 2014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24.3</w:t>
            </w:r>
          </w:p>
        </w:tc>
        <w:tc>
          <w:tcPr>
            <w:tcW w:w="1560" w:type="dxa"/>
            <w:vAlign w:val="bottom"/>
          </w:tcPr>
          <w:p>
            <w:pPr>
              <w:ind w:left="340"/>
              <w:spacing w:after="0"/>
              <w:rPr>
                <w:sz w:val="20"/>
                <w:szCs w:val="20"/>
                <w:color w:val="auto"/>
              </w:rPr>
            </w:pPr>
            <w:r>
              <w:rPr>
                <w:rFonts w:ascii="Arial" w:cs="Arial" w:eastAsia="Arial" w:hAnsi="Arial"/>
                <w:sz w:val="18"/>
                <w:szCs w:val="18"/>
                <w:color w:val="auto"/>
                <w:w w:val="86"/>
              </w:rPr>
              <w:t>October 17, 2014</w:t>
            </w: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April 30, 2014</w:t>
            </w:r>
          </w:p>
        </w:tc>
        <w:tc>
          <w:tcPr>
            <w:tcW w:w="220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June 30, 2014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24.6</w:t>
            </w:r>
          </w:p>
        </w:tc>
        <w:tc>
          <w:tcPr>
            <w:tcW w:w="1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18, 2014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January 29, 2014</w:t>
            </w:r>
          </w:p>
        </w:tc>
        <w:tc>
          <w:tcPr>
            <w:tcW w:w="2200" w:type="dxa"/>
            <w:vAlign w:val="bottom"/>
          </w:tcPr>
          <w:p>
            <w:pPr>
              <w:ind w:left="18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0.155</w:t>
            </w:r>
          </w:p>
        </w:tc>
        <w:tc>
          <w:tcPr>
            <w:tcW w:w="2020" w:type="dxa"/>
            <w:vAlign w:val="bottom"/>
          </w:tcPr>
          <w:p>
            <w:pPr>
              <w:ind w:left="320"/>
              <w:spacing w:after="0"/>
              <w:rPr>
                <w:sz w:val="20"/>
                <w:szCs w:val="20"/>
                <w:color w:val="auto"/>
              </w:rPr>
            </w:pPr>
            <w:r>
              <w:rPr>
                <w:rFonts w:ascii="Arial" w:cs="Arial" w:eastAsia="Arial" w:hAnsi="Arial"/>
                <w:sz w:val="18"/>
                <w:szCs w:val="18"/>
                <w:color w:val="auto"/>
              </w:rPr>
              <w:t>March 31, 2014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24.8</w:t>
            </w:r>
          </w:p>
        </w:tc>
        <w:tc>
          <w:tcPr>
            <w:tcW w:w="1560" w:type="dxa"/>
            <w:vAlign w:val="bottom"/>
          </w:tcPr>
          <w:p>
            <w:pPr>
              <w:ind w:left="340"/>
              <w:spacing w:after="0"/>
              <w:rPr>
                <w:sz w:val="20"/>
                <w:szCs w:val="20"/>
                <w:color w:val="auto"/>
              </w:rPr>
            </w:pPr>
            <w:r>
              <w:rPr>
                <w:rFonts w:ascii="Arial" w:cs="Arial" w:eastAsia="Arial" w:hAnsi="Arial"/>
                <w:sz w:val="18"/>
                <w:szCs w:val="18"/>
                <w:color w:val="auto"/>
              </w:rPr>
              <w:t>April 17, 2014</w:t>
            </w: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220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0.130</w:t>
            </w:r>
          </w:p>
        </w:tc>
        <w:tc>
          <w:tcPr>
            <w:tcW w:w="2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December 31, 2013</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20.8</w:t>
            </w:r>
          </w:p>
        </w:tc>
        <w:tc>
          <w:tcPr>
            <w:tcW w:w="1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17, 2014</w:t>
            </w: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8, 2016, our Board of Directors approved the next dividend payment, at the rate of $0.195 per share, and set December 30, 2016 as the record date for determining the shareholders entitled to receive the dividend, which is payable on January 13, 2017. On November 8, 2016, our Board of Directors also approved, subject to shareholder approval at the January 2017 annual general meeting of shareholders, an increase in the quarterly cash dividend to $0.22 per share, anticipated to be paid in April 2017.</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September 30, 2016, and the effect such obligations are expected to have on our liquidity and cash flows in future periods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660" w:type="dxa"/>
            <w:vAlign w:val="bottom"/>
            <w:gridSpan w:val="4"/>
            <w:vMerge w:val="continue"/>
          </w:tcPr>
          <w:p>
            <w:pPr>
              <w:spacing w:after="0"/>
              <w:rPr>
                <w:sz w:val="14"/>
                <w:szCs w:val="14"/>
                <w:color w:val="auto"/>
              </w:rPr>
            </w:pPr>
          </w:p>
        </w:tc>
        <w:tc>
          <w:tcPr>
            <w:tcW w:w="5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1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6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Long-term debt(1)</w:t>
            </w:r>
          </w:p>
        </w:tc>
        <w:tc>
          <w:tcPr>
            <w:tcW w:w="51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$200.0</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Pension funding</w:t>
            </w: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Non-cancelable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277.1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41.5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interest payments. In September 2016, we borrowed an aggregate of $200.0 million under our revolving credit facility and repaid it in October 2016.</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amount of unrecognized tax benefits for uncertain tax positions was $196.7 million as of September 30, 2016. Payment of these obligations would result from settlements with taxing authorities. Due to the difficulty in determining the timing of resolution of audits, these obligations are not included in the above table.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September 30, 2016, we had deferred tax assets of $96.9 million, derived primarily from tax credits, net capital and operating loss carryforwards related to some of our subsidiaries, which were offset by valuation allowances due to the uncertainty of realizing any tax benefit for such credits and losses.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35"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We follow very specific and detailed guidelines, several of which are discussed above, in measuring revenue; however, certain judgments affect the application of our revenue recognition policy. We evaluate contracts entered into at or near the same time with the same customer (or related parties of the customer) and determine if the contracts should be combined in accordance with the guidance for revenue recognition.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Accounting</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3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3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3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our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3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 Determining the fair value of share-based awards at the grant date requires the exercise of judgment, including estimating expected dividends.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17 to our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2016, 2015 or 2014.</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2016, 2015 or 2014.</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fiscal years 2016, 2015 and 2014,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short-term interest-bearing investments are classified as available-for-sale securities and are stated at fair value in our consolidated balance sheets. Unrealized gains or losses are reported as a separate component of accumulated other comprehensive income (loss), net of tax. Such short-term interest-bearing investments consist primarily of money market funds, U.S. government treasuries, corporate bonds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years 2016, 2015 and 2014.</w:t>
      </w:r>
    </w:p>
    <w:p>
      <w:pPr>
        <w:spacing w:after="0" w:line="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2016.</w:t>
      </w:r>
    </w:p>
    <w:p>
      <w:pPr>
        <w:spacing w:after="0" w:line="5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November 2016, the Financial Accounting Standards Board, or FASB, issued an Accounting Standard Update, or ASU, which requires an entity to include in its cash and cash-equivalent balances in the statement of cash flows those amounts that are deemed to be restricted cash and restricted cash equivalents. The ASU will be effective for us beginning in the first quarter of fiscal year 2019, and early adoption is permitted. We currently expect adoption of this ASU will not have a material impact on our statement of cash flows.</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us on October 1, 2018, and early adoption in the first interim period of a fiscal year is permitted. We currently expect adoption of this ASU will not have a material impact on our consolidated financial statements.</w:t>
      </w:r>
    </w:p>
    <w:p>
      <w:pPr>
        <w:spacing w:after="0" w:line="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us on October 1, 2018, and early adoption is permitted. We currently expect adoption of this ASU will not have a material impact on our statement of cash flows.</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us beginning in the first quarter of fiscal year 2021 and earlier adoption by one year is permitted. We are currently evaluating the impact of adoption of this ASU on our consolidated financial statements.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are currently evaluating the effect that adoption of this ASU will have on our consolidated financial statements.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us beginning in the first quarter of fiscal 2020, must be adopted using a modified retrospective method and its early adoption is permitted. We are currently evaluating the impact of adoption of this ASU on our consolidated financial statements.</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content of our consolidated financial statements.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May 2014, the FASB issued an ASU on revenue from contracts with customers, or the new revenue standard, which outlines a single comprehensive model for entities to use in accounting for revenue arising 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We are evaluating the methods and timing of our adoption, as well as the effect that adoption of the new revenue standard will have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is effective for public business entities in fiscal years beginning after December 15, 2016, including interim periods within those years and early adoption is permitted. We prospectively adopted this ASU effective October 1, 2015 and, as such, the prior year consolidated balance sheet as of September 30, 2015, does not reflect the reclassification of current deferred tax assets and liabilities as noncurrent amounts.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2016, our directors and officers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A. Minicucci(2)</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64</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of the Board, Amdocs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Adrian Gardner(1)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and Chairman of the Audit Committee, Amdocs Limited</w:t>
            </w:r>
          </w:p>
        </w:tc>
      </w:tr>
      <w:tr>
        <w:trPr>
          <w:trHeight w:val="208"/>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McLennan(2)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8"/>
              </w:rPr>
              <w:t>Director and Chairman of the Management Resources and Compensation</w:t>
            </w:r>
          </w:p>
        </w:tc>
      </w:tr>
      <w:tr>
        <w:trPr>
          <w:trHeight w:val="224"/>
        </w:trPr>
        <w:tc>
          <w:tcPr>
            <w:tcW w:w="3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Committee, Amdocs Limited</w:t>
            </w:r>
          </w:p>
        </w:tc>
      </w:tr>
      <w:tr>
        <w:trPr>
          <w:trHeight w:val="208"/>
        </w:trPr>
        <w:tc>
          <w:tcPr>
            <w:tcW w:w="3860" w:type="dxa"/>
            <w:vAlign w:val="bottom"/>
            <w:gridSpan w:val="2"/>
          </w:tcPr>
          <w:p>
            <w:pPr>
              <w:spacing w:after="0"/>
              <w:rPr>
                <w:sz w:val="20"/>
                <w:szCs w:val="20"/>
                <w:color w:val="auto"/>
              </w:rPr>
            </w:pPr>
            <w:r>
              <w:rPr>
                <w:rFonts w:ascii="Arial" w:cs="Arial" w:eastAsia="Arial" w:hAnsi="Arial"/>
                <w:sz w:val="18"/>
                <w:szCs w:val="18"/>
                <w:color w:val="auto"/>
              </w:rPr>
              <w:t>Simon Olswang(1)(3)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4"/>
              </w:rPr>
              <w:t>Director and Chairman of the Nominating and Corporate Governance</w:t>
            </w:r>
          </w:p>
        </w:tc>
      </w:tr>
      <w:tr>
        <w:trPr>
          <w:trHeight w:val="222"/>
        </w:trPr>
        <w:tc>
          <w:tcPr>
            <w:tcW w:w="3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Committee, Amdocs Limited</w:t>
            </w:r>
          </w:p>
        </w:tc>
      </w:tr>
      <w:tr>
        <w:trPr>
          <w:trHeight w:val="21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Zohar Zisapel(4)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4"/>
              </w:rPr>
              <w:t>Director and Chairman of the Technology and Innovation Committee,</w:t>
            </w:r>
          </w:p>
        </w:tc>
      </w:tr>
      <w:tr>
        <w:trPr>
          <w:trHeight w:val="224"/>
        </w:trPr>
        <w:tc>
          <w:tcPr>
            <w:tcW w:w="3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Amdocs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Julian A. Brodsky(3)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Christensen</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James S. Kahan(3)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T.C. LeFave(1)(2)(4)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Giora Yaron(4)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08"/>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Gelman(4)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 President and Chief Executive Officer,</w:t>
            </w:r>
          </w:p>
        </w:tc>
      </w:tr>
      <w:tr>
        <w:trPr>
          <w:trHeight w:val="224"/>
        </w:trPr>
        <w:tc>
          <w:tcPr>
            <w:tcW w:w="3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Amdocs Management Limited</w:t>
            </w:r>
          </w:p>
        </w:tc>
      </w:tr>
      <w:tr>
        <w:trPr>
          <w:trHeight w:val="208"/>
        </w:trPr>
        <w:tc>
          <w:tcPr>
            <w:tcW w:w="386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0"/>
              </w:rPr>
              <w:t>Senior Vice President and Chief Financial Officer, Amdocs Management</w:t>
            </w:r>
          </w:p>
        </w:tc>
      </w:tr>
      <w:tr>
        <w:trPr>
          <w:trHeight w:val="222"/>
        </w:trPr>
        <w:tc>
          <w:tcPr>
            <w:tcW w:w="3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Limited</w:t>
            </w:r>
          </w:p>
        </w:tc>
      </w:tr>
      <w:tr>
        <w:trPr>
          <w:trHeight w:val="210"/>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Shuky Sheffer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8"/>
              </w:rPr>
              <w:t>Senior Vice President and President of Customer Business Group,</w:t>
            </w:r>
          </w:p>
        </w:tc>
      </w:tr>
      <w:tr>
        <w:trPr>
          <w:trHeight w:val="224"/>
        </w:trPr>
        <w:tc>
          <w:tcPr>
            <w:tcW w:w="3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Amdocs Management Limited</w:t>
            </w:r>
          </w:p>
        </w:tc>
      </w:tr>
      <w:tr>
        <w:trPr>
          <w:trHeight w:val="363"/>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20" w:type="dxa"/>
            <w:vAlign w:val="bottom"/>
            <w:gridSpan w:val="2"/>
          </w:tcPr>
          <w:p>
            <w:pPr>
              <w:jc w:val="right"/>
              <w:ind w:right="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Rajat Raheja</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47</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Division President, Amdocs Development Center India Pvt. Ltd.</w:t>
            </w: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Matthew Smith</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5"/>
              </w:rPr>
              <w:t>Secretary, Amdocs Limited; Head of Investor Relations, Amdocs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3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Adrian Gardner has been a director of Amdocs since 1998 and is Chairman of the Audit Committee. Mr. Gardner serves as Chief Financial Officer of Ipes Holdings Limited, a provider of outsourced services to private equity firms, from November 2016. From 2014 to September 2016, Mr. Gardner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since renamed RSM UK Limited. Mr. Gardner served from 2011 to 2013 as Chief Financial Officer and as a director of RSM Tenon Group’s former principal operating subsidiary, which has been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fellow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John T. McLennan has been a director of Amdocs since 1999 and is Chairman of the Management Resources and Compensation Committee. From 2000 until 2004, he served as Vice-Chair and Chief Executive Officer of Allstream (formerly AT&amp;T Canada). Mr. McLennan founded Jenmark Consulting Inc. and was its President from 1997 until 2000. From 1993 to 1997, Mr. McLennan served as the President and Chief Executive Officer of Bell Canada. Prior to that, he held various positions at several telecommunications companies, including BCE Mobile Communications and Cantel Inc. Mr. McLennan is also a director of Emera Inc., a Canadian publicly-held energy services company, and was its Chairman from 2009 to 2014.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Simon Olswang has been a director of Amdocs since 2004 and is Chairman of the Nominating and Corporate Governance Committee. In 2002,</w:t>
      </w:r>
    </w:p>
    <w:p>
      <w:pPr>
        <w:spacing w:after="0" w:line="3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Mr. Olswang retired as Chairman of Olswang, a media and communications law firm in the United Kingdom that he founded in 1981. He is a member of the Advisory Board of Palamon Capital Partners LLP and of the Board of Directors of Amiad Filtration Systems Limited, an Israeli clean water company listed on the London AIM market. In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Zohar Zisapel has been a director of Amdocs since 2008 and is the Chairman of the Technology and Innovation Committee. Mr. Zisapel co-founded RAD Data Communications Ltd., a privately-held voice and data communications company and part of the RAD Group, a family of independent networking and telecommunications companies, and was its CEO from 1982 until 1998 and Chairman from 1998 until 2012. Mr. Zisapel also serves as chairman of Ceragon Networks Ltd. and as a director of Radcom Ltd., both public companies traded on Nasdaq, and on the boards of directors of several privately-held companies. Mr. Zisapel served as chairman of the Israel Association of Electronic Industries from 1998 until 2001. Mr. Zisapel received an Honorary Doctorate from the Technion — Israel Institute of Technology, and he is teaching Entrepreneurship at the Tel Aviv University.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w:t>
      </w:r>
    </w:p>
    <w:p>
      <w:pPr>
        <w:ind w:right="240"/>
        <w:spacing w:after="0" w:line="254" w:lineRule="auto"/>
        <w:rPr>
          <w:sz w:val="20"/>
          <w:szCs w:val="20"/>
          <w:color w:val="auto"/>
        </w:rPr>
      </w:pPr>
      <w:r>
        <w:rPr>
          <w:rFonts w:ascii="Arial" w:cs="Arial" w:eastAsia="Arial" w:hAnsi="Arial"/>
          <w:sz w:val="18"/>
          <w:szCs w:val="18"/>
          <w:color w:val="auto"/>
        </w:rPr>
        <w:t>Mr. Brodsky was Chairman of Comcast Ventures (formerly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6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Clayton Christensen has been a director of Amdocs since April 2015. Dr. Christensen is the Kim B. Clark Professor of Business Administration at the Harvard Business School where he has been a faculty member since 1992. He also served as President and Chairman of CPS Technologies, an industrial materials company, from 1984 to 1989. From 1979 to 1984, Dr. Christensen worked as a consultant and project manager for the Boston Consulting Group. Dr. Christensen is the founder of Rose Park Advisors, an investment firm, Innosight LLC, an innovation consulting firm, and the Christensen Institute for Disruptive Change, a non-profit organization focused on innovation. He is a director of Tata Consultancy Services, an IT consulting firm and part of the Tata group, Franklin Covey Co., a public company focused on performance improvement, and Intermountain Healthcare, a not-for-profit healthcare provider. Dr. Christensen’s qualifications to serve on our Board of Directors include his research and teaching interests, which are centered on building new growth businesses and sustaining the success of companies. Dr. Christensen’s previous work with various companies provides him with a broad perspective in the areas of management and operations.</w:t>
      </w:r>
    </w:p>
    <w:p>
      <w:pPr>
        <w:spacing w:after="0" w:line="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James S. Kahan has been a director of Amdocs since 1998. From 1983 until his retirement in 2007, he worked at SBC,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two private companies. Mr. Kahan’s long service at SBC and AT&amp;T, as well as his management and financial experience at several public and private companies, have provided him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with extensive knowledge of the telecommunications industry, particularly with respect to corporate development, mergers and acquisitions and business integration.</w:t>
      </w:r>
    </w:p>
    <w:p>
      <w:pPr>
        <w:spacing w:after="0" w:line="51"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Giora Yaron has been a director of Amdocs since 2009.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40" w:lineRule="exact"/>
        <w:rPr>
          <w:sz w:val="20"/>
          <w:szCs w:val="20"/>
          <w:color w:val="auto"/>
        </w:rPr>
      </w:pPr>
    </w:p>
    <w:p>
      <w:pPr>
        <w:ind w:right="220" w:firstLine="456"/>
        <w:spacing w:after="0" w:line="287" w:lineRule="auto"/>
        <w:rPr>
          <w:sz w:val="20"/>
          <w:szCs w:val="20"/>
          <w:color w:val="auto"/>
        </w:rPr>
      </w:pPr>
      <w:r>
        <w:rPr>
          <w:rFonts w:ascii="Arial" w:cs="Arial" w:eastAsia="Arial" w:hAnsi="Arial"/>
          <w:sz w:val="16"/>
          <w:szCs w:val="16"/>
          <w:color w:val="auto"/>
        </w:rPr>
        <w:t>Eli Gelman has been a director of Amdocs since 2002. Mr. Gelman became the President and Chief Executive Officer of Amdocs Management Limited, our wholly-owned subsidiary, in 2010.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pacing w:after="0" w:line="4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2007.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Shuky Sheffer has been Senior Vice President and President of the Customer Business Group since October 2013. Mr. Sheffer served as Chief Executive Officer of Retalix Ltd., a global software company, from 2009 until its acquisition by NCR Corporation in 2013. Following the acquisition, he served as a General Manager of Retalix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through September 2013. From 1986 to 2009, Mr. Sheffer served at various managerial positions at Amdocs, most recently as President of the Emerging Markets Divisions.</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5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During fiscal 2016,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 Employee Director and who is not the chairman of such committee received an annual cash payment of $25,000. Each member of our Management Resources and Compensation Committee who is a Non-Employee Director and who is not a committee chairman received an annual cash payment of $15,000. Each member of our Nominating and Corporate Governance and Technology and Innovation Committees who is a Non-Employee Director and who is not a committee chairman received an annual cash payment of $10,000. The Chairman of our Audit Committee received an annual cash payment of $35,000 and the Chairman of our Management Resources and Compensation Committee received an annual cash payment of $25,000. The Chairmen of our Nominating and Corporate Governance and Technology and Innovation Committees each received an annual cash payment of $20,000. Each Non-Employee Director received an annual grant of restricted shares at a total value of $245,000. The Chairman of the Board of Directors received an additional annual amount equal to $200,000 awarded in the form of restricted shares. All restricted share awards to our Non-Employee Directors are fully vested upon grant.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total of 16 persons who served either as directors or officers of Amdocs during all or part of fiscal 2016 received remuneration from Amdocs. The aggregate remuneration paid by us to such persons in fiscal 2016 was approximately $6.3 million, compared to $6.3 million in each of fiscal 2015 and fiscal 2014,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2016, we granted to such persons options to purchase an aggregate of 115,000 ordinary shares at a weighted average price of $54.85 per share with vesting generally over four-year terms and expiring ten years from the date of grant, and an aggregate of 269,000 restricted shares typically subject to three to four-year vesting and in certain cases, achievement of certain performance thresholds,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Eleven directors currently serve on our Board of Directors, all of whom were elected at our annual meeting of shareholders on February 3, 2016.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set forth below. Members of each committee are appointed by the Board of Directors.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 Gelman, LeFave and Dr. Yaron.</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Personnel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As of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4,682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India</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9,301</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the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23,971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23,404</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21,112</w:t>
            </w:r>
          </w:p>
        </w:tc>
        <w:tc>
          <w:tcPr>
            <w:tcW w:w="100" w:type="dxa"/>
            <w:vAlign w:val="bottom"/>
          </w:tcPr>
          <w:p>
            <w:pPr>
              <w:spacing w:after="0"/>
              <w:rPr>
                <w:sz w:val="19"/>
                <w:szCs w:val="19"/>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Workforce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25,561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24,950</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22,546</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A small number of our employees in Canada,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and in Finland. In recent years, Israeli labor unions have increased their efforts to organize workers at companies with significant operations in Israel, including several companies in the technology sector. In addition, a national union and a group of our employees have attempted to secure the approval of the minimum number of employees needed for union certification with respect to our employees in Israel. While these efforts have not resulted in either group being recognized as a representative union, we expect such efforts to continue.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modify our solutions may be difficult to hire, train and retain, and we could face increased costs to attract and retain our skilled workforce</w:t>
      </w:r>
      <w:r>
        <w:rPr>
          <w:rFonts w:ascii="Arial" w:cs="Arial" w:eastAsia="Arial" w:hAnsi="Arial"/>
          <w:sz w:val="16"/>
          <w:szCs w:val="16"/>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November 30, 2016, the aggregate number of our ordinary shares beneficially owned by our directors and executive officers was 2,276,214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30, 2016, none of our directors or members of senior management beneficially owned 1% or more of our outstanding ordinary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62,300,000 of our ordinary shares may be issued.</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2016, of the 62,300,000 ordinary shares available for issuance under the Equity Incentive Plan, 49,404,563 ordinary shares had been issued as a result of option exercises and restricted share issuances. As of September 30, 2016, 5,133,367 ordinary shares remained available for future grants, subject to a sublimit applicable to the award of restricted shares or awards dominated in stock units. As of November 30, 2016, there were outstanding options to purchase an aggregate of 8,047,860 ordinary shares at exercise prices ranging from $16.92 to $59.57 per share and 149,659 shares are subject to outstanding restricted stock units.</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112" w:lineRule="exact"/>
        <w:rPr>
          <w:sz w:val="20"/>
          <w:szCs w:val="20"/>
          <w:color w:val="auto"/>
        </w:rPr>
      </w:pPr>
    </w:p>
    <w:p>
      <w:pPr>
        <w:ind w:right="542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r>
        <w:rPr>
          <w:rFonts w:ascii="Arial" w:cs="Arial" w:eastAsia="Arial" w:hAnsi="Arial"/>
          <w:sz w:val="18"/>
          <w:szCs w:val="18"/>
          <w:b w:val="1"/>
          <w:bCs w:val="1"/>
          <w:color w:val="auto"/>
        </w:rPr>
        <w:t xml:space="preserve"> Major Shareholders</w:t>
      </w:r>
    </w:p>
    <w:p>
      <w:pPr>
        <w:spacing w:after="0" w:line="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2016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146,786,764 ordinary shares outstanding as of November 30, 2016. Information concerning shareholders other than our directors and officers is based on periodic public filings made by such shareholders and may not necessarily be accurate as of November 30, 2016. None of our major shareholders have voting rights that are different from those of any other shareholder.</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740" w:type="dxa"/>
            <w:vAlign w:val="bottom"/>
            <w:vMerge w:val="restart"/>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7740" w:type="dxa"/>
            <w:vAlign w:val="bottom"/>
            <w:vMerge w:val="continue"/>
          </w:tcPr>
          <w:p>
            <w:pPr>
              <w:spacing w:after="0"/>
              <w:rPr>
                <w:sz w:val="12"/>
                <w:szCs w:val="12"/>
                <w:color w:val="auto"/>
              </w:rPr>
            </w:pPr>
          </w:p>
        </w:tc>
        <w:tc>
          <w:tcPr>
            <w:tcW w:w="15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8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10,126,935</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8,405,631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(15 persons)(3)</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2,276,214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 Schedule 13G/A filed by FMR LLC, or FMR, with the SEC on February 12, 2016, as of December 31, 2015, FMR had sole power to vote or direct the vote over 835,485 shares and sole power to dispose or direct the disposition of 10,126,935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hanging="452"/>
        <w:spacing w:after="0" w:line="253"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 Schedule 13G filed by Blackrock, Inc., or Blackrock, with the SEC on January 25, 2016, as of December 31, 2015, Blackrock had sole voting power over 7,462,954 of our ordinary shares and sole dispositive power over 8,405,631 of our ordinary shares. The address of Blackrock is 55 East 52nd Street, New York, New York 10022.</w:t>
      </w:r>
    </w:p>
    <w:p>
      <w:pPr>
        <w:ind w:left="460" w:right="26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2016. As of such date, none of our directors or executive officers beneficially owned 1% or more of our outstanding ordinary shares.</w:t>
      </w:r>
    </w:p>
    <w:p>
      <w:pPr>
        <w:spacing w:after="0" w:line="5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of November 30, 2016, our ordinary shares were held by 1,764 record holders. Based on a review of the information provided to us by our transfer agent, 855 record holders, holding approximately 94.5% of our outstanding ordinary shares held of record, were residents of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Zohar Zisapel, a member of our board of directors, is a member of the board of directors and a significant shareholder of Radcom Ltd (“Radcom”). In 2015, certain of our subsidiaries entered into a number of contracts with Radcom for it to act as a subcontractor for us and/or a value added reseller. In addition, in the ordinary course of business we purchase certain products from other entities in which Mr. Zisapel has an interest. In fiscal 2016, our aggregate payments with respect to all these transactions were substantially less than 1% of our total 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“Financial Statements” for our audited Consolidated Financial Statements and Financial Statement Schedule filed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consolidated financial position, results of operations or cash flows.</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Currently we are defending a lawsuit against certain of our subsidiaries in Oregon District Court alleging breach of contract and trade secret misappropriation. According to the suit, we improperly utilized information received from the plaintiff in connection with our electronic payment processing solution, which is one of several components of our mobile financial services offerings. During fiscal year 2016, the District Court denied our motions to dismiss and to compel arbitration with respect to certain of the claims, and the proceedings will continue. We intend to continue to vigorously defend against the allegations set forth in the complaint.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December 19, 2013, we voluntarily withdrew our ordinary shares from the New York Stock Exchange and transferred our listing to the Nasdaq Global Select Market (“Nasdaq”) and commenced trading on Nasdaq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December 20, 2013. Our ordinary shares were quoted on the New York Stock Exchange (“NYSE”) from 1998 to 2013 under the symbol “DOX” and are now quoted on Nasdaq under the same symbol. The following table sets forth the high and low reported sale prices for our ordinary shares for the periods indicated:</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2012</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$33.79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$48.99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$61.46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2016</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$61.33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$50.06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2015:</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$48.91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$54.97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$45.75</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$56.97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$53.22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$61.46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$51.56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2016:</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$61.27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$53.74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$60.62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$60.47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$54.12</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$61.33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2017:</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2016)</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$60.61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$58.26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$54.12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July 2016</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$58.80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$55.01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August 2016</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$60.25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$57.45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September 2016</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$61.33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$57.31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$59.99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$56.96</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November 2016</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$60.61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$54.91</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5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2016, 147,134,228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90"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13" w:lineRule="exact"/>
        <w:rPr>
          <w:rFonts w:ascii="Arial" w:cs="Arial" w:eastAsia="Arial" w:hAnsi="Arial"/>
          <w:sz w:val="16"/>
          <w:szCs w:val="16"/>
          <w:color w:val="auto"/>
        </w:rPr>
      </w:pPr>
    </w:p>
    <w:p>
      <w:pPr>
        <w:jc w:val="both"/>
        <w:ind w:left="660" w:right="10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to provide for the designations, powers, preferences and relative participating, optional or other special rights and qualifications, limitations or restrictions thereon.</w:t>
      </w:r>
    </w:p>
    <w:p>
      <w:pPr>
        <w:spacing w:after="0" w:line="59"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 one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at different times may differ as to the dates from which dividends shall accrue.</w:t>
      </w:r>
    </w:p>
    <w:p>
      <w:pPr>
        <w:spacing w:after="0" w:line="50" w:lineRule="exact"/>
        <w:rPr>
          <w:rFonts w:ascii="Arial" w:cs="Arial" w:eastAsia="Arial" w:hAnsi="Arial"/>
          <w:sz w:val="18"/>
          <w:szCs w:val="18"/>
          <w:color w:val="auto"/>
        </w:rPr>
      </w:pPr>
    </w:p>
    <w:p>
      <w:pPr>
        <w:ind w:left="660" w:right="20" w:hanging="206"/>
        <w:spacing w:after="0" w:line="29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in the event of any liquidation, dissolution or winding-up of Amdocs Limited, the holders of preferred shares are entitled to a preference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39" w:lineRule="exact"/>
        <w:rPr>
          <w:rFonts w:ascii="Arial" w:cs="Arial" w:eastAsia="Arial" w:hAnsi="Arial"/>
          <w:sz w:val="16"/>
          <w:szCs w:val="16"/>
          <w:color w:val="auto"/>
        </w:rPr>
      </w:pPr>
    </w:p>
    <w:p>
      <w:pPr>
        <w:ind w:left="660" w:right="200" w:hanging="206"/>
        <w:spacing w:after="0" w:line="370"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preferred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 or power to vote on any question or in any proceeding or to be represented at, or to receive notice of, any meeting of shareholders.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51" w:lineRule="exact"/>
        <w:rPr>
          <w:sz w:val="20"/>
          <w:szCs w:val="20"/>
          <w:color w:val="auto"/>
        </w:rPr>
      </w:pPr>
    </w:p>
    <w:p>
      <w:pPr>
        <w:ind w:left="66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 share equally,</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share, in such dividends except that if dividends are declared that are payable in voting ordinary shares or non-voting ordinary shares, dividends must be declared that are payable at the same rate in both classes of shares.</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any third party not affiliated with such original holder, non-voting ordinary shares are redesignated in our books as voting ordinary shares and automatically convert into the same number of voting ordinary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20" w:hanging="206"/>
        <w:spacing w:after="0" w:line="33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4"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 of non-voting ordinary shares are not entitled to any voting rights.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 priorities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as are set out in the Articles.</w:t>
      </w:r>
    </w:p>
    <w:p>
      <w:pPr>
        <w:spacing w:after="0" w:line="5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26"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provisions in the Memorandum or Articles that provide for a classified board of directors or for cumulative voting for directors.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32" w:lineRule="exact"/>
        <w:rPr>
          <w:sz w:val="20"/>
          <w:szCs w:val="20"/>
          <w:color w:val="auto"/>
        </w:rPr>
      </w:pPr>
    </w:p>
    <w:p>
      <w:pPr>
        <w:ind w:right="820" w:firstLine="456"/>
        <w:spacing w:after="0" w:line="391" w:lineRule="auto"/>
        <w:rPr>
          <w:sz w:val="20"/>
          <w:szCs w:val="20"/>
          <w:color w:val="auto"/>
        </w:rPr>
      </w:pPr>
      <w:r>
        <w:rPr>
          <w:rFonts w:ascii="Arial" w:cs="Arial" w:eastAsia="Arial" w:hAnsi="Arial"/>
          <w:sz w:val="18"/>
          <w:szCs w:val="18"/>
          <w:color w:val="auto"/>
        </w:rPr>
        <w:t xml:space="preserve">The directors may reduce our share capital or any other capital subject to us satisfying the solvency requirements set out in the Companies Law. </w:t>
      </w:r>
      <w:r>
        <w:rPr>
          <w:rFonts w:ascii="Arial" w:cs="Arial" w:eastAsia="Arial" w:hAnsi="Arial"/>
          <w:sz w:val="18"/>
          <w:szCs w:val="18"/>
          <w:b w:val="1"/>
          <w:bCs w:val="1"/>
          <w:color w:val="auto"/>
        </w:rPr>
        <w:t>Material Contracts</w:t>
      </w:r>
    </w:p>
    <w:p>
      <w:pPr>
        <w:spacing w:after="0" w:line="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December 12, 2014, we entered into an Amended and Restated Credit Agreement among us, certain of our subsidiaries, the lenders from time to time party thereto, JPMorgan Chase Bank, N.A., as administrative agent, J.P. Morgan Europe Limited, as London agent, and JPMorgan Chase Bank, N.A., Toronto branch, as Canadian agent, providing for an unsecured $500 million five-year revolving credit facility with a syndicate of banks. The facility is available for general corporate purposes, including acquisitions and repurchases of our ordinary shares that we may consider from time to time, and has a maturity date in December 2019. The Amended and Restated Credit Agreement replaces our Credit Agreement, dated as of December 20, 2011, by and among us, certain of our subsidiaries, JPMorgan Chase Bank, N.A., as administrative agent, J.P. Morgan Europe Limited, as London agent, and JPMorgan Chase Bank, N.A., Toronto branch, as Canadian agent.</w:t>
      </w:r>
    </w:p>
    <w:p>
      <w:pPr>
        <w:spacing w:after="0" w:line="37"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In the past two years, we have not entered into any other material contracts other than contracts entered into in the ordinary course of our business. 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15.5% for fiscal 2016, compared to 13.1% for fiscal 2015 and 13.8% for fiscal 2014.</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legislation in Guernsey subjects us to the standard rate of corporate income tax for a Guernsey resident company of zero percent.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Indian Tax Considerations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Through a subsidiary, we operate development centers and a business processing operations center in India. In 2016, the corporate tax rate applicable in India on trading activities was 34.6%. Our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 However, as of April 1, 2011, the Minimum Alternative Tax, or MAT, became applicable to all of our Indian operations. The MAT is levied on book profits at the effective rate of 20% and can be carried forward for 10 years to be credited against corporate income taxes. Our Indian subsidiary is subject to a separate tax entitlement under which its operating units are exempt from tax on the respective tax incentive-eligible activity for the first five years of operations and enjoys a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subsidiary would be subject to a dividend distribution tax at the new effective rate of 20.358% beginning on April 1, 2015, to be paid by such subsidiary. The Indian government, during the tax speech for tax year 2015-2016, has stated its intention to gradually reduce the corporate income tax rate.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Israeli Tax Considerations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5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 xml:space="preserve">General Corporate Taxation in Israel. </w:t>
      </w:r>
      <w:r>
        <w:rPr>
          <w:rFonts w:ascii="Arial" w:cs="Arial" w:eastAsia="Arial" w:hAnsi="Arial"/>
          <w:sz w:val="16"/>
          <w:szCs w:val="16"/>
          <w:color w:val="auto"/>
        </w:rPr>
        <w:t>The general corporate tax rate on taxable income is 25% (reduced from 26.5% to 25% with effect as of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2016). However, the effective tax rate payable by an Israeli company that derives income from an Approved Enterprise may be considerably lower.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“Approved Enterprise” 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general, investment programs of our primary Israeli subsidiary that have already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approved program under the Approved Enterprise status relates to a specific program delineated both by the financial scope of the investment, including source of funds, and by the physical characteristics of the facility or other assets. The tax benefits available under any approved program relate only to taxable profits attributable to the specific investment program and are contingent upon compliance with the conditions set out in the instrument of approval.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Benefits. </w:t>
      </w:r>
      <w:r>
        <w:rPr>
          <w:rFonts w:ascii="Arial" w:cs="Arial" w:eastAsia="Arial" w:hAnsi="Arial"/>
          <w:sz w:val="18"/>
          <w:szCs w:val="18"/>
          <w:color w:val="auto"/>
        </w:rPr>
        <w:t>Taxable income derived from an Approved Enterprise is subject to a corporate tax rate of up to 25% until the earliest of:</w:t>
      </w:r>
    </w:p>
    <w:p>
      <w:pPr>
        <w:spacing w:after="0" w:line="90" w:lineRule="exact"/>
        <w:rPr>
          <w:sz w:val="20"/>
          <w:szCs w:val="20"/>
          <w:color w:val="auto"/>
        </w:rPr>
      </w:pPr>
    </w:p>
    <w:p>
      <w:pPr>
        <w:ind w:left="660" w:right="22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 consecutive years (or ten in the case of an FIC (as defined below)) commencing in the year in which the Approved Enterprise first generates taxable income,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12 years from the year of commencement of production,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14 years from the year of the approval of the Approved Enterprise status.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Such income is eligible for further reductions in tax rates if we qualify as a Foreign Investors’ Company, or FIC, depending on the percentage of the foreign ownership. Subject to certain conditions, a FIC is a company more than 25% of whose share capital (in terms of shares, rights to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was granted an Approved Enterprise approval after April 1, 1986, may elect to forego the entitlement to grants and apply for an alternative route of tax benefits. In addition, a company (like our primary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4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2005 amendment to the Investment Law introduced various changes to the Approved Enterprise regime. The tax rates applicable to the route elected by our primary Israeli subsidiary under the 2005 amendment are similar to the tax rates that applied prior to the 2005 amendment (as detailed above).</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Israeli subsidiary has elected the alternative benefits’ route with respect to its current Approved Enterprise and its expansions, pursuant to which the primary Israeli subsidiary enjoys, in relation to its Approved Enterprise operations, certain tax holidays, based on the location of activities within Israel, for a period of two to ten years and, in the case of a two year tax holiday, reduced tax rates for an additional period of up to eight years. In case this primary Israeli subsidiary pays a dividend, at any time, out of income generated during the tax holiday period in respect of its Approved Enterprise, it will be subject to corporate tax at the otherwise applicable rate of 10% of the income from which such dividend has been paid (or up to 25% if the foreign investment in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year in which the income from which the dividend is distributed was lower than 90%). This tax is in addition to the withholding tax on dividends as described below. Specific investment programs of our primary Israeli subsidiary and the income derived therefrom, are entitled to reduced tax rates for 13 years (instead of the eight-year period referred to above).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recent years changes were introduced to the Investment Law, specifically a major amendment of the Investment Law in 2011. 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Additionally, the amendments include a tax incentive package that consists of flat tax rates of 10% through 15%, depending on the geographic location of the activities of the taxable entity, for calendar years 2011 through 2012; 7% through 12.5%, for the taxable entity calendar year 2013, and 9% through 16% for calendar years 2014 and thereafter, depending on the geographic location of the activities. These incentives would apply to industrial companies that meet certain criteria.</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2016, our primary Israeli subsidiary continues to apply the benefits under the terms of the law as provided prior to the 2011 amendment.</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paid out of income derived by an Approved Enterprise are subject to withholding tax at a reduced rate compared to the 30%</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tax generally applicable to dividends paid out of income derived by a non-Approved Enterprise. If we pay a dividend from our primary Israeli subsidiary, such dividend will likely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exempt income generated during the tax holiday period related to its Approved Enterprise status.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describes material U.S. federal income tax consequences to a U.S. holder of the ownership or disposition of our ordinary shares.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U.S. holder is a beneficial owner of our ordinary shares that is:</w:t>
      </w:r>
    </w:p>
    <w:p>
      <w:pPr>
        <w:spacing w:after="0" w:line="84" w:lineRule="exact"/>
        <w:rPr>
          <w:sz w:val="20"/>
          <w:szCs w:val="20"/>
          <w:color w:val="auto"/>
        </w:rPr>
      </w:pPr>
    </w:p>
    <w:p>
      <w:pPr>
        <w:ind w:left="1120" w:hanging="217"/>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(including potential application of the alternative minimum tax),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In general, U.S. corporate shareholders will not be entitled to any deduction for distributions received as dividends on the ordinary shares.</w:t>
      </w:r>
    </w:p>
    <w:p>
      <w:pPr>
        <w:spacing w:after="0" w:line="37" w:lineRule="exact"/>
        <w:rPr>
          <w:sz w:val="20"/>
          <w:szCs w:val="20"/>
          <w:color w:val="auto"/>
        </w:rPr>
      </w:pPr>
    </w:p>
    <w:p>
      <w:pPr>
        <w:jc w:val="both"/>
        <w:ind w:right="200" w:firstLine="456"/>
        <w:spacing w:after="0" w:line="294"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applicable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holding period and other applicable requirements are satisfied. However, dividends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paid by us will not qualify for the preferential tax rate if we are a passive foreign investment company (“PFIC”), for the tax year in which the dividends are paid or were a PFIC for the preceding tax year. U.S. holders should consult their tax advisers regarding the availability of these preferential rates in their particular circumstances.</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Subject to the passive foreign investment company rules described below, upon the sale, exchange or other disposition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w:t>
      </w:r>
    </w:p>
    <w:p>
      <w:pPr>
        <w:spacing w:after="0" w:line="3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Medicare Contribution Tax</w:t>
      </w:r>
      <w:r>
        <w:rPr>
          <w:rFonts w:ascii="Arial" w:cs="Arial" w:eastAsia="Arial" w:hAnsi="Arial"/>
          <w:sz w:val="18"/>
          <w:szCs w:val="18"/>
          <w:color w:val="auto"/>
        </w:rPr>
        <w:t>. U.S. holders who are individuals, estates and certain trusts may be required to pay a 3.8% Medicare tax on their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(including dividends on and gains from the sale or other disposition of our ordinary shares) or, in the case of trusts and estates, on their net investment income that is not distributed. In each case, the 3.8% Medicare tax applies only to the extent that the U.S. holder’s total modified adjusted income exceeds certain thresholds.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generally will be subject to information reporting requirements with respect to dividends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paid within the United States or through U.S.-related financial intermediaries, as well as with respect to gross proceeds from disposition of our ordinary shares, unless the U.S. holder is an “exempt recipient.” U.S. holders may also be subject to backup withholding (currently at a 28%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3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our ordinary shares or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3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the average value during a taxable year of our passive assets (generally assets that generate passive income) is 50% or more of the average value of all of our assets for such year. If we will be treated as a PFIC for such year, if we are treated as a PFIC for any taxable year during which a U.S. holder owns our ordinary shares, the U.S. holder generally will be subject to increased tax liability upon the sale of our ordinary shares or upon the receipt of certain distributions, unless such U.S. holder makes an election to mark our ordinary shares to market annually.</w:t>
      </w:r>
    </w:p>
    <w:p>
      <w:pPr>
        <w:spacing w:after="0" w:line="3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we were not a PFIC for our taxable year ended September 30, 2016.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in the future or that the IRS will agree with our conclusion regarding our current PFIC status.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59" w:lineRule="exact"/>
        <w:rPr>
          <w:sz w:val="20"/>
          <w:szCs w:val="20"/>
          <w:color w:val="auto"/>
        </w:rPr>
      </w:pPr>
    </w:p>
    <w:p>
      <w:pPr>
        <w:ind w:right="4620"/>
        <w:spacing w:after="0" w:line="347"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spacing w:after="0" w:line="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6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fiscal year 2016, approximately 70% to 80% of our revenue and approximately 50% to 60% of our operating expenses were in U.S. dollars or linked to the U.S. dollar.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2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2016. Notional values are in U.S. dollars and are translated and calculated based on forward rates as of September 30, 2016, for forward contracts, and based on spot rates as of September 30, 2016 for options.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of</w:t>
            </w:r>
          </w:p>
        </w:tc>
      </w:tr>
      <w:tr>
        <w:trPr>
          <w:trHeight w:val="161"/>
        </w:trPr>
        <w:tc>
          <w:tcPr>
            <w:tcW w:w="768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Notional Value*</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 (in millions)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interest expenses and income are sensitive to changes in interest rates, as all of our cash and some of our borrowings, are subject to interest rate changes. Our short-term interest-bearing investments are invested in short-term conservative debt instruments, primarily U.S. dollar-denominated, and consist mainly of money market funds, U.S. government treasuries, corporate bonds and U.S. agency securities. As of September 30, 2016, there was $200.0 million of short-term outstanding borrowing under our revolving lines of credit, which we repaid in October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With the participation of the Chief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Chief Financial Officer of Amdocs Management Limited, our management evaluated the effectiveness of our disclosure controls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procedures as of September 30, 2016. The term “disclosure controls and procedures,” as defined in Rules 13a-15(e) and 15d-15(e) under the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controls and other procedures of a company that are designed to ensure that information required to be disclosed by a company in the reports that it files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submits under the Exchange Act is recorded, processed, summarized and reported, within the time period specified in the SEC’s rules and forms.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include, without limitation, controls and procedures designed to ensure that information required to be disclosed by a company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reports that it files or submits under the Exchange Act is accumulated and communicated to the company’s management, including its principal executive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officers, as appropriate to allow timely decisions regarding required disclosure. Management recognizes that any controls and procedures,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matter how well designed and operated, can provide only reasonable assurance of achieving their objectives and management necessarily applies its judgment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evaluating the cost-benefit relationship of possible controls and procedures. Based on the evaluation of our disclosure controls and procedures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the Chief Executive Officer and the Chief Financial Officer of Amdocs Management Limited concluded that, as of such date, our disclosure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controls and procedures were effective at the reasonable assurance level. Ernst and Young LLP, the independent registered public accounting firm that audited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included in this Annual Report on Form 20-F, has issued an attestation report on our internal control over financial reporting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which is included herein.</w:t>
      </w:r>
    </w:p>
    <w:p>
      <w:pPr>
        <w:spacing w:after="0" w:line="8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year ended September 30, 2016 that has materially affected, or is reasonably likely to materially affect, our internal control over financial reporting.</w:t>
      </w:r>
    </w:p>
    <w:p>
      <w:pPr>
        <w:spacing w:after="0" w:line="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Ernst &amp; Young billed us approximately $3.2 million for audit services for fiscal 2016, including fees associated with the annual audit and reviews of our quarterly financial results submitted on Form 6-K, consultations on various accounting issues and performance of local statutory audits. Ernst &amp; Young billed us approximately $3.2 million for audit services for fiscal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Ernst &amp; Young billed us approximately $1.2 million for audit-related services for fiscal 2016. Audit-related services principally include SSAE 16 report issuances and due diligence examinations. Ernst &amp; Young billed us approximately $1.3 million for audit-related services for fiscal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Ernst &amp; Young billed us approximately $1.6 million for tax advice, including fees associated with tax compliance, tax advice and tax planning services for fiscal 2016. Ernst &amp; Young billed us approximately $1.3 million for tax advice in fiscal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2016 or fiscal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2016, our Audit Committee approved all of the services provided by Ernst &amp; Young.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2016 of equity securities that are registered by us pursuant to Section 12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(c)</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46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(b)</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39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460" w:type="dxa"/>
            <w:vAlign w:val="bottom"/>
          </w:tcPr>
          <w:p>
            <w:pPr>
              <w:spacing w:after="0"/>
              <w:rPr>
                <w:sz w:val="12"/>
                <w:szCs w:val="12"/>
                <w:color w:val="auto"/>
              </w:rPr>
            </w:pPr>
          </w:p>
        </w:tc>
        <w:tc>
          <w:tcPr>
            <w:tcW w:w="1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May Yet Be Purchased Under</w:t>
            </w:r>
          </w:p>
        </w:tc>
        <w:tc>
          <w:tcPr>
            <w:tcW w:w="0" w:type="dxa"/>
            <w:vAlign w:val="bottom"/>
          </w:tcPr>
          <w:p>
            <w:pPr>
              <w:spacing w:after="0"/>
              <w:rPr>
                <w:sz w:val="1"/>
                <w:szCs w:val="1"/>
                <w:color w:val="auto"/>
              </w:rPr>
            </w:pPr>
          </w:p>
        </w:tc>
      </w:tr>
      <w:tr>
        <w:trPr>
          <w:trHeight w:val="148"/>
        </w:trPr>
        <w:tc>
          <w:tcPr>
            <w:tcW w:w="3900" w:type="dxa"/>
            <w:vAlign w:val="bottom"/>
            <w:gridSpan w:val="4"/>
            <w:vMerge w:val="continue"/>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880" w:type="dxa"/>
            <w:vAlign w:val="bottom"/>
          </w:tcPr>
          <w:p>
            <w:pPr>
              <w:spacing w:after="0"/>
              <w:rPr>
                <w:sz w:val="12"/>
                <w:szCs w:val="12"/>
                <w:color w:val="auto"/>
              </w:rPr>
            </w:pPr>
          </w:p>
        </w:tc>
        <w:tc>
          <w:tcPr>
            <w:tcW w:w="1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Paid per Share(1)</w:t>
            </w:r>
          </w:p>
        </w:tc>
        <w:tc>
          <w:tcPr>
            <w:tcW w:w="15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10/1/15-10/31/15</w:t>
            </w:r>
          </w:p>
        </w:tc>
        <w:tc>
          <w:tcPr>
            <w:tcW w:w="24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375,700</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58.38</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375,700</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238,154,601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11/1/15-11/30/15</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876,548</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56.47</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876,548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188,656,108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12/1/15-12/31/15</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508,822</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56.02</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508,822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160,150,711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01/1/16-01/31/16</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494,286</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53.14</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494,286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133,886,180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02/1/16-02/29/16</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55.25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735,400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843,256,689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03/1/16-03/31/16</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578,866</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58.26</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578,866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809,532,953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04/1/16-04/30/16</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358,300</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58.54</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358,300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788,559,625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05/1/16-05/31/16</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880,200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57.21</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880,200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738,204,006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06/1/16-06/30/16</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902,871</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57.35</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902,871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686,422,462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07/1/16-07/31/16</w:t>
            </w:r>
          </w:p>
        </w:tc>
        <w:tc>
          <w:tcPr>
            <w:tcW w:w="2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555,310</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57.80</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555,310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654,323,061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08/1/16-08/31/16</w:t>
            </w:r>
          </w:p>
        </w:tc>
        <w:tc>
          <w:tcPr>
            <w:tcW w:w="2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542,327</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58.82</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542,327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622,424,265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09/1/16-09/30/16</w:t>
            </w:r>
          </w:p>
        </w:tc>
        <w:tc>
          <w:tcPr>
            <w:tcW w:w="24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427,183</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60.04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427,183</w:t>
            </w:r>
          </w:p>
        </w:tc>
        <w:tc>
          <w:tcPr>
            <w:tcW w:w="4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596,774,299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7,235,813</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57.12</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7,235,813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596,774,299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15"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Our Board of Directors adopted a share repurchase plan in April 2014 for the repurchase of up to $750.0 million of our outstanding ordinary shares and on February 2, 2016, adopted another share repurchase plan for the repurchase of up to an additional $750.0 million of our outstanding ordinary shares. The authorizations have no expiration date and permit us to purchase our ordinary shares in open market or privately negotiated transactions at times and prices that we consider appropriate. In May 2016, we completed the repurchase of the remaining authorized amount under the April 2014 plan and began executing repurchases under the February 2016 plan. In fiscal year 2016, we repurchased 7.2 million ordinary shares at an average price of $57.12 per share (excluding broker and transaction fees), and as of September 30, 2016, we had remaining authority to repurchase up to $596.8 million of our outstanding ordinary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the Redemption Date, we redeemed all of our outstanding convertible notes due 2024 at a redemption price of 100% of the principal amount of the notes, plus accrued and unpaid interest up to, but excluding, the Redemption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2016, and to our website at www.amdocs.com.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and Financial Statement Schedule of Amdocs Limited, with respect to financial results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2015 and 2014, are included at the end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Consolidated Balance Sheets as of September 30, 2016 and 2015</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Income for the fiscal years ended September 30,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Consolidated Statements of Comprehensive Income for the fiscal years ended September 30, 2016, 2015 and 2014</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Cash Flows for the fiscal years ended September 30,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and Qualifying Accounts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on the Exhibit Index hereof are filed herewith in response to this Item.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459" w:right="5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219"/>
        </w:trPr>
        <w:tc>
          <w:tcPr>
            <w:tcW w:w="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Memorandum of Incorporation of Amdocs Limited (incorporated by reference to Exhibits 99.1 to Amdocs’ Form 6-K filed</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January 26, 2009)</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Articles of Incorporation of Amdocs Limited (incorporated by reference to Exhibit 1.2 to Amdocs’ Annual Report on Form</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20-F, filed December 7, 2010)</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2.a.1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Indenture, dated March 5, 2004, between Amdocs Limited and The Bank of New York, as trustee, for 0.50% Convertible Senior Notes due 2024</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(incorporated by reference to Exhibit 99.1 to Amdocs’ Form 6-K, filed March 5, 2004)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Agreement between Amdocs, Inc. and SBC Services, Inc. for Software and Professional Services, effective August 7, 2003 (incorporated by</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89"/>
              </w:rPr>
              <w:t>reference to Exhibit 99.3 to Amdocs’ Amendment No. 1 to Registration Statement on Form F-3, dated September 21, 2004, Registration No. 333-</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114344)</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4.b.2†</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1"/>
              </w:rPr>
              <w:t>Amendments Nos. 1-33 to Agreement between the Company and AT&amp;T Services, Inc. (f/k/a SBC Services, Inc.) for Software and Professional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Services effective August 7, 2003 (incorporated by reference to Exhibit 4.b.2 to Amdocs’ Annual Report on Form 20-F, filed December 8, 2014)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4.b.3†</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Amendments Nos. 34-39 to Agreement between the Company and AT&amp;T Services, Inc. (f/k/a SBC Services, Inc.) for Software and Professional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Services effective August 7, 2003 (incorporated by reference to Exhibit 4.b.2 to Amdocs’ Annual Report on Form 20-F, filed December 10, 2015)</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4.b.4</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Amended and Restated Credit Agreement, dated as of December 12, 2014, among Amdocs Limited, certain of its subsidiaries, the lenders from</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time to time party thereto, JPMorgan Chase Bank, N.A., as administrative agent, J.P. Morgan Europe Limited, as London agent, and JPMorgan</w:t>
            </w:r>
          </w:p>
        </w:tc>
      </w:tr>
      <w:tr>
        <w:trPr>
          <w:trHeight w:val="216"/>
        </w:trPr>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89"/>
              </w:rPr>
              <w:t>Chase Bank, N.A., Toronto branch, as Canadian agent (incorporated by reference to Exhibit 99.1 to Amdocs’ Report of Foreign Private Issuer on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Form 6-K dated December 12, 2014)</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4.b.5</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0"/>
              </w:rPr>
              <w:t>Amendments Nos. 40-49 to Agreement between the Company and AT&amp;T Services, Inc. (f/k/a SBC Services, Inc.) for Software and Professional</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Services effective August 7, 2003</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4.c.1</w:t>
            </w: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w w:val="92"/>
              </w:rPr>
              <w:t>Amdocs Limited 1998 Stock Option and Incentive Plan, as amended (incorporated by reference to Appendix C to Amdocs’ Report of Foreign</w:t>
            </w:r>
          </w:p>
        </w:tc>
      </w:tr>
      <w:tr>
        <w:trPr>
          <w:trHeight w:val="222"/>
        </w:trPr>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60" w:type="dxa"/>
            <w:vAlign w:val="bottom"/>
            <w:gridSpan w:val="3"/>
          </w:tcPr>
          <w:p>
            <w:pPr>
              <w:ind w:left="500"/>
              <w:spacing w:after="0"/>
              <w:rPr>
                <w:sz w:val="20"/>
                <w:szCs w:val="20"/>
                <w:color w:val="auto"/>
              </w:rPr>
            </w:pPr>
            <w:r>
              <w:rPr>
                <w:rFonts w:ascii="Arial" w:cs="Arial" w:eastAsia="Arial" w:hAnsi="Arial"/>
                <w:sz w:val="18"/>
                <w:szCs w:val="18"/>
                <w:color w:val="auto"/>
              </w:rPr>
              <w:t>Private Issuer on Form 6-K filed December 22, 2011)</w:t>
            </w:r>
          </w:p>
        </w:tc>
      </w:tr>
    </w:tbl>
    <w:p>
      <w:pPr>
        <w:spacing w:after="0" w:line="102"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Subsidiaries of Amdocs Limited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104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1046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100.1</w:t>
            </w: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The following financial information from Amdocs Limited’s Annual Report on Form 20-F for the year ended September 30, 2016, formatted in</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Extensible Business Reporting Language (XBRL): (i) Consolidated Balance Sheets as of September 30, 2016 and 2015, (ii) Consolidated</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8"/>
              </w:rPr>
              <w:t>Statements of Income for the years ended September 30, 2016, 2015 and 2014, (iii) Consolidated Statements of Comprehensive Income for the</w:t>
            </w:r>
          </w:p>
        </w:tc>
      </w:tr>
      <w:tr>
        <w:trPr>
          <w:trHeight w:val="216"/>
        </w:trPr>
        <w:tc>
          <w:tcPr>
            <w:tcW w:w="72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6"/>
              </w:rPr>
              <w:t>years ended September 30, 2016, 2015 and 2014, (iv) the Consolidated Statements of Cash Flows for the years ended September 30, 2016, 2015</w:t>
            </w:r>
          </w:p>
        </w:tc>
      </w:tr>
      <w:tr>
        <w:trPr>
          <w:trHeight w:val="222"/>
        </w:trPr>
        <w:tc>
          <w:tcPr>
            <w:tcW w:w="72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and 2014, and (iv) Notes to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right="6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20" w:type="dxa"/>
            <w:vAlign w:val="bottom"/>
          </w:tcPr>
          <w:p>
            <w:pPr>
              <w:spacing w:after="0"/>
              <w:rPr>
                <w:sz w:val="17"/>
                <w:szCs w:val="17"/>
                <w:color w:val="auto"/>
              </w:rPr>
            </w:pPr>
          </w:p>
        </w:tc>
        <w:tc>
          <w:tcPr>
            <w:tcW w:w="10920" w:type="dxa"/>
            <w:vAlign w:val="bottom"/>
            <w:tcBorders>
              <w:top w:val="single" w:sz="8" w:color="CCEEFF"/>
            </w:tcBorders>
            <w:gridSpan w:val="11"/>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720" w:type="dxa"/>
            <w:vAlign w:val="bottom"/>
            <w:gridSpan w:val="10"/>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Management’s Report on Internal Control Over Financial Reporting</w:t>
              </w:r>
            </w:hyperlink>
          </w:p>
        </w:tc>
        <w:tc>
          <w:tcPr>
            <w:tcW w:w="4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F-2</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720" w:type="dxa"/>
            <w:vAlign w:val="bottom"/>
            <w:gridSpan w:val="10"/>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Reports of Independent Registered Public Accounting Firm</w:t>
              </w:r>
            </w:hyperlink>
          </w:p>
        </w:tc>
        <w:tc>
          <w:tcPr>
            <w:tcW w:w="4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F-3</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720" w:type="dxa"/>
            <w:vAlign w:val="bottom"/>
            <w:gridSpan w:val="10"/>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Balance Sheets as of September 30, 2016 and 2015</w:t>
              </w:r>
            </w:hyperlink>
          </w:p>
        </w:tc>
        <w:tc>
          <w:tcPr>
            <w:tcW w:w="4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F-5</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Income for the fiscal years ended September 30, 2016, 2015 and 2014</w:t>
              </w:r>
            </w:hyperlink>
          </w:p>
        </w:tc>
        <w:tc>
          <w:tcPr>
            <w:tcW w:w="3820" w:type="dxa"/>
            <w:vAlign w:val="bottom"/>
            <w:tcBorders>
              <w:bottom w:val="single" w:sz="8" w:color="CCEEFF"/>
            </w:tcBorders>
            <w:gridSpan w:val="4"/>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F-6</w:t>
            </w: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720" w:type="dxa"/>
            <w:vAlign w:val="bottom"/>
            <w:gridSpan w:val="10"/>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Comprehensive Income for the fiscal years ended September 30, 2016, 2015 and 2014</w:t>
              </w:r>
            </w:hyperlink>
          </w:p>
        </w:tc>
        <w:tc>
          <w:tcPr>
            <w:tcW w:w="4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F-7</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7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Consolidated Statements of Changes in Shareholders’ Equity for the fiscal years ended September 30, 2016, 2015 and 2014</w:t>
              </w:r>
            </w:hyperlink>
          </w:p>
        </w:tc>
        <w:tc>
          <w:tcPr>
            <w:tcW w:w="1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F-8</w:t>
            </w: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720" w:type="dxa"/>
            <w:vAlign w:val="bottom"/>
            <w:gridSpan w:val="10"/>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 for the fiscal years ended September 30, 2016, 2015 and 2014</w:t>
              </w:r>
            </w:hyperlink>
          </w:p>
        </w:tc>
        <w:tc>
          <w:tcPr>
            <w:tcW w:w="4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F-9</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Notes to the Consolidated Financial Statements</w:t>
              </w:r>
            </w:hyperlink>
          </w:p>
        </w:tc>
        <w:tc>
          <w:tcPr>
            <w:tcW w:w="7380" w:type="dxa"/>
            <w:vAlign w:val="bottom"/>
            <w:tcBorders>
              <w:bottom w:val="single" w:sz="8" w:color="CCEEFF"/>
            </w:tcBorders>
            <w:gridSpan w:val="8"/>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97"/>
              </w:rPr>
              <w:t>F-10</w:t>
            </w:r>
          </w:p>
        </w:tc>
      </w:tr>
      <w:tr>
        <w:trPr>
          <w:trHeight w:val="216"/>
        </w:trPr>
        <w:tc>
          <w:tcPr>
            <w:tcW w:w="20" w:type="dxa"/>
            <w:vAlign w:val="bottom"/>
          </w:tcPr>
          <w:p>
            <w:pPr>
              <w:spacing w:after="0"/>
              <w:rPr>
                <w:sz w:val="18"/>
                <w:szCs w:val="18"/>
                <w:color w:val="auto"/>
              </w:rPr>
            </w:pPr>
          </w:p>
        </w:tc>
        <w:tc>
          <w:tcPr>
            <w:tcW w:w="1092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720" w:type="dxa"/>
            <w:vAlign w:val="bottom"/>
            <w:gridSpan w:val="10"/>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Valuation and Qualifying Accounts</w:t>
              </w:r>
            </w:hyperlink>
          </w:p>
        </w:tc>
        <w:tc>
          <w:tcPr>
            <w:tcW w:w="4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97"/>
              </w:rPr>
              <w:t>F-39</w:t>
            </w:r>
          </w:p>
        </w:tc>
      </w:tr>
      <w:tr>
        <w:trPr>
          <w:trHeight w:val="363"/>
        </w:trPr>
        <w:tc>
          <w:tcPr>
            <w:tcW w:w="20" w:type="dxa"/>
            <w:vAlign w:val="bottom"/>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940" w:type="dxa"/>
            <w:vAlign w:val="bottom"/>
            <w:tcBorders>
              <w:top w:val="single" w:sz="8" w:color="CCEEFF"/>
            </w:tcBorders>
            <w:gridSpan w:val="5"/>
          </w:tcPr>
          <w:p>
            <w:pPr>
              <w:ind w:left="600"/>
              <w:spacing w:after="0"/>
              <w:rPr>
                <w:sz w:val="20"/>
                <w:szCs w:val="20"/>
                <w:color w:val="auto"/>
              </w:rPr>
            </w:pPr>
            <w:r>
              <w:rPr>
                <w:rFonts w:ascii="Arial" w:cs="Arial" w:eastAsia="Arial" w:hAnsi="Arial"/>
                <w:sz w:val="18"/>
                <w:szCs w:val="18"/>
                <w:color w:val="auto"/>
              </w:rPr>
              <w:t>F-1</w:t>
            </w:r>
          </w:p>
        </w:tc>
        <w:tc>
          <w:tcPr>
            <w:tcW w:w="3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 w:lineRule="exact"/>
        <w:rPr>
          <w:sz w:val="20"/>
          <w:szCs w:val="20"/>
          <w:color w:val="auto"/>
        </w:rPr>
      </w:pPr>
    </w:p>
    <w:p>
      <w:pPr>
        <w:ind w:left="660" w:right="7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2016. In making this assessment, the Company’s management used the criteria set forth by the Committee of Sponsoring Organizations of the Treadway Commission (2013 framework) in Internal Control-Integrated Framework.</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its assessment, management concluded that, as of September 30, 2016, the Company’s internal control over financial reporting is effective based on those criteria.</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Amdocs Limited as of September 30, 2016 and 2015, and the related consolidated statements of income, comprehensive income, changes in shareholders’ equity, and cash flows for each of the three years in the period ended September 30, 2016.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2016 and 2015, and the consolidated results of its operations and its cash flows for each of the three years in the period ended September 30,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Amdocs Limited’s internal control over financial reporting as of September 30, 2016, based on criteria established in Internal Control-Integrated Framework issued by the Committee of Sponsoring Organizations of the Treadway Commission (2013 framework) and our report dated December 12, 2016 expressed an unqualified opinion thereon.</w:t>
      </w:r>
    </w:p>
    <w:p>
      <w:pPr>
        <w:spacing w:after="0" w:line="8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Amdocs Limited’s internal control over financial reporting as of September 30, 2016, based on criteria established in Internal Control — Integrated Framework issued by the Committee of Sponsoring Organizations of the Treadway Commission (2013 framework)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2016, based on the COSO criteria.</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2016 and 2015, and the related consolidated statements of income, comprehensive income, changes in shareholders’ equity, and cash flows for each of the three years in the period ended September 30, 2016 of Amdocs Limited and our report dated December 12, 2016 expressed an unqualified opinion thereon.</w:t>
      </w:r>
    </w:p>
    <w:p>
      <w:pPr>
        <w:spacing w:after="0" w:line="14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9040" w:type="dxa"/>
            <w:vAlign w:val="bottom"/>
            <w:vMerge w:val="restart"/>
          </w:tcPr>
          <w:p>
            <w:pPr>
              <w:ind w:left="53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768,660</w:t>
            </w:r>
          </w:p>
        </w:tc>
        <w:tc>
          <w:tcPr>
            <w:tcW w:w="3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1,035,573</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318,439</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818,531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714,784</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150,733</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186,137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2,100,391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2,378,162</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331,728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309,320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2,211,639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2,049,093</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281,527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252,517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5,331,355</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5,324,652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136,675</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111,974</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611,705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608,827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244,299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224,232</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1,366,010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1,363,503</w:t>
            </w: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305,985</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284,685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1,877,794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1,917,810</w:t>
            </w:r>
          </w:p>
        </w:tc>
        <w:tc>
          <w:tcPr>
            <w:tcW w:w="0" w:type="dxa"/>
            <w:vAlign w:val="bottom"/>
          </w:tcPr>
          <w:p>
            <w:pPr>
              <w:spacing w:after="0"/>
              <w:rPr>
                <w:sz w:val="1"/>
                <w:szCs w:val="1"/>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040" w:type="dxa"/>
            <w:vAlign w:val="bottom"/>
          </w:tcPr>
          <w:p>
            <w:pPr>
              <w:ind w:left="220"/>
              <w:spacing w:after="0"/>
              <w:rPr>
                <w:sz w:val="20"/>
                <w:szCs w:val="20"/>
                <w:color w:val="auto"/>
              </w:rPr>
            </w:pPr>
            <w:r>
              <w:rPr>
                <w:rFonts w:ascii="Arial" w:cs="Arial" w:eastAsia="Arial" w:hAnsi="Arial"/>
                <w:sz w:val="18"/>
                <w:szCs w:val="18"/>
                <w:color w:val="auto"/>
                <w:w w:val="92"/>
              </w:rPr>
              <w:t>Ordinary Shares — Authorized 700,000 shares; £0.01 par value; 270,997 and 267,777 issued and 147,134 and 151,150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40" w:type="dxa"/>
            <w:vAlign w:val="bottom"/>
          </w:tcPr>
          <w:p>
            <w:pPr>
              <w:ind w:left="440"/>
              <w:spacing w:after="0"/>
              <w:rPr>
                <w:sz w:val="20"/>
                <w:szCs w:val="20"/>
                <w:color w:val="auto"/>
              </w:rPr>
            </w:pPr>
            <w:r>
              <w:rPr>
                <w:rFonts w:ascii="Arial" w:cs="Arial" w:eastAsia="Arial" w:hAnsi="Arial"/>
                <w:sz w:val="18"/>
                <w:szCs w:val="18"/>
                <w:color w:val="auto"/>
              </w:rPr>
              <w:t>outstanding, in 2016 and 2015, respectively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17"/>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3,322,789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3,182,573</w:t>
            </w:r>
          </w:p>
        </w:tc>
        <w:tc>
          <w:tcPr>
            <w:tcW w:w="0" w:type="dxa"/>
            <w:vAlign w:val="bottom"/>
          </w:tcPr>
          <w:p>
            <w:pPr>
              <w:spacing w:after="0"/>
              <w:rPr>
                <w:sz w:val="1"/>
                <w:szCs w:val="1"/>
                <w:color w:val="auto"/>
              </w:rPr>
            </w:pPr>
          </w:p>
        </w:tc>
      </w:tr>
      <w:tr>
        <w:trPr>
          <w:trHeight w:val="216"/>
        </w:trPr>
        <w:tc>
          <w:tcPr>
            <w:tcW w:w="9040" w:type="dxa"/>
            <w:vAlign w:val="bottom"/>
          </w:tcPr>
          <w:p>
            <w:pPr>
              <w:ind w:left="220"/>
              <w:spacing w:after="0"/>
              <w:rPr>
                <w:sz w:val="20"/>
                <w:szCs w:val="20"/>
                <w:color w:val="auto"/>
              </w:rPr>
            </w:pPr>
            <w:r>
              <w:rPr>
                <w:rFonts w:ascii="Arial" w:cs="Arial" w:eastAsia="Arial" w:hAnsi="Arial"/>
                <w:sz w:val="18"/>
                <w:szCs w:val="18"/>
                <w:color w:val="auto"/>
              </w:rPr>
              <w:t>Treasury stock, at cost — 123,863 and 116,627 ordinary shares in 2016 and 2015, respectively</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(4,024,527)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(3,611,105)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(16,753)</w:t>
            </w:r>
          </w:p>
        </w:tc>
        <w:tc>
          <w:tcPr>
            <w:tcW w:w="0" w:type="dxa"/>
            <w:vAlign w:val="bottom"/>
          </w:tcPr>
          <w:p>
            <w:pPr>
              <w:spacing w:after="0"/>
              <w:rPr>
                <w:sz w:val="1"/>
                <w:szCs w:val="1"/>
                <w:color w:val="auto"/>
              </w:rPr>
            </w:pPr>
          </w:p>
        </w:tc>
      </w:tr>
      <w:tr>
        <w:trPr>
          <w:trHeight w:val="223"/>
        </w:trPr>
        <w:tc>
          <w:tcPr>
            <w:tcW w:w="90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4,144,827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3,847,796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3,453,561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3,406,842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5,331,355</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5,324,652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3,718,229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3,643,538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3,563,637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2,408,040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2,349,488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2,306,892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252,292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254,944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464,883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440,085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109,873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70,073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3,235,088</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3,127,590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3,067,989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483,141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513,404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409,331</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446,163</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$ 409,331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$ 446,163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$ 422,122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change in fair value of cash flow hedges(1)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24,666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(6,630)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Net change in fair value of available-for-sale securities(2)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358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actuarial (losses) on defined benefit plan(3)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3"/>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(6,781)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(10,604)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$ 432,179</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$ 439,382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(expense) benefit of $(7,053), $2,627 and $4,413 for the fiscal years ended September 30, 2016, 2015 and 2014,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(expense) benefit of $(1), $5 and $2 for the fiscal years ended September 30, 2016, 2015 and 2014,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$747, $(81) and $38 for the fiscal years ended September 30,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80" w:type="dxa"/>
            <w:vAlign w:val="bottom"/>
            <w:gridSpan w:val="6"/>
            <w:vMerge w:val="restart"/>
          </w:tcPr>
          <w:p>
            <w:pPr>
              <w:jc w:val="right"/>
              <w:ind w:right="132"/>
              <w:spacing w:after="0"/>
              <w:rPr>
                <w:sz w:val="20"/>
                <w:szCs w:val="20"/>
                <w:color w:val="auto"/>
              </w:rPr>
            </w:pPr>
            <w:r>
              <w:rPr>
                <w:rFonts w:ascii="Arial" w:cs="Arial" w:eastAsia="Arial" w:hAnsi="Arial"/>
                <w:sz w:val="14"/>
                <w:szCs w:val="14"/>
                <w:b w:val="1"/>
                <w:bCs w:val="1"/>
                <w:color w:val="auto"/>
              </w:rPr>
              <w:t>Ordinary Shares</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80" w:type="dxa"/>
            <w:vAlign w:val="bottom"/>
            <w:tcBorders>
              <w:bottom w:val="single" w:sz="8" w:color="auto"/>
            </w:tcBorders>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72"/>
              <w:spacing w:after="0" w:line="128" w:lineRule="exact"/>
              <w:rPr>
                <w:sz w:val="20"/>
                <w:szCs w:val="20"/>
                <w:color w:val="auto"/>
              </w:rPr>
            </w:pPr>
            <w:r>
              <w:rPr>
                <w:rFonts w:ascii="Arial" w:cs="Arial" w:eastAsia="Arial" w:hAnsi="Arial"/>
                <w:sz w:val="14"/>
                <w:szCs w:val="14"/>
                <w:b w:val="1"/>
                <w:bCs w:val="1"/>
                <w:color w:val="auto"/>
                <w:w w:val="94"/>
              </w:rPr>
              <w:t>Paid-in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28" w:lineRule="exact"/>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2"/>
                <w:szCs w:val="12"/>
                <w:color w:val="auto"/>
              </w:rPr>
            </w:pPr>
          </w:p>
        </w:tc>
        <w:tc>
          <w:tcPr>
            <w:tcW w:w="1140" w:type="dxa"/>
            <w:vAlign w:val="bottom"/>
            <w:gridSpan w:val="2"/>
          </w:tcPr>
          <w:p>
            <w:pPr>
              <w:jc w:val="center"/>
              <w:ind w:right="280"/>
              <w:spacing w:after="0" w:line="128"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28" w:lineRule="exact"/>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2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7"/>
              </w:rPr>
              <w:t>(Loss)(1)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83"/>
              </w:rPr>
              <w:t>Earnings</w:t>
            </w:r>
          </w:p>
        </w:tc>
        <w:tc>
          <w:tcPr>
            <w:tcW w:w="80" w:type="dxa"/>
            <w:vAlign w:val="bottom"/>
          </w:tcPr>
          <w:p>
            <w:pPr>
              <w:spacing w:after="0"/>
              <w:rPr>
                <w:sz w:val="13"/>
                <w:szCs w:val="13"/>
                <w:color w:val="auto"/>
              </w:rPr>
            </w:pPr>
          </w:p>
        </w:tc>
        <w:tc>
          <w:tcPr>
            <w:tcW w:w="9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October 1, 2013</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160,062</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4,199</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2,878,898</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(2,785,071)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632</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3,176,125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3,274,783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422,122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422,122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128,063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(372,014)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3,241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($0.595 per ordinary share)</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(94,418)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44,578</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September 30, 2014</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156,704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4,284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3,054,780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4"/>
              </w:rPr>
              <w:t>(3,157,085)</w:t>
            </w: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(9,972)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6"/>
              </w:rPr>
              <w:t>3,503,829</w:t>
            </w:r>
          </w:p>
        </w:tc>
        <w:tc>
          <w:tcPr>
            <w:tcW w:w="8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3,395,836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446,163</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446,163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(6,781)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439,382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(8,596)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(454,020)</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(454,020)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Cash dividends declared ($0.665 per ordinary share)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(102,196)</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44,560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44,560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151,150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3,182,573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(3,611,105)</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3,847,796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3,406,842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409,331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409,331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22,848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89,728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(7,236)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(413,422)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7,788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($0.755 per ordinary share)</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(112,300)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42,700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September 30, 2016</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gridSpan w:val="2"/>
            <w:vMerge w:val="continue"/>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147,134</w:t>
            </w:r>
          </w:p>
        </w:tc>
        <w:tc>
          <w:tcPr>
            <w:tcW w:w="160" w:type="dxa"/>
            <w:vAlign w:val="bottom"/>
          </w:tcPr>
          <w:p>
            <w:pPr>
              <w:spacing w:after="0"/>
              <w:rPr>
                <w:sz w:val="13"/>
                <w:szCs w:val="13"/>
                <w:color w:val="auto"/>
              </w:rPr>
            </w:pPr>
          </w:p>
        </w:tc>
        <w:tc>
          <w:tcPr>
            <w:tcW w:w="28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4,377</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3,322,789</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4"/>
              </w:rPr>
              <w:t>(4,024,527)</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6,095</w:t>
            </w:r>
          </w:p>
        </w:tc>
        <w:tc>
          <w:tcPr>
            <w:tcW w:w="18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6"/>
              </w:rPr>
              <w:t>4,144,827</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3,453,561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1" w:lineRule="exact"/>
        <w:rPr>
          <w:sz w:val="20"/>
          <w:szCs w:val="20"/>
          <w:color w:val="auto"/>
        </w:rPr>
      </w:pPr>
    </w:p>
    <w:p>
      <w:pPr>
        <w:ind w:left="340" w:right="80" w:hanging="332"/>
        <w:spacing w:after="0" w:line="318" w:lineRule="auto"/>
        <w:tabs>
          <w:tab w:leader="none" w:pos="3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As of September 30, 2016, 2015 and 2014, accumulated other comprehensive income (loss) is comprised of unrealized gain (loss) on derivatives, net of tax, of $12,514, $(12,152) and $(5,522), unrealized gain (loss) on short-term interest-bearing investments, net of tax, of $568, $319 and $(39) and unrealized (loss) on defined benefit plan, net of tax, of $(6,987), $(4,920) and $(4,411).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September 30,</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409,331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446,163</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211,791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174,795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(26,887)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(70,859)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(49,828)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net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24,403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(20,263)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620,234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772,622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709,258</w:t>
            </w:r>
          </w:p>
        </w:tc>
        <w:tc>
          <w:tcPr>
            <w:tcW w:w="0" w:type="dxa"/>
            <w:vAlign w:val="bottom"/>
          </w:tcPr>
          <w:p>
            <w:pPr>
              <w:spacing w:after="0"/>
              <w:rPr>
                <w:sz w:val="1"/>
                <w:szCs w:val="1"/>
                <w:color w:val="auto"/>
              </w:rPr>
            </w:pPr>
          </w:p>
        </w:tc>
      </w:tr>
      <w:tr>
        <w:trPr>
          <w:trHeight w:val="221"/>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(130,086)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(120,503)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(111,569)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361,960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252,818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(370,742)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(250,184)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(283,450)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(263,193)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(440,851)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(379,654)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(298,553)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220,000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(413,422)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(454,020)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(109,304)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(100,790)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(446,296)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(460,664)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(321,628)</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(266,913)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(67,696)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89,077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1,035,573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1,103,269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1,014,192</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768,660</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1,035,573</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Interest and Income Taxes Paid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50,407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51,141</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Entity</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integrated products and services. The Company designs, develops, markets, supports, implements and operates customer experience solutions primarily for leading wireless, wireline, broadband, cable and satellite service providers throughout the world. Amdocs also offers a full range of entertainment and media solutions for media publishers, TV networks, video streaming providers, ad agencies and advertising service providers.</w:t>
      </w:r>
    </w:p>
    <w:p>
      <w:pPr>
        <w:spacing w:after="0" w:line="3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 The Company’s prior year consolidated balance sheet as of September 30, 2015 reflects the reclassification of taxes receivable to prepaid expenses and other current assets, as well as current taxes payable to accrued expenses and other current liabilities to conform with the current period presentation.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The Company classifies all of its short-term interest-bearing investments as available-for-sale securities. Such short-term interest-bearing investments consist primarily of money market funds, U.S. government treasuries, corporate bonds and U.S. agency securities, which are stated at market value. Unrealized gains and losses are comprised of the difference between market value and amortized costs of such securities and are reflected, net of tax, as “accumulated other comprehensive income (loss)” in shareholders’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90"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Equipment and leasehold improvements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Equipment and leasehold improvements that have been fully depreciated and are no longer in use are netted against accumulated depreciation.</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certain expenditures for software that is internally developed for use in the business, which is classified as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internal use software begins when the software is ready for service and continues on the straight-line method over the estimated useful life.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51"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90" w:lineRule="exact"/>
        <w:rPr>
          <w:sz w:val="20"/>
          <w:szCs w:val="20"/>
          <w:color w:val="auto"/>
        </w:rPr>
      </w:pPr>
    </w:p>
    <w:p>
      <w:pPr>
        <w:ind w:left="1140" w:hanging="21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w:t>
      </w:r>
    </w:p>
    <w:p>
      <w:pPr>
        <w:spacing w:after="0" w:line="3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As a result,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Company’s consolidated statements of income.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5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2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Beginning in fiscal year 2016, the Company presents deferred tax liabilities and assets as noncurrent on the balance sheet. As of September 30, 2015, deferred tax liabilities and assets were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also include anticipated withholding taxes due on subsidiaries’ earnings when paid as dividends to the Company.</w:t>
      </w:r>
    </w:p>
    <w:p>
      <w:pPr>
        <w:spacing w:after="0" w:line="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10 to the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revenue is generally recognized over the course of these long-term projects,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using the percentage of completion method of accounting, usually based on a percentage that incurred labor effort to date bears to total projected labor effort.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 The Company evaluates contracts entered into at or near the same time with the same customer (or related parties of the customer) and determines if the contracts should be combined in accordance with the guidance for revenue recognition.</w:t>
      </w:r>
    </w:p>
    <w:p>
      <w:pPr>
        <w:spacing w:after="0" w:line="19"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Initial license fee for software revenue is recognized as work is performed, under the percentage of completion method of accounting. Contingent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2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Revenue that does not involve significant ongoing obligations is recognized as services are rendered.</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managed services contracts and in other long-term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62"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sales was less than 10% of revenue in each of fiscal years 2016, 2015 and 2014. In certain arrangements, the Company may earn revenue from other third-party services which is recorded at a gross amount as the Company is the primary obligor under the arrangement.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90" w:lineRule="exact"/>
        <w:rPr>
          <w:sz w:val="20"/>
          <w:szCs w:val="20"/>
          <w:color w:val="auto"/>
        </w:rPr>
      </w:pPr>
    </w:p>
    <w:p>
      <w:pPr>
        <w:ind w:right="80" w:firstLine="456"/>
        <w:spacing w:after="0" w:line="357" w:lineRule="auto"/>
        <w:rPr>
          <w:sz w:val="20"/>
          <w:szCs w:val="20"/>
          <w:color w:val="auto"/>
        </w:rPr>
      </w:pPr>
      <w:r>
        <w:rPr>
          <w:rFonts w:ascii="Arial" w:cs="Arial" w:eastAsia="Arial" w:hAnsi="Arial"/>
          <w:sz w:val="15"/>
          <w:szCs w:val="15"/>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jc w:val="both"/>
        <w:ind w:right="140" w:firstLine="456"/>
        <w:spacing w:after="0" w:line="259" w:lineRule="auto"/>
        <w:rPr>
          <w:sz w:val="20"/>
          <w:szCs w:val="20"/>
          <w:color w:val="auto"/>
        </w:rPr>
      </w:pPr>
      <w:r>
        <w:rPr>
          <w:rFonts w:ascii="Arial" w:cs="Arial" w:eastAsia="Arial" w:hAnsi="Arial"/>
          <w:sz w:val="18"/>
          <w:szCs w:val="18"/>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revenue consists of all costs associated with providing software licenses and services to customers, including identified losses on contracts.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Estimated losses on contracts accounted for using the percentage of completion method of accounting are recognized in the period in which the loss is identified.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license includes license fees and royalty payments to software suppliers.</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 of revenue also includes costs of third-party products associated with reselling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3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2016, the Company had one customer with an accounts receivable balance of more than 10% of total accounts receivable, amounting to 34%, which was higher than its respective portion of total revenue. As of September 30, 2015, the Company had one customer with an accounts receivable balance of more than 10% of total accounts receivable, amounting to 35%, which was higher than its respective portion of total revenue.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 The Company includes participating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November 2016, the Financial Accounting Standards Board, or FASB, issued an Accounting Standard Update, or ASU, which requires an entity to include in its cash and cash-equivalent balances in the statement of cash flows those amounts that are deemed to be restricted cash and restricted cash equivalents. The ASU will be effective for the Company beginning in the first quarter of fiscal year 2019, and early adoption is permitted. The Company currently expects adoption of this ASU will not have a material impact on its statement of cash flows.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August 2016,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not have a material impact on its statement of cash flows.</w:t>
      </w:r>
    </w:p>
    <w:p>
      <w:pPr>
        <w:spacing w:after="0" w:line="5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is currently evaluating the effect that adoption of this ASU will have on its consolidated financial statements.</w:t>
      </w:r>
    </w:p>
    <w:p>
      <w:pPr>
        <w:spacing w:after="0" w:line="6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effective for the Company beginning in the first quarter of fiscal 2020, must be adopted using a modified retrospective method and its early adoption is permitted.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evaluating the impact of adoption of this ASU on its consolidated financial statements.</w:t>
      </w:r>
    </w:p>
    <w:p>
      <w:pPr>
        <w:spacing w:after="0" w:line="8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and supersedes most current revenue recognition guidance. In August 2015, the FASB deferred the effective date of this ASU by one year, to fiscal years beginning after December 15, 2017; however, early adoption for fiscal years beginning after December 15, 2016, will be permitted.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The Company is evaluating the methods and timing of its adoption, as well as the effect that adoption of the new revenue standard will have on its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2015, the FASB issued an ASU that requires entities to present deferred tax assets and liabilities as noncurrent on the balance sheet instead of separating deferred taxes into current and noncurrent amounts. The ASU, which may be applied either prospectively or retrospectively, will be effective for public business entities in fiscal years beginning after December 15, 2016, including interim periods within those years and early adoption is permitted. The Company prospectively adopted this ASU effective October 1, 2015 and, as such, the Company’s consolidated balance sheet as of September 30, 2015, does not reflect the reclassification of current deferred tax assets and liabilities as noncurrent amounts.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September 14, 2016, the Company acquired Vindicia, Inc. (“Vindicia”), Brite:Bill Group Limited (“Brite:Bill”) and Pontis, Inc. (“Pontis”) for the aggregate of $258,457 in cash, with the potential for additional consideration subject to the achievement of certain performance metrics. These three companies were acquired to expand the Company’s digital offering. Please see Note 9 to the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July 2, 2015, the Company acquired a substantial majority of the assets of the business support systems (BSS) business unit of Comverse, Inc. (“Comverse”) for $271,812 in cash, of which a total of $13,000 was attributable to a restructuring activity initiated by the Company and was recorded in the consolidated statements of income, in accordance with authoritative guidance for business combinations. Upon this acquisition, the Company and Comverse signed a transition services agreement for services to be performed by Comverse for an agreed period following the acquisition date. This acquisition geographically complements the Company’s market focus by expanding and diversifying its global customer base, particularly in Asia Pacific, Latin America and Europe. Please see Note 9 to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90"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jc w:val="center"/>
        <w:ind w:left="480" w:right="660"/>
        <w:spacing w:after="0" w:line="440"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that is significant to the fair value of the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2016 and 2015:</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w w:val="86"/>
              </w:rPr>
              <w:t>As of September 30, 2016</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28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84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8"/>
              </w:rPr>
              <w:t>Level 3</w:t>
            </w:r>
          </w:p>
        </w:tc>
        <w:tc>
          <w:tcPr>
            <w:tcW w:w="2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40" w:type="dxa"/>
            <w:vAlign w:val="bottom"/>
            <w:gridSpan w:val="3"/>
          </w:tcPr>
          <w:p>
            <w:pPr>
              <w:jc w:val="right"/>
              <w:ind w:right="72"/>
              <w:spacing w:after="0"/>
              <w:rPr>
                <w:sz w:val="20"/>
                <w:szCs w:val="20"/>
                <w:color w:val="auto"/>
              </w:rPr>
            </w:pPr>
            <w:r>
              <w:rPr>
                <w:rFonts w:ascii="Arial" w:cs="Arial" w:eastAsia="Arial" w:hAnsi="Arial"/>
                <w:sz w:val="18"/>
                <w:szCs w:val="18"/>
                <w:color w:val="auto"/>
                <w:w w:val="87"/>
              </w:rPr>
              <w:t>$449,288</w:t>
            </w:r>
          </w:p>
        </w:tc>
        <w:tc>
          <w:tcPr>
            <w:tcW w:w="4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$449,288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105,513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92"/>
              <w:spacing w:after="0"/>
              <w:rPr>
                <w:sz w:val="20"/>
                <w:szCs w:val="20"/>
                <w:color w:val="auto"/>
              </w:rPr>
            </w:pPr>
            <w:r>
              <w:rPr>
                <w:rFonts w:ascii="Arial" w:cs="Arial" w:eastAsia="Arial" w:hAnsi="Arial"/>
                <w:sz w:val="18"/>
                <w:szCs w:val="18"/>
                <w:color w:val="auto"/>
              </w:rPr>
              <w:t>96,154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48,393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180" w:type="dxa"/>
            <w:vAlign w:val="bottom"/>
          </w:tcPr>
          <w:p>
            <w:pPr>
              <w:spacing w:after="0"/>
              <w:rPr>
                <w:sz w:val="18"/>
                <w:szCs w:val="18"/>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92"/>
              <w:spacing w:after="0"/>
              <w:rPr>
                <w:sz w:val="20"/>
                <w:szCs w:val="20"/>
                <w:color w:val="auto"/>
              </w:rPr>
            </w:pPr>
            <w:r>
              <w:rPr>
                <w:rFonts w:ascii="Arial" w:cs="Arial" w:eastAsia="Arial" w:hAnsi="Arial"/>
                <w:sz w:val="18"/>
                <w:szCs w:val="18"/>
                <w:color w:val="auto"/>
              </w:rPr>
              <w:t>42,498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obligations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30,194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8,342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554,801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225,581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16,067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(24,597)</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(24,597)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554,801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241,648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(24,597)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4"/>
              </w:rPr>
              <w:t>As of September 30, 2015</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8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$470,286</w:t>
            </w:r>
          </w:p>
        </w:tc>
        <w:tc>
          <w:tcPr>
            <w:tcW w:w="4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$470,286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117,452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101,603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45,181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25,487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obligations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589,753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211,929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(13,097)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(13,097)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w:t>
            </w: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(3,266)</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589,753</w:t>
            </w:r>
          </w:p>
        </w:tc>
        <w:tc>
          <w:tcPr>
            <w:tcW w:w="440" w:type="dxa"/>
            <w:vAlign w:val="bottom"/>
          </w:tcPr>
          <w:p>
            <w:pPr>
              <w:spacing w:after="0"/>
              <w:rPr>
                <w:sz w:val="19"/>
                <w:szCs w:val="19"/>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198,832</w:t>
            </w:r>
          </w:p>
        </w:tc>
        <w:tc>
          <w:tcPr>
            <w:tcW w:w="94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785,319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2016 or fiscal year 2015. Level 3 amounts relate to certain acquisition-related liabilities, which were valued using a Monte-Carlo simulation model. These liabilities were included in both accrued expenses and other current liabilities and other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noncurrent liabilities as of September 30, 2016, and in accrued expenses and other current liabilities as of September 30, 2015.</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2016</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$449,288</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$449,288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105,377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105,513</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95,852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96,154</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48,339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660" w:type="dxa"/>
            <w:vAlign w:val="bottom"/>
          </w:tcPr>
          <w:p>
            <w:pPr>
              <w:jc w:val="right"/>
              <w:spacing w:after="0"/>
              <w:rPr>
                <w:sz w:val="20"/>
                <w:szCs w:val="20"/>
                <w:color w:val="auto"/>
              </w:rPr>
            </w:pPr>
            <w:r>
              <w:rPr>
                <w:rFonts w:ascii="Arial" w:cs="Arial" w:eastAsia="Arial" w:hAnsi="Arial"/>
                <w:sz w:val="18"/>
                <w:szCs w:val="18"/>
                <w:color w:val="auto"/>
              </w:rPr>
              <w:t>48,393</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42,498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42,498</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30,121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30,194</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779,809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780,382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2016, $327,063 of securities were classified as short-term interest-bearing investments and $453,319 of securities were classified as cash and cash equivalents.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2015</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$470,286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$470,286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117,235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117,452</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101,603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45,105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45,181</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29,195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Total(2)</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801,359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133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801,682</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from the date of acquisition were included in cash and cash equivalents on the Company’s balance sheet. As of September 30, 2015, $318,439 of securities were classified as short-term interest-bearing investments and $483,243 of securities were classified as cash and cash equivalents.</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2016,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2016, 2015 and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the Company’s available-for-sale securities had the following maturity dates: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Market Value</w:t>
            </w:r>
          </w:p>
        </w:tc>
      </w:tr>
      <w:tr>
        <w:trPr>
          <w:trHeight w:val="210"/>
        </w:trPr>
        <w:tc>
          <w:tcPr>
            <w:tcW w:w="9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569,395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105,538</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w:t>
            </w:r>
          </w:p>
        </w:tc>
        <w:tc>
          <w:tcPr>
            <w:tcW w:w="10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shd w:val="clear" w:color="auto" w:fill="CCEEFF"/>
          </w:tcPr>
          <w:p>
            <w:pPr>
              <w:spacing w:after="0"/>
              <w:rPr>
                <w:sz w:val="18"/>
                <w:szCs w:val="18"/>
                <w:color w:val="auto"/>
              </w:rPr>
            </w:pPr>
          </w:p>
        </w:tc>
      </w:tr>
      <w:tr>
        <w:trPr>
          <w:trHeight w:val="222"/>
        </w:trPr>
        <w:tc>
          <w:tcPr>
            <w:tcW w:w="96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780,382</w:t>
            </w:r>
          </w:p>
        </w:tc>
        <w:tc>
          <w:tcPr>
            <w:tcW w:w="10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$17,685 as of September 30, 2016. The Company has limited its credit risk by entering into derivative transactions exclusively with investment-grade rated financial institutions and monitors the creditworthiness of these financial institutions on an ongoing basis.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2016. Notional values are in U.S. dollars and are translated and calculated based on forward rates as of September 30, 2016 for forward contracts, and based on spot rates as of September 30, 2016 for options.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97"/>
              </w:rPr>
              <w:t>Notional Value*</w:t>
            </w:r>
          </w:p>
        </w:tc>
      </w:tr>
      <w:tr>
        <w:trPr>
          <w:trHeight w:val="210"/>
        </w:trPr>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1,302,260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as an asset or a liability by the Company on its consolidated balance sheets as of September 30, 2016 and September 30, 2015,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380" w:type="dxa"/>
            <w:vAlign w:val="bottom"/>
            <w:gridSpan w:val="3"/>
          </w:tcPr>
          <w:p>
            <w:pPr>
              <w:jc w:val="right"/>
              <w:ind w:right="300"/>
              <w:spacing w:after="0"/>
              <w:rPr>
                <w:sz w:val="20"/>
                <w:szCs w:val="20"/>
                <w:color w:val="auto"/>
              </w:rPr>
            </w:pPr>
            <w:r>
              <w:rPr>
                <w:rFonts w:ascii="Arial" w:cs="Arial" w:eastAsia="Arial" w:hAnsi="Arial"/>
                <w:sz w:val="18"/>
                <w:szCs w:val="18"/>
                <w:color w:val="auto"/>
              </w:rPr>
              <w:t>$12,780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3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380" w:type="dxa"/>
            <w:vAlign w:val="bottom"/>
            <w:gridSpan w:val="3"/>
          </w:tcPr>
          <w:p>
            <w:pPr>
              <w:jc w:val="right"/>
              <w:ind w:right="240"/>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(14,466)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380" w:type="dxa"/>
            <w:vAlign w:val="bottom"/>
            <w:gridSpan w:val="3"/>
          </w:tcPr>
          <w:p>
            <w:pPr>
              <w:jc w:val="right"/>
              <w:ind w:right="300"/>
              <w:spacing w:after="0"/>
              <w:rPr>
                <w:sz w:val="20"/>
                <w:szCs w:val="20"/>
                <w:color w:val="auto"/>
              </w:rPr>
            </w:pPr>
            <w:r>
              <w:rPr>
                <w:rFonts w:ascii="Arial" w:cs="Arial" w:eastAsia="Arial" w:hAnsi="Arial"/>
                <w:sz w:val="18"/>
                <w:szCs w:val="18"/>
                <w:color w:val="auto"/>
              </w:rPr>
              <w:t>3,516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3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2016 is scheduled to mature within the next 12 months.</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2016, 2015 and 2014, respectively, which partially offsets the foreign currency impact from the underlying exposures, is summarized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7"/>
          </w:tcPr>
          <w:p>
            <w:pPr>
              <w:jc w:val="center"/>
              <w:ind w:left="320"/>
              <w:spacing w:after="0"/>
              <w:rPr>
                <w:sz w:val="20"/>
                <w:szCs w:val="20"/>
                <w:color w:val="auto"/>
              </w:rPr>
            </w:pPr>
            <w:r>
              <w:rPr>
                <w:rFonts w:ascii="Arial" w:cs="Arial" w:eastAsia="Arial" w:hAnsi="Arial"/>
                <w:sz w:val="14"/>
                <w:szCs w:val="14"/>
                <w:b w:val="1"/>
                <w:bCs w:val="1"/>
                <w:color w:val="auto"/>
                <w:w w:val="84"/>
              </w:rPr>
              <w:t>(Losses) Gains Reclassified from</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7"/>
          </w:tcPr>
          <w:p>
            <w:pPr>
              <w:jc w:val="center"/>
              <w:ind w:left="280"/>
              <w:spacing w:after="0" w:line="149" w:lineRule="exact"/>
              <w:rPr>
                <w:sz w:val="20"/>
                <w:szCs w:val="20"/>
                <w:color w:val="auto"/>
              </w:rPr>
            </w:pPr>
            <w:r>
              <w:rPr>
                <w:rFonts w:ascii="Arial" w:cs="Arial" w:eastAsia="Arial" w:hAnsi="Arial"/>
                <w:sz w:val="14"/>
                <w:szCs w:val="14"/>
                <w:b w:val="1"/>
                <w:bCs w:val="1"/>
                <w:color w:val="auto"/>
                <w:w w:val="87"/>
              </w:rPr>
              <w:t>Other Comprehensive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(Loss) (Effective Portion)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2015</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(13,624)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(4,141)</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(20,242)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income (loss), net of tax,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Year Ended September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(12,152)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40" w:type="dxa"/>
            <w:vAlign w:val="bottom"/>
          </w:tcPr>
          <w:p>
            <w:pPr>
              <w:jc w:val="right"/>
              <w:spacing w:after="0"/>
              <w:rPr>
                <w:sz w:val="20"/>
                <w:szCs w:val="20"/>
                <w:color w:val="auto"/>
              </w:rPr>
            </w:pPr>
            <w:r>
              <w:rPr>
                <w:rFonts w:ascii="Arial" w:cs="Arial" w:eastAsia="Arial" w:hAnsi="Arial"/>
                <w:sz w:val="18"/>
                <w:szCs w:val="18"/>
                <w:color w:val="auto"/>
              </w:rPr>
              <w:t>20,911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(23,432)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(gains) into earnings, net of tax</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16,802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(19,380)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$ 12,514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(12,152)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income (loss) were $27,578, $(29,499) and $9,460, or $20,911, $(23,432) and $9,162, net of taxes, during the fiscal years ended September 30, 2016, 2015 and 2014, respectively.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income (loss) as of September 30, 2016, a net gain of $9,362 will be reclassified into earnings during fiscal 2017 and will partially offset the foreign currency impact from the underlying exposures. The amount ultimately realized in earnings will likely differ due to future changes in foreign exchange rates.</w:t>
      </w:r>
    </w:p>
    <w:p>
      <w:pPr>
        <w:spacing w:after="0" w:line="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2016, 2015 and 2014, was not material.</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ind w:left="460"/>
        <w:spacing w:after="0"/>
        <w:rPr>
          <w:sz w:val="20"/>
          <w:szCs w:val="20"/>
          <w:color w:val="auto"/>
        </w:rPr>
      </w:pPr>
      <w:r>
        <w:rPr>
          <w:rFonts w:ascii="Arial" w:cs="Arial" w:eastAsia="Arial" w:hAnsi="Arial"/>
          <w:sz w:val="15"/>
          <w:szCs w:val="15"/>
          <w:color w:val="auto"/>
        </w:rPr>
        <w:t>These instruments are generally short-term in nature, with typical maturities of less than 12 months, and are subject to fluctuations in foreign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2016, 2015 and 2014, respectively, which partially offsets the foreign currency impact from the underlying exposure, is summarized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3"/>
              </w:rPr>
              <w:t>Gains (Losses)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9"/>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86"/>
              </w:rPr>
              <w:t>Year Ended September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940" w:type="dxa"/>
            <w:vAlign w:val="bottom"/>
            <w:gridSpan w:val="4"/>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2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   (67)</w:t>
            </w:r>
          </w:p>
        </w:tc>
        <w:tc>
          <w:tcPr>
            <w:tcW w:w="1240" w:type="dxa"/>
            <w:vAlign w:val="bottom"/>
            <w:gridSpan w:val="6"/>
          </w:tcPr>
          <w:p>
            <w:pPr>
              <w:jc w:val="right"/>
              <w:ind w:right="180"/>
              <w:spacing w:after="0"/>
              <w:rPr>
                <w:sz w:val="20"/>
                <w:szCs w:val="20"/>
                <w:color w:val="auto"/>
              </w:rPr>
            </w:pPr>
            <w:r>
              <w:rPr>
                <w:rFonts w:ascii="Arial" w:cs="Arial" w:eastAsia="Arial" w:hAnsi="Arial"/>
                <w:sz w:val="18"/>
                <w:szCs w:val="18"/>
                <w:color w:val="auto"/>
              </w:rPr>
              <w:t>$   339</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3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(8,668)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(3,446)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(1,827)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Arial" w:cs="Arial" w:eastAsia="Arial" w:hAnsi="Arial"/>
                <w:sz w:val="18"/>
                <w:szCs w:val="18"/>
                <w:color w:val="auto"/>
              </w:rPr>
              <w:t>Interest and other income (expense), net</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(9,674)</w:t>
            </w:r>
          </w:p>
        </w:tc>
        <w:tc>
          <w:tcPr>
            <w:tcW w:w="1240" w:type="dxa"/>
            <w:vAlign w:val="bottom"/>
            <w:gridSpan w:val="6"/>
          </w:tcPr>
          <w:p>
            <w:pPr>
              <w:jc w:val="right"/>
              <w:ind w:right="180"/>
              <w:spacing w:after="0"/>
              <w:rPr>
                <w:sz w:val="20"/>
                <w:szCs w:val="20"/>
                <w:color w:val="auto"/>
              </w:rPr>
            </w:pPr>
            <w:r>
              <w:rPr>
                <w:rFonts w:ascii="Arial" w:cs="Arial" w:eastAsia="Arial" w:hAnsi="Arial"/>
                <w:sz w:val="18"/>
                <w:szCs w:val="18"/>
                <w:color w:val="auto"/>
              </w:rPr>
              <w:t>30,150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9,080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4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34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(7,786)</w:t>
            </w:r>
          </w:p>
        </w:tc>
        <w:tc>
          <w:tcPr>
            <w:tcW w:w="1240" w:type="dxa"/>
            <w:vAlign w:val="bottom"/>
            <w:gridSpan w:val="6"/>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20,986</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$ 5,056</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2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6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5"/>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2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$723,921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$668,424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134,122</w:t>
            </w:r>
          </w:p>
        </w:tc>
        <w:tc>
          <w:tcPr>
            <w:tcW w:w="18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28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(39,512)</w:t>
            </w: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(33,837)</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Accounts receivable, net</w:t>
            </w: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818,531</w:t>
            </w:r>
          </w:p>
        </w:tc>
        <w:tc>
          <w:tcPr>
            <w:tcW w:w="180" w:type="dxa"/>
            <w:vAlign w:val="bottom"/>
          </w:tcPr>
          <w:p>
            <w:pPr>
              <w:spacing w:after="0"/>
              <w:rPr>
                <w:sz w:val="19"/>
                <w:szCs w:val="19"/>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714,784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Equipment and Leasehold Improvements, Net</w:t>
            </w: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6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2"/>
          </w:tcPr>
          <w:p>
            <w:pPr>
              <w:ind w:left="460"/>
              <w:spacing w:after="0"/>
              <w:rPr>
                <w:sz w:val="20"/>
                <w:szCs w:val="20"/>
                <w:color w:val="auto"/>
              </w:rPr>
            </w:pPr>
            <w:r>
              <w:rPr>
                <w:rFonts w:ascii="Arial" w:cs="Arial" w:eastAsia="Arial" w:hAnsi="Arial"/>
                <w:sz w:val="18"/>
                <w:szCs w:val="18"/>
                <w:color w:val="auto"/>
                <w:w w:val="92"/>
              </w:rPr>
              <w:t>Components of equipment and leasehold improvements, net are:</w:t>
            </w: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8"/>
              </w:rPr>
              <w:t>As of September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4"/>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3400" w:type="dxa"/>
            <w:vAlign w:val="bottom"/>
            <w:tcBorders>
              <w:right w:val="single" w:sz="8" w:color="CCEEFF"/>
            </w:tcBorders>
            <w:gridSpan w:val="2"/>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$1,016,973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$ 1,132,152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206,195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201,765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28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52,372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60,904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1,275,540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1,394,821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(943,812)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9"/>
              </w:rPr>
              <w:t>(1,085,501)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331,728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5"/>
              </w:rPr>
              <w:t>$   309,320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60" w:type="dxa"/>
            <w:vAlign w:val="bottom"/>
            <w:gridSpan w:val="3"/>
          </w:tcPr>
          <w:p>
            <w:pPr>
              <w:jc w:val="right"/>
              <w:ind w:right="2762"/>
              <w:spacing w:after="0"/>
              <w:rPr>
                <w:sz w:val="20"/>
                <w:szCs w:val="20"/>
                <w:color w:val="auto"/>
              </w:rPr>
            </w:pPr>
            <w:r>
              <w:rPr>
                <w:rFonts w:ascii="Arial" w:cs="Arial" w:eastAsia="Arial" w:hAnsi="Arial"/>
                <w:sz w:val="18"/>
                <w:szCs w:val="18"/>
                <w:color w:val="auto"/>
              </w:rPr>
              <w:t>F-25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Total depreciation expense on equipment and leasehold improvements for fiscal years 2016, 2015 and 2014, was $113,717, $108,169 and $105,364, respectively.</w:t>
      </w:r>
    </w:p>
    <w:p>
      <w:pPr>
        <w:spacing w:after="0" w:line="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 of September 30, 2016 and 2015, the unamortized software assets developed for internal use were $104,346 and $85,957, respectively, and are presented under Computer equipment in the table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October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$ 1,925,225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Goodwill resulting from acquisitions(1)</w:t>
            </w:r>
          </w:p>
        </w:tc>
        <w:tc>
          <w:tcPr>
            <w:tcW w:w="840" w:type="dxa"/>
            <w:vAlign w:val="bottom"/>
          </w:tcPr>
          <w:p>
            <w:pPr>
              <w:jc w:val="right"/>
              <w:spacing w:after="0"/>
              <w:rPr>
                <w:sz w:val="20"/>
                <w:szCs w:val="20"/>
                <w:color w:val="auto"/>
              </w:rPr>
            </w:pPr>
            <w:r>
              <w:rPr>
                <w:rFonts w:ascii="Arial" w:cs="Arial" w:eastAsia="Arial" w:hAnsi="Arial"/>
                <w:sz w:val="18"/>
                <w:szCs w:val="18"/>
                <w:color w:val="auto"/>
              </w:rPr>
              <w:t>123,987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1"/>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As of September 30, 2015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resulting from acquisitions(2)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$ 2,211,639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8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Mainly relates to the acquisition of a substantial majority of the BSS assets of Comverse. In allocating the total purchase price of the acquired assets based on estimated fair values, the Company recorded $117,693 of goodwill, $97,000 of core technology to be amortized over a weighted average of approximately four years and $38,639 of customer relationships to be amortized over a weighted average of approximately five years.</w:t>
      </w:r>
    </w:p>
    <w:p>
      <w:pPr>
        <w:spacing w:after="0" w:line="1" w:lineRule="exact"/>
        <w:rPr>
          <w:rFonts w:ascii="Arial" w:cs="Arial" w:eastAsia="Arial" w:hAnsi="Arial"/>
          <w:sz w:val="16"/>
          <w:szCs w:val="16"/>
          <w:color w:val="auto"/>
        </w:rPr>
      </w:pPr>
    </w:p>
    <w:p>
      <w:pPr>
        <w:ind w:left="460" w:right="140" w:hanging="452"/>
        <w:spacing w:after="0" w:line="287"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Mainly relates to the acquisitions of Vindicia, Brite:Bill and Pontis. In allocating the total preliminary purchase price of Vindicia based on estimated fair values, the Company recorded $64,004 of goodwill, $20,091 of core technology to be amortized over approximately three years, $11,623 of customer relationships to be amortized over approximately five years and $1,103 of other intangible assets to be amortized over approximately two years. In allocating the total preliminary purchase price of Brite:Bill based on estimated fair values, the Company recorded $55,430 of goodwill, $20,917 of core technology to be amortized over approximately three years, $9,638 of customer relationships to be amortized over approximately seven years and $773 of other intangible assets to be amortized over approximately two years. In allocating the total preliminary purchase price of Pontis based on estimated fair values, the Company recorded $36,985 of goodwill, $24,361 of core technology to be amortized over approximately four years and $20,993 of customer relationships to be amortized over approximately six years.</w:t>
      </w:r>
    </w:p>
    <w:p>
      <w:pPr>
        <w:spacing w:after="0" w:line="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2016, 2015 or 2014.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Estimated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(in years)</w:t>
            </w:r>
          </w:p>
        </w:tc>
        <w:tc>
          <w:tcPr>
            <w:tcW w:w="8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Amortization</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2016</w:t>
            </w: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Core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604,673</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(451,169)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$153,504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491,639</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(370,658)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1,181,850</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(900,323)</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281,527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2015</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Core technology</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531,669</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(398,898)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$132,771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439,435</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(328,747)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1,054,766</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(802,249)</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96,465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65,017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55,799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98,074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66,626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57,408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2016 is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67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2017</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$109,520</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78,502</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2019</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52,593</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2021</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9,280</w:t>
            </w:r>
          </w:p>
        </w:tc>
        <w:tc>
          <w:tcPr>
            <w:tcW w:w="10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7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7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281,527</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980" w:type="dxa"/>
            <w:vAlign w:val="bottom"/>
          </w:tcPr>
          <w:p>
            <w:pPr>
              <w:spacing w:after="0"/>
              <w:rPr>
                <w:sz w:val="24"/>
                <w:szCs w:val="24"/>
                <w:color w:val="auto"/>
              </w:rPr>
            </w:pPr>
          </w:p>
        </w:tc>
        <w:tc>
          <w:tcPr>
            <w:tcW w:w="7520" w:type="dxa"/>
            <w:vAlign w:val="bottom"/>
            <w:gridSpan w:val="3"/>
          </w:tcPr>
          <w:p>
            <w:pPr>
              <w:ind w:left="210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6"/>
              </w:rPr>
              <w:t>Year Ended September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10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6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3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$77,682</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$ 94,128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Deferred</w:t>
            </w:r>
          </w:p>
        </w:tc>
        <w:tc>
          <w:tcPr>
            <w:tcW w:w="3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(2,315)</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(26,887)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(6,510)</w:t>
            </w:r>
          </w:p>
        </w:tc>
      </w:tr>
      <w:tr>
        <w:trPr>
          <w:trHeight w:val="27"/>
        </w:trPr>
        <w:tc>
          <w:tcPr>
            <w:tcW w:w="4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75,367</w:t>
            </w: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$ 67,241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67,428</w:t>
            </w:r>
          </w:p>
        </w:tc>
      </w:tr>
      <w:tr>
        <w:trPr>
          <w:trHeight w:val="20"/>
        </w:trPr>
        <w:tc>
          <w:tcPr>
            <w:tcW w:w="4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fiscal years 2016, 2015 and 2014, the Company recognized immaterial deferred income tax expense as a result of enacted changes in tax laws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57,361</w:t>
            </w:r>
          </w:p>
        </w:tc>
        <w:tc>
          <w:tcPr>
            <w:tcW w:w="3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69,680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80,312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Intangible assets, computer software and intellectual property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14,840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credits, net capital and operating loss carryforwards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168,641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114,709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68,073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389,227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343,027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Valuation allowances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(96,870)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(112,165)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292,357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230,862</w:t>
            </w:r>
          </w:p>
        </w:tc>
        <w:tc>
          <w:tcPr>
            <w:tcW w:w="0" w:type="dxa"/>
            <w:vAlign w:val="bottom"/>
          </w:tcPr>
          <w:p>
            <w:pPr>
              <w:spacing w:after="0"/>
              <w:rPr>
                <w:sz w:val="1"/>
                <w:szCs w:val="1"/>
                <w:color w:val="auto"/>
              </w:rPr>
            </w:pP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Anticipated withholdings on subsidiaries’ earnings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(66,628)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Intangible assets, computer software and intellectual property</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(146,848)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(118,650)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(26,228)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20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(239,704)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(197,310)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52,653</w:t>
            </w: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33,552</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11"/>
          </w:tcPr>
          <w:p>
            <w:pPr>
              <w:jc w:val="right"/>
              <w:ind w:right="700"/>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Foreign taxes(1)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5060"/>
              <w:spacing w:after="0"/>
              <w:rPr>
                <w:sz w:val="20"/>
                <w:szCs w:val="20"/>
                <w:color w:val="auto"/>
              </w:rPr>
            </w:pPr>
            <w:r>
              <w:rPr>
                <w:rFonts w:ascii="Arial" w:cs="Arial" w:eastAsia="Arial" w:hAnsi="Arial"/>
                <w:sz w:val="18"/>
                <w:szCs w:val="18"/>
                <w:color w:val="auto"/>
              </w:rPr>
              <w:t>F-28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943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4" w:lineRule="exact"/>
        <w:rPr>
          <w:sz w:val="20"/>
          <w:szCs w:val="20"/>
          <w:color w:val="auto"/>
        </w:rPr>
      </w:pPr>
    </w:p>
    <w:p>
      <w:pPr>
        <w:ind w:left="460" w:hanging="452"/>
        <w:spacing w:after="0" w:line="289"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fiscal year 2016, foreign taxes included a net benefit of $15,264 due to settlements and conclusions of tax audits in certain jurisdictions that resulted in a reduction to the Company’s provision for gross unrecognized tax benefits, partially offset by a decrease to the Company’s taxes receivable and deferred tax assets. Foreign taxes in fiscal year 2016 also included a decrease of $4,606 that was attributable to the expiration of statutes of limitations related to unrecognized tax benefits accumulated over several years in certain jurisdictions, which was partially offset by provisions for new uncertain tax positions of $23,597 recognized during fiscal year 2016. In addition, foreign taxes in fiscal year 2016 included a benefit of $19,963 as a result of a release of tax provision in light of a non-taxable internal capital gain recognized during fiscal year 2016. Foreign taxes in fiscal year 2016 included also a benefit of $15,651 resulting from the release of valuation allowances on deferred tax assets at several of the Company’s subsidiaries, which will, more likely than not, be realized due to the Company’s projections of future taxable income.</w:t>
      </w:r>
    </w:p>
    <w:p>
      <w:pPr>
        <w:spacing w:after="0" w:line="37" w:lineRule="exact"/>
        <w:rPr>
          <w:rFonts w:ascii="Arial" w:cs="Arial" w:eastAsia="Arial" w:hAnsi="Arial"/>
          <w:sz w:val="16"/>
          <w:szCs w:val="16"/>
          <w:color w:val="auto"/>
        </w:rPr>
      </w:pPr>
    </w:p>
    <w:p>
      <w:pPr>
        <w:ind w:left="460" w:right="120"/>
        <w:spacing w:after="0" w:line="314" w:lineRule="auto"/>
        <w:rPr>
          <w:rFonts w:ascii="Arial" w:cs="Arial" w:eastAsia="Arial" w:hAnsi="Arial"/>
          <w:sz w:val="16"/>
          <w:szCs w:val="16"/>
          <w:color w:val="auto"/>
        </w:rPr>
      </w:pPr>
      <w:r>
        <w:rPr>
          <w:rFonts w:ascii="Arial" w:cs="Arial" w:eastAsia="Arial" w:hAnsi="Arial"/>
          <w:sz w:val="15"/>
          <w:szCs w:val="15"/>
          <w:color w:val="auto"/>
        </w:rPr>
        <w:t>In fiscal year 2015, foreign taxes included a net benefit of $7,594 due to settlements of tax audits in certain jurisdictions that resulted in a reduction to the Company’s provision for gross unrecognized tax benefits, partially offset by an increase to the Company’s taxes payable. Foreign taxes in fiscal year 2015 also included a decrease of $17,232 that was attributable to the expiration of statutes of limitations related to unrecognized tax benefits accumulated over several years in certain jurisdictions, which was partially offset by a provision for a new uncertain tax position of $6,000 recognized during fiscal year 2015. In addition, foreign taxes in fiscal year 2015 included a net benefit of $22,895 resulting from the release of valuation allowances on deferred tax assets at several of the Company’s subsidiaries, which will, more likely than not, be realized due to the Company’s projections of future taxable income.</w:t>
      </w:r>
    </w:p>
    <w:p>
      <w:pPr>
        <w:spacing w:after="0" w:line="2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fiscal year 2016, the net decrease in valuation allowances was $15,295, which related to the uncertainty of realizing tax benefits primarily for tax credits, net capital and operating loss carryforwards related to certain of the Company’s subsidiaries. As of September 30, 2016, the Company had tax credits, net capital and operating loss carryforwards of $773,721, of which $214,538 have expiration dates through 2036, and the remainder do not expire.</w:t>
      </w:r>
    </w:p>
    <w:p>
      <w:pPr>
        <w:spacing w:after="0" w:line="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fiscal year 2015, the net decrease in valuation allowances was $16,042, which related to the uncertainty of realizing tax benefits primarily for tax credits, net capital and operating loss carryforwards related to certain of the Company’s subsidiaries. As of September 30, 2015, the Company had tax credits, net capital and operating loss carryforwards of $451,247, of which $98,912 have expiration dates through 2035, and the remainder do not expire.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3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$ 126,706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$ 123,942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$ 130,371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4580" w:type="dxa"/>
            <w:vAlign w:val="bottom"/>
            <w:gridSpan w:val="3"/>
          </w:tcPr>
          <w:p>
            <w:pPr>
              <w:jc w:val="right"/>
              <w:ind w:right="180"/>
              <w:spacing w:after="0"/>
              <w:rPr>
                <w:sz w:val="20"/>
                <w:szCs w:val="20"/>
                <w:color w:val="auto"/>
              </w:rPr>
            </w:pPr>
            <w:r>
              <w:rPr>
                <w:rFonts w:ascii="Arial" w:cs="Arial" w:eastAsia="Arial" w:hAnsi="Arial"/>
                <w:sz w:val="18"/>
                <w:szCs w:val="18"/>
                <w:color w:val="auto"/>
              </w:rPr>
              <w:t>65,009</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22,314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4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41,183</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7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4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(31,624)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(13,443)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7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(4,606)</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(17,232)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3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$ 196,668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$ 126,706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80" w:type="dxa"/>
            <w:vAlign w:val="bottom"/>
            <w:gridSpan w:val="3"/>
          </w:tcPr>
          <w:p>
            <w:pPr>
              <w:jc w:val="right"/>
              <w:ind w:right="3540"/>
              <w:spacing w:after="0"/>
              <w:rPr>
                <w:sz w:val="20"/>
                <w:szCs w:val="20"/>
                <w:color w:val="auto"/>
              </w:rPr>
            </w:pPr>
            <w:r>
              <w:rPr>
                <w:rFonts w:ascii="Arial" w:cs="Arial" w:eastAsia="Arial" w:hAnsi="Arial"/>
                <w:sz w:val="18"/>
                <w:szCs w:val="18"/>
                <w:color w:val="auto"/>
              </w:rPr>
              <w:t>F-29</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total amount of unrecognized tax benefits, which includes interest and penalties, was $196,668 as of September 30, 2016, and $126,706 as of September 30, 2015, all of which would affect the effective tax rate if realized.</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September 30, 2016, the Company had accrued $31,138 in income taxes payable for interest and penalties relating to unrecognized tax benefits, of which $8,919 was recognized in the statements of income in fiscal year 2016. As of September 30, 2015, the Company had accrued $22,219 in income taxes payable for interest and penalties relating to unrecognized tax benefits, of which $1,364 was recognized in the statements of income in fiscal year 2015.</w:t>
      </w:r>
    </w:p>
    <w:p>
      <w:pPr>
        <w:spacing w:after="0" w:line="32" w:lineRule="exact"/>
        <w:rPr>
          <w:sz w:val="20"/>
          <w:szCs w:val="20"/>
          <w:color w:val="auto"/>
        </w:rPr>
      </w:pPr>
    </w:p>
    <w:p>
      <w:pPr>
        <w:jc w:val="both"/>
        <w:ind w:right="20" w:firstLine="456"/>
        <w:spacing w:after="0" w:line="357" w:lineRule="auto"/>
        <w:rPr>
          <w:sz w:val="20"/>
          <w:szCs w:val="20"/>
          <w:color w:val="auto"/>
        </w:rPr>
      </w:pPr>
      <w:r>
        <w:rPr>
          <w:rFonts w:ascii="Arial" w:cs="Arial" w:eastAsia="Arial" w:hAnsi="Arial"/>
          <w:sz w:val="15"/>
          <w:szCs w:val="15"/>
          <w:color w:val="auto"/>
        </w:rPr>
        <w:t>The Company is currently under audit in several jurisdictions for the tax years 2007 and onwards. Timing of the resolution of audits is highly uncertain and therefore, as of September 30, 2016, the Company cannot estimate the change in unrecognized tax benefits resulting from these audits within the next 12 months.</w:t>
      </w:r>
    </w:p>
    <w:p>
      <w:pPr>
        <w:ind w:right="620" w:firstLine="456"/>
        <w:spacing w:after="0" w:line="268" w:lineRule="auto"/>
        <w:rPr>
          <w:sz w:val="20"/>
          <w:szCs w:val="20"/>
          <w:color w:val="auto"/>
        </w:rPr>
      </w:pPr>
      <w:r>
        <w:rPr>
          <w:rFonts w:ascii="Arial" w:cs="Arial" w:eastAsia="Arial" w:hAnsi="Arial"/>
          <w:sz w:val="18"/>
          <w:szCs w:val="18"/>
          <w:color w:val="auto"/>
        </w:rPr>
        <w:t>It is reasonably possible that the amount of unrecognized tax benefits may decrease by $28,066 during fiscal 2017 as a result of lapse of statutes of limitations in jurisdictions in which the Company operates.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Repurchase of Shares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From time to time, the Company’s Board of Directors has adopted share repurchase plans authorizing the repurchase of the Company’s outstanding ordinary shares. The Company’s Board of Directors adopted a share repurchase plan on April 30, 2014, for the repurchase of up to $750,000 of the Company’s outstanding ordinary shares and on February 2, 2016, adopted another share repurchase plan for the repurchase of up to an additional $750,000 of its outstanding ordinary shares. The authorizations have no expiration date and permit the Company to purchase its ordinary shares in open market or privately negotiated transactions at times and prices that it considers appropriate. In May 2016, the Company completed the repurchase of the remaining authorized amount under the April 2014 share repurchase plan and began executing repurchases under the February 2016 plan. In fiscal year 2016, the Company repurchased approximately 7,236 ordinary shares at an average price of $57.12 per share (excluding broker and transaction fees). As of September 30, 2016, the Company had remaining authority to repurchase up to $596,774 of its outstanding ordinary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Financing Arrangements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As of September 30, 2016, the Company was in compliance with the financial covenants under the revolving credit facility. In September 2016, the Company borrowed an aggregate of $200,000 under the facility and repaid it in October 2016. In September 2015, the Company borrowed an aggregate of $220,000 under the facility and repaid it in October 2015.</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2016, the Company had additional uncommitted lines of credit available for general corporate and other specific purposes and had outstanding letters of credit and bank guarantees from various banks totaling $62,856. These were supported by a combination of the uncommitted lines of credit that the Company maintains with various banks.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Project-related provisions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$208,357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$201,719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680" w:type="dxa"/>
            <w:vAlign w:val="bottom"/>
          </w:tcPr>
          <w:p>
            <w:pPr>
              <w:jc w:val="right"/>
              <w:spacing w:after="0"/>
              <w:rPr>
                <w:sz w:val="20"/>
                <w:szCs w:val="20"/>
                <w:color w:val="auto"/>
              </w:rPr>
            </w:pPr>
            <w:r>
              <w:rPr>
                <w:rFonts w:ascii="Arial" w:cs="Arial" w:eastAsia="Arial" w:hAnsi="Arial"/>
                <w:sz w:val="18"/>
                <w:szCs w:val="18"/>
                <w:color w:val="auto"/>
              </w:rPr>
              <w:t>38,430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68,448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Derivative instruments(2)</w:t>
            </w:r>
          </w:p>
        </w:tc>
        <w:tc>
          <w:tcPr>
            <w:tcW w:w="680" w:type="dxa"/>
            <w:vAlign w:val="bottom"/>
          </w:tcPr>
          <w:p>
            <w:pPr>
              <w:jc w:val="right"/>
              <w:spacing w:after="0"/>
              <w:rPr>
                <w:sz w:val="20"/>
                <w:szCs w:val="20"/>
                <w:color w:val="auto"/>
              </w:rPr>
            </w:pPr>
            <w:r>
              <w:rPr>
                <w:rFonts w:ascii="Arial" w:cs="Arial" w:eastAsia="Arial" w:hAnsi="Arial"/>
                <w:sz w:val="18"/>
                <w:szCs w:val="18"/>
                <w:color w:val="auto"/>
              </w:rPr>
              <w:t>4,407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17,779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331,818</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295,184</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$ 611,705</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608,827</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40" w:hanging="452"/>
        <w:spacing w:after="0" w:line="25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payable as a result of the July 26, 2016 and the July 29, 2015 dividend declarations. Please see Note 18 to the consolidated financial statements.</w:t>
      </w:r>
    </w:p>
    <w:p>
      <w:pPr>
        <w:ind w:left="460" w:right="28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Please see Note 6 to the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Interest and other income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income (expense), net,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September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8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$ 4,615</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(1,667)</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(3,142)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(3,483)</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(1,998)</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(8,130)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(3,447)</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tcPr>
          <w:p>
            <w:pPr>
              <w:jc w:val="right"/>
              <w:ind w:right="152"/>
              <w:spacing w:after="0"/>
              <w:rPr>
                <w:sz w:val="20"/>
                <w:szCs w:val="20"/>
                <w:color w:val="auto"/>
              </w:rPr>
            </w:pPr>
            <w:r>
              <w:rPr>
                <w:rFonts w:ascii="Arial" w:cs="Arial" w:eastAsia="Arial" w:hAnsi="Arial"/>
                <w:sz w:val="18"/>
                <w:szCs w:val="18"/>
                <w:color w:val="auto"/>
              </w:rPr>
              <w:t>(1,593)</w:t>
            </w: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4,113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(3,243)</w:t>
            </w:r>
          </w:p>
        </w:tc>
      </w:tr>
      <w:tr>
        <w:trPr>
          <w:trHeight w:val="27"/>
        </w:trPr>
        <w:tc>
          <w:tcPr>
            <w:tcW w:w="7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$ 1,557</w:t>
            </w:r>
          </w:p>
        </w:tc>
        <w:tc>
          <w:tcPr>
            <w:tcW w:w="2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(2,544)</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(6,098)</w:t>
            </w:r>
          </w:p>
        </w:tc>
      </w:tr>
      <w:tr>
        <w:trPr>
          <w:trHeight w:val="20"/>
        </w:trPr>
        <w:tc>
          <w:tcPr>
            <w:tcW w:w="7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Contingencies and Commitments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2016 are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2018</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2020</w:t>
            </w:r>
          </w:p>
        </w:tc>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7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277,122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740" w:type="dxa"/>
            <w:vAlign w:val="bottom"/>
            <w:gridSpan w:val="2"/>
          </w:tcPr>
          <w:p>
            <w:pPr>
              <w:jc w:val="right"/>
              <w:ind w:right="4400"/>
              <w:spacing w:after="0"/>
              <w:rPr>
                <w:sz w:val="20"/>
                <w:szCs w:val="20"/>
                <w:color w:val="auto"/>
              </w:rPr>
            </w:pPr>
            <w:r>
              <w:rPr>
                <w:rFonts w:ascii="Arial" w:cs="Arial" w:eastAsia="Arial" w:hAnsi="Arial"/>
                <w:sz w:val="18"/>
                <w:szCs w:val="18"/>
                <w:color w:val="auto"/>
              </w:rPr>
              <w:t>F-31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Rent expense net of sublease income was approximately $53,164, $47,032 and $45,032 for fiscal years 2016, 2015 and 2014, respectively. The Company had no committed future sublease income as of September 30, 2016.</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currently defending a lawsuit against certain of its subsidiaries in Oregon District Court alleging breach of contract and trade secret misappropriation. According to the suit, the Company improperly utilized information received from the plaintiff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the suit above.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5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years 2016, 2015 and 2014.</w:t>
      </w:r>
    </w:p>
    <w:p>
      <w:pPr>
        <w:spacing w:after="0" w:line="2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Employee Benefits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$240,414 and $216,946 as of September 30, 2016 and 2015, respectively, and is included as accrued employee costs in other noncurrent liabilities. This liability is partially funded by amounts on deposit with insurance companies that totaled $185,836 and $170,816 as of September 30, 2016 and 2015, respectively, and are included in other noncurrent assets. The accrued severance expenses were $34,165, $31,086 and $27,490 for fiscal years 2016, 2015 and 2014, respectively.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2016, 2015 and 2014 under such plans were not material compared to total operating expenses.</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2016, 2015 and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 Option and Incentive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The purpose of the Equity Incentive Plan is to enable the Company to attract and retain qualified personnel and to motivate such persons by providing them with an equity participation in the Company. Since its adoption, the Equity Incentive Plan has been amended on several occasions to, among other things, increase the number of ordinary shares issuable under the Equity Incentive Plan and extend its term. The maximum number of ordinary shares currently authorized to be granted under the Equity Incentive Plan is 62,300. Awards granted under the Equity Incentive Plan generally vest over a period of four years and stock options have a term of ten years.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w:t>
      </w:r>
      <w:r>
        <w:rPr>
          <w:rFonts w:ascii="Arial" w:cs="Arial" w:eastAsia="Arial" w:hAnsi="Arial"/>
          <w:sz w:val="16"/>
          <w:szCs w:val="16"/>
          <w:b w:val="1"/>
          <w:bCs w:val="1"/>
          <w:color w:val="auto"/>
        </w:rPr>
        <w:t>’</w:t>
      </w:r>
      <w:r>
        <w:rPr>
          <w:rFonts w:ascii="Arial" w:cs="Arial" w:eastAsia="Arial" w:hAnsi="Arial"/>
          <w:sz w:val="16"/>
          <w:szCs w:val="16"/>
          <w:color w:val="auto"/>
        </w:rPr>
        <w:t>s ordinary shares, as well as changes during the fiscal year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1,898</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(453)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2016(1)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as of September 30, 2016(1)</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5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September 30, 2016, the weighted average remaining contractual life of outstanding and exercisable options was 7.33 and 5.63 years, respectively.</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 2016:</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658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2016</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fiscal years 2016, 2015 and 2014 was $65,292, $51,812 and $62,640,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restricted shares vested during fiscal years 2016, 2015 and 2014 was $39,490, $39,734 and $26,737,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2016 was $104,117 and $60,135,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years ended September 30, 2016, 2015 and 2014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$18,249</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$15,621</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3,742</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3,400</w:t>
            </w:r>
          </w:p>
        </w:tc>
        <w:tc>
          <w:tcPr>
            <w:tcW w:w="58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42,700</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44,560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44,578</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recognized in the consolidated statements of income for stock-based compensation (including restricted shares) for fiscal years 2016, 2015 and 2014 was $4,503, $5,490 and $5,295, respectively.</w:t>
      </w:r>
    </w:p>
    <w:p>
      <w:pPr>
        <w:spacing w:after="0" w:line="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September 30, 2016, there was $38,352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5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2015</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rate(1)</w:t>
            </w:r>
          </w:p>
        </w:tc>
        <w:tc>
          <w:tcPr>
            <w:tcW w:w="3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4440" w:type="dxa"/>
            <w:vAlign w:val="bottom"/>
            <w:gridSpan w:val="3"/>
          </w:tcPr>
          <w:p>
            <w:pPr>
              <w:jc w:val="right"/>
              <w:ind w:right="160"/>
              <w:spacing w:after="0"/>
              <w:rPr>
                <w:sz w:val="20"/>
                <w:szCs w:val="20"/>
                <w:color w:val="auto"/>
              </w:rPr>
            </w:pPr>
            <w:r>
              <w:rPr>
                <w:rFonts w:ascii="Arial" w:cs="Arial" w:eastAsia="Arial" w:hAnsi="Arial"/>
                <w:sz w:val="18"/>
                <w:szCs w:val="18"/>
                <w:color w:val="auto"/>
              </w:rPr>
              <w:t>4.50</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4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6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4440" w:type="dxa"/>
            <w:vAlign w:val="bottom"/>
            <w:gridSpan w:val="3"/>
          </w:tcPr>
          <w:p>
            <w:pPr>
              <w:jc w:val="right"/>
              <w:ind w:right="20"/>
              <w:spacing w:after="0"/>
              <w:rPr>
                <w:sz w:val="20"/>
                <w:szCs w:val="20"/>
                <w:color w:val="auto"/>
              </w:rPr>
            </w:pPr>
            <w:r>
              <w:rPr>
                <w:rFonts w:ascii="Arial" w:cs="Arial" w:eastAsia="Arial" w:hAnsi="Arial"/>
                <w:sz w:val="18"/>
                <w:szCs w:val="18"/>
                <w:color w:val="auto"/>
              </w:rPr>
              <w:t>1.40%</w:t>
            </w:r>
          </w:p>
        </w:tc>
        <w:tc>
          <w:tcPr>
            <w:tcW w:w="1660" w:type="dxa"/>
            <w:vAlign w:val="bottom"/>
            <w:gridSpan w:val="3"/>
          </w:tcPr>
          <w:p>
            <w:pPr>
              <w:jc w:val="right"/>
              <w:ind w:right="520"/>
              <w:spacing w:after="0"/>
              <w:rPr>
                <w:sz w:val="20"/>
                <w:szCs w:val="20"/>
                <w:color w:val="auto"/>
              </w:rPr>
            </w:pPr>
            <w:r>
              <w:rPr>
                <w:rFonts w:ascii="Arial" w:cs="Arial" w:eastAsia="Arial" w:hAnsi="Arial"/>
                <w:sz w:val="18"/>
                <w:szCs w:val="18"/>
                <w:color w:val="auto"/>
              </w:rPr>
              <w:t>1.37%</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$5.97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8"/>
                <w:szCs w:val="18"/>
                <w:color w:val="auto"/>
              </w:rPr>
            </w:pPr>
          </w:p>
        </w:tc>
      </w:tr>
      <w:tr>
        <w:trPr>
          <w:trHeight w:val="363"/>
        </w:trPr>
        <w:tc>
          <w:tcPr>
            <w:tcW w:w="3700" w:type="dxa"/>
            <w:vAlign w:val="bottom"/>
          </w:tcPr>
          <w:p>
            <w:pPr>
              <w:spacing w:after="0"/>
              <w:rPr>
                <w:sz w:val="24"/>
                <w:szCs w:val="24"/>
                <w:color w:val="auto"/>
              </w:rPr>
            </w:pPr>
          </w:p>
        </w:tc>
        <w:tc>
          <w:tcPr>
            <w:tcW w:w="4440" w:type="dxa"/>
            <w:vAlign w:val="bottom"/>
            <w:gridSpan w:val="3"/>
          </w:tcPr>
          <w:p>
            <w:pPr>
              <w:jc w:val="right"/>
              <w:ind w:right="2720"/>
              <w:spacing w:after="0"/>
              <w:rPr>
                <w:sz w:val="20"/>
                <w:szCs w:val="20"/>
                <w:color w:val="auto"/>
              </w:rPr>
            </w:pPr>
            <w:r>
              <w:rPr>
                <w:rFonts w:ascii="Arial" w:cs="Arial" w:eastAsia="Arial" w:hAnsi="Arial"/>
                <w:sz w:val="18"/>
                <w:szCs w:val="18"/>
                <w:color w:val="auto"/>
              </w:rPr>
              <w:t>F-34</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9436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Please see Note 2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fiscal years ended September 30, 2016, 2015 and 2014: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060" w:type="dxa"/>
            <w:vAlign w:val="bottom"/>
            <w:gridSpan w:val="2"/>
          </w:tcPr>
          <w:p>
            <w:pPr>
              <w:ind w:left="1860"/>
              <w:spacing w:after="0"/>
              <w:rPr>
                <w:sz w:val="20"/>
                <w:szCs w:val="20"/>
                <w:color w:val="auto"/>
              </w:rPr>
            </w:pPr>
            <w:r>
              <w:rPr>
                <w:rFonts w:ascii="Arial" w:cs="Arial" w:eastAsia="Arial" w:hAnsi="Arial"/>
                <w:sz w:val="14"/>
                <w:szCs w:val="14"/>
                <w:b w:val="1"/>
                <w:bCs w:val="1"/>
                <w:color w:val="auto"/>
              </w:rPr>
              <w:t>Dividends Per</w:t>
            </w:r>
          </w:p>
        </w:tc>
        <w:tc>
          <w:tcPr>
            <w:tcW w:w="2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3060" w:type="dxa"/>
            <w:vAlign w:val="bottom"/>
            <w:tcBorders>
              <w:bottom w:val="single" w:sz="8" w:color="auto"/>
            </w:tcBorders>
            <w:gridSpan w:val="2"/>
          </w:tcPr>
          <w:p>
            <w:pPr>
              <w:ind w:left="1800"/>
              <w:spacing w:after="0"/>
              <w:rPr>
                <w:sz w:val="20"/>
                <w:szCs w:val="20"/>
                <w:color w:val="auto"/>
              </w:rPr>
            </w:pPr>
            <w:r>
              <w:rPr>
                <w:rFonts w:ascii="Arial" w:cs="Arial" w:eastAsia="Arial" w:hAnsi="Arial"/>
                <w:sz w:val="14"/>
                <w:szCs w:val="14"/>
                <w:b w:val="1"/>
                <w:bCs w:val="1"/>
                <w:color w:val="auto"/>
              </w:rPr>
              <w:t>Ordinary Share</w:t>
            </w:r>
          </w:p>
        </w:tc>
        <w:tc>
          <w:tcPr>
            <w:tcW w:w="2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Record Date</w:t>
            </w:r>
          </w:p>
        </w:tc>
        <w:tc>
          <w:tcPr>
            <w:tcW w:w="146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 Amount</w:t>
            </w: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Payment Date</w:t>
            </w:r>
          </w:p>
        </w:tc>
      </w:tr>
      <w:tr>
        <w:trPr>
          <w:trHeight w:val="221"/>
        </w:trPr>
        <w:tc>
          <w:tcPr>
            <w:tcW w:w="3220" w:type="dxa"/>
            <w:vAlign w:val="bottom"/>
          </w:tcPr>
          <w:p>
            <w:pPr>
              <w:spacing w:after="0"/>
              <w:rPr>
                <w:sz w:val="20"/>
                <w:szCs w:val="20"/>
                <w:color w:val="auto"/>
              </w:rPr>
            </w:pPr>
            <w:r>
              <w:rPr>
                <w:rFonts w:ascii="Arial" w:cs="Arial" w:eastAsia="Arial" w:hAnsi="Arial"/>
                <w:sz w:val="18"/>
                <w:szCs w:val="18"/>
                <w:color w:val="auto"/>
              </w:rPr>
              <w:t>July 26, 2016</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0.195</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2016</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28,693</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21, 2016</w:t>
            </w:r>
          </w:p>
        </w:tc>
      </w:tr>
      <w:tr>
        <w:trPr>
          <w:trHeight w:val="21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May 4, 2016</w:t>
            </w:r>
          </w:p>
        </w:tc>
        <w:tc>
          <w:tcPr>
            <w:tcW w:w="21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0.195</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2016</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28,836</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15, 2016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February 2, 2016</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0.195</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31, 2016</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29,206</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15, 2016</w:t>
            </w:r>
          </w:p>
        </w:tc>
      </w:tr>
      <w:tr>
        <w:trPr>
          <w:trHeight w:val="216"/>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10, 2015</w:t>
            </w:r>
          </w:p>
        </w:tc>
        <w:tc>
          <w:tcPr>
            <w:tcW w:w="212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2015</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25,565</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15, 2016</w:t>
            </w:r>
          </w:p>
        </w:tc>
      </w:tr>
      <w:tr>
        <w:trPr>
          <w:trHeight w:val="329"/>
        </w:trPr>
        <w:tc>
          <w:tcPr>
            <w:tcW w:w="3220" w:type="dxa"/>
            <w:vAlign w:val="bottom"/>
          </w:tcPr>
          <w:p>
            <w:pPr>
              <w:spacing w:after="0"/>
              <w:rPr>
                <w:sz w:val="20"/>
                <w:szCs w:val="20"/>
                <w:color w:val="auto"/>
              </w:rPr>
            </w:pPr>
            <w:r>
              <w:rPr>
                <w:rFonts w:ascii="Arial" w:cs="Arial" w:eastAsia="Arial" w:hAnsi="Arial"/>
                <w:sz w:val="18"/>
                <w:szCs w:val="18"/>
                <w:color w:val="auto"/>
              </w:rPr>
              <w:t>July 29, 2015</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2015</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25,697</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16, 2015</w:t>
            </w:r>
          </w:p>
        </w:tc>
      </w:tr>
      <w:tr>
        <w:trPr>
          <w:trHeight w:val="21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April 29, 2015</w:t>
            </w:r>
          </w:p>
        </w:tc>
        <w:tc>
          <w:tcPr>
            <w:tcW w:w="21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2015</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26,127</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17, 2015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January 27, 2015</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0.170</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31, 2015</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26,286</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16, 2015</w:t>
            </w:r>
          </w:p>
        </w:tc>
      </w:tr>
      <w:tr>
        <w:trPr>
          <w:trHeight w:val="216"/>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4, 2014</w:t>
            </w:r>
          </w:p>
        </w:tc>
        <w:tc>
          <w:tcPr>
            <w:tcW w:w="212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2014</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24,086</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16, 2015</w:t>
            </w:r>
          </w:p>
        </w:tc>
      </w:tr>
      <w:tr>
        <w:trPr>
          <w:trHeight w:val="329"/>
        </w:trPr>
        <w:tc>
          <w:tcPr>
            <w:tcW w:w="3220" w:type="dxa"/>
            <w:vAlign w:val="bottom"/>
          </w:tcPr>
          <w:p>
            <w:pPr>
              <w:spacing w:after="0"/>
              <w:rPr>
                <w:sz w:val="20"/>
                <w:szCs w:val="20"/>
                <w:color w:val="auto"/>
              </w:rPr>
            </w:pPr>
            <w:r>
              <w:rPr>
                <w:rFonts w:ascii="Arial" w:cs="Arial" w:eastAsia="Arial" w:hAnsi="Arial"/>
                <w:sz w:val="18"/>
                <w:szCs w:val="18"/>
                <w:color w:val="auto"/>
              </w:rPr>
              <w:t>July 29, 2014</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Pr>
          <w:p>
            <w:pPr>
              <w:ind w:left="340"/>
              <w:spacing w:after="0"/>
              <w:rPr>
                <w:sz w:val="20"/>
                <w:szCs w:val="20"/>
                <w:color w:val="auto"/>
              </w:rPr>
            </w:pPr>
            <w:r>
              <w:rPr>
                <w:rFonts w:ascii="Arial" w:cs="Arial" w:eastAsia="Arial" w:hAnsi="Arial"/>
                <w:sz w:val="18"/>
                <w:szCs w:val="18"/>
                <w:color w:val="auto"/>
              </w:rPr>
              <w:t>September 30, 2014</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24,291</w:t>
            </w:r>
          </w:p>
        </w:tc>
        <w:tc>
          <w:tcPr>
            <w:tcW w:w="1620" w:type="dxa"/>
            <w:vAlign w:val="bottom"/>
          </w:tcPr>
          <w:p>
            <w:pPr>
              <w:ind w:left="340"/>
              <w:spacing w:after="0"/>
              <w:rPr>
                <w:sz w:val="20"/>
                <w:szCs w:val="20"/>
                <w:color w:val="auto"/>
              </w:rPr>
            </w:pPr>
            <w:r>
              <w:rPr>
                <w:rFonts w:ascii="Arial" w:cs="Arial" w:eastAsia="Arial" w:hAnsi="Arial"/>
                <w:sz w:val="18"/>
                <w:szCs w:val="18"/>
                <w:color w:val="auto"/>
                <w:w w:val="90"/>
              </w:rPr>
              <w:t>October 17, 2014</w:t>
            </w:r>
          </w:p>
        </w:tc>
      </w:tr>
      <w:tr>
        <w:trPr>
          <w:trHeight w:val="21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April 30, 2014</w:t>
            </w:r>
          </w:p>
        </w:tc>
        <w:tc>
          <w:tcPr>
            <w:tcW w:w="21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2014</w:t>
            </w:r>
          </w:p>
        </w:tc>
        <w:tc>
          <w:tcPr>
            <w:tcW w:w="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24,576</w:t>
            </w:r>
          </w:p>
        </w:tc>
        <w:tc>
          <w:tcPr>
            <w:tcW w:w="1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18, 2014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January 29, 2014</w:t>
            </w:r>
          </w:p>
        </w:tc>
        <w:tc>
          <w:tcPr>
            <w:tcW w:w="2120" w:type="dxa"/>
            <w:vAlign w:val="bottom"/>
          </w:tcPr>
          <w:p>
            <w:pPr>
              <w:ind w:left="18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0.155</w:t>
            </w:r>
          </w:p>
        </w:tc>
        <w:tc>
          <w:tcPr>
            <w:tcW w:w="2060" w:type="dxa"/>
            <w:vAlign w:val="bottom"/>
          </w:tcPr>
          <w:p>
            <w:pPr>
              <w:ind w:left="340"/>
              <w:spacing w:after="0"/>
              <w:rPr>
                <w:sz w:val="20"/>
                <w:szCs w:val="20"/>
                <w:color w:val="auto"/>
              </w:rPr>
            </w:pPr>
            <w:r>
              <w:rPr>
                <w:rFonts w:ascii="Arial" w:cs="Arial" w:eastAsia="Arial" w:hAnsi="Arial"/>
                <w:sz w:val="18"/>
                <w:szCs w:val="18"/>
                <w:color w:val="auto"/>
              </w:rPr>
              <w:t>March 31, 2014</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2"/>
              <w:spacing w:after="0"/>
              <w:rPr>
                <w:sz w:val="20"/>
                <w:szCs w:val="20"/>
                <w:color w:val="auto"/>
              </w:rPr>
            </w:pPr>
            <w:r>
              <w:rPr>
                <w:rFonts w:ascii="Arial" w:cs="Arial" w:eastAsia="Arial" w:hAnsi="Arial"/>
                <w:sz w:val="18"/>
                <w:szCs w:val="18"/>
                <w:color w:val="auto"/>
              </w:rPr>
              <w:t>24,799</w:t>
            </w:r>
          </w:p>
        </w:tc>
        <w:tc>
          <w:tcPr>
            <w:tcW w:w="1620" w:type="dxa"/>
            <w:vAlign w:val="bottom"/>
          </w:tcPr>
          <w:p>
            <w:pPr>
              <w:ind w:left="340"/>
              <w:spacing w:after="0"/>
              <w:rPr>
                <w:sz w:val="20"/>
                <w:szCs w:val="20"/>
                <w:color w:val="auto"/>
              </w:rPr>
            </w:pPr>
            <w:r>
              <w:rPr>
                <w:rFonts w:ascii="Arial" w:cs="Arial" w:eastAsia="Arial" w:hAnsi="Arial"/>
                <w:sz w:val="18"/>
                <w:szCs w:val="18"/>
                <w:color w:val="auto"/>
              </w:rPr>
              <w:t>April 17, 2014</w:t>
            </w:r>
          </w:p>
        </w:tc>
      </w:tr>
      <w:tr>
        <w:trPr>
          <w:trHeight w:val="216"/>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5, 2013</w:t>
            </w:r>
          </w:p>
        </w:tc>
        <w:tc>
          <w:tcPr>
            <w:tcW w:w="212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0.130</w:t>
            </w:r>
          </w:p>
        </w:tc>
        <w:tc>
          <w:tcPr>
            <w:tcW w:w="20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2013</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20,752</w:t>
            </w:r>
          </w:p>
        </w:tc>
        <w:tc>
          <w:tcPr>
            <w:tcW w:w="1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January 17, 2014</w:t>
            </w:r>
          </w:p>
        </w:tc>
      </w:tr>
    </w:tbl>
    <w:p>
      <w:pPr>
        <w:spacing w:after="0" w:line="8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amounts payable as a result of the July 26, 2016, July 29, 2015 and July 29, 2014 declarations were included in accrued expenses and other current liabilities as of September 30, 2016, 2015 and 2014, respectively.</w:t>
      </w:r>
    </w:p>
    <w:p>
      <w:pPr>
        <w:spacing w:after="0" w:line="51"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On November 8, 2016, the Company’s Board of Directors approved the next quarterly dividend payment, at the rate of $0.195 per share, and set December 30, 2016 as the record date for determining the shareholders entitled to receive the dividend, which is payable on January 13, 2017.</w:t>
      </w:r>
    </w:p>
    <w:p>
      <w:pPr>
        <w:spacing w:after="0" w:line="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November 8, 2016, the Company’s Board of Directors also approved, subject to shareholder approval at the January 2017 annual general meeting of shareholders, an increase in the quarterly cash dividend to $0.22 per share, anticipated to be paid in April 2017.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409,331</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446,163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422,122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(3,592)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2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405,739</w:t>
            </w: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441,566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417,285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87"/>
              </w:rPr>
              <w:t>(2,569)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(3,485)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405,774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441,620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417,340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149,168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154,423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159,012</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Less-weighted average number of participating restricted shares</w:t>
            </w:r>
          </w:p>
        </w:tc>
        <w:tc>
          <w:tcPr>
            <w:tcW w:w="8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87"/>
              </w:rPr>
              <w:t>(1,309)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147,859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152,832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20"/>
              <w:spacing w:after="0"/>
              <w:rPr>
                <w:sz w:val="20"/>
                <w:szCs w:val="20"/>
                <w:color w:val="auto"/>
              </w:rPr>
            </w:pPr>
            <w:r>
              <w:rPr>
                <w:rFonts w:ascii="Arial" w:cs="Arial" w:eastAsia="Arial" w:hAnsi="Arial"/>
                <w:sz w:val="18"/>
                <w:szCs w:val="18"/>
                <w:color w:val="auto"/>
              </w:rPr>
              <w:t>Effect of assumed conversion of 0.5% convertible notes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tcPr>
          <w:p>
            <w:pPr>
              <w:ind w:left="22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149,866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155,218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159,544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fiscal years ended September 30, 2016, 2015 and 2014, 1,785, 724 and 1,064 shares, respectively, on a weighted average basis, were attributable to antidilutive outstanding stock options and therefore were not included in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 and Sales to Significant Customers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ind w:right="22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Revenue</w:t>
            </w:r>
          </w:p>
        </w:tc>
        <w:tc>
          <w:tcPr>
            <w:tcW w:w="4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2980" w:type="dxa"/>
            <w:vAlign w:val="bottom"/>
            <w:gridSpan w:val="3"/>
          </w:tcPr>
          <w:p>
            <w:pPr>
              <w:jc w:val="right"/>
              <w:ind w:right="80"/>
              <w:spacing w:after="0"/>
              <w:rPr>
                <w:sz w:val="20"/>
                <w:szCs w:val="20"/>
                <w:color w:val="auto"/>
              </w:rPr>
            </w:pPr>
            <w:r>
              <w:rPr>
                <w:rFonts w:ascii="Arial" w:cs="Arial" w:eastAsia="Arial" w:hAnsi="Arial"/>
                <w:sz w:val="18"/>
                <w:szCs w:val="18"/>
                <w:color w:val="auto"/>
              </w:rPr>
              <w:t>$ 2,381,122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$ 2,555,539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8"/>
              </w:rPr>
              <w:t>$ 2,589,613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513,295</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422,095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450,669</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523,355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$ 3,718,229</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$ 3,643,538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$ 3,563,637</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7"/>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15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Long-lived Assets(1)</w:t>
            </w:r>
          </w:p>
        </w:tc>
        <w:tc>
          <w:tcPr>
            <w:tcW w:w="322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Europe</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$127,318</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$102,434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79,693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67,736</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59,581</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ind w:left="220"/>
              <w:spacing w:after="0"/>
              <w:rPr>
                <w:sz w:val="20"/>
                <w:szCs w:val="20"/>
                <w:color w:val="auto"/>
              </w:rPr>
            </w:pPr>
            <w:r>
              <w:rPr>
                <w:rFonts w:ascii="Arial" w:cs="Arial" w:eastAsia="Arial" w:hAnsi="Arial"/>
                <w:sz w:val="18"/>
                <w:szCs w:val="18"/>
                <w:color w:val="auto"/>
              </w:rPr>
              <w:t>India</w:t>
            </w: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38,629</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34,472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25,138</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33,140</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331,728</w:t>
            </w:r>
          </w:p>
        </w:tc>
        <w:tc>
          <w:tcPr>
            <w:tcW w:w="3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309,320</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Equipment and leasehold improvements.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Customer experience solutions include the following offerings: digital experience for consumer multiplay and business customers, network solutions, Internet of Things (IoT), customer operational intelligence, mobile financial services and Amdocs Optima. Customer experience solutions also include a comprehensive line of services such as thought leadership &amp; advisory services, systems integration, transformation services, managed services, network services, digital business operations for order to activation, order gateway services, revenue guard, Amdocs academy and testing. Directory includes comprehensive set of products and services for media publishers, TV networks, video streaming providers, ad agencies and advertising service providers.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solutions</w:t>
            </w:r>
          </w:p>
        </w:tc>
        <w:tc>
          <w:tcPr>
            <w:tcW w:w="3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$ 3,629,698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$ 3,542,531</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$ 3,435,478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Directory</w:t>
            </w:r>
          </w:p>
        </w:tc>
        <w:tc>
          <w:tcPr>
            <w:tcW w:w="3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$ 3,718,229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$ 3,643,538</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$ 3,563,637</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00" w:type="dxa"/>
            <w:vAlign w:val="bottom"/>
            <w:gridSpan w:val="3"/>
          </w:tcPr>
          <w:p>
            <w:pPr>
              <w:ind w:left="1440"/>
              <w:spacing w:after="0"/>
              <w:rPr>
                <w:sz w:val="20"/>
                <w:szCs w:val="20"/>
                <w:color w:val="auto"/>
              </w:rPr>
            </w:pPr>
            <w:r>
              <w:rPr>
                <w:rFonts w:ascii="Arial" w:cs="Arial" w:eastAsia="Arial" w:hAnsi="Arial"/>
                <w:sz w:val="18"/>
                <w:szCs w:val="18"/>
                <w:color w:val="auto"/>
              </w:rPr>
              <w:t>F-37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had one customer that accounted for at least ten percent of its total revenue in each of fiscal years 2016, 2015 and 2014. The percentage of revenue from this customer out of total revenue during fiscal years 2016, 2015 and 2014 was 33%, 34% and 33%,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Selected Quarterly Results of Operations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940,656</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$930,133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$925,935</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921,505</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118,497</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120,147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119,535</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95,709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107,720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100,842</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926,776</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$907,897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$902,578</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906,287</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109,700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126,727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141,521</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91,130</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107,782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116,261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130,990</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8"/>
                <w:szCs w:val="18"/>
                <w:color w:val="auto"/>
              </w:rPr>
            </w:pPr>
          </w:p>
        </w:tc>
      </w:tr>
      <w:tr>
        <w:trPr>
          <w:trHeight w:val="222"/>
        </w:trPr>
        <w:tc>
          <w:tcPr>
            <w:tcW w:w="358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0.59</w:t>
            </w: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r>
      <w:tr>
        <w:trPr>
          <w:trHeight w:val="356"/>
        </w:trPr>
        <w:tc>
          <w:tcPr>
            <w:tcW w:w="3580" w:type="dxa"/>
            <w:vAlign w:val="bottom"/>
          </w:tcPr>
          <w:p>
            <w:pPr>
              <w:spacing w:after="0"/>
              <w:rPr>
                <w:sz w:val="24"/>
                <w:szCs w:val="24"/>
                <w:color w:val="auto"/>
              </w:rPr>
            </w:pPr>
          </w:p>
        </w:tc>
        <w:tc>
          <w:tcPr>
            <w:tcW w:w="1960" w:type="dxa"/>
            <w:vAlign w:val="bottom"/>
            <w:gridSpan w:val="2"/>
          </w:tcPr>
          <w:p>
            <w:pPr>
              <w:ind w:left="1500"/>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8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w w:val="82"/>
              </w:rPr>
              <w:t>Accounts Receivable</w:t>
            </w: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Valuation Allowances 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auto"/>
                <w:w w:val="93"/>
              </w:rPr>
              <w:t>Allowances</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Deferred Tax Assets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1, 2013</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127,202</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6,100</w:t>
            </w: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12,725(1)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12,754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2"/>
          </w:tcPr>
          <w:p>
            <w:pPr>
              <w:jc w:val="right"/>
              <w:ind w:right="1520"/>
              <w:spacing w:after="0"/>
              <w:rPr>
                <w:sz w:val="20"/>
                <w:szCs w:val="20"/>
                <w:color w:val="auto"/>
              </w:rPr>
            </w:pPr>
            <w:r>
              <w:rPr>
                <w:rFonts w:ascii="Arial" w:cs="Arial" w:eastAsia="Arial" w:hAnsi="Arial"/>
                <w:sz w:val="18"/>
                <w:szCs w:val="18"/>
                <w:color w:val="auto"/>
              </w:rPr>
              <w:t>(2,791)</w:t>
            </w:r>
          </w:p>
        </w:tc>
        <w:tc>
          <w:tcPr>
            <w:tcW w:w="4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(16,138)(3)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1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13,328</w:t>
            </w: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24,040(4)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552</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gridSpan w:val="2"/>
          </w:tcPr>
          <w:p>
            <w:pPr>
              <w:jc w:val="right"/>
              <w:ind w:right="1520"/>
              <w:spacing w:after="0"/>
              <w:rPr>
                <w:sz w:val="20"/>
                <w:szCs w:val="20"/>
                <w:color w:val="auto"/>
              </w:rPr>
            </w:pPr>
            <w:r>
              <w:rPr>
                <w:rFonts w:ascii="Arial" w:cs="Arial" w:eastAsia="Arial" w:hAnsi="Arial"/>
                <w:sz w:val="18"/>
                <w:szCs w:val="18"/>
                <w:color w:val="auto"/>
              </w:rPr>
              <w:t>(16,441)</w:t>
            </w:r>
          </w:p>
        </w:tc>
        <w:tc>
          <w:tcPr>
            <w:tcW w:w="4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(40,082)(5)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2015</w:t>
            </w:r>
          </w:p>
        </w:tc>
        <w:tc>
          <w:tcPr>
            <w:tcW w:w="1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33,837</w:t>
            </w:r>
          </w:p>
        </w:tc>
        <w:tc>
          <w:tcPr>
            <w:tcW w:w="1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2"/>
          </w:tcPr>
          <w:p>
            <w:pPr>
              <w:jc w:val="right"/>
              <w:ind w:right="1580"/>
              <w:spacing w:after="0"/>
              <w:rPr>
                <w:sz w:val="20"/>
                <w:szCs w:val="20"/>
                <w:color w:val="auto"/>
              </w:rPr>
            </w:pPr>
            <w:r>
              <w:rPr>
                <w:rFonts w:ascii="Arial" w:cs="Arial" w:eastAsia="Arial" w:hAnsi="Arial"/>
                <w:sz w:val="18"/>
                <w:szCs w:val="18"/>
                <w:color w:val="auto"/>
              </w:rPr>
              <w:t>24,004</w:t>
            </w:r>
          </w:p>
        </w:tc>
        <w:tc>
          <w:tcPr>
            <w:tcW w:w="4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13,800(6)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1,415</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2"/>
          </w:tcPr>
          <w:p>
            <w:pPr>
              <w:jc w:val="right"/>
              <w:ind w:right="1320"/>
              <w:spacing w:after="0"/>
              <w:rPr>
                <w:sz w:val="20"/>
                <w:szCs w:val="20"/>
                <w:color w:val="auto"/>
              </w:rPr>
            </w:pPr>
            <w:r>
              <w:rPr>
                <w:rFonts w:ascii="Arial" w:cs="Arial" w:eastAsia="Arial" w:hAnsi="Arial"/>
                <w:sz w:val="18"/>
                <w:szCs w:val="18"/>
                <w:color w:val="auto"/>
              </w:rPr>
              <w:t>(19,744)(8)</w:t>
            </w: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(29,921)(7)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1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39,512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mainly valuation allowances on deferred tax assets incurred in connection with an immaterial acquisition in fiscal year 2014.</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$9,641 of valuation allowances on deferred tax assets were written off against the related deferred tax assets, and the remaining deductions in the valuation allowances on net deferred tax assets were released to earnings.</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2015.</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$2,235 of valuation allowances on deferred tax assets were written off against the related deferred tax assets, and the remaining deductions in the valuation allowances on net deferred tax assets were released to earnings.</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Valuation allowances recorded on deferred tax assets during fiscal year 2016.</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$9,231 of valuation allowances on deferred tax assets were written off against the related deferred tax assets, and the remaining deductions in the valuation allowances on net deferred tax assets were released to earnings.</w:t>
      </w:r>
    </w:p>
    <w:p>
      <w:pPr>
        <w:ind w:left="460" w:right="130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$12,727 of accounts receivable allowances were written off against the related accounts receivables, and the remaining deductions in the accounts receivable allowances were released to earnings.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59"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4.b.5</w:t>
      </w:r>
    </w:p>
    <w:p>
      <w:pPr>
        <w:spacing w:after="0" w:line="229"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Reinstatement and Amendment</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No. 02026713.A.040</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ind w:right="1140"/>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60"/>
          </w:cols>
          <w:pgMar w:left="1400" w:top="121" w:right="23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REINSTATEMENT AND AMENDMENT NO. 40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Reinstatement and Amendment No. 40,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Agreement expired by its terms on January 31, 2016 (the “Prior Expiration Date”); and</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such Prior Expiration Date, the Parties continued to perform under the Agreement as if it had not expired, and with the intention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extending its term; and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revive the Agreement and to extend its term and to formalize the validity and continuation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its Effective Date of August 7, 2003;</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Agreement 02026713</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71" w:lineRule="exact"/>
        <w:rPr>
          <w:sz w:val="20"/>
          <w:szCs w:val="20"/>
          <w:color w:val="auto"/>
        </w:rPr>
      </w:pPr>
    </w:p>
    <w:p>
      <w:pPr>
        <w:ind w:left="460" w:right="220" w:hanging="452"/>
        <w:spacing w:after="0" w:line="264" w:lineRule="auto"/>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 Agreement is revived; the term is extended as set forth below; and the Agreement shall be deemed to have been in effect continuously since the Agreement Effective Date. The Parties further ratify all actions taken by them under the Agreement between the Prior Expiration Date and the date when this Amendment is effective.</w:t>
      </w:r>
    </w:p>
    <w:p>
      <w:pPr>
        <w:spacing w:after="0" w:line="82" w:lineRule="exact"/>
        <w:rPr>
          <w:rFonts w:ascii="Arial" w:cs="Arial" w:eastAsia="Arial" w:hAnsi="Arial"/>
          <w:sz w:val="18"/>
          <w:szCs w:val="18"/>
          <w:b w:val="1"/>
          <w:bCs w:val="1"/>
          <w:color w:val="auto"/>
        </w:rPr>
      </w:pPr>
    </w:p>
    <w:p>
      <w:pPr>
        <w:ind w:left="460" w:hanging="452"/>
        <w:spacing w:after="0"/>
        <w:tabs>
          <w:tab w:leader="none" w:pos="46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3.32. Term of Agreement</w:t>
      </w:r>
    </w:p>
    <w:p>
      <w:pPr>
        <w:spacing w:after="0" w:line="121" w:lineRule="exact"/>
        <w:rPr>
          <w:sz w:val="20"/>
          <w:szCs w:val="20"/>
          <w:color w:val="auto"/>
        </w:rPr>
      </w:pPr>
    </w:p>
    <w:p>
      <w:pPr>
        <w:ind w:left="920" w:right="700"/>
        <w:spacing w:after="0" w:line="342" w:lineRule="auto"/>
        <w:rPr>
          <w:sz w:val="20"/>
          <w:szCs w:val="20"/>
          <w:color w:val="auto"/>
        </w:rPr>
      </w:pPr>
      <w:r>
        <w:rPr>
          <w:rFonts w:ascii="Arial" w:cs="Arial" w:eastAsia="Arial" w:hAnsi="Arial"/>
          <w:sz w:val="16"/>
          <w:szCs w:val="16"/>
          <w:color w:val="auto"/>
        </w:rPr>
        <w:t>This Agreement with an Effective Date of August 7, 2003, shall remain in effect for a term ending on February 29, 2016, unless earlier Terminated or Canceled as provided in this Agreement. The Parties may extend the term of this Agreement by agreement in writing.</w:t>
      </w: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0" w:right="31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Agreement No. 02026713 as previously amended in all other respects remain unmodified and in full force and effect.</w:t>
      </w:r>
    </w:p>
    <w:p>
      <w:pPr>
        <w:spacing w:after="0" w:line="23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Reinstatement and Amendment to Agreement No. 02026713 to be executed, which may be in</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 counterparts, each of which will be deemed to be an original but all of which together shall constitute only one instrument, as of the date the last Party signs.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86"/>
              </w:rPr>
              <w:t>/s/ Steve Wehde</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86"/>
              </w:rPr>
              <w:t>Steve Wehde</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88"/>
              </w:rPr>
              <w:t>2.4.2016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41,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3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March 31, 2016, unless earlier Terminated or Canceled as provided in this Agreement. The Parties may extend the term of this Agreement by agreement in writing.</w:t>
      </w:r>
    </w:p>
    <w:p>
      <w:pPr>
        <w:spacing w:after="0" w:line="71" w:lineRule="exact"/>
        <w:rPr>
          <w:rFonts w:ascii="Arial" w:cs="Arial" w:eastAsia="Arial" w:hAnsi="Arial"/>
          <w:sz w:val="16"/>
          <w:szCs w:val="16"/>
          <w:b w:val="1"/>
          <w:bCs w:val="1"/>
          <w:color w:val="auto"/>
        </w:rPr>
      </w:pPr>
    </w:p>
    <w:p>
      <w:pPr>
        <w:ind w:left="460" w:right="560" w:hanging="452"/>
        <w:spacing w:after="0" w:line="289" w:lineRule="auto"/>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 xml:space="preserve">The Parties agree that Amendment 34 erroneously deleted and replaced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of </w:t>
      </w:r>
      <w:r>
        <w:rPr>
          <w:rFonts w:ascii="Arial" w:cs="Arial" w:eastAsia="Arial" w:hAnsi="Arial"/>
          <w:sz w:val="17"/>
          <w:szCs w:val="17"/>
          <w:b w:val="1"/>
          <w:bCs w:val="1"/>
          <w:color w:val="auto"/>
        </w:rPr>
        <w:t>Appendix 8, “AT&amp;T Supplier Information 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Requirements and Limited Offshore Remote Access”, </w:t>
      </w:r>
      <w:r>
        <w:rPr>
          <w:rFonts w:ascii="Arial" w:cs="Arial" w:eastAsia="Arial" w:hAnsi="Arial"/>
          <w:sz w:val="17"/>
          <w:szCs w:val="17"/>
          <w:color w:val="auto"/>
        </w:rPr>
        <w:t>in its entirety, and the Appendix 8 Section 3 and subsections are reinstated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in effect continuously since the corresponding Agreement Effective Date as follows:</w:t>
      </w:r>
    </w:p>
    <w:p>
      <w:pPr>
        <w:spacing w:after="0" w:line="67" w:lineRule="exact"/>
        <w:rPr>
          <w:rFonts w:ascii="Arial" w:cs="Arial" w:eastAsia="Arial" w:hAnsi="Arial"/>
          <w:sz w:val="17"/>
          <w:szCs w:val="17"/>
          <w:b w:val="1"/>
          <w:bCs w:val="1"/>
          <w:color w:val="auto"/>
        </w:rPr>
      </w:pPr>
    </w:p>
    <w:p>
      <w:pPr>
        <w:ind w:left="1460" w:right="560" w:hanging="547"/>
        <w:spacing w:after="0" w:line="277" w:lineRule="auto"/>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Section 3, AT&amp;T Supplier Information Security Requirements; AT&amp;T Supplier Information Security Requirements (SISR) – v5.2, December 1, 2013 – Amendment 34, Effective Date December 29, 2014;</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Section 3.1, Definitions – Amendment 34, Effective Date December 29, 2014;</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Section 3.2, Security Requirements – Amendment 34, Effective Date December 29, 2014;</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Section 3.3, Offshore Information Technology Services Requirements – Amendment 31, Effective Date August 28, 2014;</w:t>
      </w:r>
    </w:p>
    <w:p>
      <w:pPr>
        <w:spacing w:after="0" w:line="130" w:lineRule="exact"/>
        <w:rPr>
          <w:rFonts w:ascii="Arial" w:cs="Arial" w:eastAsia="Arial" w:hAnsi="Arial"/>
          <w:sz w:val="18"/>
          <w:szCs w:val="18"/>
          <w:color w:val="auto"/>
        </w:rPr>
      </w:pPr>
    </w:p>
    <w:p>
      <w:pPr>
        <w:ind w:left="1460" w:right="280" w:hanging="547"/>
        <w:spacing w:after="0" w:line="277" w:lineRule="auto"/>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Section 3.4, Requirements for Offshore Information Technology Services Requiring Elevated Rights – Amendment 31, Effective Date August 28, 2014;</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Limited Offshore Remote Access (LORA) – Amendment 13, Effective Date August 15, 2010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Saeger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Michael Saeger</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Secretary</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 29, 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2"/>
              </w:rPr>
              <w:t>2/29/2016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42,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4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April 30, 2016, unless earlier Terminated or Canceled as provided in this Agreement. The Parties may extend the term of this Agreement by agreement in writing.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3.31.2016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2"/>
              </w:rPr>
              <w:t>3/31/2016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43,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May 31, 2016, unless earlier Terminated or Canceled as provided in this Agreement. The Parties may extend the term of this Agreement by agreement in writing.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Saeger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Michael Saeger</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Secretary</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4.29.2016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2"/>
              </w:rPr>
              <w:t>4/29/2016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44,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June 30, 2016, unless earlier Terminated or Canceled as provided in this Agreement. The Parties may extend the term of this Agreement by agreement in writing.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1"/>
              </w:rPr>
              <w:t>6/1/2016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45,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54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This Agreement with an Effective Date of August 7, 2003, shall remain in effect for a term ending on July 31, 2016, unless earlier Terminated or Canceled as provided in this Agreement. The Parties may extend the term of this Agreement by agreement in writing.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9"/>
              </w:rPr>
              <w:t>Sr. Contract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6.30.2016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2"/>
              </w:rPr>
              <w:t>6/30/2016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46,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3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August 31, 2016, unless earlier Terminated or Canceled as provided in this Agreement. The Parties may extend the term of this Agreement by agreement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Saeger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1"/>
              </w:rPr>
              <w:t>/s/ Phillip S. Castle</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Michael Saeger</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Phillip S. Castle</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89"/>
              </w:rPr>
              <w:t>Sr. Sourcing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Secretary</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7-22-2016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0"/>
              </w:rPr>
              <w:t>7-21-2016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02026713.A.047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in this Agreement is not for use or disclosure outside AT&amp;T, Supplier, their Affiliates and their third party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120"/>
          </w:cols>
          <w:pgMar w:left="1400" w:top="274" w:right="137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47,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3.32 Term of Agreement</w:t>
      </w:r>
    </w:p>
    <w:p>
      <w:pPr>
        <w:spacing w:after="0" w:line="121" w:lineRule="exact"/>
        <w:rPr>
          <w:rFonts w:ascii="Arial" w:cs="Arial" w:eastAsia="Arial" w:hAnsi="Arial"/>
          <w:sz w:val="16"/>
          <w:szCs w:val="16"/>
          <w:b w:val="1"/>
          <w:bCs w:val="1"/>
          <w:color w:val="auto"/>
        </w:rPr>
      </w:pPr>
    </w:p>
    <w:p>
      <w:pPr>
        <w:ind w:left="460" w:right="2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This Agreement with an Effective Date of August 7, 2003, shall remain in effect for a term ending on October 31, 2016, unless earlier Terminated or Canceled as provided in this Agreement. The Parties may extend the term of this Agreement by agreement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89"/>
              </w:rPr>
              <w:t>Sr. Sourcing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8.31.2016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2"/>
              </w:rPr>
              <w:t>8/31/2016</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Proprietary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in this Agreement is not for use or disclosure outside AT&amp;T, Supplier, their Affiliates and their third party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representatives, except under written agreement by the contracting Parties.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 020267 13.A.048</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Amdocs,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AT&amp;T Services, Inc.</w:t>
      </w:r>
    </w:p>
    <w:p>
      <w:pPr>
        <w:sectPr>
          <w:pgSz w:w="11900" w:h="16838" w:orient="portrait"/>
          <w:cols w:equalWidth="0" w:num="1">
            <w:col w:w="9019"/>
          </w:cols>
          <w:pgMar w:left="1440" w:top="274"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Amendment No. 48, effective on the date when signed by the last Party (“Effective Date”), and amending Agreement No.·02026713,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35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3.32 Term of Agreement</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This Agreement with an Effective Date of August 7, 2003, shall remain in effect for a term ending on November 30, 2016, unless earlier Terminated or Canceled as provided in this Agreement. The Parties may extend the term of this Agreement by agreement in writing.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5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352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/s/ Deidre D. Byer</w:t>
            </w: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Name:  Todd Cohen</w:t>
            </w:r>
          </w:p>
        </w:tc>
        <w:tc>
          <w:tcPr>
            <w:tcW w:w="252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3520" w:type="dxa"/>
            <w:vAlign w:val="bottom"/>
          </w:tcPr>
          <w:p>
            <w:pPr>
              <w:jc w:val="center"/>
              <w:ind w:right="1170"/>
              <w:spacing w:after="0"/>
              <w:rPr>
                <w:sz w:val="20"/>
                <w:szCs w:val="20"/>
                <w:color w:val="auto"/>
              </w:rPr>
            </w:pPr>
            <w:r>
              <w:rPr>
                <w:rFonts w:ascii="Arial" w:cs="Arial" w:eastAsia="Arial" w:hAnsi="Arial"/>
                <w:sz w:val="18"/>
                <w:szCs w:val="18"/>
                <w:color w:val="auto"/>
                <w:w w:val="93"/>
              </w:rPr>
              <w:t>Deidre D. Byer</w:t>
            </w:r>
          </w:p>
        </w:tc>
      </w:tr>
      <w:tr>
        <w:trPr>
          <w:trHeight w:val="425"/>
        </w:trPr>
        <w:tc>
          <w:tcPr>
            <w:tcW w:w="600" w:type="dxa"/>
            <w:vAlign w:val="bottom"/>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89"/>
              </w:rPr>
              <w:t>Sr. Sourcing Manager –</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12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2"/>
              </w:rPr>
              <w:t>Global Supply Chain</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10.28.2016</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1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0"/>
              </w:rPr>
              <w:t>10/28/2016</w:t>
            </w:r>
          </w:p>
        </w:tc>
      </w:tr>
    </w:tbl>
    <w:p>
      <w:pPr>
        <w:sectPr>
          <w:pgSz w:w="11900" w:h="16838" w:orient="portrait"/>
          <w:cols w:equalWidth="0" w:num="1">
            <w:col w:w="11420"/>
          </w:cols>
          <w:pgMar w:left="240" w:top="27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02026713.A.049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Services, Inc.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Proprietary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information contained in this Agreement is not for use or disclosure outside AT&amp;T, Supplier, their Affiliates and their third party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representatives, except under written agreement by the contracting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0"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Number 02026713.A.049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02026713</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Amendment No. 49, effective on the date when signed by the last Party (“Effective Date”), and amending Agreement No. 02026713, is by and between Amdocs, Inc., a Delaware corporation (“Supplier” or “Amdocs”), and AT&amp;T Services, Inc., a Delaware corporation (“AT&amp;T”), each of which may be referred to in the singular as a “Party” or in the plural as the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AT&amp;T and Amdocs are parties to that certain Agreement No. 02026713 for Software and Professional Services, dated as of August 7, 2003, (as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AT&amp;T and Supplier now desire to further amend the Agreement;</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to changes to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67"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 xml:space="preserve">For purposes of extending the term of the Agreement, </w:t>
      </w:r>
      <w:r>
        <w:rPr>
          <w:rFonts w:ascii="Arial" w:cs="Arial" w:eastAsia="Arial" w:hAnsi="Arial"/>
          <w:sz w:val="16"/>
          <w:szCs w:val="16"/>
          <w:b w:val="1"/>
          <w:bCs w:val="1"/>
          <w:color w:val="auto"/>
        </w:rPr>
        <w:t>Section 3.32, “Term of Agreement”</w:t>
      </w:r>
      <w:r>
        <w:rPr>
          <w:rFonts w:ascii="Arial" w:cs="Arial" w:eastAsia="Arial" w:hAnsi="Arial"/>
          <w:sz w:val="16"/>
          <w:szCs w:val="16"/>
          <w:color w:val="auto"/>
        </w:rPr>
        <w:t>, is deleted in its entirety and replaced with the following:</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3.32 Term of Agreement</w:t>
      </w:r>
    </w:p>
    <w:p>
      <w:pPr>
        <w:spacing w:after="0" w:line="27"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This Agreement with an Effective Date of August 7, 2003, shall remain in effect for a term ending on January 31, 2017, unless earlier Terminated or Canceled as provided in this Agreement. The Parties may extend the term of this Agreement by agreement in writing.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Proprietary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representatives, except under written agreement by the contracting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5" w:name="page136"/>
    <w:bookmarkEnd w:id="135"/>
    <w:p>
      <w:pPr>
        <w:ind w:left="8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Number 02026713.A.049</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terms and conditions of Agreement No. 02026713 as previously amended in all other respects remain unmodified and in full force and effect.</w:t>
      </w:r>
    </w:p>
    <w:p>
      <w:pPr>
        <w:spacing w:after="0" w:line="23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02026713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shall constitute only one instrument, as of the date the last Party signs.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Amdocs, Inc.</w:t>
            </w:r>
          </w:p>
        </w:tc>
        <w:tc>
          <w:tcPr>
            <w:tcW w:w="2800" w:type="dxa"/>
            <w:vAlign w:val="bottom"/>
            <w:gridSpan w:val="2"/>
          </w:tcPr>
          <w:p>
            <w:pPr>
              <w:ind w:left="220"/>
              <w:spacing w:after="0"/>
              <w:rPr>
                <w:sz w:val="20"/>
                <w:szCs w:val="20"/>
                <w:color w:val="auto"/>
              </w:rPr>
            </w:pPr>
            <w:r>
              <w:rPr>
                <w:rFonts w:ascii="Arial" w:cs="Arial" w:eastAsia="Arial" w:hAnsi="Arial"/>
                <w:sz w:val="18"/>
                <w:szCs w:val="18"/>
                <w:b w:val="1"/>
                <w:bCs w:val="1"/>
                <w:color w:val="auto"/>
              </w:rPr>
              <w:t>AT&amp;T Services, Inc.</w:t>
            </w:r>
          </w:p>
        </w:tc>
        <w:tc>
          <w:tcPr>
            <w:tcW w:w="2880" w:type="dxa"/>
            <w:vAlign w:val="bottom"/>
          </w:tcPr>
          <w:p>
            <w:pPr>
              <w:spacing w:after="0"/>
              <w:rPr>
                <w:sz w:val="20"/>
                <w:szCs w:val="20"/>
                <w:color w:val="auto"/>
              </w:rPr>
            </w:pPr>
          </w:p>
        </w:tc>
      </w:tr>
      <w:tr>
        <w:trPr>
          <w:trHeight w:val="44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Cohen</w:t>
            </w:r>
          </w:p>
        </w:tc>
        <w:tc>
          <w:tcPr>
            <w:tcW w:w="1000" w:type="dxa"/>
            <w:vAlign w:val="bottom"/>
          </w:tcPr>
          <w:p>
            <w:pPr>
              <w:ind w:left="220"/>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/s/ Deidre D. Byer</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Todd Cohen</w:t>
            </w:r>
          </w:p>
        </w:tc>
        <w:tc>
          <w:tcPr>
            <w:tcW w:w="1000" w:type="dxa"/>
            <w:vAlign w:val="bottom"/>
          </w:tcPr>
          <w:p>
            <w:pPr>
              <w:ind w:left="220"/>
              <w:spacing w:after="0"/>
              <w:rPr>
                <w:sz w:val="20"/>
                <w:szCs w:val="20"/>
                <w:color w:val="auto"/>
              </w:rPr>
            </w:pPr>
            <w:r>
              <w:rPr>
                <w:rFonts w:ascii="Arial" w:cs="Arial" w:eastAsia="Arial" w:hAnsi="Arial"/>
                <w:sz w:val="18"/>
                <w:szCs w:val="18"/>
                <w:color w:val="auto"/>
              </w:rPr>
              <w:t>Name:</w:t>
            </w:r>
          </w:p>
        </w:tc>
        <w:tc>
          <w:tcPr>
            <w:tcW w:w="1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Deidre D. Byer</w:t>
            </w: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w:t>
            </w:r>
          </w:p>
        </w:tc>
        <w:tc>
          <w:tcPr>
            <w:tcW w:w="2800" w:type="dxa"/>
            <w:vAlign w:val="bottom"/>
            <w:gridSpan w:val="2"/>
          </w:tcPr>
          <w:p>
            <w:pPr>
              <w:ind w:left="220"/>
              <w:spacing w:after="0"/>
              <w:rPr>
                <w:sz w:val="20"/>
                <w:szCs w:val="20"/>
                <w:color w:val="auto"/>
              </w:rPr>
            </w:pPr>
            <w:r>
              <w:rPr>
                <w:rFonts w:ascii="Arial" w:cs="Arial" w:eastAsia="Arial" w:hAnsi="Arial"/>
                <w:sz w:val="18"/>
                <w:szCs w:val="18"/>
                <w:color w:val="auto"/>
              </w:rPr>
              <w:t>Title</w:t>
            </w:r>
          </w:p>
        </w:tc>
        <w:tc>
          <w:tcPr>
            <w:tcW w:w="2880" w:type="dxa"/>
            <w:vAlign w:val="bottom"/>
          </w:tcPr>
          <w:p>
            <w:pPr>
              <w:jc w:val="right"/>
              <w:spacing w:after="0"/>
              <w:rPr>
                <w:sz w:val="20"/>
                <w:szCs w:val="20"/>
                <w:color w:val="auto"/>
              </w:rPr>
            </w:pPr>
            <w:r>
              <w:rPr>
                <w:rFonts w:ascii="Arial" w:cs="Arial" w:eastAsia="Arial" w:hAnsi="Arial"/>
                <w:sz w:val="20"/>
                <w:szCs w:val="20"/>
                <w:color w:val="auto"/>
              </w:rPr>
              <w:t>Sr. Sourcing Manager –</w:t>
            </w:r>
          </w:p>
        </w:tc>
      </w:tr>
      <w:tr>
        <w:trPr>
          <w:trHeight w:val="223"/>
        </w:trPr>
        <w:tc>
          <w:tcPr>
            <w:tcW w:w="8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Global Supply Chain</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11-23-2016</w:t>
            </w:r>
          </w:p>
        </w:tc>
        <w:tc>
          <w:tcPr>
            <w:tcW w:w="1000" w:type="dxa"/>
            <w:vAlign w:val="bottom"/>
          </w:tcPr>
          <w:p>
            <w:pPr>
              <w:ind w:left="220"/>
              <w:spacing w:after="0"/>
              <w:rPr>
                <w:sz w:val="20"/>
                <w:szCs w:val="20"/>
                <w:color w:val="auto"/>
              </w:rPr>
            </w:pPr>
            <w:r>
              <w:rPr>
                <w:rFonts w:ascii="Arial" w:cs="Arial" w:eastAsia="Arial" w:hAnsi="Arial"/>
                <w:sz w:val="18"/>
                <w:szCs w:val="18"/>
                <w:color w:val="auto"/>
              </w:rPr>
              <w:t>Date:</w:t>
            </w:r>
          </w:p>
        </w:tc>
        <w:tc>
          <w:tcPr>
            <w:tcW w:w="1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11/23/2016</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Proprietary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in this Agreement is not for use or disclosure outside AT&amp;T, Supplier, their Affiliates and their third party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representatives, except under written agreement by the contracting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Amdocs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Jurisdiction of</w:t>
            </w: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List of the Subsidiaries*</w:t>
            </w:r>
          </w:p>
        </w:tc>
        <w:tc>
          <w:tcPr>
            <w:tcW w:w="2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Business Name</w:t>
            </w:r>
          </w:p>
        </w:tc>
        <w:tc>
          <w:tcPr>
            <w:tcW w:w="1340" w:type="dxa"/>
            <w:vAlign w:val="bottom"/>
          </w:tcPr>
          <w:p>
            <w:pPr>
              <w:spacing w:after="0"/>
              <w:rPr>
                <w:sz w:val="15"/>
                <w:szCs w:val="15"/>
                <w:color w:val="auto"/>
              </w:rPr>
            </w:pPr>
          </w:p>
        </w:tc>
      </w:tr>
      <w:tr>
        <w:trPr>
          <w:trHeight w:val="195"/>
        </w:trPr>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Amdocs Astrum Limited</w:t>
            </w:r>
          </w:p>
        </w:tc>
        <w:tc>
          <w:tcPr>
            <w:tcW w:w="3340" w:type="dxa"/>
            <w:vAlign w:val="bottom"/>
            <w:gridSpan w:val="3"/>
          </w:tcPr>
          <w:p>
            <w:pPr>
              <w:ind w:left="200"/>
              <w:spacing w:after="0" w:line="195" w:lineRule="exact"/>
              <w:rPr>
                <w:sz w:val="20"/>
                <w:szCs w:val="20"/>
                <w:color w:val="auto"/>
              </w:rPr>
            </w:pPr>
            <w:r>
              <w:rPr>
                <w:rFonts w:ascii="Arial" w:cs="Arial" w:eastAsia="Arial" w:hAnsi="Arial"/>
                <w:sz w:val="18"/>
                <w:szCs w:val="18"/>
                <w:color w:val="auto"/>
              </w:rPr>
              <w:t>Ireland</w:t>
            </w:r>
          </w:p>
        </w:tc>
        <w:tc>
          <w:tcPr>
            <w:tcW w:w="2900" w:type="dxa"/>
            <w:vAlign w:val="bottom"/>
            <w:gridSpan w:val="2"/>
          </w:tcPr>
          <w:p>
            <w:pPr>
              <w:ind w:left="620"/>
              <w:spacing w:after="0" w:line="195" w:lineRule="exact"/>
              <w:rPr>
                <w:sz w:val="20"/>
                <w:szCs w:val="20"/>
                <w:color w:val="auto"/>
              </w:rPr>
            </w:pPr>
            <w:r>
              <w:rPr>
                <w:rFonts w:ascii="Arial" w:cs="Arial" w:eastAsia="Arial" w:hAnsi="Arial"/>
                <w:sz w:val="18"/>
                <w:szCs w:val="18"/>
                <w:color w:val="auto"/>
              </w:rPr>
              <w:t>Amdocs Astrum Limited</w:t>
            </w:r>
          </w:p>
        </w:tc>
        <w:tc>
          <w:tcPr>
            <w:tcW w:w="1340" w:type="dxa"/>
            <w:vAlign w:val="bottom"/>
          </w:tcPr>
          <w:p>
            <w:pPr>
              <w:spacing w:after="0"/>
              <w:rPr>
                <w:sz w:val="16"/>
                <w:szCs w:val="16"/>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w w:val="94"/>
              </w:rPr>
              <w:t>Amdocs Development Centre India Private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India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w w:val="89"/>
              </w:rPr>
              <w:t>Amdocs Development Centre India Private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Republic of Cyprus</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Development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State of Delaware, USA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Inc.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Holdings ULC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Canada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Holdings ULC</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Switzerland</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International GmbH</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Israel</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(Israel)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United Kingdom</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Management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Software Solutions Limited Liability</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Software Solutions Limited Liability</w:t>
            </w: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Company</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Hungary</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Company</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Ireland</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Software Systems Ltd.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United Kingdom</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(UK) Limited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Island of Guernsey, Channel Islands</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European Software Marketing Ltd.</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Amdocs Canadian Managed Services,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Canada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Amdocs Canadian Managed Services, Inc.</w:t>
            </w:r>
          </w:p>
        </w:tc>
      </w:t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State of Delaware, USA</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Sypress,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90" w:lineRule="exact"/>
        <w:rPr>
          <w:sz w:val="20"/>
          <w:szCs w:val="20"/>
          <w:color w:val="auto"/>
        </w:rPr>
      </w:pPr>
    </w:p>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90"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2016</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2016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2016</w:t>
      </w:r>
    </w:p>
    <w:p>
      <w:pPr>
        <w:sectPr>
          <w:pgSz w:w="11900" w:h="16838" w:orient="portrait"/>
          <w:cols w:equalWidth="0" w:num="1">
            <w:col w:w="11420"/>
          </w:cols>
          <w:pgMar w:left="240" w:top="12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w:t>
      </w:r>
    </w:p>
    <w:p>
      <w:pPr>
        <w:spacing w:after="0" w:line="16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2016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2016</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8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333-91847</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333-193659</w:t>
      </w:r>
    </w:p>
    <w:p>
      <w:pPr>
        <w:spacing w:after="0" w:line="8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of our reports dated December 12, 2016, with respect to the consolidated financial statements and schedule of Amdocs Limited and the effectiveness of internal control over financial reporting of Amdocs Limited, included in this Annual Report (Form 20-F) of Amdocs Limited for the year ended September 30,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lvl w:ilvl="1">
      <w:lvlJc w:val="left"/>
      <w:lvlText w:val="•"/>
      <w:numFmt w:val="bullet"/>
      <w:start w:val="1"/>
    </w:lvl>
  </w:abstractNum>
  <w:abstractNum w:abstractNumId="25">
    <w:nsid w:val="32FFF902"/>
    <w:multiLevelType w:val="hybridMultilevel"/>
    <w:lvl w:ilvl="0">
      <w:lvlJc w:val="left"/>
      <w:lvlText w:val="•"/>
      <w:numFmt w:val="bullet"/>
      <w:start w:val="1"/>
    </w:lvl>
    <w:lvl w:ilvl="1">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2"/>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Roman"/>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8"/>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lowerRoman"/>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2"/>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lvl w:ilvl="1">
      <w:lvlJc w:val="left"/>
      <w:lvlText w:val="•"/>
      <w:numFmt w:val="bullet"/>
      <w:start w:val="1"/>
    </w:lvl>
  </w:abstractNum>
  <w:abstractNum w:abstractNumId="59">
    <w:nsid w:val="25A70BF7"/>
    <w:multiLevelType w:val="hybridMultilevel"/>
    <w:lvl w:ilvl="0">
      <w:lvlJc w:val="left"/>
      <w:lvlText w:val="%1."/>
      <w:numFmt w:val="decimal"/>
      <w:start w:val="3"/>
    </w:lvl>
  </w:abstractNum>
  <w:abstractNum w:abstractNumId="60">
    <w:nsid w:val="1DBABF00"/>
    <w:multiLevelType w:val="hybridMultilevel"/>
    <w:lvl w:ilvl="0">
      <w:lvlJc w:val="left"/>
      <w:lvlText w:val="%1."/>
      <w:numFmt w:val="decimal"/>
      <w:start w:val="4"/>
    </w:lvl>
  </w:abstractNum>
  <w:abstractNum w:abstractNumId="61">
    <w:nsid w:val="4AD084E9"/>
    <w:multiLevelType w:val="hybridMultilevel"/>
    <w:lvl w:ilvl="0">
      <w:lvlJc w:val="left"/>
      <w:lvlText w:val="%1."/>
      <w:numFmt w:val="decimal"/>
      <w:start w:val="5"/>
    </w:lvl>
  </w:abstractNum>
  <w:abstractNum w:abstractNumId="62">
    <w:nsid w:val="1F48EAA1"/>
    <w:multiLevelType w:val="hybridMultilevel"/>
    <w:lvl w:ilvl="0">
      <w:lvlJc w:val="left"/>
      <w:lvlText w:val="%1."/>
      <w:numFmt w:val="decimal"/>
      <w:start w:val="6"/>
    </w:lvl>
  </w:abstractNum>
  <w:abstractNum w:abstractNumId="63">
    <w:nsid w:val="1381823A"/>
    <w:multiLevelType w:val="hybridMultilevel"/>
    <w:lvl w:ilvl="0">
      <w:lvlJc w:val="left"/>
      <w:lvlText w:val="%1."/>
      <w:numFmt w:val="decimal"/>
      <w:start w:val="7"/>
    </w:lvl>
  </w:abstractNum>
  <w:abstractNum w:abstractNumId="64">
    <w:nsid w:val="5DB70AE5"/>
    <w:multiLevelType w:val="hybridMultilevel"/>
    <w:lvl w:ilvl="0">
      <w:lvlJc w:val="left"/>
      <w:lvlText w:val="%1."/>
      <w:numFmt w:val="decimal"/>
      <w:start w:val="8"/>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2019-12-06T22:45:57Z</dcterms:created>
  <dcterms:modified xsi:type="dcterms:W3CDTF">2019-12-06T22:45:57Z</dcterms:modified>
</cp:coreProperties>
</file>