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Quarter Ended March 31, 2022</w:t>
      </w:r>
    </w:p>
    <w:p>
      <w:pPr>
        <w:spacing w:after="0" w:line="225"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20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625 Maryville Centre Drive, Suite 200 Saint Louis, Missouri 63141</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8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auto"/>
        </w:rPr>
        <w:t>Indicate by check mark whether the registrant by furnishing the information contained in this form is also thereby furnishing the information to the</w:t>
      </w:r>
    </w:p>
    <w:p>
      <w:pPr>
        <w:spacing w:after="0" w:line="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78" w:lineRule="exact"/>
        <w:rPr>
          <w:sz w:val="24"/>
          <w:szCs w:val="24"/>
          <w:color w:val="auto"/>
        </w:rPr>
      </w:pPr>
    </w:p>
    <w:p>
      <w:pPr>
        <w:ind w:left="4800"/>
        <w:spacing w:after="0" w:line="207" w:lineRule="exact"/>
        <w:tabs>
          <w:tab w:leader="none" w:pos="59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214630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-7620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680"/>
          </w:cols>
          <w:pgMar w:left="320" w:top="226"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9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rPr>
              <w:t>AMDOCS LIMITED</w:t>
            </w:r>
          </w:p>
        </w:tc>
        <w:tc>
          <w:tcPr>
            <w:tcW w:w="192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gridSpan w:val="2"/>
          </w:tcPr>
          <w:p>
            <w:pPr>
              <w:jc w:val="center"/>
              <w:ind w:right="3080"/>
              <w:spacing w:after="0"/>
              <w:rPr>
                <w:sz w:val="20"/>
                <w:szCs w:val="20"/>
                <w:color w:val="auto"/>
              </w:rPr>
            </w:pPr>
            <w:r>
              <w:rPr>
                <w:rFonts w:ascii="Times New Roman" w:cs="Times New Roman" w:eastAsia="Times New Roman" w:hAnsi="Times New Roman"/>
                <w:sz w:val="18"/>
                <w:szCs w:val="18"/>
                <w:color w:val="auto"/>
              </w:rPr>
              <w:t>FORM 6-K</w:t>
            </w:r>
          </w:p>
        </w:tc>
        <w:tc>
          <w:tcPr>
            <w:tcW w:w="192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20" w:type="dxa"/>
            <w:vAlign w:val="bottom"/>
            <w:gridSpan w:val="7"/>
          </w:tcPr>
          <w:p>
            <w:pPr>
              <w:jc w:val="center"/>
              <w:ind w:right="1700"/>
              <w:spacing w:after="0"/>
              <w:rPr>
                <w:sz w:val="20"/>
                <w:szCs w:val="20"/>
                <w:color w:val="auto"/>
              </w:rPr>
            </w:pPr>
            <w:r>
              <w:rPr>
                <w:rFonts w:ascii="Times New Roman" w:cs="Times New Roman" w:eastAsia="Times New Roman" w:hAnsi="Times New Roman"/>
                <w:sz w:val="18"/>
                <w:szCs w:val="18"/>
                <w:color w:val="auto"/>
                <w:w w:val="98"/>
              </w:rPr>
              <w:t>REPORT OF FOREIGN PRIVATE ISSUER</w:t>
            </w:r>
          </w:p>
        </w:tc>
        <w:tc>
          <w:tcPr>
            <w:tcW w:w="1920" w:type="dxa"/>
            <w:vAlign w:val="bottom"/>
          </w:tcPr>
          <w:p>
            <w:pPr>
              <w:spacing w:after="0"/>
              <w:rPr>
                <w:sz w:val="24"/>
                <w:szCs w:val="24"/>
                <w:color w:val="auto"/>
              </w:rPr>
            </w:pPr>
          </w:p>
        </w:tc>
      </w:tr>
      <w:tr>
        <w:trPr>
          <w:trHeight w:val="306"/>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20" w:type="dxa"/>
            <w:vAlign w:val="bottom"/>
            <w:gridSpan w:val="7"/>
          </w:tcPr>
          <w:p>
            <w:pPr>
              <w:jc w:val="center"/>
              <w:ind w:right="1680"/>
              <w:spacing w:after="0"/>
              <w:rPr>
                <w:sz w:val="20"/>
                <w:szCs w:val="20"/>
                <w:color w:val="auto"/>
              </w:rPr>
            </w:pPr>
            <w:r>
              <w:rPr>
                <w:rFonts w:ascii="Times New Roman" w:cs="Times New Roman" w:eastAsia="Times New Roman" w:hAnsi="Times New Roman"/>
                <w:sz w:val="18"/>
                <w:szCs w:val="18"/>
                <w:color w:val="auto"/>
                <w:w w:val="99"/>
              </w:rPr>
              <w:t>FOR THE QUARTER ENDED MARCH 31, 2022</w:t>
            </w:r>
          </w:p>
        </w:tc>
        <w:tc>
          <w:tcPr>
            <w:tcW w:w="192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2"/>
          </w:tcPr>
          <w:p>
            <w:pPr>
              <w:jc w:val="center"/>
              <w:ind w:right="3080"/>
              <w:spacing w:after="0"/>
              <w:rPr>
                <w:sz w:val="20"/>
                <w:szCs w:val="20"/>
                <w:color w:val="auto"/>
              </w:rPr>
            </w:pPr>
            <w:r>
              <w:rPr>
                <w:rFonts w:ascii="Times New Roman" w:cs="Times New Roman" w:eastAsia="Times New Roman" w:hAnsi="Times New Roman"/>
                <w:sz w:val="18"/>
                <w:szCs w:val="18"/>
                <w:color w:val="auto"/>
                <w:w w:val="99"/>
              </w:rPr>
              <w:t>INDEX</w:t>
            </w:r>
          </w:p>
        </w:tc>
        <w:tc>
          <w:tcPr>
            <w:tcW w:w="192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8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PART I FINANCIAL INFORMATION</w:t>
            </w:r>
          </w:p>
        </w:tc>
        <w:tc>
          <w:tcPr>
            <w:tcW w:w="6220" w:type="dxa"/>
            <w:vAlign w:val="bottom"/>
            <w:gridSpan w:val="9"/>
          </w:tcPr>
          <w:p>
            <w:pPr>
              <w:spacing w:after="0"/>
              <w:rPr>
                <w:sz w:val="24"/>
                <w:szCs w:val="24"/>
                <w:color w:val="auto"/>
              </w:rPr>
            </w:pPr>
          </w:p>
        </w:tc>
        <w:tc>
          <w:tcPr>
            <w:tcW w:w="19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Financial Statements</w:t>
            </w:r>
          </w:p>
        </w:tc>
        <w:tc>
          <w:tcPr>
            <w:tcW w:w="6640" w:type="dxa"/>
            <w:vAlign w:val="bottom"/>
            <w:gridSpan w:val="11"/>
          </w:tcPr>
          <w:p>
            <w:pPr>
              <w:spacing w:after="0"/>
              <w:rPr>
                <w:sz w:val="17"/>
                <w:szCs w:val="17"/>
                <w:color w:val="auto"/>
              </w:rPr>
            </w:pPr>
          </w:p>
        </w:tc>
        <w:tc>
          <w:tcPr>
            <w:tcW w:w="1920" w:type="dxa"/>
            <w:vAlign w:val="bottom"/>
          </w:tcPr>
          <w:p>
            <w:pPr>
              <w:ind w:left="174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700" w:type="dxa"/>
            <w:vAlign w:val="bottom"/>
            <w:gridSpan w:val="14"/>
          </w:tcPr>
          <w:p>
            <w:pPr>
              <w:ind w:left="36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c>
          <w:tcPr>
            <w:tcW w:w="192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96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920" w:type="dxa"/>
            <w:vAlign w:val="bottom"/>
          </w:tcPr>
          <w:p>
            <w:pPr>
              <w:ind w:left="1740"/>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Income</w:t>
            </w:r>
          </w:p>
        </w:tc>
        <w:tc>
          <w:tcPr>
            <w:tcW w:w="5420" w:type="dxa"/>
            <w:vAlign w:val="bottom"/>
            <w:gridSpan w:val="7"/>
          </w:tcPr>
          <w:p>
            <w:pPr>
              <w:spacing w:after="0"/>
              <w:rPr>
                <w:sz w:val="17"/>
                <w:szCs w:val="17"/>
                <w:color w:val="auto"/>
              </w:rPr>
            </w:pPr>
          </w:p>
        </w:tc>
        <w:tc>
          <w:tcPr>
            <w:tcW w:w="1920" w:type="dxa"/>
            <w:vAlign w:val="bottom"/>
          </w:tcPr>
          <w:p>
            <w:pPr>
              <w:ind w:left="174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Comprehensive Income</w:t>
            </w:r>
          </w:p>
        </w:tc>
        <w:tc>
          <w:tcPr>
            <w:tcW w:w="4240" w:type="dxa"/>
            <w:vAlign w:val="bottom"/>
            <w:gridSpan w:val="3"/>
          </w:tcPr>
          <w:p>
            <w:pPr>
              <w:spacing w:after="0"/>
              <w:rPr>
                <w:sz w:val="17"/>
                <w:szCs w:val="17"/>
                <w:color w:val="auto"/>
              </w:rPr>
            </w:pPr>
          </w:p>
        </w:tc>
        <w:tc>
          <w:tcPr>
            <w:tcW w:w="1920" w:type="dxa"/>
            <w:vAlign w:val="bottom"/>
          </w:tcPr>
          <w:p>
            <w:pPr>
              <w:ind w:left="174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1920" w:type="dxa"/>
            <w:vAlign w:val="bottom"/>
          </w:tcPr>
          <w:p>
            <w:pPr>
              <w:ind w:left="174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640" w:type="dxa"/>
            <w:vAlign w:val="bottom"/>
            <w:gridSpan w:val="4"/>
          </w:tcPr>
          <w:p>
            <w:pPr>
              <w:spacing w:after="0"/>
              <w:rPr>
                <w:sz w:val="17"/>
                <w:szCs w:val="17"/>
                <w:color w:val="auto"/>
              </w:rPr>
            </w:pPr>
          </w:p>
        </w:tc>
        <w:tc>
          <w:tcPr>
            <w:tcW w:w="1920" w:type="dxa"/>
            <w:vAlign w:val="bottom"/>
          </w:tcPr>
          <w:p>
            <w:pPr>
              <w:ind w:left="174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to Unaudited Consolidated Financial Statements</w:t>
            </w:r>
          </w:p>
        </w:tc>
        <w:tc>
          <w:tcPr>
            <w:tcW w:w="4040" w:type="dxa"/>
            <w:vAlign w:val="bottom"/>
            <w:gridSpan w:val="2"/>
          </w:tcPr>
          <w:p>
            <w:pPr>
              <w:spacing w:after="0"/>
              <w:rPr>
                <w:sz w:val="17"/>
                <w:szCs w:val="17"/>
                <w:color w:val="auto"/>
              </w:rPr>
            </w:pPr>
          </w:p>
        </w:tc>
        <w:tc>
          <w:tcPr>
            <w:tcW w:w="1920" w:type="dxa"/>
            <w:vAlign w:val="bottom"/>
          </w:tcPr>
          <w:p>
            <w:pPr>
              <w:ind w:left="174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Item 2. Operating and Financial Review and Prospects</w:t>
            </w:r>
          </w:p>
        </w:tc>
        <w:tc>
          <w:tcPr>
            <w:tcW w:w="1920" w:type="dxa"/>
            <w:vAlign w:val="bottom"/>
          </w:tcPr>
          <w:p>
            <w:pPr>
              <w:ind w:left="1740"/>
              <w:spacing w:after="0" w:line="196" w:lineRule="exact"/>
              <w:rPr>
                <w:sz w:val="20"/>
                <w:szCs w:val="20"/>
                <w:color w:val="auto"/>
              </w:rPr>
            </w:pPr>
            <w:r>
              <w:rPr>
                <w:rFonts w:ascii="Times New Roman" w:cs="Times New Roman" w:eastAsia="Times New Roman" w:hAnsi="Times New Roman"/>
                <w:sz w:val="18"/>
                <w:szCs w:val="18"/>
                <w:color w:val="auto"/>
                <w:w w:val="88"/>
              </w:rPr>
              <w:t>23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1920" w:type="dxa"/>
            <w:vAlign w:val="bottom"/>
          </w:tcPr>
          <w:p>
            <w:pPr>
              <w:ind w:left="1740"/>
              <w:spacing w:after="0" w:line="196" w:lineRule="exact"/>
              <w:rPr>
                <w:sz w:val="20"/>
                <w:szCs w:val="20"/>
                <w:color w:val="auto"/>
              </w:rPr>
            </w:pPr>
            <w:r>
              <w:rPr>
                <w:rFonts w:ascii="Times New Roman" w:cs="Times New Roman" w:eastAsia="Times New Roman" w:hAnsi="Times New Roman"/>
                <w:sz w:val="18"/>
                <w:szCs w:val="18"/>
                <w:color w:val="auto"/>
                <w:w w:val="88"/>
              </w:rPr>
              <w:t>32</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Item 1. Changes in Securities, Use of Proceeds and Issuer Purchases of Equity Securities</w:t>
            </w:r>
          </w:p>
        </w:tc>
        <w:tc>
          <w:tcPr>
            <w:tcW w:w="1920" w:type="dxa"/>
            <w:vAlign w:val="bottom"/>
          </w:tcPr>
          <w:p>
            <w:pPr>
              <w:ind w:left="1740"/>
              <w:spacing w:after="0" w:line="196" w:lineRule="exact"/>
              <w:rPr>
                <w:sz w:val="20"/>
                <w:szCs w:val="20"/>
                <w:color w:val="auto"/>
              </w:rPr>
            </w:pPr>
            <w:r>
              <w:rPr>
                <w:rFonts w:ascii="Times New Roman" w:cs="Times New Roman" w:eastAsia="Times New Roman" w:hAnsi="Times New Roman"/>
                <w:sz w:val="18"/>
                <w:szCs w:val="18"/>
                <w:color w:val="auto"/>
                <w:w w:val="88"/>
              </w:rPr>
              <w:t>32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2. Reports on Form 6-K</w:t>
            </w:r>
          </w:p>
        </w:tc>
        <w:tc>
          <w:tcPr>
            <w:tcW w:w="4220" w:type="dxa"/>
            <w:vAlign w:val="bottom"/>
            <w:tcBorders>
              <w:top w:val="single" w:sz="8" w:color="0000EE"/>
            </w:tcBorders>
            <w:gridSpan w:val="9"/>
          </w:tcPr>
          <w:p>
            <w:pPr>
              <w:spacing w:after="0"/>
              <w:rPr>
                <w:sz w:val="17"/>
                <w:szCs w:val="17"/>
                <w:color w:val="auto"/>
              </w:rPr>
            </w:pPr>
          </w:p>
        </w:tc>
        <w:tc>
          <w:tcPr>
            <w:tcW w:w="2320" w:type="dxa"/>
            <w:vAlign w:val="bottom"/>
          </w:tcPr>
          <w:p>
            <w:pPr>
              <w:spacing w:after="0"/>
              <w:rPr>
                <w:sz w:val="17"/>
                <w:szCs w:val="17"/>
                <w:color w:val="auto"/>
              </w:rPr>
            </w:pPr>
          </w:p>
        </w:tc>
        <w:tc>
          <w:tcPr>
            <w:tcW w:w="1920" w:type="dxa"/>
            <w:vAlign w:val="bottom"/>
          </w:tcPr>
          <w:p>
            <w:pPr>
              <w:ind w:left="1740"/>
              <w:spacing w:after="0" w:line="196" w:lineRule="exact"/>
              <w:rPr>
                <w:sz w:val="20"/>
                <w:szCs w:val="20"/>
                <w:color w:val="auto"/>
              </w:rPr>
            </w:pPr>
            <w:r>
              <w:rPr>
                <w:rFonts w:ascii="Times New Roman" w:cs="Times New Roman" w:eastAsia="Times New Roman" w:hAnsi="Times New Roman"/>
                <w:sz w:val="18"/>
                <w:szCs w:val="18"/>
                <w:color w:val="auto"/>
                <w:w w:val="88"/>
              </w:rPr>
              <w:t>32</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SIGNATURES</w:t>
            </w:r>
          </w:p>
        </w:tc>
        <w:tc>
          <w:tcPr>
            <w:tcW w:w="7960" w:type="dxa"/>
            <w:vAlign w:val="bottom"/>
            <w:gridSpan w:val="13"/>
          </w:tcPr>
          <w:p>
            <w:pPr>
              <w:spacing w:after="0"/>
              <w:rPr>
                <w:sz w:val="17"/>
                <w:szCs w:val="17"/>
                <w:color w:val="auto"/>
              </w:rPr>
            </w:pPr>
          </w:p>
        </w:tc>
        <w:tc>
          <w:tcPr>
            <w:tcW w:w="1920" w:type="dxa"/>
            <w:vAlign w:val="bottom"/>
          </w:tcPr>
          <w:p>
            <w:pPr>
              <w:ind w:left="1740"/>
              <w:spacing w:after="0" w:line="196" w:lineRule="exact"/>
              <w:rPr>
                <w:sz w:val="20"/>
                <w:szCs w:val="20"/>
                <w:color w:val="auto"/>
              </w:rPr>
            </w:pPr>
            <w:r>
              <w:rPr>
                <w:rFonts w:ascii="Times New Roman" w:cs="Times New Roman" w:eastAsia="Times New Roman" w:hAnsi="Times New Roman"/>
                <w:sz w:val="18"/>
                <w:szCs w:val="18"/>
                <w:color w:val="auto"/>
                <w:w w:val="88"/>
              </w:rPr>
              <w:t>33</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520"/>
        <w:spacing w:after="0" w:line="312" w:lineRule="auto"/>
        <w:rPr>
          <w:sz w:val="20"/>
          <w:szCs w:val="20"/>
          <w:color w:val="auto"/>
        </w:rPr>
      </w:pPr>
      <w:r>
        <w:rPr>
          <w:rFonts w:ascii="Times New Roman" w:cs="Times New Roman" w:eastAsia="Times New Roman" w:hAnsi="Times New Roman"/>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4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4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593,056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709,064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interest-bearing investments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263,372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256,527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1,022,642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866,819</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235,089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2,102,178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2,067,499</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727,509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698,768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232,447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233,162</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2,670,929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2,622,644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236,205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259,032</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589,835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630,669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6,559,103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6,511,774</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180,334</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121,199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583,596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612,303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personnel costs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221,745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274,275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56,676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58,714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237,374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1,303,865</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286,374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304,538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179,139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177,906</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644,832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644,553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442,024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445,728</w:t>
            </w:r>
          </w:p>
        </w:tc>
        <w:tc>
          <w:tcPr>
            <w:tcW w:w="0" w:type="dxa"/>
            <w:vAlign w:val="bottom"/>
          </w:tcPr>
          <w:p>
            <w:pPr>
              <w:spacing w:after="0"/>
              <w:rPr>
                <w:sz w:val="1"/>
                <w:szCs w:val="1"/>
                <w:color w:val="auto"/>
              </w:rPr>
            </w:pPr>
          </w:p>
        </w:tc>
      </w:tr>
      <w:tr>
        <w:trPr>
          <w:trHeight w:val="230"/>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2,954,912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2,876,590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Amdocs Limited Shareholders’ equity:</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Shares — Authorized 25,000 shares; £0.01 par value; 0 shares issued and outstanding</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 Authorized 700,000 shares; £0.01 par value; 283,900 and 281,945 issued and 122,840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124,866 outstanding, respectively</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4,036,591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3,951,201</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at cost 161,060 and 157,079 ordinary shares, respectively</w:t>
            </w:r>
          </w:p>
        </w:tc>
        <w:tc>
          <w:tcPr>
            <w:tcW w:w="100" w:type="dxa"/>
            <w:vAlign w:val="bottom"/>
          </w:tcPr>
          <w:p>
            <w:pPr>
              <w:spacing w:after="0"/>
              <w:rPr>
                <w:sz w:val="18"/>
                <w:szCs w:val="18"/>
                <w:color w:val="auto"/>
              </w:rPr>
            </w:pPr>
          </w:p>
        </w:tc>
        <w:tc>
          <w:tcPr>
            <w:tcW w:w="110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w w:val="97"/>
              </w:rPr>
              <w:t>(6,524,246)</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(6,223,317)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9,338</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6,050,099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5,850,937</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3,561,682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3,592,675</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42,509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3,604,191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3,635,184</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6,559,103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c>
          <w:tcPr>
            <w:tcW w:w="18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1,145,271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1,048,734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2,249,903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2,135,077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741,257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685,515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1,457,975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1,414,231</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75,154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169,009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150,823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134,982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116,951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263,058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238,839</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21,870</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41,740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899,490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1,926,106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1,845,633</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149,244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(10,032)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226,410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145,702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322,616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505,822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26,635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87,123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292,099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418,699</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dividends declared per ordinary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8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500" w:type="dxa"/>
            <w:vAlign w:val="bottom"/>
          </w:tcPr>
          <w:p>
            <w:pPr>
              <w:spacing w:after="0"/>
              <w:rPr>
                <w:sz w:val="15"/>
                <w:szCs w:val="15"/>
                <w:color w:val="auto"/>
              </w:rPr>
            </w:pPr>
          </w:p>
        </w:tc>
        <w:tc>
          <w:tcPr>
            <w:tcW w:w="18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750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$ 119,067</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$292,099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$418,699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fair value of cash flow hedges(1)</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(4,722)</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(11,975)</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(1,687)</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fair value of available-for-sale securities(2)</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(10,389)</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(1,951)</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(12,955)</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(1,677)</w:t>
            </w:r>
          </w:p>
        </w:tc>
      </w:tr>
      <w:tr>
        <w:trPr>
          <w:trHeight w:val="27"/>
        </w:trPr>
        <w:tc>
          <w:tcPr>
            <w:tcW w:w="7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(15,111)</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(13,926)</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(14,642)</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(2,624)</w:t>
            </w: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143,386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105,141</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277,457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416,075</w:t>
            </w:r>
          </w:p>
        </w:tc>
        <w:tc>
          <w:tcPr>
            <w:tcW w:w="12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160" w:hanging="424"/>
        <w:spacing w:after="0" w:line="261"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(expense) benefit of $(39) and $2,424 for the three months ended March 31, 2022 and 2021, respectively and of $(161) and $1,203 for the six months ended March 31, 2022 and 2021, respectively.</w:t>
      </w: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(expense) benefit for the three and six months ended March 31, 2022 and 2021.</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7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Amdocs</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8"/>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78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2"/>
                <w:szCs w:val="12"/>
                <w:color w:val="auto"/>
              </w:rPr>
            </w:pPr>
          </w:p>
        </w:tc>
        <w:tc>
          <w:tcPr>
            <w:tcW w:w="9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2"/>
                <w:szCs w:val="12"/>
                <w:color w:val="auto"/>
              </w:rPr>
            </w:pPr>
          </w:p>
        </w:tc>
        <w:tc>
          <w:tcPr>
            <w:tcW w:w="54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220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123,354</w:t>
            </w:r>
          </w:p>
        </w:tc>
        <w:tc>
          <w:tcPr>
            <w:tcW w:w="7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$ 4,526</w:t>
            </w:r>
          </w:p>
        </w:tc>
        <w:tc>
          <w:tcPr>
            <w:tcW w:w="10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$3,974,056</w:t>
            </w:r>
          </w:p>
        </w:tc>
        <w:tc>
          <w:tcPr>
            <w:tcW w:w="12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$(6,394,221)</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9,807</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$5,940,129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3,534,297</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42,509</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9"/>
              </w:rPr>
              <w:t>$3,576,806</w:t>
            </w:r>
          </w:p>
        </w:tc>
        <w:tc>
          <w:tcPr>
            <w:tcW w:w="0" w:type="dxa"/>
            <w:vAlign w:val="bottom"/>
          </w:tcPr>
          <w:p>
            <w:pPr>
              <w:spacing w:after="0"/>
              <w:rPr>
                <w:sz w:val="1"/>
                <w:szCs w:val="1"/>
                <w:color w:val="auto"/>
              </w:rPr>
            </w:pPr>
          </w:p>
        </w:tc>
      </w:tr>
      <w:tr>
        <w:trPr>
          <w:trHeight w:val="203"/>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income (2)</w:t>
            </w:r>
          </w:p>
        </w:tc>
        <w:tc>
          <w:tcPr>
            <w:tcW w:w="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158,497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158,497</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158,497</w:t>
            </w:r>
          </w:p>
        </w:tc>
        <w:tc>
          <w:tcPr>
            <w:tcW w:w="0" w:type="dxa"/>
            <w:vAlign w:val="bottom"/>
          </w:tcPr>
          <w:p>
            <w:pPr>
              <w:spacing w:after="0"/>
              <w:rPr>
                <w:sz w:val="1"/>
                <w:szCs w:val="1"/>
                <w:color w:val="auto"/>
              </w:rPr>
            </w:pPr>
          </w:p>
        </w:tc>
      </w:tr>
      <w:tr>
        <w:trPr>
          <w:trHeight w:val="181"/>
        </w:trPr>
        <w:tc>
          <w:tcPr>
            <w:tcW w:w="22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7"/>
                <w:szCs w:val="17"/>
                <w:color w:val="auto"/>
              </w:rPr>
              <w:t>Other comprehensive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loss</w:t>
            </w:r>
          </w:p>
        </w:tc>
        <w:tc>
          <w:tcPr>
            <w:tcW w:w="7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(15,111)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(15,111)</w:t>
            </w:r>
          </w:p>
        </w:tc>
        <w:tc>
          <w:tcPr>
            <w:tcW w:w="14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(15,111)</w:t>
            </w:r>
          </w:p>
        </w:tc>
        <w:tc>
          <w:tcPr>
            <w:tcW w:w="0" w:type="dxa"/>
            <w:vAlign w:val="bottom"/>
          </w:tcPr>
          <w:p>
            <w:pPr>
              <w:spacing w:after="0"/>
              <w:rPr>
                <w:sz w:val="1"/>
                <w:szCs w:val="1"/>
                <w:color w:val="auto"/>
              </w:rPr>
            </w:pPr>
          </w:p>
        </w:tc>
      </w:tr>
      <w:tr>
        <w:trPr>
          <w:trHeight w:val="28"/>
        </w:trPr>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143,386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143,386</w:t>
            </w:r>
          </w:p>
        </w:tc>
        <w:tc>
          <w:tcPr>
            <w:tcW w:w="0" w:type="dxa"/>
            <w:vAlign w:val="bottom"/>
          </w:tcPr>
          <w:p>
            <w:pPr>
              <w:spacing w:after="0"/>
              <w:rPr>
                <w:sz w:val="1"/>
                <w:szCs w:val="1"/>
                <w:color w:val="auto"/>
              </w:rPr>
            </w:pPr>
          </w:p>
        </w:tc>
      </w:tr>
      <w:tr>
        <w:trPr>
          <w:trHeight w:val="181"/>
        </w:trPr>
        <w:tc>
          <w:tcPr>
            <w:tcW w:w="22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Employee stock options</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exercised</w:t>
            </w:r>
          </w:p>
        </w:tc>
        <w:tc>
          <w:tcPr>
            <w:tcW w:w="7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774</w:t>
            </w:r>
          </w:p>
        </w:tc>
        <w:tc>
          <w:tcPr>
            <w:tcW w:w="70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100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44,698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44,708</w:t>
            </w:r>
          </w:p>
        </w:tc>
        <w:tc>
          <w:tcPr>
            <w:tcW w:w="14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44,708</w:t>
            </w:r>
          </w:p>
        </w:tc>
        <w:tc>
          <w:tcPr>
            <w:tcW w:w="0" w:type="dxa"/>
            <w:vAlign w:val="bottom"/>
          </w:tcPr>
          <w:p>
            <w:pPr>
              <w:spacing w:after="0"/>
              <w:rPr>
                <w:sz w:val="1"/>
                <w:szCs w:val="1"/>
                <w:color w:val="auto"/>
              </w:rPr>
            </w:pPr>
          </w:p>
        </w:tc>
      </w:tr>
      <w:tr>
        <w:trPr>
          <w:trHeight w:val="204"/>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shares</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(1,667)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(130,025)</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(130,025)</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(130,025)</w:t>
            </w:r>
          </w:p>
        </w:tc>
        <w:tc>
          <w:tcPr>
            <w:tcW w:w="0" w:type="dxa"/>
            <w:vAlign w:val="bottom"/>
          </w:tcPr>
          <w:p>
            <w:pPr>
              <w:spacing w:after="0"/>
              <w:rPr>
                <w:sz w:val="1"/>
                <w:szCs w:val="1"/>
                <w:color w:val="auto"/>
              </w:rPr>
            </w:pPr>
          </w:p>
        </w:tc>
      </w:tr>
      <w:tr>
        <w:trPr>
          <w:trHeight w:val="181"/>
        </w:trPr>
        <w:tc>
          <w:tcPr>
            <w:tcW w:w="22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Cash dividends declared</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($0.395 per ordinary</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share)</w:t>
            </w:r>
          </w:p>
        </w:tc>
        <w:tc>
          <w:tcPr>
            <w:tcW w:w="7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(48,527)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(48,527)</w:t>
            </w:r>
          </w:p>
        </w:tc>
        <w:tc>
          <w:tcPr>
            <w:tcW w:w="14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(48,527)</w:t>
            </w:r>
          </w:p>
        </w:tc>
        <w:tc>
          <w:tcPr>
            <w:tcW w:w="0" w:type="dxa"/>
            <w:vAlign w:val="bottom"/>
          </w:tcPr>
          <w:p>
            <w:pPr>
              <w:spacing w:after="0"/>
              <w:rPr>
                <w:sz w:val="1"/>
                <w:szCs w:val="1"/>
                <w:color w:val="auto"/>
              </w:rPr>
            </w:pPr>
          </w:p>
        </w:tc>
      </w:tr>
      <w:tr>
        <w:trPr>
          <w:trHeight w:val="182"/>
        </w:trPr>
        <w:tc>
          <w:tcPr>
            <w:tcW w:w="22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Issuance of restricted stock,</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of forfeitures</w:t>
            </w:r>
          </w:p>
        </w:tc>
        <w:tc>
          <w:tcPr>
            <w:tcW w:w="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379</w:t>
            </w:r>
          </w:p>
        </w:tc>
        <w:tc>
          <w:tcPr>
            <w:tcW w:w="7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1"/>
        </w:trPr>
        <w:tc>
          <w:tcPr>
            <w:tcW w:w="22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Equity-based compensation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expense related to</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employees</w:t>
            </w:r>
          </w:p>
        </w:tc>
        <w:tc>
          <w:tcPr>
            <w:tcW w:w="7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17,837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17,837</w:t>
            </w:r>
          </w:p>
        </w:tc>
        <w:tc>
          <w:tcPr>
            <w:tcW w:w="1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17,837</w:t>
            </w:r>
          </w:p>
        </w:tc>
        <w:tc>
          <w:tcPr>
            <w:tcW w:w="0" w:type="dxa"/>
            <w:vAlign w:val="bottom"/>
          </w:tcPr>
          <w:p>
            <w:pPr>
              <w:spacing w:after="0"/>
              <w:rPr>
                <w:sz w:val="1"/>
                <w:szCs w:val="1"/>
                <w:color w:val="auto"/>
              </w:rPr>
            </w:pPr>
          </w:p>
        </w:tc>
      </w:tr>
      <w:tr>
        <w:trPr>
          <w:trHeight w:val="177"/>
        </w:trPr>
        <w:tc>
          <w:tcPr>
            <w:tcW w:w="22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Balance as of March 31,</w:t>
            </w: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122,840</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$ 4,542</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4,036,591</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(6,524,246)</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(5,304)</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6,050,099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3,561,682</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42,509</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3,604,191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4"/>
                <w:szCs w:val="24"/>
                <w:color w:val="auto"/>
              </w:rPr>
            </w:pPr>
          </w:p>
        </w:tc>
        <w:tc>
          <w:tcPr>
            <w:tcW w:w="7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Amdocs</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9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780" w:type="dxa"/>
            <w:vAlign w:val="bottom"/>
          </w:tcPr>
          <w:p>
            <w:pPr>
              <w:jc w:val="center"/>
              <w:ind w:right="97"/>
              <w:spacing w:after="0" w:line="142"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240" w:type="dxa"/>
            <w:vAlign w:val="bottom"/>
          </w:tcPr>
          <w:p>
            <w:pPr>
              <w:spacing w:after="0"/>
              <w:rPr>
                <w:sz w:val="12"/>
                <w:szCs w:val="12"/>
                <w:color w:val="auto"/>
              </w:rPr>
            </w:pPr>
          </w:p>
        </w:tc>
        <w:tc>
          <w:tcPr>
            <w:tcW w:w="9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2"/>
                <w:szCs w:val="12"/>
                <w:color w:val="auto"/>
              </w:rPr>
            </w:pPr>
          </w:p>
        </w:tc>
        <w:tc>
          <w:tcPr>
            <w:tcW w:w="54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21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2020</w:t>
            </w: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130,825</w:t>
            </w:r>
          </w:p>
        </w:tc>
        <w:tc>
          <w:tcPr>
            <w:tcW w:w="14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$ 4,493</w:t>
            </w:r>
          </w:p>
        </w:tc>
        <w:tc>
          <w:tcPr>
            <w:tcW w:w="8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$3,833,193</w:t>
            </w:r>
          </w:p>
        </w:tc>
        <w:tc>
          <w:tcPr>
            <w:tcW w:w="8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$(5,633,343)</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22,964</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$5,598,689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3,825,996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42,509</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9"/>
              </w:rPr>
              <w:t>$3,868,505</w:t>
            </w:r>
          </w:p>
        </w:tc>
        <w:tc>
          <w:tcPr>
            <w:tcW w:w="0" w:type="dxa"/>
            <w:vAlign w:val="bottom"/>
          </w:tcPr>
          <w:p>
            <w:pPr>
              <w:spacing w:after="0"/>
              <w:rPr>
                <w:sz w:val="1"/>
                <w:szCs w:val="1"/>
                <w:color w:val="auto"/>
              </w:rPr>
            </w:pPr>
          </w:p>
        </w:tc>
      </w:tr>
      <w:tr>
        <w:trPr>
          <w:trHeight w:val="203"/>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income (2)</w:t>
            </w:r>
          </w:p>
        </w:tc>
        <w:tc>
          <w:tcPr>
            <w:tcW w:w="7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119,067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119,067</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119,067</w:t>
            </w:r>
          </w:p>
        </w:tc>
        <w:tc>
          <w:tcPr>
            <w:tcW w:w="0" w:type="dxa"/>
            <w:vAlign w:val="bottom"/>
          </w:tcPr>
          <w:p>
            <w:pPr>
              <w:spacing w:after="0"/>
              <w:rPr>
                <w:sz w:val="1"/>
                <w:szCs w:val="1"/>
                <w:color w:val="auto"/>
              </w:rPr>
            </w:pPr>
          </w:p>
        </w:tc>
      </w:tr>
      <w:tr>
        <w:trPr>
          <w:trHeight w:val="181"/>
        </w:trPr>
        <w:tc>
          <w:tcPr>
            <w:tcW w:w="220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7"/>
                <w:szCs w:val="17"/>
                <w:color w:val="auto"/>
              </w:rPr>
              <w:t>Other comprehensive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loss</w:t>
            </w:r>
          </w:p>
        </w:tc>
        <w:tc>
          <w:tcPr>
            <w:tcW w:w="7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(13,926)</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(13,926)</w:t>
            </w:r>
          </w:p>
        </w:tc>
        <w:tc>
          <w:tcPr>
            <w:tcW w:w="14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(13,926)</w:t>
            </w:r>
          </w:p>
        </w:tc>
        <w:tc>
          <w:tcPr>
            <w:tcW w:w="0" w:type="dxa"/>
            <w:vAlign w:val="bottom"/>
          </w:tcPr>
          <w:p>
            <w:pPr>
              <w:spacing w:after="0"/>
              <w:rPr>
                <w:sz w:val="1"/>
                <w:szCs w:val="1"/>
                <w:color w:val="auto"/>
              </w:rPr>
            </w:pPr>
          </w:p>
        </w:tc>
      </w:tr>
      <w:tr>
        <w:trPr>
          <w:trHeight w:val="28"/>
        </w:trPr>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105,141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105,141</w:t>
            </w:r>
          </w:p>
        </w:tc>
        <w:tc>
          <w:tcPr>
            <w:tcW w:w="0" w:type="dxa"/>
            <w:vAlign w:val="bottom"/>
          </w:tcPr>
          <w:p>
            <w:pPr>
              <w:spacing w:after="0"/>
              <w:rPr>
                <w:sz w:val="1"/>
                <w:szCs w:val="1"/>
                <w:color w:val="auto"/>
              </w:rPr>
            </w:pPr>
          </w:p>
        </w:tc>
      </w:tr>
      <w:tr>
        <w:trPr>
          <w:trHeight w:val="181"/>
        </w:trPr>
        <w:tc>
          <w:tcPr>
            <w:tcW w:w="22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Employee stock options</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exercised</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1,122</w:t>
            </w:r>
          </w:p>
        </w:tc>
        <w:tc>
          <w:tcPr>
            <w:tcW w:w="140" w:type="dxa"/>
            <w:vAlign w:val="bottom"/>
          </w:tcPr>
          <w:p>
            <w:pPr>
              <w:spacing w:after="0"/>
              <w:rPr>
                <w:sz w:val="19"/>
                <w:szCs w:val="19"/>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65,707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65,722</w:t>
            </w:r>
          </w:p>
        </w:tc>
        <w:tc>
          <w:tcPr>
            <w:tcW w:w="14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65,722</w:t>
            </w:r>
          </w:p>
        </w:tc>
        <w:tc>
          <w:tcPr>
            <w:tcW w:w="0" w:type="dxa"/>
            <w:vAlign w:val="bottom"/>
          </w:tcPr>
          <w:p>
            <w:pPr>
              <w:spacing w:after="0"/>
              <w:rPr>
                <w:sz w:val="1"/>
                <w:szCs w:val="1"/>
                <w:color w:val="auto"/>
              </w:rPr>
            </w:pPr>
          </w:p>
        </w:tc>
      </w:tr>
      <w:tr>
        <w:trPr>
          <w:trHeight w:val="203"/>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shares</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(4,636)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(360,052)</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(360,052)</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(360,052)</w:t>
            </w:r>
          </w:p>
        </w:tc>
        <w:tc>
          <w:tcPr>
            <w:tcW w:w="0" w:type="dxa"/>
            <w:vAlign w:val="bottom"/>
          </w:tcPr>
          <w:p>
            <w:pPr>
              <w:spacing w:after="0"/>
              <w:rPr>
                <w:sz w:val="1"/>
                <w:szCs w:val="1"/>
                <w:color w:val="auto"/>
              </w:rPr>
            </w:pPr>
          </w:p>
        </w:tc>
      </w:tr>
      <w:tr>
        <w:trPr>
          <w:trHeight w:val="181"/>
        </w:trPr>
        <w:tc>
          <w:tcPr>
            <w:tcW w:w="22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Cash dividends declared</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($0.36 per ordinary share)</w:t>
            </w:r>
          </w:p>
        </w:tc>
        <w:tc>
          <w:tcPr>
            <w:tcW w:w="7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(45,958)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(45,958)</w:t>
            </w:r>
          </w:p>
        </w:tc>
        <w:tc>
          <w:tcPr>
            <w:tcW w:w="14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(45,958)</w:t>
            </w:r>
          </w:p>
        </w:tc>
        <w:tc>
          <w:tcPr>
            <w:tcW w:w="0" w:type="dxa"/>
            <w:vAlign w:val="bottom"/>
          </w:tcPr>
          <w:p>
            <w:pPr>
              <w:spacing w:after="0"/>
              <w:rPr>
                <w:sz w:val="1"/>
                <w:szCs w:val="1"/>
                <w:color w:val="auto"/>
              </w:rPr>
            </w:pPr>
          </w:p>
        </w:tc>
      </w:tr>
      <w:tr>
        <w:trPr>
          <w:trHeight w:val="182"/>
        </w:trPr>
        <w:tc>
          <w:tcPr>
            <w:tcW w:w="22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Issuance of restricted stock,</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of forfeitures</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343</w:t>
            </w:r>
          </w:p>
        </w:tc>
        <w:tc>
          <w:tcPr>
            <w:tcW w:w="14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1"/>
        </w:trPr>
        <w:tc>
          <w:tcPr>
            <w:tcW w:w="22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Equity-based compensation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expense related to</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employees</w:t>
            </w:r>
          </w:p>
        </w:tc>
        <w:tc>
          <w:tcPr>
            <w:tcW w:w="4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13,375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13,375</w:t>
            </w:r>
          </w:p>
        </w:tc>
        <w:tc>
          <w:tcPr>
            <w:tcW w:w="1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13,375</w:t>
            </w:r>
          </w:p>
        </w:tc>
        <w:tc>
          <w:tcPr>
            <w:tcW w:w="0" w:type="dxa"/>
            <w:vAlign w:val="bottom"/>
          </w:tcPr>
          <w:p>
            <w:pPr>
              <w:spacing w:after="0"/>
              <w:rPr>
                <w:sz w:val="1"/>
                <w:szCs w:val="1"/>
                <w:color w:val="auto"/>
              </w:rPr>
            </w:pPr>
          </w:p>
        </w:tc>
      </w:tr>
      <w:tr>
        <w:trPr>
          <w:trHeight w:val="177"/>
        </w:trPr>
        <w:tc>
          <w:tcPr>
            <w:tcW w:w="2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Balance as of March 31,</w:t>
            </w:r>
          </w:p>
        </w:tc>
        <w:tc>
          <w:tcPr>
            <w:tcW w:w="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127,654</w:t>
            </w:r>
          </w:p>
        </w:tc>
        <w:tc>
          <w:tcPr>
            <w:tcW w:w="14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$ 4,513</w:t>
            </w:r>
          </w:p>
        </w:tc>
        <w:tc>
          <w:tcPr>
            <w:tcW w:w="8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3,912,275</w:t>
            </w:r>
          </w:p>
        </w:tc>
        <w:tc>
          <w:tcPr>
            <w:tcW w:w="8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(5,993,395)</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9,038</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5,671,798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3,604,229</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42,509</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3,646,738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100" w:hanging="424"/>
        <w:spacing w:after="0" w:line="257"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and 2021, accumulated other comprehensive (loss) income is comprised of unrealized gain (loss) on derivatives, net of tax, of $12,086 and $17,889 unrealized loss on short-term interest-bearing investments, net of tax, of $(14,229) and $(1,679), and unrealized loss on defined benefit plan, net of tax, of $(3,161) and $(7,172).</w:t>
      </w:r>
    </w:p>
    <w:p>
      <w:pPr>
        <w:spacing w:after="0" w:line="1" w:lineRule="exact"/>
        <w:rPr>
          <w:rFonts w:ascii="Times New Roman" w:cs="Times New Roman" w:eastAsia="Times New Roman" w:hAnsi="Times New Roman"/>
          <w:sz w:val="18"/>
          <w:szCs w:val="18"/>
          <w:color w:val="auto"/>
        </w:rPr>
      </w:pPr>
    </w:p>
    <w:p>
      <w:pPr>
        <w:ind w:left="540" w:right="220" w:hanging="424"/>
        <w:spacing w:after="0" w:line="26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March 31, 2022, and 2021, all of the Company’s net income is attributable to Amdocs Limited as the net income attributable to the Non-controlling interests is negligible.</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140"/>
          </w:cols>
          <w:pgMar w:left="320" w:top="455"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40"/>
          </w:cols>
          <w:pgMar w:left="320" w:top="455"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Amdocs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4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2"/>
            <w:vMerge w:val="continue"/>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980" w:type="dxa"/>
            <w:vAlign w:val="bottom"/>
            <w:gridSpan w:val="2"/>
            <w:vMerge w:val="continue"/>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4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80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180" w:type="dxa"/>
            <w:vAlign w:val="bottom"/>
          </w:tcPr>
          <w:p>
            <w:pPr>
              <w:spacing w:after="0"/>
              <w:rPr>
                <w:sz w:val="12"/>
                <w:szCs w:val="12"/>
                <w:color w:val="auto"/>
              </w:rPr>
            </w:pPr>
          </w:p>
        </w:tc>
        <w:tc>
          <w:tcPr>
            <w:tcW w:w="9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interests (2)</w:t>
            </w:r>
          </w:p>
        </w:tc>
        <w:tc>
          <w:tcPr>
            <w:tcW w:w="8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24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124,866</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$4,516</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$3,951,201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$(6,223,317)</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9,338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$5,850,937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$ 3,592,675</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$3,635,184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292,099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292,099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292,099</w:t>
            </w:r>
          </w:p>
        </w:tc>
        <w:tc>
          <w:tcPr>
            <w:tcW w:w="0" w:type="dxa"/>
            <w:vAlign w:val="bottom"/>
          </w:tcPr>
          <w:p>
            <w:pPr>
              <w:spacing w:after="0"/>
              <w:rPr>
                <w:sz w:val="1"/>
                <w:szCs w:val="1"/>
                <w:color w:val="auto"/>
              </w:rPr>
            </w:pPr>
          </w:p>
        </w:tc>
      </w:tr>
      <w:tr>
        <w:trPr>
          <w:trHeight w:val="216"/>
        </w:trPr>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(14,642)</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(14,642)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(14,642)</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277,457</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stock options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50,812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50,823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50,823</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(300,929)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(300,929)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(300,929)</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dividends declared ($0.755</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ordinary share)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(92,937)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(92,937)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(92,937)</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restricted stock, net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forfeitures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1,055</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Equity-based compensation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related to employees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34,578</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34,578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34,578</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122,840</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4,542</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4,036,591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(6,524,246)</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(5,304)</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6,050,099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$ 3,561,682</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3,604,191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Amdocs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4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4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80" w:type="dxa"/>
            <w:vAlign w:val="bottom"/>
            <w:gridSpan w:val="2"/>
            <w:vMerge w:val="continue"/>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4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80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180" w:type="dxa"/>
            <w:vAlign w:val="bottom"/>
          </w:tcPr>
          <w:p>
            <w:pPr>
              <w:spacing w:after="0"/>
              <w:rPr>
                <w:sz w:val="12"/>
                <w:szCs w:val="12"/>
                <w:color w:val="auto"/>
              </w:rPr>
            </w:pPr>
          </w:p>
        </w:tc>
        <w:tc>
          <w:tcPr>
            <w:tcW w:w="9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interests (2)</w:t>
            </w:r>
          </w:p>
        </w:tc>
        <w:tc>
          <w:tcPr>
            <w:tcW w:w="8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24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131,535</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$4,483</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$3,807,915</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$(5,543,321)</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11,662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$5,341,907</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$ 3,622,646</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$3,665,155</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418,699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418,699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418,699</w:t>
            </w:r>
          </w:p>
        </w:tc>
        <w:tc>
          <w:tcPr>
            <w:tcW w:w="0" w:type="dxa"/>
            <w:vAlign w:val="bottom"/>
          </w:tcPr>
          <w:p>
            <w:pPr>
              <w:spacing w:after="0"/>
              <w:rPr>
                <w:sz w:val="1"/>
                <w:szCs w:val="1"/>
                <w:color w:val="auto"/>
              </w:rPr>
            </w:pPr>
          </w:p>
        </w:tc>
      </w:tr>
      <w:tr>
        <w:trPr>
          <w:trHeight w:val="216"/>
        </w:trPr>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(2,624)</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416,075</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stock options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1,360</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78,408</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78,426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78,426</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(450,074)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(450,074)</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dividends declared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($0.6875 per ordinary share)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(88,808)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(88,808)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(88,808)</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restricted stock, net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forfeitures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831</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Equity-based compensation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related to employees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25,952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25,952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25,952</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127,654</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4,513</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3,912,275</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(5,993,395)</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9,038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5,671,798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$ 3,604,229</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3,646,738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27"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292,099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418,699</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101,071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101,298</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25,952</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(226,410)</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(27,778)</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(140,863)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(108,799)</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(11,906)</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(10,763)</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7,522</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76,427</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102,997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226,904</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41,629</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22,953</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372,974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536,221</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 net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(104,496)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(99,310)</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4,258</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short-term interest-bearing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(200,088)</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cash paid for business and intangible assets acquisitions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(87,600)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received from sale of a business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290,789</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(143,084)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(91,389)</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(300,929)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(450,074)</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option exercises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78,438</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dividends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(85,934)</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consideration from a business acquisition</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(1,462)</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(345,898)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(459,032)</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(116,008)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709,064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983,188</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968,988</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61,100</w:t>
            </w:r>
          </w:p>
        </w:tc>
      </w:tr>
      <w:tr>
        <w:trPr>
          <w:trHeight w:val="234"/>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(2)</w:t>
            </w: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20" w:hanging="424"/>
        <w:spacing w:after="0" w:line="26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under “Purchase of property and equipment, net”, include proceeds from sale of property and equipment of $555 and $136 for the six months ended March 31, 2022 and 2021, respectively.</w:t>
      </w: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under “Interest” include payments of interest to financial institution, tax authorities and other.</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Entity and Basis of Presentation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portfolio.</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of the Company have been prepared in accordance with U.S. generally accepted accounting principles, or GAAP and are denominated in U.S. dollars.</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2021, set forth in the Company’s Annual Report on Form 20-F filed on December 9, 2021 with the U.S. Securities and Exchange Commission, or the SEC. There have been no material changes to the company’s significant accounting policies from its Annual Report on Form 20-F for the fiscal year ended September 30, 2021.</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time to time, certain immaterial amounts in prior year financial statements may be reclassified to conform to the current year presentation.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Recent Accounting Standards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August 2021, the Financial Accounting Standards Board, or FASB, issued Accounting Standard Update, or ASU No. 2021-08,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(Topic 805): Accounting for Contract Assets and Contract Liabilities from Contracts with Customers”. </w:t>
      </w:r>
      <w:r>
        <w:rPr>
          <w:rFonts w:ascii="Times New Roman" w:cs="Times New Roman" w:eastAsia="Times New Roman" w:hAnsi="Times New Roman"/>
          <w:sz w:val="18"/>
          <w:szCs w:val="18"/>
          <w:color w:val="auto"/>
        </w:rPr>
        <w:t>The ASU requires companies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ASC 606 to recognize and measure contract assets and contract liabilities from contracts with customers acquired in a business combination. This ASU will be effective for the Company on October 1, 2023 and early adoption is permitted. The Company is currently evaluating the impact of adoption of this ASU on its consolidated financial statements.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No. 2020-04, “</w:t>
      </w:r>
      <w:r>
        <w:rPr>
          <w:rFonts w:ascii="Times New Roman" w:cs="Times New Roman" w:eastAsia="Times New Roman" w:hAnsi="Times New Roman"/>
          <w:sz w:val="18"/>
          <w:szCs w:val="18"/>
          <w:i w:val="1"/>
          <w:iCs w:val="1"/>
          <w:color w:val="auto"/>
        </w:rPr>
        <w:t>Reference Rate Reform: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The ASU provides temporary optional expedients and exceptions on certain contract modifications, hedge relationships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that reference London Inter-Bank Offered Rate (“LIBOR”) or other reference rates expected to be discontinued due to the reference rate reform. This ASU is effective as of March 12, 2020 through December 31, 2022. The Company expects that the adoption of this ASU will not have a material impact on its consolidated financial statements.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Divestiture of a Subsidiary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31, 2020, the Company completed the divestiture. Based on the total consideration, the Company recorded pre-tax gain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$226,410, (net of immaterial transaction costs) in the Consolidated Statements of Income during the six months ended March 31, 2021. In connection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this divestiture, $9,194 of net assets and $61,396 of goodwill, were disposed. During the six months ended March 31, 2022 the Company recorded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pre-tax gain of $10,000, in the Consolidated Statements of Income as a result of achievement of certain performance metrics and received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additional consideration during the three months ended March 31, 2022. The divestiture does not represent a strategic shift that will have a major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 on operations and financial results and, therefore, did not qualify for presentation as a discontinued operation, see also Note 9.</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both billed and unbilled and deferred revenue: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200" w:type="dxa"/>
            <w:vAlign w:val="bottom"/>
          </w:tcPr>
          <w:p>
            <w:pPr>
              <w:spacing w:after="0"/>
              <w:rPr>
                <w:sz w:val="10"/>
                <w:szCs w:val="10"/>
                <w:color w:val="auto"/>
              </w:rPr>
            </w:pPr>
          </w:p>
        </w:tc>
        <w:tc>
          <w:tcPr>
            <w:tcW w:w="84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4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6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178"/>
        </w:trPr>
        <w:tc>
          <w:tcPr>
            <w:tcW w:w="62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Accounts receivable—billed (net of allowances for credit losses of $15,647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$20,065 as of March 31, 2022 and September 30, 2021,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894,236</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704,541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unbilled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128,406</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162,278</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 unbilled (non-current)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27,437</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38,252</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receivable—unbilled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200,530</w:t>
            </w:r>
          </w:p>
        </w:tc>
        <w:tc>
          <w:tcPr>
            <w:tcW w:w="10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(360,192)</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(237,374)</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(88,854)</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(108,675)</w:t>
            </w: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(449,046)</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(346,049)</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Revenue recognized during the three and six months ended March 31, 2022, which was included in deferred revenue (current) as of September 30,</w:t>
      </w:r>
    </w:p>
    <w:p>
      <w:pPr>
        <w:spacing w:after="0" w:line="39" w:lineRule="exact"/>
        <w:rPr>
          <w:sz w:val="20"/>
          <w:szCs w:val="20"/>
          <w:color w:val="auto"/>
        </w:rPr>
      </w:pPr>
    </w:p>
    <w:p>
      <w:pPr>
        <w:ind w:left="120" w:right="480"/>
        <w:spacing w:after="0" w:line="260" w:lineRule="auto"/>
        <w:rPr>
          <w:sz w:val="20"/>
          <w:szCs w:val="20"/>
          <w:color w:val="auto"/>
        </w:rPr>
      </w:pPr>
      <w:r>
        <w:rPr>
          <w:rFonts w:ascii="Times New Roman" w:cs="Times New Roman" w:eastAsia="Times New Roman" w:hAnsi="Times New Roman"/>
          <w:sz w:val="18"/>
          <w:szCs w:val="18"/>
          <w:color w:val="auto"/>
        </w:rPr>
        <w:t>2021 was $35,957 and $183,496, respectively. Revenue recognized during the three and six months ended March 31, 2021, which was included in deferred revenue (current) as of September 30, 2020 was $13,755 and $102,947, respectively.</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Remaining Performance Obligations from Contracts with Customer</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2022, the aggregate amount of the transaction price allocated to remaining performance obligations that are unsatisfied or partially unsatisfied was approximately $6.5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information that is regularly reviewed by its chief operating decision makers in evaluating financial performance to disaggregate revenue.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provide details of revenue by nature of activities and by geography:</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by nature of activities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20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2021_</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services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663,359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$1,323,047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481,912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414,108</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926,856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1,145,271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1,048,734</w:t>
            </w: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2,249,903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2,135,077</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20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20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772,166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$1,517,659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147,191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148,808</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289,732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225,914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220,859</w:t>
            </w: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442,512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432,209</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1,145,271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1,048,734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2,249,903</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2,135,077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121"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17"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that is significant to the fair value of the assets or liabilities.</w:t>
      </w:r>
    </w:p>
    <w:p>
      <w:pPr>
        <w:sectPr>
          <w:pgSz w:w="11900" w:h="16838" w:orient="portrait"/>
          <w:cols w:equalWidth="0" w:num="1">
            <w:col w:w="11100"/>
          </w:cols>
          <w:pgMar w:left="320" w:top="455" w:right="479" w:bottom="1440"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measured at fair value on a recurring basis as of March 31, 2022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2021:</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980" w:type="dxa"/>
            <w:vAlign w:val="bottom"/>
            <w:gridSpan w:val="5"/>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7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5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$ 211,108</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4"/>
              </w:rPr>
              <w:t>$ 211,108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179,292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5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46,944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 backed obligations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10,692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Municipal Bond</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9,033</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6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258,052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216,428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41,862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(41,008)</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258,052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221,382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480,288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2021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7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6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$209,026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190,437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660" w:type="dxa"/>
            <w:vAlign w:val="bottom"/>
            <w:gridSpan w:val="5"/>
          </w:tcPr>
          <w:p>
            <w:pPr>
              <w:ind w:left="2080"/>
              <w:spacing w:after="0"/>
              <w:rPr>
                <w:sz w:val="20"/>
                <w:szCs w:val="20"/>
                <w:color w:val="auto"/>
              </w:rPr>
            </w:pPr>
            <w:r>
              <w:rPr>
                <w:rFonts w:ascii="Times New Roman" w:cs="Times New Roman" w:eastAsia="Times New Roman" w:hAnsi="Times New Roman"/>
                <w:sz w:val="18"/>
                <w:szCs w:val="18"/>
                <w:color w:val="auto"/>
              </w:rPr>
              <w:t>54,752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7,453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 backed obligations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3,885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8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201,775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465,553</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37,581</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10,979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(51,590)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263,778</w:t>
            </w:r>
          </w:p>
        </w:tc>
        <w:tc>
          <w:tcPr>
            <w:tcW w:w="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212,754</w:t>
            </w:r>
          </w:p>
        </w:tc>
        <w:tc>
          <w:tcPr>
            <w:tcW w:w="11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(14,009)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462,523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six months ended March 31, 2022. Level 3 liabilities relate to certain acquisition-related liabilities, which were generally valued using a Monte-Carlo simulation model and based on estimates of potential pay-out scenarios, periodically valued every quarter. These liabilities were included in both accrued expenses and other current liabilities and other noncurrent liabilities as of March 31, 2022 and September 30, 2021. The decrease in Level 3 liabilities was primarily attributable to payments of certain acquisition-related liabilities, partially offset by changes recorded against goodwill in connection with recent acquisitions and changes in the fair value recorded in the consolidated statement of income during the three and six months ended March 31, 2022. Level 3 assets relate to equity investments, which were valued based on price changes in orderly transactions for similar private investments of the same issuer. The increase in Level 3 assets is primarily as changes in the fair value which was recorded during the three and six months ended March 31, 2022 in the consolidated statement of income.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12.</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Available-For-Sale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Available-for-sale securities consist of the following interest-bearing investments: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56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$ 211,108</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$ 211,108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188,993</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9,701</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49,643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2,699</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18,517</w:t>
            </w: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1,106</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11,102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488,709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14,229</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474,480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620" w:hanging="424"/>
        <w:spacing w:after="0" w:line="261"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March 31, 2022, $263,372 of securities were classified as short-term interest-bearing investments and $211,108 of securities were classified as cash and cash equivalents.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2021</w:t>
            </w: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10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06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$209,026</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191,445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1,084</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190,437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239</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223"/>
        </w:trPr>
        <w:tc>
          <w:tcPr>
            <w:tcW w:w="6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466,827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77"/>
              </w:rPr>
              <w:t>80</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465,553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20" w:hanging="424"/>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2021, $256,527 of securities were classified as short-term interest-bearing investments and $209,026 of securities were classified as cash and cash equivalents.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March 31, 2022, the immaterial unrealized losses attributable to the Company’s available-for-sale securities were primarily due to credit spreads and interest rate movements. The Company assessed whether such unrealized losses for the investments in its portfolio were caused by expected credit loss. Based on this assessment, the Company did not recognize any credit losses in the three and six months ended March 31, 2022 and 2021. Realized gains and losses on short-term interest-bearing investments are included in earnings and are determined based on specific identification method.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2022, the Company’s available-for-sale securities had the following maturity dates: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Market Value</w:t>
            </w: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1 to 2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35,936</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to 3 years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72,034</w:t>
            </w:r>
          </w:p>
        </w:tc>
        <w:tc>
          <w:tcPr>
            <w:tcW w:w="4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3 to 4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101,363</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39,278</w:t>
            </w:r>
          </w:p>
        </w:tc>
        <w:tc>
          <w:tcPr>
            <w:tcW w:w="4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474,480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Derivative Financial Instruments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$9,660 as of March 31, 2022. The Company has limited its credit risk by entering into derivative transactions exclusively with investment-grade rated financial institutions and monitors the creditworthiness of these financial institutions on an ongoing basis.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classifies cash flows from its derivative transactions as cash flows from operating activities in the consolidated statements of cash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flow.</w:t>
      </w:r>
    </w:p>
    <w:p>
      <w:pPr>
        <w:spacing w:after="0" w:line="20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of the Company’s derivative instruments as of March 31, 2022. Notional values are in U.S. dollars and are translated and calculated based on forward rates as of March 31, 2022 for forward contracts, and based on spot rates as of March 31, 2022 for options.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Notional Value*</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1,722,985</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220" w:hanging="424"/>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March 31, 2022 and September 30, 2021, is as follows: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498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196"/>
        </w:trPr>
        <w:tc>
          <w:tcPr>
            <w:tcW w:w="4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10,167</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6,962</w:t>
            </w: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3,068</w:t>
            </w: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4,230</w:t>
            </w: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(8,261)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(3,211)</w:t>
            </w:r>
          </w:p>
        </w:tc>
      </w:tr>
      <w:tr>
        <w:trPr>
          <w:trHeight w:val="230"/>
        </w:trPr>
        <w:tc>
          <w:tcPr>
            <w:tcW w:w="4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(5,245)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w:t>
            </w:r>
          </w:p>
        </w:tc>
        <w:tc>
          <w:tcPr>
            <w:tcW w:w="13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4,954</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10,979</w:t>
            </w:r>
          </w:p>
        </w:tc>
      </w:tr>
      <w:tr>
        <w:trPr>
          <w:trHeight w:val="20"/>
        </w:trPr>
        <w:tc>
          <w:tcPr>
            <w:tcW w:w="4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March 31, 2022 is scheduled to mature within the next 12 months.</w:t>
      </w:r>
    </w:p>
    <w:p>
      <w:pPr>
        <w:spacing w:after="0" w:line="16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effective portion of the gain or loss on the derivative instruments is initially recorded as a component of other comprehensive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effect of the Company’s cash flow hedging instruments in the consolidated statements of income for the three and six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2022 and 2021, respectively, which partially offsets the foreign currency impact from the underlying exposures, is summarized as follows: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(Losses) Gains Reclassified from</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380" w:type="dxa"/>
            <w:vAlign w:val="bottom"/>
            <w:gridSpan w:val="13"/>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 (Loss) Income (Effective Portion)</w:t>
            </w:r>
          </w:p>
        </w:tc>
      </w:tr>
      <w:tr>
        <w:trPr>
          <w:trHeight w:val="173"/>
        </w:trPr>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45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5,176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10,774</w:t>
            </w: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3,282</w:t>
            </w: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3,857</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activity related to the changes in net unrealized gains (losses) on cash flow hedges recorded in accumulated other comprehensive (loss)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net of tax, is as follows:</w:t>
      </w:r>
    </w:p>
    <w:p>
      <w:pPr>
        <w:spacing w:after="0" w:line="227"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on cash flow hedges, net of tax,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$13,773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$ 18,836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cash flow hedges, net of tax</w:t>
            </w: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(1,213)</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13,708</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net gains into earnings, net of tax</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(14,655)</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on cash flow hedges, net of tax, end of period</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12,086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$ 17,889</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Net (losses) gains from cash flow hedges recognized in other comprehensive loss were $(1,238) and $15,505, or $(1,213) and $13,708 net of taxes, during the six months ended March 31, 2022 and 2021, respectively.</w:t>
      </w:r>
    </w:p>
    <w:p>
      <w:pPr>
        <w:spacing w:after="0" w:line="162"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Of the net unrealized gains related to derivatives designated as cash flow hedges and recorded in accumulated other comprehensive (loss) income as of March 31, 2022, a net gain of $5,919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5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ineffective portion of the change in fair value of a cash flow hedge, including the time value portion excluded from effectiveness testing for the three and six months ended March 31, 2022 and 2021, was not material.</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Risk Management Derivatives</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4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These instruments are generally short-term in nature, with typical maturities of less than 12 months, and are subject to fluctuations in foreign exchange rates.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effect of the Company’s derivative instruments not designated as hedging instruments in the consolidated statements of income for the three and six months ended March 31, 2022 and 2021, respectively, which partially offsets the foreign currency impact from the underlying exposure, is summarized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10"/>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(Losses) Gains Recognized in Income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5"/>
                <w:szCs w:val="15"/>
                <w:color w:val="auto"/>
              </w:rPr>
            </w:pPr>
          </w:p>
        </w:tc>
        <w:tc>
          <w:tcPr>
            <w:tcW w:w="200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(1,818)</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(9,127)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(4,875)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(11,874)</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(5,114)</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5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Ongoing accrued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$187,399</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206,905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Project-related provisions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113,033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125,612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48,527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188,323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196,832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583,596</w:t>
            </w:r>
          </w:p>
        </w:tc>
        <w:tc>
          <w:tcPr>
            <w:tcW w:w="4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612,303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Income Tax (benefit),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(benefit) provision for income tax (benefit) expense for the following periods consisted of:</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7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center"/>
              <w:ind w:left="50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7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36,558</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$28,521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$ 66,396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114,901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(40,023)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(1,886)</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(35,879)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(3,465)</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26,635</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$ 30,517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96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5" w:right="6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effective income tax rate varied from the statutory Guernsey tax rate as follows for the following periods: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20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Guernsey tax rate</w:t>
            </w:r>
          </w:p>
        </w:tc>
        <w:tc>
          <w:tcPr>
            <w:tcW w:w="1120" w:type="dxa"/>
            <w:vAlign w:val="bottom"/>
            <w:tcBorders>
              <w:right w:val="single" w:sz="8" w:color="CCEEFF"/>
            </w:tcBorders>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 (1)</w:t>
            </w:r>
          </w:p>
        </w:tc>
        <w:tc>
          <w:tcPr>
            <w:tcW w:w="11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(2.2)</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18.3</w:t>
            </w:r>
          </w:p>
        </w:tc>
        <w:tc>
          <w:tcPr>
            <w:tcW w:w="9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9.5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120" w:type="dxa"/>
            <w:vAlign w:val="bottom"/>
            <w:tcBorders>
              <w:right w:val="single" w:sz="8" w:color="CCEEFF"/>
            </w:tcBorders>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(2.2%)</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18.3%</w:t>
            </w:r>
          </w:p>
        </w:tc>
        <w:tc>
          <w:tcPr>
            <w:tcW w:w="9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9.5%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Guernsey company subject to a corporate tax rate of zero percent, the Company’s overall effective tax rate is attributable to foreign taxes.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20" w:hanging="264"/>
        <w:spacing w:after="0"/>
        <w:tabs>
          <w:tab w:leader="none" w:pos="8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six months ended March 31, 2022:</w:t>
      </w:r>
    </w:p>
    <w:p>
      <w:pPr>
        <w:spacing w:after="0" w:line="121" w:lineRule="exact"/>
        <w:rPr>
          <w:sz w:val="20"/>
          <w:szCs w:val="20"/>
          <w:color w:val="auto"/>
        </w:rPr>
      </w:pPr>
    </w:p>
    <w:p>
      <w:pPr>
        <w:ind w:left="560" w:right="20" w:firstLine="423"/>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2022, the Company recorded a tax benefit of $37,000 related to the release of accrued withholding taxes on unremitted earnings accumulated in Israel. The release of the accrued withholding taxes followed the Company’s funding decisions relating to the construction of its new Israeli campus; such funding decision has also taken into consideration the recent changes in Israeli law and the recent application of the Preferred Technological Enterprise regime to the company’s main Israeli operating subsidiary.</w:t>
      </w:r>
    </w:p>
    <w:p>
      <w:pPr>
        <w:spacing w:after="0" w:line="72" w:lineRule="exact"/>
        <w:rPr>
          <w:sz w:val="20"/>
          <w:szCs w:val="20"/>
          <w:color w:val="auto"/>
        </w:rPr>
      </w:pPr>
    </w:p>
    <w:p>
      <w:pPr>
        <w:jc w:val="both"/>
        <w:ind w:left="560" w:right="240" w:firstLine="423"/>
        <w:spacing w:after="0" w:line="261" w:lineRule="auto"/>
        <w:rPr>
          <w:sz w:val="20"/>
          <w:szCs w:val="20"/>
          <w:color w:val="auto"/>
        </w:rPr>
      </w:pPr>
      <w:r>
        <w:rPr>
          <w:rFonts w:ascii="Times New Roman" w:cs="Times New Roman" w:eastAsia="Times New Roman" w:hAnsi="Times New Roman"/>
          <w:sz w:val="18"/>
          <w:szCs w:val="18"/>
          <w:color w:val="auto"/>
        </w:rPr>
        <w:t>Foreign taxes in the six months ended March 31, 2022 also included a benefit of $4,578 relating to changes in tax regulations in certain jurisdiction, an expense of $3,193 for the estimated additional tax charge as a result of the gain from sale of a business, (see also Note 3) and a benefit of $3,263 relating to release of gross unrecognized tax benefits due to settlements of tax audits and expiration of the periods set forth in statutes of limitations in certain jurisdictions.</w:t>
      </w:r>
    </w:p>
    <w:p>
      <w:pPr>
        <w:spacing w:after="0" w:line="284" w:lineRule="exact"/>
        <w:rPr>
          <w:sz w:val="20"/>
          <w:szCs w:val="20"/>
          <w:color w:val="auto"/>
        </w:rPr>
      </w:pPr>
    </w:p>
    <w:p>
      <w:pPr>
        <w:ind w:left="820" w:hanging="264"/>
        <w:spacing w:after="0"/>
        <w:tabs>
          <w:tab w:leader="none" w:pos="8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six months ended March 31, 2021:</w:t>
      </w:r>
    </w:p>
    <w:p>
      <w:pPr>
        <w:spacing w:after="0" w:line="121"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Foreign taxes in the six months ended March 31, 2021 included an expense of $39,596 for the estimated additional tax charge as a result of the gain from sale of a business, see also Note 3.</w:t>
      </w:r>
    </w:p>
    <w:p>
      <w:pPr>
        <w:spacing w:after="0" w:line="54"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Foreign taxes in the six months ended March 31, 2021 also included a benefit of $4,772 relating to release of gross unrecognized tax benefits due to expiration of the periods set forth in statutes of limitations in certain jurisdictions, and changes in facts and circumstances resulting in a change in measurement of certain positions.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deferred tax assets of $62,984, derived primarily from tax credits, net capital and operating loss carry forwards related to some of the Company’s subsidiaries, were offset by valuation allowances due to the uncertainty of realizing tax benefit for such credits and losses.</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total amount of gross unrecognized tax benefits, which includes interest and penalties, was $208,641 as of March 31, 2022, all of which would affect the effective tax rate if realized.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2022, the Company had accrued $29,228 in income taxes payable for interest and penalties relating to unrecognized tax benefits.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7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5"/>
                <w:szCs w:val="15"/>
                <w:color w:val="auto"/>
              </w:rPr>
            </w:pPr>
          </w:p>
        </w:tc>
        <w:tc>
          <w:tcPr>
            <w:tcW w:w="17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158,497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119,067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292,099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418,699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Less-net income and dividends attributable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 for 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156,163</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117,827</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288,055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414,721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Add-undistributed income allocated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Less-undistributed income reallocated to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Numerator for diluted earnings per common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156,174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117,833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288,073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414,738</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shares outstanding—basic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122,977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129,774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123,748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130,457</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weighted average number of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(1,811)</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121,166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128,422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122,035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129,218</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 granted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shares—diluted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122,010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129,344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122,858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129,908</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March 31, 2022, 134 and 80 shares, respectively, on a weighted average basis, were attributable to antidilutive outstanding stock options and restricted stock units. For the three and six months ended March 31, 2021, 477 and 1,716 shares, respectively, on a weighted average basis, were attributable to antidilutive outstanding stock options and restricted stock units. Shares attributable to antidilutive outstanding stock options and restricted stock units were not included in the calculation of diluted earnings per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Repurchase of Shares</w:t>
      </w:r>
    </w:p>
    <w:p>
      <w:pPr>
        <w:spacing w:after="0" w:line="121"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From time to time, the Company’s Board of Directors can adopt share repurchase plans authorizing the repurchase of the Company’s outstanding ordinary shares. On May 12, 2021, the Company’s Board of Directors adopted a share repurchase plan for the repurchase of up to $1.0 billion of the Company’s outstanding ordinary shares with no expiration date. The May 2021 plan permits the Company to purchase our ordinary shares in the open market or through privately negotiated transactions at times and prices that the Company considers appropriate. In the six months ended March 31, 2022, the Company repurchased 3,981 ordinary shares at an average price of $75.57 per share (excluding broker and transaction fees). As of March 31, 2022, the Company had remaining authority to repurchase up to $697,614 of its outstanding ordinary shares under the May 2021 plan.</w:t>
      </w: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Financing Arrangements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December 2011, the Company entered into an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As of March 31, 2022, the Company was in compliance with the financial covenants and had no outstanding borrowings under the Revolving Credit Facility.</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87"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total interest expense recognized in connection with the Senior Notes for the three and six months ended March 31, 2022 was $4,195 and $8,500, respectively. The accrued interest on the Senior Notes is included in accrued expenses and other current liabilities and was $4,788 as of March 31, 2022. As of March 31, 2022, the noncurrent outstanding principal portion was $650,000.</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total estimated fair value of the Senior Notes as of March 31, 2022 was $591,949. The fair value was determined based on the closing trading price of Senior Notes as of March 31, 2022 and is deemed a Level 2 liability within the fair value measurement framework.</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additional uncommitted lines of credit available for general corporate and other specific purposes and had outstanding letters of credit and bank guarantees from various banks totaling $78,437. These were supported by a combination of the uncommitted lines of credit that the Company maintains with various banks.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Stock Option and Incentive Plan</w:t>
      </w:r>
    </w:p>
    <w:p>
      <w:pPr>
        <w:spacing w:after="0" w:line="121"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are issued at or above the market price at the time of grant.</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2022, the Company granted 1,358 restricted shares. The weighted average fair values associated with these grants were $73.96 per restricted share.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Equity-based payments to employees, including grants of employee stock options, are recognized in the statements of income based on their fair values.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Employee equity-based compensation pre-tax expense for the three and six months ended March 31, 2022 and 2021 was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5,582</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$15,217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$10,523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2,598</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1,844</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6,781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16,763</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13,585</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17,837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13,375</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34,578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25,952</w:t>
            </w:r>
          </w:p>
        </w:tc>
        <w:tc>
          <w:tcPr>
            <w:tcW w:w="4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costs for its equity incentive grants using the graded vesting attribution method. As of March 31, 2022, there was $98,010 of unrecognized compensation expense related to unvested stock options and unvested restricted shares which is expected to be recognized over a weighted average period of approximately one year, based on the vesting periods of the grants.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Dividends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Board of Directors declared the following dividends during the six months ended March 31, 2022 and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120" w:type="dxa"/>
            <w:vAlign w:val="bottom"/>
            <w:vMerge w:val="restart"/>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20" w:type="dxa"/>
            <w:vAlign w:val="bottom"/>
          </w:tcPr>
          <w:p>
            <w:pPr>
              <w:spacing w:after="0"/>
              <w:rPr>
                <w:sz w:val="13"/>
                <w:szCs w:val="13"/>
                <w:color w:val="auto"/>
              </w:rPr>
            </w:pPr>
          </w:p>
        </w:tc>
        <w:tc>
          <w:tcPr>
            <w:tcW w:w="26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80" w:type="dxa"/>
            <w:vAlign w:val="bottom"/>
          </w:tcPr>
          <w:p>
            <w:pPr>
              <w:spacing w:after="0"/>
              <w:rPr>
                <w:sz w:val="13"/>
                <w:szCs w:val="13"/>
                <w:color w:val="auto"/>
              </w:rPr>
            </w:pPr>
          </w:p>
        </w:tc>
        <w:tc>
          <w:tcPr>
            <w:tcW w:w="24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80"/>
        </w:trPr>
        <w:tc>
          <w:tcPr>
            <w:tcW w:w="1040" w:type="dxa"/>
            <w:vAlign w:val="bottom"/>
            <w:tcBorders>
              <w:bottom w:val="single" w:sz="8" w:color="auto"/>
            </w:tcBorders>
            <w:vMerge w:val="continue"/>
          </w:tcPr>
          <w:p>
            <w:pPr>
              <w:spacing w:after="0"/>
              <w:rPr>
                <w:sz w:val="15"/>
                <w:szCs w:val="15"/>
                <w:color w:val="auto"/>
              </w:rPr>
            </w:pPr>
          </w:p>
        </w:tc>
        <w:tc>
          <w:tcPr>
            <w:tcW w:w="2120" w:type="dxa"/>
            <w:vAlign w:val="bottom"/>
            <w:vMerge w:val="continue"/>
          </w:tcPr>
          <w:p>
            <w:pPr>
              <w:spacing w:after="0"/>
              <w:rPr>
                <w:sz w:val="15"/>
                <w:szCs w:val="15"/>
                <w:color w:val="auto"/>
              </w:rPr>
            </w:pPr>
          </w:p>
        </w:tc>
        <w:tc>
          <w:tcPr>
            <w:tcW w:w="12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Ordinary Share</w:t>
            </w:r>
          </w:p>
        </w:tc>
        <w:tc>
          <w:tcPr>
            <w:tcW w:w="220" w:type="dxa"/>
            <w:vAlign w:val="bottom"/>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February 1, 2022</w:t>
            </w: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0.395</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March 31, 2022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48,527</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2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44,410</w:t>
            </w:r>
          </w:p>
        </w:tc>
        <w:tc>
          <w:tcPr>
            <w:tcW w:w="2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28, 2022</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 2021</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28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March 31, 2021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45,958</w:t>
            </w:r>
          </w:p>
        </w:tc>
        <w:tc>
          <w:tcPr>
            <w:tcW w:w="2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April 23, 2021</w:t>
            </w: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2020</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0.3275</w:t>
            </w:r>
          </w:p>
        </w:tc>
        <w:tc>
          <w:tcPr>
            <w:tcW w:w="2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December 31, 2020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42,850</w:t>
            </w:r>
          </w:p>
        </w:tc>
        <w:tc>
          <w:tcPr>
            <w:tcW w:w="2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22, 2021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amounts payable as a result of the February 1, 2022 and February 2, 2021 declarations were included in accrued expenses and other current liabilities as of March 31, 2022 and 2021, respectively.</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May 11, 2022 the Company’s Board of Directors approved the next quarterly dividend payment of $0.395 per share and set June 30, 2022 as the record date for determining the shareholders entitled to receive the dividend, which is payable on July 29, 2022.</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3" w:lineRule="exact"/>
        <w:rPr>
          <w:sz w:val="20"/>
          <w:szCs w:val="20"/>
          <w:color w:val="auto"/>
        </w:rPr>
      </w:pPr>
    </w:p>
    <w:p>
      <w:pPr>
        <w:ind w:left="560" w:right="9200" w:hanging="444"/>
        <w:spacing w:after="0" w:line="400" w:lineRule="auto"/>
        <w:tabs>
          <w:tab w:leader="none" w:pos="389"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Contingencies </w:t>
      </w:r>
      <w:r>
        <w:rPr>
          <w:rFonts w:ascii="Times New Roman" w:cs="Times New Roman" w:eastAsia="Times New Roman" w:hAnsi="Times New Roman"/>
          <w:sz w:val="17"/>
          <w:szCs w:val="17"/>
          <w:i w:val="1"/>
          <w:iCs w:val="1"/>
          <w:color w:val="auto"/>
        </w:rPr>
        <w:t>Legal Proceedings</w:t>
      </w: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the Ecuadorian Courts have responded to such defense efforts, including motions alleging constitutional defects, in an inconsistent manner. While we have achieved some successes, the majority of the procedures are still ongoing. The Company is unable to reasonably estimate the ultimate outcome of the above dispute.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May 20, 2022, the Company entered into a definitive agreement to acquire MYCOM OSI, a UK-headquartered company providing SaaS-based cloud network and service assurance solutions to communications service providers globally, for approximately $188,000 in cash which, subject to the satisfaction of the conditions to closing, is expected to be completed in the fourth quarter of fiscal 2022.</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Operating and Financial Review and Prospects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our ability to derive revenues in the future from our current research and development efforts;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and other risks including the COVID-19 risk, please read the information set forth under the caption “Risk Factors” in our Annual Report on Form 20-F for fiscal year 2021, filed on December 9, 2021 with the U.S. Securities and Exchange Commission.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Business and Trend Information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Amdocs is a leading provider of software and services for more than 350 communications, Pay TV, entertainment and media industry and other service providers in developed countries and emerging markets. Amdocs also holds relationships with hundreds of content owners and distributors around the globe. Our software and services, which we develop, implement and manage, are designed to meet the business imperatives of our customers and help them modernize, automate and digitize their business in the cloud.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the demand for our solutions is driven by our clients’ continued migration to the cloud, deployment of 5G networks and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3"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Our offerings, grouped by technology capabilities such as commerce and care, catalog management, monetization, subscription and content management, IoT, 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They enable modular expansion as a service provider evolves, ensuring low-cost and reduced-risk implementations, while their microservices-based architecture enables the rapid deployment of complex applications as suites of independently deployable services that can be frequently upgraded via DevOps. Our comprehensive line of services is designed to address every stage of a service provider’s lifecycle. They include consulting, delivery, quality engineering, operations, systems integration, mobile network services, experience design and content services. Our managed services provide multi-year, flexible and tailored business processes and applications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conduct our business globally, and as a result we are subject to the effects of global economic conditions and, in particular, market conditions in the communications and media industry. In the six months ended March 31, 2022, customers in North America accounted for 67.4% of our revenue, while customers in Europe and the rest of the world accounted for 12.9% and 19.7%, respectively. We maintain and support development facilities in Brazil, Canada, Cyprus, India, Ireland, Israel, Mexico, the Philippines, the UK and the United States.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derive our revenue principally from:</w:t>
      </w:r>
    </w:p>
    <w:p>
      <w:pPr>
        <w:spacing w:after="0" w:line="131" w:lineRule="exact"/>
        <w:rPr>
          <w:sz w:val="20"/>
          <w:szCs w:val="20"/>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sales of licenses to use our products and related services, including modification, implementation, integration and customization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managed services in our domain expertise and other related services,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from ongoing support, maintenance and enhancements provided to our customers, and from incremental license fees resulting from increases in a customer’s business volume.</w:t>
      </w:r>
    </w:p>
    <w:p>
      <w:pPr>
        <w:spacing w:after="0" w:line="16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results of operations are affected by general economic conditions and the level of economic activity in the industries and markets that we serve. The current COVID-19 pandemic, including its novel strains, has increased that level of volatility and uncertainty globally and has created economic disruption. While the extent of the impact of the COVID-19 pandemic on our business remains uncertain and the rate and pace of recovery has differed by geography and industry, we are currently performing on our obligations while implementing some modifications, including, among others, travel restrictions and moving our employees to work from home or hybrid home-office arrangements where permissible, while prioritizing the well-being of our employees. Despite operating under the pandemic global restrictions, we are able to continue to seamlessly operate our customers’ mission-critical systems without interruption.</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as a result of the business disruption caused by the COVID-19 pandemic, we cannot predict all possible scenarios and our outlook maybe impacted materially as our customers continue to evaluate their strategic business priorities and future pace of investments. We are actively monitoring the pandemic and managing our business to respond to the impact of COVID-19. In addition, foreign exchange rates fluctuation may continue to present challenges in future periods should significant increases in volatility in foreign exchange markets occur. Although we try to mitigate the foreign currency exchange rates impact on our results through our hedging policy, we cannot assure that we will be able to effectively limit all of our exposure.</w:t>
      </w:r>
    </w:p>
    <w:p>
      <w:pPr>
        <w:spacing w:after="0" w:line="185"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revenue under the five-step methodology required under ASC 606, which requires us to identify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75" w:lineRule="exact"/>
        <w:rPr>
          <w:sz w:val="20"/>
          <w:szCs w:val="20"/>
          <w:color w:val="auto"/>
        </w:rPr>
      </w:pPr>
    </w:p>
    <w:p>
      <w:pPr>
        <w:jc w:val="both"/>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For our primary revenue categories, related performance obligations, and associated recognition patterns please see Note 4 to our consolidated financial statements.</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$663.4 million and $634.6 million in the three months ended March 31, 2022 and 2021, respectively, and $1.32 billion and $1.26 billion in the six months ended March 31, 2022 and 2021,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three and six months ended March 31, 2022 and 2021. Certain items in our consolidated statements of income are reflected as a percentage of revenue (figures may not sum because of rounding):</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5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5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340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64.7</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65.4</w:t>
            </w:r>
          </w:p>
        </w:tc>
        <w:tc>
          <w:tcPr>
            <w:tcW w:w="76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64.8</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7.6</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7.2</w:t>
            </w:r>
          </w:p>
        </w:tc>
        <w:tc>
          <w:tcPr>
            <w:tcW w:w="7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11.8</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76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11.7</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85.8</w:t>
            </w:r>
          </w:p>
        </w:tc>
        <w:tc>
          <w:tcPr>
            <w:tcW w:w="76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85.6</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40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(0.8)</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(0.3)</w:t>
            </w:r>
          </w:p>
        </w:tc>
        <w:tc>
          <w:tcPr>
            <w:tcW w:w="7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2640" w:type="dxa"/>
            <w:vAlign w:val="bottom"/>
          </w:tcPr>
          <w:p>
            <w:pPr>
              <w:spacing w:after="0"/>
              <w:rPr>
                <w:sz w:val="18"/>
                <w:szCs w:val="18"/>
                <w:color w:val="auto"/>
              </w:rPr>
            </w:pP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13.9</w:t>
            </w:r>
          </w:p>
        </w:tc>
        <w:tc>
          <w:tcPr>
            <w:tcW w:w="76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14.3</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40" w:type="dxa"/>
            <w:vAlign w:val="bottom"/>
          </w:tcPr>
          <w:p>
            <w:pPr>
              <w:spacing w:after="0"/>
              <w:rPr>
                <w:sz w:val="18"/>
                <w:szCs w:val="18"/>
                <w:color w:val="auto"/>
              </w:rPr>
            </w:pPr>
          </w:p>
        </w:tc>
        <w:tc>
          <w:tcPr>
            <w:tcW w:w="7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13.8%</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7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13.0%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40" w:type="dxa"/>
            <w:vAlign w:val="bottom"/>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5" w:right="8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March 31, 2022 and 2021</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six months ended March 31, 2022 compared to the six months ended March 31, 2021. Following the table is a discussion and analysis of our business and results of operations for such periods.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72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7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2,249,903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2,135,077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$ 114,826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1,457,975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1,414,231</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43,744</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150,823</w:t>
            </w: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18,186</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263,058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238,839</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24,219</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41,740</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(5,676)</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1,926,106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1,845,633</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80,473</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323,797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34,353</w:t>
            </w:r>
          </w:p>
        </w:tc>
        <w:tc>
          <w:tcPr>
            <w:tcW w:w="3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(10,032)</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(1,149)</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226,410</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(216,410)</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322,616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505,822</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(183,206)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87,123</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(56,606)</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292,099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418,699</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(126,600)</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increased by $114.8 million, or 5.4%, to $2,249.9 million in the six months ended March 31, 2022, from $2,135.1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six months ended March 31, 2021. The increase in revenue was attributable primarily to an increase in managed services arrangements and transformation activities in North America reflecting strong business activity building next-generation platforms for our customers and was partially offset by a decrease in revenue as a result of the divestiture of OpenMarket completed on December 31, 2020. Revenue for the six months ended March 31, 2022, increased by 6.0% compared to the six months ended March 31, 2021, excluding approximately 0.6% negative foreign exchange fluctuations impact.</w:t>
      </w:r>
    </w:p>
    <w:p>
      <w:pPr>
        <w:spacing w:after="0" w:line="18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the six months ended March 31, 2022, revenue from customers in North America, Europe and the rest of the world accounted for 67.4%, 12.9% and 19.7%, respectively, of total revenue, compared to 64.8%, 15.0% and 20.2%, respectively, in the six months ended March 31, 2021. The increase in revenue from customers in North America was primarily attributable to higher revenue from managed services arrangements and transformation activities from key customers in North America which was partially offset by the divestiture of OpenMarket completed on December 31, 2020.</w:t>
      </w:r>
    </w:p>
    <w:p>
      <w:pPr>
        <w:spacing w:after="0" w:line="16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Revenue from customers in Europe decreased during the six months ended March 31, 2022, primarily as a result of the divestiture of OpenMarket completed on December 31, 2020, as well as the impact of negative foreign exchange fluctuations.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Revenue from customers in the rest of the world in absolute amount slightly increased while the percentage of revenue from customers in rest of the world remained stable.</w:t>
      </w:r>
    </w:p>
    <w:p>
      <w:pPr>
        <w:spacing w:after="0" w:line="15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costs of third-party products, as well as fee and royalty payments to software suppliers. Cost of revenue increased by $43.7 million, or 3.1%, to $1,458.0 million in the six months ended March 31, 2022, from $1,414.2 million in the six months ended March 31, 2021. The Cost of revenue as a percentage of revenue, decreased to 64.8% in the six months ended March 31, 2022, from 66.2% in in the six months ended March 31, 2021. This decrease in cost of revenue as a percentage of revenue was attributable to operational excellence initiatives through automation and new methodologies, the divestiture of OpenMarket completed on December 31, 2020, as OpenMarket’s cost of revenue as a percentage of revenue was higher than the Company average and the impact of changes of certain acquisition-related liabilities measured at fair value recognized in the six months ended March 31, 2022 and March 31, 2021. Our Cost of Revenue increased as a result of negative foreign exchange impacts.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increased by $18.2 million, or 12.1%, to $169.0 million in the six months ended March 31, 2022, from $150.8 million in the six months ended March 31, 2021. Research and development expense increased as a percentage of revenue from 7.1% in the six months ended March 31, 2021, to 7.5% in the six months ended March 31, 2022, as we have been accelerating our investment in our cloud offerings, 5G and network related innovation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increased by $24.2 million, or 10.1%, to $263.1 million in the six months ended March 31, 2022, from $238.8 million in the six months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2021. Selling, general and administrative expense increased as a percentage of revenue from 11.2% in the six months ended March 31, 2021,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11.7% in the six months ended March 31, 2022. The increase was primarily attributable to sales and marketing efforts, and to selling, general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administrative expense attributable to recent completed acquisitions, which were partially offset by decrease in the account receivable allowances.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 may fluctuate from time to time, depending upon such factors as changes in our workforce and sales efforts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results of any operational efficiency programs that we may undertake.</w:t>
      </w:r>
    </w:p>
    <w:p>
      <w:pPr>
        <w:spacing w:after="0" w:line="203" w:lineRule="exact"/>
        <w:rPr>
          <w:sz w:val="20"/>
          <w:szCs w:val="20"/>
          <w:color w:val="auto"/>
        </w:rPr>
      </w:pPr>
    </w:p>
    <w:p>
      <w:pPr>
        <w:ind w:left="120" w:right="2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2022, decreased by $5.7 million, or 13.6% to $36.1 million from $41.7 million in the six months ended March 31, 2021. The decrease in amortization of purchased intangible assets and other was primarily attributable to a completion of amortization of previously purchased intangible assets, and to a lesser extent, a decrease in acquisition-related costs, partially offset by an increase in amortization of intangible assets due to recently completed acquisitions.</w:t>
      </w:r>
    </w:p>
    <w:p>
      <w:pPr>
        <w:spacing w:after="0" w:line="179"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increased by $34.4 million, or 11.9%, in the six months ended March 31, 2022, to $323.8 million, or 14.4%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 from $289.4 million, or 13.6% of revenue, in the six months ended March 31, 2021. Our revenue in the six months ended March 31, 2022 increased in a higher rate than the increase in cost of revenue, which resulted in an increase in our operating income. The increase in operating income was partially offset by increase in selling, general and administrative expense and research and development expense. Our operating income was negatively affected by foreign exchange impacts.</w:t>
      </w:r>
    </w:p>
    <w:p>
      <w:pPr>
        <w:spacing w:after="0" w:line="179"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changed from a net expense of $10.0 million in the six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a net expense of $11.2 million in the six months ended March 31, 2022. The increase in interest and other expense, net, was primarily attributable to an increase in foreign exchange fluctuation impacts, partially offset by changes of minority equity investments measured at fair value and decrease in interest expenses related to financing activities recorded in the six months ended March 31, 2022 compared to the six months ended March 31,2021.</w:t>
      </w:r>
    </w:p>
    <w:p>
      <w:pPr>
        <w:spacing w:after="0" w:line="179"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from sale of a business. </w:t>
      </w:r>
      <w:r>
        <w:rPr>
          <w:rFonts w:ascii="Times New Roman" w:cs="Times New Roman" w:eastAsia="Times New Roman" w:hAnsi="Times New Roman"/>
          <w:sz w:val="18"/>
          <w:szCs w:val="18"/>
          <w:color w:val="auto"/>
        </w:rPr>
        <w:t>Gain from sale of a business, in the six months ended March 31, 2022, decreased by $216.4 million, or 95.6%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 million from $226.4 million in the six months ended March 31, 2022. Please see Note 3 to our consolidated financial statements.</w:t>
      </w:r>
    </w:p>
    <w:p>
      <w:pPr>
        <w:spacing w:after="0" w:line="15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r>
        <w:rPr>
          <w:rFonts w:ascii="Times New Roman" w:cs="Times New Roman" w:eastAsia="Times New Roman" w:hAnsi="Times New Roman"/>
          <w:sz w:val="18"/>
          <w:szCs w:val="18"/>
          <w:color w:val="auto"/>
        </w:rPr>
        <w:t>. Income tax (benefit) expense for the six months ended March 31, 2022 were $30.5 million on pre-tax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$322.6 million, resulting in an effective tax rate of 9.5%, compared to 17.2% in the six months ended March 31, 2021. The decrease in the effective tax rate is primarily attributable to a tax benefit recorded during the six months ended March 31, 2022, see also note 9 to our consolidated financial statements. Our effective tax rate may fluctuate between periods as a result of discrete items that may affect a particular period. Please.</w:t>
      </w:r>
    </w:p>
    <w:p>
      <w:pPr>
        <w:spacing w:after="0" w:line="176"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Net Income</w:t>
      </w:r>
      <w:r>
        <w:rPr>
          <w:rFonts w:ascii="Times New Roman" w:cs="Times New Roman" w:eastAsia="Times New Roman" w:hAnsi="Times New Roman"/>
          <w:sz w:val="17"/>
          <w:szCs w:val="17"/>
          <w:color w:val="auto"/>
        </w:rPr>
        <w:t>. Net income decreased by $126.6 million, or 30.2%, to $292.1 million in the six months ended March 31, 2022, from $418.7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six months ended March 31, 2021. The decrease in net income was primarily attributable to the gain from sale of a business, net of tax, which was recorded in the six months ended March 31, 2021, partially offset by decrease in income tax (benefit) expense and by an increase in operating income.</w:t>
      </w:r>
    </w:p>
    <w:p>
      <w:pPr>
        <w:spacing w:after="0" w:line="15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decreased by $0.85, or 26.6%, to $2.34 in the six months ended March 31, 2022,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$3.19 in the six months ended March 31, 2021. The decrease in diluted earnings per share was primarily attributable to the gain from sale of a business, net of tax, which increased the diluted earnings per share by $0.05 and $1.42 for the six months ended March 31, 2022 and 2021, respectively. The decrease was partially offset by tax benefit as described in note 9 to our consolidated financial statements, recorded in the six months ended March 31, 2022, by an increase in operating income and by the decrease in the diluted weighted average number of shares outstanding, which resulted from share repurchases. Please see also Note 10 to our consolidated financial statements.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three months ended March 31, 2022 compared to the three months ended March 31, 2021. Following the table is a discussion and analysis of our business and results of operations for such periods.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6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1,145,271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1,048,734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$ 96,537</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741,257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685,515</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55,742</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87,064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75,154</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11,910</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134,982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116,951</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18,031</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(3,553)</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(3,542)</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(5,077)</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26,635</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(30,100)</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158,497</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119,067</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$ 39,430</w:t>
            </w:r>
          </w:p>
        </w:tc>
        <w:tc>
          <w:tcPr>
            <w:tcW w:w="30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increased by $96.5 million, or 9.2%, to $1,145.3 million in the three months ended March 31, 2022, from $1,048.7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2021. The increase in revenue was primarily attributable to an increase in managed services arrangements and transformation activities in North America reflecting strong business activity building next-generation platforms for our customers. Revenue for the three months ended March 31, 2022, increased by 10.1% compared to the three months ended March 31, 2021, excluding approximately 0.9% negative foreign exchange fluctuations impact.</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2022, revenue from customers in North America, Europe and the rest of the world accounted for 67.4%, 12.9% and 19.7%, respectively, of total revenue, compared to 64.8%, 14.2% and 21.0%, respectively, in the three months ended March 31, 2021. The increase in revenue from customers in North America was primarily attributable to higher revenue from managed services arrangements and transformation activities from key customers in North America.</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Revenue from customers in Europe remained stable during the three months ended March 31, 2022, while total revenue increased, which resulted in a decrease of revenue from customers in Europe as a percentage of total revenue. Revenue from customers in Europe was negatively affected by foreign exchange fluctuations.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Revenue from customers in rest of the world slightly increased during the three months ended March 31, 2022, while total revenue increased, which resulted in a slight decrease of revenue from customers in rest of the world as a percentage of total revenue.</w:t>
      </w:r>
    </w:p>
    <w:p>
      <w:pPr>
        <w:spacing w:after="0" w:line="158"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costs of third-party products, as well as fee and royalty payments to software suppliers. Cost of revenue increased by $55.7 million, or 8.1%, to $741.3 million in the three months ended March 31, 2022, from $685.5 million in the three months ended March 31, 2021. The Cost of revenue as a percentage of revenue, decreased to 64.7% in the three months ended March 31, 2022, from 65.4% in the three months ended March 31, 2021. This decrease in cost of revenue as a percentage of revenue was primarily attributable to operational excellence initiatives through automation and new methodologies. Our cost of revenue increased as a result of negative foreign exchange impacts.</w:t>
      </w:r>
    </w:p>
    <w:p>
      <w:pPr>
        <w:spacing w:after="0" w:line="182"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Research and Development</w:t>
      </w:r>
      <w:r>
        <w:rPr>
          <w:rFonts w:ascii="Times New Roman" w:cs="Times New Roman" w:eastAsia="Times New Roman" w:hAnsi="Times New Roman"/>
          <w:sz w:val="17"/>
          <w:szCs w:val="17"/>
          <w:color w:val="auto"/>
        </w:rPr>
        <w:t>. Research and development expense is primarily comprised of compensation expense. Research and development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expense increased by $11.9 million, or 15.8%, to $87.1 million in the three months ended March 31, 2022, from $75.2 million in the three months ended March 31, 2021. Research and development expense increased as a percentage of revenue from 7.2% in the three months ended March 31, 2021, to</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7.6% in the three months ended March 31, 2022, as we have been accelerating our investment in our cloud offerings, 5G and network related innovation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by $18.0 million, or 15.4%, to $135.0 million in the three months ended March 31, 2022, from $117.0 million in the three months ended March 31, 2021. Selling, general and administrative expense increased as a percentage of revenue from 11.2% in the three months ended March 31, 2021, to 11.8% in the three months ended March 31, 2022. The increase was primarily attributable to sales and marketing efforts, and to selling, general and administrative expense, attributable to recent completed acquisitions, and to a lesser extent an increase in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83"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2022, decreased by $3.6 million, or 16.2% to $18.3 million from $21.9 million in the three months ended March 31, 2021. The decrease in amortization of purchased intangible assets and other was primarily attributable to a decrease in acquisition-related costs and, to a lesser extent, a completion of amortization of previously purchased intangible assets, partially offset by an increase in amortization of intangible assets due to recently completed acquisitions.</w:t>
      </w:r>
    </w:p>
    <w:p>
      <w:pPr>
        <w:spacing w:after="0" w:line="179"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increased by $14.4 million, or 9.7%, in the three months ended March 31, 2022, to $163.7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14.3% of revenue, from $149.2 million, or 14.2% of revenue, in the three months ended March 31, 2021. The increase in operating income was attributable primarily to the increase in operational excellence initiatives, decrease in amortization of purchased intangible assets and other expense, partially offset by increase in selling, general and administrative expense and research and development expense. Our operating income was negatively affected by foreign exchange impacts.</w:t>
      </w:r>
    </w:p>
    <w:p>
      <w:pPr>
        <w:spacing w:after="0" w:line="179"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changed from a net expense of $3.5 million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2021 to a net expense of $8.6 million in the three months ended March 31, 2022. The increase in interest and other expense, net, was primarily attributable to changes of minority equity investments measured at fair value and an increase in foreign exchange fluctuation impacts, partially offset by decrease in interest expenses related to financing activities recorded in the three months ended March 31, 2022 compared to the three months ended March 31,2021.</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r>
        <w:rPr>
          <w:rFonts w:ascii="Times New Roman" w:cs="Times New Roman" w:eastAsia="Times New Roman" w:hAnsi="Times New Roman"/>
          <w:sz w:val="18"/>
          <w:szCs w:val="18"/>
          <w:color w:val="auto"/>
        </w:rPr>
        <w:t>. Income tax (benefit) expense for the three months ended March 31, 2022 were benefit of $3.5 million on pre-tax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of $155.0 million, resulting in a negative effective tax rate of 2.2%, compared to 18.3% in the three months ended March 31, 2021. The decrease in the effective tax rate is primarily attributable to a tax benefit during the three months ended March 31, 2022, see also note 9 to our consolidated financial statements. Our effective tax rate may fluctuate between periods as a result of discrete items that may affect a particular period.</w:t>
      </w:r>
    </w:p>
    <w:p>
      <w:pPr>
        <w:spacing w:after="0" w:line="176"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increased by $39.4 million, or 33.1%, to $158.5 million in the three months ended March 31, 2022, from $119.1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three months ended March 31, 2021. The increase in net income during the three months ended March 31, 2022 was primarily attributable to the decrease in income tax (benefit) expense and to an increase in operating income.</w:t>
      </w:r>
    </w:p>
    <w:p>
      <w:pPr>
        <w:spacing w:after="0" w:line="17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increased by $0.37, or 40.7%, to $1.28 in the three months ended March 31, 2022,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$0.91 in the three months ended March 31, 2021. The increase in diluted earnings per share was primarily attributable to the tax benefit as described in note 9 to our consolidated financial statements recorded in the three months ended March 31, 2022, to an increase in operating income and to a lesser extent to a decrease in the diluted weighted average number of shares outstanding which resulted from share repurchases. Please see also Note 10 to our consolidated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Cash, Cash Equivalents and Short-Term Interest-Bearing Investments. </w:t>
      </w:r>
      <w:r>
        <w:rPr>
          <w:rFonts w:ascii="Times New Roman" w:cs="Times New Roman" w:eastAsia="Times New Roman" w:hAnsi="Times New Roman"/>
          <w:sz w:val="17"/>
          <w:szCs w:val="17"/>
          <w:color w:val="auto"/>
        </w:rPr>
        <w:t>Cash, cash equivalents and short-term interest-bearing investments, totaled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$856.4 million as of March 31, 2022, compared to $965.6 million as of September 30, 2021. The decrease was mainly attributable to $300.9 million repurchase of our ordinary shares pursuant to our repurchase program, $104.5 million for capital expenditures, net, $89.4 million of cash dividend payment, and $24.5 million payments for business acquisitions, partially offset by $373.0 million positive cash flow from operating activities, reflecting healthy cash collections, $50.6 million of proceeds from stock option exercises and additional $10.0 million cash received from sale of a business. Net cash provided by operating activities amounted to $373.0 million and $536.2 million in the six months ended March 31, 2022 and 2021, respectively. The net cash provided in the six months ended March 31, 2021 included the cash benefit of a multi-year strategic partnership agreement with T-Mobile.</w:t>
      </w:r>
    </w:p>
    <w:p>
      <w:pPr>
        <w:spacing w:after="0" w:line="17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free cash flow for the six months ended March 31, 2022 was $268.5 million and is calculated as net cash provided by operating activities of $373.0 million for the period less $104.5 million for capital expenditures, net (which included capital expenditures of $59.4 million as part of our investment in our new campus in Israel).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balances, cash generated from operations, our current lines of credit, loans, Senior Notes and our ability to access capital markets will provide sufficient resources to meet our operational needs, fund the construction of the new campus in Israel, loan and debt repayment needs, fund share repurchases and the payment of cash dividends for at least the next twelve months.</w:t>
      </w:r>
    </w:p>
    <w:p>
      <w:pPr>
        <w:spacing w:after="0" w:line="176"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treasuries and supranational and sovereign debt, which are stated at market value. We believe we have conservative investment policy guidelines. Our interest-bearing investments are stated at fair value with the unrealized gains or losses reported as a separate component of accumulated other comprehensive (loss) income,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six months ended March 31, 2022 and 2021, we did not recognize any credit losses. Please see Notes 5 and 6 to the consolidated financial statements.</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Loans, Senior Notes, Letters of Credit, Guarantees and Contractual Obligations. </w:t>
      </w:r>
      <w:r>
        <w:rPr>
          <w:rFonts w:ascii="Times New Roman" w:cs="Times New Roman" w:eastAsia="Times New Roman" w:hAnsi="Times New Roman"/>
          <w:sz w:val="18"/>
          <w:szCs w:val="18"/>
          <w:color w:val="auto"/>
        </w:rPr>
        <w:t>In December 2011, we entered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$500.0 million Revolving Credit Facility. In December 2014, December 2017 and March 2021, the Revolving Credit Facility was amended and restated to, among other things, extend the maturity date of the facility to December 2019, December 2022 and March 2026, respectively. As of March 31, 2022, we were in compliance with the financial covenants and had no outstanding borrowing under the Revolving Credit Facility.</w:t>
      </w:r>
    </w:p>
    <w:p>
      <w:pPr>
        <w:spacing w:after="0" w:line="18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March 31, 2022, the noncurrent outstanding principal portion was $650.0 million, please see Note 12 to our consolidated financial statements.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2022, we had additional uncommitted lines of credit available for general corporate and other specific purposes and had outstanding letters of credit and bank guarantees from various banks totaling $78.4 million. These were supported by a combination of the uncommitted lines of credit that we maintain with various banks.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contractual obligations for Long-term and Short-term debt and accrued interests, our non-cancelable operating leases,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2021, filed on December 9, 2021 with the SEC. Since September 30, 2021, there have been no material changes in our aggregate contractual obligations mentioned above.</w:t>
      </w:r>
    </w:p>
    <w:p>
      <w:pPr>
        <w:spacing w:after="0" w:line="18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Generally, the majority of our capital expenditures (excluding the investment in our new campus in Israel) consist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computer equipment, and the remainder is attributable mainly to leasehold improvements. Our capital expenditures were approximately $104.5 million in the six months ended March 31, 2022 and were mainly attributable to investments in our operating facilities and our development centers around the world (including the investment in our new campus in Israel).</w:t>
      </w:r>
    </w:p>
    <w:p>
      <w:pPr>
        <w:spacing w:after="0" w:line="18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total net investment we expect to make in connection with the construction of the new campus is estimated to be up to $350 million over a period of five years, starting with fiscal year 2018, out of which approximately $96 million was incurred in fiscal year 2018 by both us and our partner Union at equal portions (i.e. our net investment was approximately $48 million), $7 million was incurred by us in fiscal year 2019 (which is net of proceed of $9.7 million relating to the refund of betterment levy), $63 million was incurred by us in fiscal year 2020 and $101 million was incurred by us in fiscal year 2021. We expect to incur approximately $131 million in fiscal year 2022 and complete and start occupying our campus during the later part of fiscal year 2022.</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From time to time, our Board of Directors can adopt share repurchase plans authorizing the repurchase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On May 12, 2021, our Board of Directors adopted a share repurchase plan authorizing the repurchase of up to $1.0 billion of our outstanding ordinary shares with no expiration date. During the six months ended March 31, 2022, we repurchased approximately 4.0 million ordinary shares at an average price of $75.57 per share (excluding broker and transaction fees). The May 2021 plan permits us to purchase our ordinary shares in the open market or through privately negotiated transactions at times and prices that we consider appropriate. As of March 31, 2022, we had remaining authority to repurchase up to $697.6 million of our outstanding ordinary shares under the May 2021 plan.</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Our Board of Directors declared the following dividends during the six months ended March 31, 2022 and 2021:</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760" w:type="dxa"/>
            <w:vAlign w:val="bottom"/>
            <w:vMerge w:val="restart"/>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60" w:type="dxa"/>
            <w:vAlign w:val="bottom"/>
          </w:tcPr>
          <w:p>
            <w:pPr>
              <w:spacing w:after="0"/>
              <w:rPr>
                <w:sz w:val="13"/>
                <w:szCs w:val="13"/>
                <w:color w:val="auto"/>
              </w:rPr>
            </w:pPr>
          </w:p>
        </w:tc>
        <w:tc>
          <w:tcPr>
            <w:tcW w:w="14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46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40" w:type="dxa"/>
            <w:vAlign w:val="bottom"/>
          </w:tcPr>
          <w:p>
            <w:pPr>
              <w:spacing w:after="0"/>
              <w:rPr>
                <w:sz w:val="13"/>
                <w:szCs w:val="13"/>
                <w:color w:val="auto"/>
              </w:rPr>
            </w:pP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80"/>
        </w:trPr>
        <w:tc>
          <w:tcPr>
            <w:tcW w:w="1060" w:type="dxa"/>
            <w:vAlign w:val="bottom"/>
            <w:tcBorders>
              <w:bottom w:val="single" w:sz="8" w:color="auto"/>
            </w:tcBorders>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Ordinary Share</w:t>
            </w: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in millions</w:t>
            </w: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February 1, 2022</w:t>
            </w:r>
          </w:p>
        </w:tc>
        <w:tc>
          <w:tcPr>
            <w:tcW w:w="1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0.395</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March 31, 2022</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48.5</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0.36</w:t>
            </w: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December 31, 2021</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44.4</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8"/>
              </w:rPr>
              <w:t>January 28, 2022</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 2021</w:t>
            </w:r>
          </w:p>
        </w:tc>
        <w:tc>
          <w:tcPr>
            <w:tcW w:w="1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0.36</w:t>
            </w:r>
          </w:p>
        </w:tc>
        <w:tc>
          <w:tcPr>
            <w:tcW w:w="1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March 31, 2021</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46.0</w:t>
            </w:r>
          </w:p>
        </w:tc>
        <w:tc>
          <w:tcPr>
            <w:tcW w:w="1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April 23, 2021</w:t>
            </w: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10, 2020</w:t>
            </w:r>
          </w:p>
        </w:tc>
        <w:tc>
          <w:tcPr>
            <w:tcW w:w="1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0.3275</w:t>
            </w: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December 31, 2020</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42.9</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8"/>
              </w:rPr>
              <w:t>January 22, 2021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On May 11 2022, our Board of Directors approved the next quarterly dividend payment of $0.395 and set June 30, 2022 as the record date for determining the shareholders entitled to receive the dividend, which is payable on July 29, 2022.</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31, 2022 and 2021,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Changes in Securities, Use of Proceeds and Issuer Purchases of Equity Securities.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us and our affiliated purchasers during the three months ended March 31, 2022 of equity securities that are registered by us pursuant to Section 12 of the Exchange Act:</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680" w:type="dxa"/>
            <w:vAlign w:val="bottom"/>
            <w:vMerge w:val="restart"/>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106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480" w:type="dxa"/>
            <w:vAlign w:val="bottom"/>
          </w:tcPr>
          <w:p>
            <w:pPr>
              <w:spacing w:after="0"/>
              <w:rPr>
                <w:sz w:val="15"/>
                <w:szCs w:val="15"/>
                <w:color w:val="auto"/>
              </w:rPr>
            </w:pPr>
          </w:p>
        </w:tc>
        <w:tc>
          <w:tcPr>
            <w:tcW w:w="16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Paid per Share(1)</w:t>
            </w:r>
          </w:p>
        </w:tc>
        <w:tc>
          <w:tcPr>
            <w:tcW w:w="13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or Programs(2)</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01/01/22-01/31/22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530,469</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75.38</w:t>
            </w:r>
          </w:p>
        </w:tc>
        <w:tc>
          <w:tcPr>
            <w:tcW w:w="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530,469</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787,628,127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02/01/22-02/28/22</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563,182</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78.13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563,182</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743,629,102</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03/01/22-03/31/22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573,933</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80.17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573,933</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697,614,346</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1,667,584</w:t>
            </w:r>
          </w:p>
        </w:tc>
        <w:tc>
          <w:tcPr>
            <w:tcW w:w="20" w:type="dxa"/>
            <w:vAlign w:val="bottom"/>
            <w:tcBorders>
              <w:bottom w:val="single" w:sz="8" w:color="auto"/>
            </w:tcBorders>
          </w:tcPr>
          <w:p>
            <w:pPr>
              <w:spacing w:after="0"/>
              <w:rPr>
                <w:sz w:val="19"/>
                <w:szCs w:val="19"/>
                <w:color w:val="auto"/>
              </w:rPr>
            </w:pP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77.96</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1,667,584</w:t>
            </w:r>
          </w:p>
        </w:tc>
        <w:tc>
          <w:tcPr>
            <w:tcW w:w="2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697,614,346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broker and transaction fees.</w:t>
      </w:r>
    </w:p>
    <w:p>
      <w:pPr>
        <w:spacing w:after="0" w:line="27" w:lineRule="exact"/>
        <w:rPr>
          <w:rFonts w:ascii="Times New Roman" w:cs="Times New Roman" w:eastAsia="Times New Roman" w:hAnsi="Times New Roman"/>
          <w:sz w:val="18"/>
          <w:szCs w:val="18"/>
          <w:color w:val="auto"/>
        </w:rPr>
      </w:pPr>
    </w:p>
    <w:p>
      <w:pPr>
        <w:ind w:left="540" w:right="160" w:hanging="424"/>
        <w:spacing w:after="0" w:line="255"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2021, our Board of Directors adopted a share repurchase plan for the repurchase of up to $1.0 billion of our outstanding ordinary shares. The authorizations have no expiration date and permit us to purchase our ordinary shares in open market or privately negotiated transactions at times and prices we consider appropriate.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Reports on Form 6-K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furnished or filed the following reports on Form 6-K during the three months ended March 31, 2022:</w:t>
      </w:r>
    </w:p>
    <w:p>
      <w:pPr>
        <w:spacing w:after="0" w:line="117" w:lineRule="exact"/>
        <w:rPr>
          <w:sz w:val="20"/>
          <w:szCs w:val="20"/>
          <w:color w:val="auto"/>
        </w:rPr>
      </w:pPr>
    </w:p>
    <w:p>
      <w:pPr>
        <w:ind w:left="820" w:hanging="264"/>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February 1, 2022</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February 2, 2022</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February 14, 2022</w:t>
      </w:r>
    </w:p>
    <w:p>
      <w:pPr>
        <w:spacing w:after="0" w:line="1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80"/>
          </w:cols>
          <w:pgMar w:left="320" w:top="455" w:right="6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Secretary and Authorized Signatory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May 24, 2022</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33</w:t>
      </w:r>
    </w:p>
    <w:sectPr>
      <w:pgSz w:w="11900" w:h="16838" w:orient="portrait"/>
      <w:cols w:equalWidth="0" w:num="1">
        <w:col w:w="10820"/>
      </w:cols>
      <w:pgMar w:left="320" w:top="45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5"/>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2022-05-24T15:22:06Z</dcterms:created>
  <dcterms:modified xsi:type="dcterms:W3CDTF">2022-05-24T15:22:06Z</dcterms:modified>
</cp:coreProperties>
</file>