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6-K/A</w:t>
      </w:r>
    </w:p>
    <w:p>
      <w:pPr>
        <w:spacing w:after="0" w:line="174"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AMENDMENT NO. 1 TO</w:t>
      </w:r>
    </w:p>
    <w:p>
      <w:pPr>
        <w:spacing w:after="0" w:line="2"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2" w:lineRule="exact"/>
        <w:rPr>
          <w:sz w:val="24"/>
          <w:szCs w:val="24"/>
          <w:color w:val="auto"/>
        </w:rPr>
      </w:pPr>
    </w:p>
    <w:p>
      <w:pPr>
        <w:ind w:left="1960"/>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2" w:lineRule="exact"/>
        <w:rPr>
          <w:sz w:val="24"/>
          <w:szCs w:val="24"/>
          <w:color w:val="auto"/>
        </w:rPr>
      </w:pPr>
    </w:p>
    <w:p>
      <w:pPr>
        <w:ind w:left="196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4"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For the Month of November, 1999</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Tower Hill House Le Bordage</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74"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Amdocs, Inc.</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74"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6" w:lineRule="exact"/>
        <w:rPr>
          <w:sz w:val="24"/>
          <w:szCs w:val="24"/>
          <w:color w:val="auto"/>
        </w:rPr>
      </w:pPr>
    </w:p>
    <w:p>
      <w:pPr>
        <w:ind w:right="3699"/>
        <w:spacing w:after="0"/>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139"/>
          </w:cols>
          <w:pgMar w:left="320" w:top="232" w:right="1440" w:bottom="1440" w:gutter="0" w:footer="0" w:header="0"/>
        </w:sectPr>
      </w:pPr>
    </w:p>
    <w:p>
      <w:pPr>
        <w:spacing w:after="0" w:line="176" w:lineRule="exact"/>
        <w:rPr>
          <w:sz w:val="24"/>
          <w:szCs w:val="24"/>
          <w:color w:val="auto"/>
        </w:rPr>
      </w:pPr>
    </w:p>
    <w:p>
      <w:pPr>
        <w:ind w:left="1520"/>
        <w:spacing w:after="0"/>
        <w:rPr>
          <w:sz w:val="20"/>
          <w:szCs w:val="20"/>
          <w:color w:val="auto"/>
        </w:rPr>
      </w:pPr>
      <w:r>
        <w:rPr>
          <w:rFonts w:ascii="Courier New" w:cs="Courier New" w:eastAsia="Courier New" w:hAnsi="Courier New"/>
          <w:sz w:val="14"/>
          <w:szCs w:val="14"/>
          <w:color w:val="auto"/>
        </w:rPr>
        <w:t>FORM 20 F</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 F</w:t>
      </w:r>
    </w:p>
    <w:p>
      <w:pPr>
        <w:spacing w:after="0" w:line="12" w:lineRule="exact"/>
        <w:rPr>
          <w:sz w:val="24"/>
          <w:szCs w:val="24"/>
          <w:color w:val="auto"/>
        </w:rPr>
      </w:pPr>
    </w:p>
    <w:p>
      <w:pPr>
        <w:sectPr>
          <w:pgSz w:w="11900" w:h="16838" w:orient="portrait"/>
          <w:cols w:equalWidth="0" w:num="3">
            <w:col w:w="2320" w:space="360"/>
            <w:col w:w="440" w:space="720"/>
            <w:col w:w="6299"/>
          </w:cols>
          <w:pgMar w:left="320" w:top="232" w:right="1440" w:bottom="1440" w:gutter="0" w:footer="0" w:header="0"/>
          <w:type w:val="continuous"/>
        </w:sectPr>
      </w:pPr>
    </w:p>
    <w:p>
      <w:pPr>
        <w:spacing w:after="0" w:line="1"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sectPr>
          <w:pgSz w:w="11900" w:h="16838" w:orient="portrait"/>
          <w:cols w:equalWidth="0" w:num="2">
            <w:col w:w="3920" w:space="720"/>
            <w:col w:w="5499"/>
          </w:cols>
          <w:pgMar w:left="320" w:top="232" w:right="1440" w:bottom="1440" w:gutter="0" w:footer="0" w:header="0"/>
          <w:type w:val="continuous"/>
        </w:sectPr>
      </w:pPr>
    </w:p>
    <w:p>
      <w:pPr>
        <w:ind w:right="3339"/>
        <w:spacing w:after="0" w:line="242"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139"/>
          </w:cols>
          <w:pgMar w:left="320" w:top="232" w:right="1440" w:bottom="1440" w:gutter="0" w:footer="0" w:header="0"/>
          <w:type w:val="continuous"/>
        </w:sectPr>
      </w:pPr>
    </w:p>
    <w:p>
      <w:pPr>
        <w:spacing w:after="0" w:line="175" w:lineRule="exact"/>
        <w:rPr>
          <w:sz w:val="24"/>
          <w:szCs w:val="24"/>
          <w:color w:val="auto"/>
        </w:rPr>
      </w:pPr>
    </w:p>
    <w:p>
      <w:pPr>
        <w:ind w:left="152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5679"/>
        <w:spacing w:after="0"/>
        <w:rPr>
          <w:sz w:val="20"/>
          <w:szCs w:val="20"/>
          <w:color w:val="auto"/>
        </w:rPr>
      </w:pPr>
      <w:r>
        <w:rPr>
          <w:rFonts w:ascii="Courier New" w:cs="Courier New" w:eastAsia="Courier New" w:hAnsi="Courier New"/>
          <w:sz w:val="15"/>
          <w:szCs w:val="15"/>
          <w:color w:val="auto"/>
        </w:rPr>
        <w:t>X</w:t>
      </w:r>
    </w:p>
    <w:p>
      <w:pPr>
        <w:spacing w:after="0" w:line="4" w:lineRule="exact"/>
        <w:rPr>
          <w:sz w:val="24"/>
          <w:szCs w:val="24"/>
          <w:color w:val="auto"/>
        </w:rPr>
      </w:pPr>
    </w:p>
    <w:p>
      <w:pPr>
        <w:jc w:val="center"/>
        <w:ind w:right="567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4">
            <w:col w:w="1780" w:space="0"/>
            <w:col w:w="1340" w:space="720"/>
            <w:col w:w="180" w:space="0"/>
            <w:col w:w="6119"/>
          </w:cols>
          <w:pgMar w:left="320" w:top="232" w:right="1440" w:bottom="1440" w:gutter="0" w:footer="0" w:header="0"/>
          <w:type w:val="continuous"/>
        </w:sectPr>
      </w:pPr>
    </w:p>
    <w:bookmarkStart w:id="1" w:name="page2"/>
    <w:bookmarkEnd w:id="1"/>
    <w:p>
      <w:pPr>
        <w:ind w:left="268"/>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8" w:right="3339" w:firstLine="805"/>
        <w:spacing w:after="0" w:line="242" w:lineRule="auto"/>
        <w:rPr>
          <w:sz w:val="20"/>
          <w:szCs w:val="20"/>
          <w:color w:val="auto"/>
        </w:rPr>
      </w:pPr>
      <w:r>
        <w:rPr>
          <w:rFonts w:ascii="Courier New" w:cs="Courier New" w:eastAsia="Courier New" w:hAnsi="Courier New"/>
          <w:sz w:val="15"/>
          <w:szCs w:val="15"/>
          <w:color w:val="auto"/>
        </w:rPr>
        <w:t>This Amendment No. 1 to Form 6-K is being filed in order to include certain unaudited pro forma condensed combined financial information as of September 30, 1999 and for the twelve months ended September 30, 1999 reflecting the acquisition by Amdocs Limited ("Amdocs") of International Telecommunication Data Systems, Inc. ("ITDS"), which closed on November 30, 1999.</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Amdocs has completed a purchase price allocation required</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by purchase accounting with respect to this acquisition. To acquire ITDS, Amdocs issued approximately 6.5 million of its ordinary shares as well as options to purchase approximately 1.1 million ordinary shares, which together with transaction expenses, represented a transaction value as of the closing date of approximately $189.0 million. The excess of the purchase price over the fair value of net tangible assets acquired according to the unaudited pro forma condensed combined financial statements will be amortized and impact earnings as follows: $18.4 million of certain identifiable intangible assets will be amortized over 5 years, $71.8 million of goodwill will be amortized over 15 years and $19.9 million of in-process research and development expense will be written off as a one time charge in the first fiscal quarter ending</w:t>
      </w:r>
    </w:p>
    <w:p>
      <w:pPr>
        <w:spacing w:after="0" w:line="8"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December 31, 1999. As a result of the nonrecurring charge of $19.9 million of in-process research and development, net income for the three months ended December 31, 1999 will be less than the $29.8 million in net income reported for the quarter ended September 30, 1999.</w:t>
      </w:r>
    </w:p>
    <w:p>
      <w:pPr>
        <w:spacing w:after="0" w:line="175" w:lineRule="exact"/>
        <w:rPr>
          <w:sz w:val="20"/>
          <w:szCs w:val="20"/>
          <w:color w:val="auto"/>
        </w:rPr>
      </w:pPr>
    </w:p>
    <w:p>
      <w:pPr>
        <w:jc w:val="both"/>
        <w:ind w:left="8" w:right="3159" w:firstLine="805"/>
        <w:spacing w:after="0" w:line="241" w:lineRule="auto"/>
        <w:rPr>
          <w:sz w:val="20"/>
          <w:szCs w:val="20"/>
          <w:color w:val="auto"/>
        </w:rPr>
      </w:pPr>
      <w:r>
        <w:rPr>
          <w:rFonts w:ascii="Courier New" w:cs="Courier New" w:eastAsia="Courier New" w:hAnsi="Courier New"/>
          <w:sz w:val="15"/>
          <w:szCs w:val="15"/>
          <w:color w:val="auto"/>
        </w:rPr>
        <w:t>Paragraph (b) of Item 7 of the Report on Form 6-K of Amdocs filed on December 13, 1999 is amended and restated to read in its entirety as set forth below.</w:t>
      </w:r>
    </w:p>
    <w:p>
      <w:pPr>
        <w:spacing w:after="0" w:line="175"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PRO FORMA FINANCIAL INFORMATION AND EXHIBITS</w:t>
      </w:r>
    </w:p>
    <w:p>
      <w:pPr>
        <w:spacing w:after="0" w:line="174" w:lineRule="exact"/>
        <w:rPr>
          <w:sz w:val="20"/>
          <w:szCs w:val="20"/>
          <w:color w:val="auto"/>
        </w:rPr>
      </w:pPr>
    </w:p>
    <w:p>
      <w:pPr>
        <w:ind w:left="808"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6" w:lineRule="exact"/>
        <w:rPr>
          <w:sz w:val="20"/>
          <w:szCs w:val="20"/>
          <w:color w:val="auto"/>
        </w:rPr>
      </w:pPr>
    </w:p>
    <w:p>
      <w:pPr>
        <w:ind w:left="8" w:right="3079" w:firstLine="805"/>
        <w:spacing w:after="0" w:line="241" w:lineRule="auto"/>
        <w:rPr>
          <w:sz w:val="20"/>
          <w:szCs w:val="20"/>
          <w:color w:val="auto"/>
        </w:rPr>
      </w:pPr>
      <w:r>
        <w:rPr>
          <w:rFonts w:ascii="Courier New" w:cs="Courier New" w:eastAsia="Courier New" w:hAnsi="Courier New"/>
          <w:sz w:val="15"/>
          <w:szCs w:val="15"/>
          <w:color w:val="auto"/>
        </w:rPr>
        <w:t>The unaudited pro forma condensed combined financial information as of September 30, 1999 and for the twelve months ended September 30, 1999 are set forth below.</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7"/>
          </w:cols>
          <w:pgMar w:left="312" w:top="289" w:right="1440" w:bottom="1440" w:gutter="0" w:footer="0" w:header="0"/>
        </w:sectPr>
      </w:pPr>
    </w:p>
    <w:bookmarkStart w:id="2" w:name="page3"/>
    <w:bookmarkEnd w:id="2"/>
    <w:p>
      <w:pPr>
        <w:ind w:left="268"/>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808" w:hanging="808"/>
        <w:spacing w:after="0"/>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3800" w:type="dxa"/>
            <w:vAlign w:val="bottom"/>
          </w:tcPr>
          <w:p>
            <w:pPr>
              <w:ind w:left="700"/>
              <w:spacing w:after="0"/>
              <w:rPr>
                <w:sz w:val="20"/>
                <w:szCs w:val="20"/>
                <w:color w:val="auto"/>
              </w:rPr>
            </w:pPr>
            <w:r>
              <w:rPr>
                <w:rFonts w:ascii="Courier New" w:cs="Courier New" w:eastAsia="Courier New" w:hAnsi="Courier New"/>
                <w:sz w:val="15"/>
                <w:szCs w:val="15"/>
                <w:color w:val="auto"/>
              </w:rPr>
              <w:t>DESCRIPTION</w:t>
            </w:r>
          </w:p>
        </w:tc>
        <w:tc>
          <w:tcPr>
            <w:tcW w:w="1640" w:type="dxa"/>
            <w:vAlign w:val="bottom"/>
          </w:tcPr>
          <w:p>
            <w:pPr>
              <w:spacing w:after="0"/>
              <w:rPr>
                <w:sz w:val="14"/>
                <w:szCs w:val="14"/>
                <w:color w:val="auto"/>
              </w:rPr>
            </w:pP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4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Agreement and Plan of Merger, dated as of September</w:t>
            </w:r>
          </w:p>
        </w:tc>
      </w:tr>
      <w:tr>
        <w:trPr>
          <w:trHeight w:val="172"/>
        </w:trPr>
        <w:tc>
          <w:tcPr>
            <w:tcW w:w="1700" w:type="dxa"/>
            <w:vAlign w:val="bottom"/>
          </w:tcPr>
          <w:p>
            <w:pPr>
              <w:spacing w:after="0"/>
              <w:rPr>
                <w:sz w:val="14"/>
                <w:szCs w:val="14"/>
                <w:color w:val="auto"/>
              </w:rPr>
            </w:pPr>
          </w:p>
        </w:tc>
        <w:tc>
          <w:tcPr>
            <w:tcW w:w="54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3, 1999, among Amdocs, Ivan Acquisition Corp. and</w:t>
            </w:r>
          </w:p>
        </w:tc>
      </w:tr>
      <w:tr>
        <w:trPr>
          <w:trHeight w:val="172"/>
        </w:trPr>
        <w:tc>
          <w:tcPr>
            <w:tcW w:w="1700" w:type="dxa"/>
            <w:vAlign w:val="bottom"/>
          </w:tcPr>
          <w:p>
            <w:pPr>
              <w:spacing w:after="0"/>
              <w:rPr>
                <w:sz w:val="14"/>
                <w:szCs w:val="14"/>
                <w:color w:val="auto"/>
              </w:rPr>
            </w:pPr>
          </w:p>
        </w:tc>
        <w:tc>
          <w:tcPr>
            <w:tcW w:w="54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ITDS (Incorporated by reference from the</w:t>
            </w:r>
          </w:p>
        </w:tc>
      </w:tr>
      <w:tr>
        <w:trPr>
          <w:trHeight w:val="172"/>
        </w:trPr>
        <w:tc>
          <w:tcPr>
            <w:tcW w:w="1700" w:type="dxa"/>
            <w:vAlign w:val="bottom"/>
          </w:tcPr>
          <w:p>
            <w:pPr>
              <w:spacing w:after="0"/>
              <w:rPr>
                <w:sz w:val="14"/>
                <w:szCs w:val="14"/>
                <w:color w:val="auto"/>
              </w:rPr>
            </w:pPr>
          </w:p>
        </w:tc>
        <w:tc>
          <w:tcPr>
            <w:tcW w:w="3800" w:type="dxa"/>
            <w:vAlign w:val="bottom"/>
          </w:tcPr>
          <w:p>
            <w:pPr>
              <w:ind w:left="700"/>
              <w:spacing w:after="0"/>
              <w:rPr>
                <w:sz w:val="20"/>
                <w:szCs w:val="20"/>
                <w:color w:val="auto"/>
              </w:rPr>
            </w:pPr>
            <w:r>
              <w:rPr>
                <w:rFonts w:ascii="Courier New" w:cs="Courier New" w:eastAsia="Courier New" w:hAnsi="Courier New"/>
                <w:sz w:val="15"/>
                <w:szCs w:val="15"/>
                <w:color w:val="auto"/>
              </w:rPr>
              <w:t>Registration Statement on Form F-4</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(File No.</w:t>
            </w:r>
          </w:p>
        </w:tc>
      </w:tr>
      <w:tr>
        <w:trPr>
          <w:trHeight w:val="172"/>
        </w:trPr>
        <w:tc>
          <w:tcPr>
            <w:tcW w:w="1700" w:type="dxa"/>
            <w:vAlign w:val="bottom"/>
          </w:tcPr>
          <w:p>
            <w:pPr>
              <w:spacing w:after="0"/>
              <w:rPr>
                <w:sz w:val="14"/>
                <w:szCs w:val="14"/>
                <w:color w:val="auto"/>
              </w:rPr>
            </w:pPr>
          </w:p>
        </w:tc>
        <w:tc>
          <w:tcPr>
            <w:tcW w:w="54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333-89673) of Amdocs filed with the Securities and</w:t>
            </w:r>
          </w:p>
        </w:tc>
      </w:tr>
      <w:tr>
        <w:trPr>
          <w:trHeight w:val="172"/>
        </w:trPr>
        <w:tc>
          <w:tcPr>
            <w:tcW w:w="1700" w:type="dxa"/>
            <w:vAlign w:val="bottom"/>
          </w:tcPr>
          <w:p>
            <w:pPr>
              <w:spacing w:after="0"/>
              <w:rPr>
                <w:sz w:val="14"/>
                <w:szCs w:val="14"/>
                <w:color w:val="auto"/>
              </w:rPr>
            </w:pPr>
          </w:p>
        </w:tc>
        <w:tc>
          <w:tcPr>
            <w:tcW w:w="3800" w:type="dxa"/>
            <w:vAlign w:val="bottom"/>
          </w:tcPr>
          <w:p>
            <w:pPr>
              <w:ind w:left="700"/>
              <w:spacing w:after="0"/>
              <w:rPr>
                <w:sz w:val="20"/>
                <w:szCs w:val="20"/>
                <w:color w:val="auto"/>
              </w:rPr>
            </w:pPr>
            <w:r>
              <w:rPr>
                <w:rFonts w:ascii="Courier New" w:cs="Courier New" w:eastAsia="Courier New" w:hAnsi="Courier New"/>
                <w:sz w:val="15"/>
                <w:szCs w:val="15"/>
                <w:color w:val="auto"/>
              </w:rPr>
              <w:t>Exchange Commission on October 26,</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3800" w:type="dxa"/>
            <w:vAlign w:val="bottom"/>
          </w:tcPr>
          <w:p>
            <w:pPr>
              <w:ind w:left="700"/>
              <w:spacing w:after="0"/>
              <w:rPr>
                <w:sz w:val="20"/>
                <w:szCs w:val="20"/>
                <w:color w:val="auto"/>
              </w:rPr>
            </w:pPr>
            <w:r>
              <w:rPr>
                <w:rFonts w:ascii="Courier New" w:cs="Courier New" w:eastAsia="Courier New" w:hAnsi="Courier New"/>
                <w:sz w:val="15"/>
                <w:szCs w:val="15"/>
                <w:color w:val="auto"/>
              </w:rPr>
              <w:t>Amdocs Limited Press Release dated</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w w:val="97"/>
              </w:rPr>
              <w:t>November 30, 1999.</w:t>
            </w:r>
          </w:p>
        </w:tc>
      </w:tr>
    </w:tbl>
    <w:p>
      <w:pPr>
        <w:spacing w:after="0" w:line="174"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7"/>
          </w:cols>
          <w:pgMar w:left="312"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PRO FORMA CONDENSED COMBINED FINANCIAL STATEMENTS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unaudited pro forma condensed combined balance sheet as of September 30, 1999 gives effect to the acquisition of ITDS (the "Acquisition") as if it had occurred on that date. The unaudited pro forma condensed combined statements of operations for the twelve months ended September 30, 1999, gives effect to the Acquisition as if it had occurred on October 1, 1998.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unaudited pro forma condensed combined financial statements are based upon, and should be read in conjunction with, our historical audited financial statements for the year ended September 30, 1999, and the historical audited and unaudited financial statements of ITDS for the year and nine months ended December 31, 1998 and September 30, 1999, respectively.</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In connection with the Acquisition, we have converted approximately 17.4 million common shares of ITDS and approximately 3.0 million options to purchase common shares of ITDS into the right to receive approximately 6.5 million ordinary shares and approximately 1.1 million options of Amdocs. The estimated total purchase price for ITDS, based on an Amdocs share price of $28.25 according to the merger agreement, including estimated transaction costs, equals approximately $189 million. We will account for the Acquisition under the purchase method of accounting. The estimated total purchase price will be allocated to ITDS' assets and liabilities based on their respective estimated fair values on the date the transaction was consumated, November 30, 1999. We will allocate the excess of the purchase price over the fair value of the net tangible assets acquired to identifiable intangible assets, including intellectual property, workforce, customers list, and in process research and development costs, and the remainder to goodwill. In addition, deferred taxes to be recorded related to certain intangible assets will impact goodwill.</w:t>
      </w:r>
    </w:p>
    <w:p>
      <w:pPr>
        <w:spacing w:after="0" w:line="18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believe that the fair value of the tangible net assets is not materially different from their historical book value. The allocation of the excess purchase price over net tangible assets and related amortization periods have been determined based on a preliminary independent evaluation available at the date of the preparation of the unaudited pro forma condensed combined financial statements. A final determination of purchase accounting adjustments will be made following the completion of the independent evaluation to determine the fair value of certain of ITDS's assets and liabilities, including intangible assets and its impact on deferred taxes.</w:t>
      </w:r>
    </w:p>
    <w:p>
      <w:pPr>
        <w:spacing w:after="0" w:line="179"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following unaudited pro forma condensed combined financial statements and notes thereto contain forward-looking statements that involve risks and uncertainties.</w:t>
      </w:r>
    </w:p>
    <w:p>
      <w:pPr>
        <w:spacing w:after="0" w:line="176"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The pro forma financial results are not intended to be a projection of future results and are not necessarily indicative of the results which would have occurred if the business combination had been in effect on the dates presented.</w:t>
      </w: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20" w:lineRule="exact"/>
        <w:rPr>
          <w:sz w:val="20"/>
          <w:szCs w:val="20"/>
          <w:color w:val="auto"/>
        </w:rPr>
      </w:pPr>
    </w:p>
    <w:p>
      <w:pPr>
        <w:ind w:right="4300"/>
        <w:spacing w:after="0"/>
        <w:rPr>
          <w:sz w:val="20"/>
          <w:szCs w:val="20"/>
          <w:color w:val="auto"/>
        </w:rPr>
      </w:pPr>
      <w:r>
        <w:rPr>
          <w:rFonts w:ascii="Courier New" w:cs="Courier New" w:eastAsia="Courier New" w:hAnsi="Courier New"/>
          <w:sz w:val="15"/>
          <w:szCs w:val="15"/>
          <w:color w:val="auto"/>
        </w:rPr>
        <w:t>UNAUDITED PRO FORMA CONDENSED COMBINED BALANCE SHEET AS OF SEPTEMBER 30, 1999 (Dollars in thousands)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AMDOCS</w:t>
            </w:r>
          </w:p>
        </w:tc>
        <w:tc>
          <w:tcPr>
            <w:tcW w:w="13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ITDS</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spacing w:after="0"/>
              <w:rPr>
                <w:sz w:val="14"/>
                <w:szCs w:val="14"/>
                <w:color w:val="auto"/>
              </w:rPr>
            </w:pPr>
          </w:p>
        </w:tc>
        <w:tc>
          <w:tcPr>
            <w:tcW w:w="18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3980" w:type="dxa"/>
            <w:vAlign w:val="bottom"/>
          </w:tcPr>
          <w:p>
            <w:pPr>
              <w:spacing w:after="0"/>
              <w:rPr>
                <w:sz w:val="14"/>
                <w:szCs w:val="14"/>
                <w:color w:val="auto"/>
              </w:rPr>
            </w:pP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HISTORICAL</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HISTORICAL</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ADJUSTMENTS</w:t>
            </w:r>
          </w:p>
        </w:tc>
        <w:tc>
          <w:tcPr>
            <w:tcW w:w="540" w:type="dxa"/>
            <w:vAlign w:val="bottom"/>
          </w:tcPr>
          <w:p>
            <w:pPr>
              <w:spacing w:after="0"/>
              <w:rPr>
                <w:sz w:val="14"/>
                <w:szCs w:val="14"/>
                <w:color w:val="auto"/>
              </w:rPr>
            </w:pPr>
          </w:p>
        </w:tc>
        <w:tc>
          <w:tcPr>
            <w:tcW w:w="18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3980" w:type="dxa"/>
            <w:vAlign w:val="bottom"/>
          </w:tcPr>
          <w:p>
            <w:pPr>
              <w:spacing w:after="0"/>
              <w:rPr>
                <w:sz w:val="14"/>
                <w:szCs w:val="14"/>
                <w:color w:val="auto"/>
              </w:rPr>
            </w:pPr>
          </w:p>
        </w:tc>
        <w:tc>
          <w:tcPr>
            <w:tcW w:w="31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0"/>
              </w:rPr>
              <w:t>----------------------------------------------------</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85,174</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44,155</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$129,329</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159,312</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41,655</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200,967</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29,899</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1,082</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30,981</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Prepaid and other assets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16,390</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6,502</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22,892</w:t>
            </w:r>
          </w:p>
        </w:tc>
      </w:tr>
      <w:tr>
        <w:trPr>
          <w:trHeight w:val="172"/>
        </w:trPr>
        <w:tc>
          <w:tcPr>
            <w:tcW w:w="3980" w:type="dxa"/>
            <w:vAlign w:val="bottom"/>
          </w:tcPr>
          <w:p>
            <w:pPr>
              <w:spacing w:after="0"/>
              <w:rPr>
                <w:sz w:val="14"/>
                <w:szCs w:val="14"/>
                <w:color w:val="auto"/>
              </w:rPr>
            </w:pPr>
          </w:p>
        </w:tc>
        <w:tc>
          <w:tcPr>
            <w:tcW w:w="31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0"/>
              </w:rPr>
              <w:t>----------------------------------------------------</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14"/>
                <w:szCs w:val="14"/>
                <w:color w:val="auto"/>
              </w:rPr>
            </w:pP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290,775</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93,394</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384,169</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Fixed assets, net</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83,997</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8,502</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92,499</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45,664</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(45,664)</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1880" w:type="dxa"/>
            <w:vAlign w:val="bottom"/>
          </w:tcPr>
          <w:p>
            <w:pPr>
              <w:spacing w:after="0"/>
              <w:rPr>
                <w:sz w:val="14"/>
                <w:szCs w:val="14"/>
                <w:color w:val="auto"/>
              </w:rPr>
            </w:pPr>
          </w:p>
        </w:tc>
      </w:tr>
      <w:tr>
        <w:trPr>
          <w:trHeight w:val="172"/>
        </w:trPr>
        <w:tc>
          <w:tcPr>
            <w:tcW w:w="3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71,772</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71,772</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5,605</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2,945</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2,523</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11,073</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Intellectual property</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20,742</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24,865</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(24,865)</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1880" w:type="dxa"/>
            <w:vAlign w:val="bottom"/>
          </w:tcPr>
          <w:p>
            <w:pPr>
              <w:spacing w:after="0"/>
              <w:rPr>
                <w:sz w:val="14"/>
                <w:szCs w:val="14"/>
                <w:color w:val="auto"/>
              </w:rPr>
            </w:pPr>
          </w:p>
        </w:tc>
      </w:tr>
      <w:tr>
        <w:trPr>
          <w:trHeight w:val="172"/>
        </w:trPr>
        <w:tc>
          <w:tcPr>
            <w:tcW w:w="3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12,342</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33,084</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 intangible property</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5,407</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880" w:type="dxa"/>
            <w:vAlign w:val="bottom"/>
          </w:tcPr>
          <w:p>
            <w:pPr>
              <w:spacing w:after="0"/>
              <w:rPr>
                <w:sz w:val="14"/>
                <w:szCs w:val="14"/>
                <w:color w:val="auto"/>
              </w:rPr>
            </w:pPr>
          </w:p>
        </w:tc>
      </w:tr>
      <w:tr>
        <w:trPr>
          <w:trHeight w:val="172"/>
        </w:trPr>
        <w:tc>
          <w:tcPr>
            <w:tcW w:w="3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647</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6,054</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28,892</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534</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29,426</w:t>
            </w:r>
          </w:p>
        </w:tc>
      </w:tr>
      <w:tr>
        <w:trPr>
          <w:trHeight w:val="172"/>
        </w:trPr>
        <w:tc>
          <w:tcPr>
            <w:tcW w:w="3980" w:type="dxa"/>
            <w:vAlign w:val="bottom"/>
          </w:tcPr>
          <w:p>
            <w:pPr>
              <w:spacing w:after="0"/>
              <w:rPr>
                <w:sz w:val="14"/>
                <w:szCs w:val="14"/>
                <w:color w:val="auto"/>
              </w:rPr>
            </w:pPr>
          </w:p>
        </w:tc>
        <w:tc>
          <w:tcPr>
            <w:tcW w:w="4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$430,011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$175,904</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$ 22,162</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$628,077</w:t>
            </w:r>
          </w:p>
        </w:tc>
      </w:tr>
      <w:tr>
        <w:trPr>
          <w:trHeight w:val="172"/>
        </w:trPr>
        <w:tc>
          <w:tcPr>
            <w:tcW w:w="3980" w:type="dxa"/>
            <w:vAlign w:val="bottom"/>
          </w:tcPr>
          <w:p>
            <w:pPr>
              <w:spacing w:after="0"/>
              <w:rPr>
                <w:sz w:val="14"/>
                <w:szCs w:val="14"/>
                <w:color w:val="auto"/>
              </w:rPr>
            </w:pPr>
          </w:p>
        </w:tc>
        <w:tc>
          <w:tcPr>
            <w:tcW w:w="4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3980" w:type="dxa"/>
            <w:vAlign w:val="bottom"/>
          </w:tcPr>
          <w:p>
            <w:pPr>
              <w:spacing w:after="0"/>
              <w:rPr>
                <w:sz w:val="20"/>
                <w:szCs w:val="20"/>
                <w:color w:val="auto"/>
              </w:rPr>
            </w:pPr>
            <w:r>
              <w:rPr>
                <w:rFonts w:ascii="Courier New" w:cs="Courier New" w:eastAsia="Courier New" w:hAnsi="Courier New"/>
                <w:sz w:val="15"/>
                <w:szCs w:val="15"/>
                <w:color w:val="auto"/>
              </w:rPr>
              <w:t>Accounts payable and accruals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$104,894</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$22,509</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$ 3,200</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$130,603</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Short-term financing arrangements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2,381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2,381</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Short-term portion of lease obligations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5,722</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5,734</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104,688</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6,671</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111,359</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Taxes payable and deferred taxes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33,412</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33,412</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 current liabilities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3,792</w:t>
            </w:r>
          </w:p>
        </w:tc>
        <w:tc>
          <w:tcPr>
            <w:tcW w:w="1300" w:type="dxa"/>
            <w:vAlign w:val="bottom"/>
          </w:tcPr>
          <w:p>
            <w:pPr>
              <w:spacing w:after="0"/>
              <w:rPr>
                <w:sz w:val="14"/>
                <w:szCs w:val="14"/>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3,792</w:t>
            </w:r>
          </w:p>
        </w:tc>
      </w:tr>
      <w:tr>
        <w:trPr>
          <w:trHeight w:val="172"/>
        </w:trPr>
        <w:tc>
          <w:tcPr>
            <w:tcW w:w="3980" w:type="dxa"/>
            <w:vAlign w:val="bottom"/>
          </w:tcPr>
          <w:p>
            <w:pPr>
              <w:spacing w:after="0"/>
              <w:rPr>
                <w:sz w:val="14"/>
                <w:szCs w:val="14"/>
                <w:color w:val="auto"/>
              </w:rPr>
            </w:pPr>
          </w:p>
        </w:tc>
        <w:tc>
          <w:tcPr>
            <w:tcW w:w="31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0"/>
              </w:rPr>
              <w:t>----------------------------------------------------</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14"/>
                <w:szCs w:val="14"/>
                <w:color w:val="auto"/>
              </w:rPr>
            </w:pP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254,889</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29,192</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3,200</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287,281</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Long-term portion of lease obligations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17,148</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17,165</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34,237</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34,237</w:t>
            </w:r>
          </w:p>
        </w:tc>
      </w:tr>
      <w:tr>
        <w:trPr>
          <w:trHeight w:val="172"/>
        </w:trPr>
        <w:tc>
          <w:tcPr>
            <w:tcW w:w="3980" w:type="dxa"/>
            <w:vAlign w:val="bottom"/>
          </w:tcPr>
          <w:p>
            <w:pPr>
              <w:spacing w:after="0"/>
              <w:rPr>
                <w:sz w:val="14"/>
                <w:szCs w:val="14"/>
                <w:color w:val="auto"/>
              </w:rPr>
            </w:pPr>
          </w:p>
        </w:tc>
        <w:tc>
          <w:tcPr>
            <w:tcW w:w="31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0"/>
              </w:rPr>
              <w:t>----------------------------------------------------</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14"/>
                <w:szCs w:val="14"/>
                <w:color w:val="auto"/>
              </w:rPr>
            </w:pP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306,274</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29,209</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3,200</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338,683</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123,737</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146,695</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(146,695)</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1880" w:type="dxa"/>
            <w:vAlign w:val="bottom"/>
          </w:tcPr>
          <w:p>
            <w:pPr>
              <w:spacing w:after="0"/>
              <w:rPr>
                <w:sz w:val="14"/>
                <w:szCs w:val="14"/>
                <w:color w:val="auto"/>
              </w:rPr>
            </w:pPr>
          </w:p>
        </w:tc>
      </w:tr>
      <w:tr>
        <w:trPr>
          <w:trHeight w:val="172"/>
        </w:trPr>
        <w:tc>
          <w:tcPr>
            <w:tcW w:w="3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185,533</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1880" w:type="dxa"/>
            <w:vAlign w:val="bottom"/>
          </w:tcPr>
          <w:p>
            <w:pPr>
              <w:spacing w:after="0"/>
              <w:rPr>
                <w:sz w:val="14"/>
                <w:szCs w:val="14"/>
                <w:color w:val="auto"/>
              </w:rPr>
            </w:pPr>
          </w:p>
        </w:tc>
      </w:tr>
      <w:tr>
        <w:trPr>
          <w:trHeight w:val="172"/>
        </w:trPr>
        <w:tc>
          <w:tcPr>
            <w:tcW w:w="3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(19,876)</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289,394</w:t>
            </w:r>
          </w:p>
        </w:tc>
      </w:tr>
      <w:tr>
        <w:trPr>
          <w:trHeight w:val="172"/>
        </w:trPr>
        <w:tc>
          <w:tcPr>
            <w:tcW w:w="3980" w:type="dxa"/>
            <w:vAlign w:val="bottom"/>
          </w:tcPr>
          <w:p>
            <w:pPr>
              <w:spacing w:after="0"/>
              <w:rPr>
                <w:sz w:val="14"/>
                <w:szCs w:val="14"/>
                <w:color w:val="auto"/>
              </w:rPr>
            </w:pPr>
          </w:p>
        </w:tc>
        <w:tc>
          <w:tcPr>
            <w:tcW w:w="4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$430,011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$175,904</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22,162</w:t>
            </w:r>
          </w:p>
        </w:tc>
        <w:tc>
          <w:tcPr>
            <w:tcW w:w="540" w:type="dxa"/>
            <w:vAlign w:val="bottom"/>
          </w:tcPr>
          <w:p>
            <w:pPr>
              <w:spacing w:after="0"/>
              <w:rPr>
                <w:sz w:val="14"/>
                <w:szCs w:val="14"/>
                <w:color w:val="auto"/>
              </w:rPr>
            </w:pP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$628,077</w:t>
            </w:r>
          </w:p>
        </w:tc>
      </w:tr>
      <w:tr>
        <w:trPr>
          <w:trHeight w:val="172"/>
        </w:trPr>
        <w:tc>
          <w:tcPr>
            <w:tcW w:w="3980" w:type="dxa"/>
            <w:vAlign w:val="bottom"/>
          </w:tcPr>
          <w:p>
            <w:pPr>
              <w:spacing w:after="0"/>
              <w:rPr>
                <w:sz w:val="14"/>
                <w:szCs w:val="14"/>
                <w:color w:val="auto"/>
              </w:rPr>
            </w:pPr>
          </w:p>
        </w:tc>
        <w:tc>
          <w:tcPr>
            <w:tcW w:w="4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Combined Financial Statements.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180"/>
          </w:cols>
          <w:pgMar w:left="320" w:top="289"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860"/>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UNAUDITED PRO FORMA CONDENSED COMBINED STATEMENTS OF OPERATIONS FOR THE TWELVE</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MONTHS ENDED SEPTEMBER 30, 1999</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688"/>
        </w:trPr>
        <w:tc>
          <w:tcPr>
            <w:tcW w:w="4100" w:type="dxa"/>
            <w:vAlign w:val="bottom"/>
          </w:tcPr>
          <w:p>
            <w:pPr>
              <w:spacing w:after="0"/>
              <w:rPr>
                <w:sz w:val="24"/>
                <w:szCs w:val="24"/>
                <w:color w:val="auto"/>
              </w:rPr>
            </w:pPr>
          </w:p>
        </w:tc>
        <w:tc>
          <w:tcPr>
            <w:tcW w:w="18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AMDOCS</w:t>
            </w:r>
          </w:p>
        </w:tc>
        <w:tc>
          <w:tcPr>
            <w:tcW w:w="14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ITDS</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PRO FORMA</w:t>
            </w:r>
          </w:p>
        </w:tc>
        <w:tc>
          <w:tcPr>
            <w:tcW w:w="580" w:type="dxa"/>
            <w:vAlign w:val="bottom"/>
          </w:tcPr>
          <w:p>
            <w:pPr>
              <w:spacing w:after="0"/>
              <w:rPr>
                <w:sz w:val="24"/>
                <w:szCs w:val="24"/>
                <w:color w:val="auto"/>
              </w:rPr>
            </w:pPr>
          </w:p>
        </w:tc>
        <w:tc>
          <w:tcPr>
            <w:tcW w:w="18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10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HISTORICAL</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HISTORICAL</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ADJUSTMENTS</w:t>
            </w:r>
          </w:p>
        </w:tc>
        <w:tc>
          <w:tcPr>
            <w:tcW w:w="580" w:type="dxa"/>
            <w:vAlign w:val="bottom"/>
          </w:tcPr>
          <w:p>
            <w:pPr>
              <w:spacing w:after="0"/>
              <w:rPr>
                <w:sz w:val="14"/>
                <w:szCs w:val="14"/>
                <w:color w:val="auto"/>
              </w:rPr>
            </w:pPr>
          </w:p>
        </w:tc>
        <w:tc>
          <w:tcPr>
            <w:tcW w:w="18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4100" w:type="dxa"/>
            <w:vAlign w:val="bottom"/>
          </w:tcPr>
          <w:p>
            <w:pPr>
              <w:spacing w:after="0"/>
              <w:rPr>
                <w:sz w:val="14"/>
                <w:szCs w:val="14"/>
                <w:color w:val="auto"/>
              </w:rPr>
            </w:pPr>
          </w:p>
        </w:tc>
        <w:tc>
          <w:tcPr>
            <w:tcW w:w="32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$626,855</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$139,151</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$766,006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363,324</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62,594</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(3,681)</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(7)</w:t>
            </w:r>
          </w:p>
        </w:tc>
        <w:tc>
          <w:tcPr>
            <w:tcW w:w="1820" w:type="dxa"/>
            <w:vAlign w:val="bottom"/>
          </w:tcPr>
          <w:p>
            <w:pPr>
              <w:spacing w:after="0"/>
              <w:rPr>
                <w:sz w:val="14"/>
                <w:szCs w:val="14"/>
                <w:color w:val="auto"/>
              </w:rPr>
            </w:pPr>
          </w:p>
        </w:tc>
      </w:tr>
      <w:tr>
        <w:trPr>
          <w:trHeight w:val="172"/>
        </w:trPr>
        <w:tc>
          <w:tcPr>
            <w:tcW w:w="4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1,081</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(8)</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423,318</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Research and development costs</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40,874</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17,015</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57,889</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costs</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75,659</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33,470</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1,485</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(6)</w:t>
            </w:r>
          </w:p>
        </w:tc>
        <w:tc>
          <w:tcPr>
            <w:tcW w:w="1820" w:type="dxa"/>
            <w:vAlign w:val="bottom"/>
          </w:tcPr>
          <w:p>
            <w:pPr>
              <w:spacing w:after="0"/>
              <w:rPr>
                <w:sz w:val="14"/>
                <w:szCs w:val="14"/>
                <w:color w:val="auto"/>
              </w:rPr>
            </w:pPr>
          </w:p>
        </w:tc>
      </w:tr>
      <w:tr>
        <w:trPr>
          <w:trHeight w:val="172"/>
        </w:trPr>
        <w:tc>
          <w:tcPr>
            <w:tcW w:w="4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(8)</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(1,163)</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(10)</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109,580</w:t>
            </w:r>
          </w:p>
        </w:tc>
      </w:tr>
      <w:tr>
        <w:trPr>
          <w:trHeight w:val="172"/>
        </w:trPr>
        <w:tc>
          <w:tcPr>
            <w:tcW w:w="4100" w:type="dxa"/>
            <w:vAlign w:val="bottom"/>
          </w:tcPr>
          <w:p>
            <w:pPr>
              <w:spacing w:after="0"/>
              <w:rPr>
                <w:sz w:val="14"/>
                <w:szCs w:val="14"/>
                <w:color w:val="auto"/>
              </w:rPr>
            </w:pPr>
          </w:p>
        </w:tc>
        <w:tc>
          <w:tcPr>
            <w:tcW w:w="32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479,857</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113,079</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(2,149)</w:t>
            </w:r>
          </w:p>
        </w:tc>
        <w:tc>
          <w:tcPr>
            <w:tcW w:w="580" w:type="dxa"/>
            <w:vAlign w:val="bottom"/>
          </w:tcPr>
          <w:p>
            <w:pPr>
              <w:spacing w:after="0"/>
              <w:rPr>
                <w:sz w:val="14"/>
                <w:szCs w:val="14"/>
                <w:color w:val="auto"/>
              </w:rPr>
            </w:pP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590,787</w:t>
            </w:r>
          </w:p>
        </w:tc>
      </w:tr>
      <w:tr>
        <w:trPr>
          <w:trHeight w:val="172"/>
        </w:trPr>
        <w:tc>
          <w:tcPr>
            <w:tcW w:w="4100" w:type="dxa"/>
            <w:vAlign w:val="bottom"/>
          </w:tcPr>
          <w:p>
            <w:pPr>
              <w:spacing w:after="0"/>
              <w:rPr>
                <w:sz w:val="14"/>
                <w:szCs w:val="14"/>
                <w:color w:val="auto"/>
              </w:rPr>
            </w:pPr>
          </w:p>
        </w:tc>
        <w:tc>
          <w:tcPr>
            <w:tcW w:w="32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146,998</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26,072</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2,149</w:t>
            </w:r>
          </w:p>
        </w:tc>
        <w:tc>
          <w:tcPr>
            <w:tcW w:w="580" w:type="dxa"/>
            <w:vAlign w:val="bottom"/>
          </w:tcPr>
          <w:p>
            <w:pPr>
              <w:spacing w:after="0"/>
              <w:rPr>
                <w:sz w:val="14"/>
                <w:szCs w:val="14"/>
                <w:color w:val="auto"/>
              </w:rPr>
            </w:pP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175,219</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Other income (expenses), net</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(6,223)</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1,679</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(4,544)</w:t>
            </w:r>
          </w:p>
        </w:tc>
      </w:tr>
      <w:tr>
        <w:trPr>
          <w:trHeight w:val="172"/>
        </w:trPr>
        <w:tc>
          <w:tcPr>
            <w:tcW w:w="4100" w:type="dxa"/>
            <w:vAlign w:val="bottom"/>
          </w:tcPr>
          <w:p>
            <w:pPr>
              <w:spacing w:after="0"/>
              <w:rPr>
                <w:sz w:val="14"/>
                <w:szCs w:val="14"/>
                <w:color w:val="auto"/>
              </w:rPr>
            </w:pPr>
          </w:p>
        </w:tc>
        <w:tc>
          <w:tcPr>
            <w:tcW w:w="32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140,775</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27,751</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2,149</w:t>
            </w:r>
          </w:p>
        </w:tc>
        <w:tc>
          <w:tcPr>
            <w:tcW w:w="580" w:type="dxa"/>
            <w:vAlign w:val="bottom"/>
          </w:tcPr>
          <w:p>
            <w:pPr>
              <w:spacing w:after="0"/>
              <w:rPr>
                <w:sz w:val="14"/>
                <w:szCs w:val="14"/>
                <w:color w:val="auto"/>
              </w:rPr>
            </w:pP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170,675</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42,232</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10,950</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(9)</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53,687</w:t>
            </w:r>
          </w:p>
        </w:tc>
      </w:tr>
      <w:tr>
        <w:trPr>
          <w:trHeight w:val="172"/>
        </w:trPr>
        <w:tc>
          <w:tcPr>
            <w:tcW w:w="4100" w:type="dxa"/>
            <w:vAlign w:val="bottom"/>
          </w:tcPr>
          <w:p>
            <w:pPr>
              <w:spacing w:after="0"/>
              <w:rPr>
                <w:sz w:val="14"/>
                <w:szCs w:val="14"/>
                <w:color w:val="auto"/>
              </w:rPr>
            </w:pPr>
          </w:p>
        </w:tc>
        <w:tc>
          <w:tcPr>
            <w:tcW w:w="32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98,543</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$16,801</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$1,644</w:t>
            </w:r>
          </w:p>
        </w:tc>
        <w:tc>
          <w:tcPr>
            <w:tcW w:w="580" w:type="dxa"/>
            <w:vAlign w:val="bottom"/>
          </w:tcPr>
          <w:p>
            <w:pPr>
              <w:spacing w:after="0"/>
              <w:rPr>
                <w:sz w:val="14"/>
                <w:szCs w:val="14"/>
                <w:color w:val="auto"/>
              </w:rPr>
            </w:pP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$116,988</w:t>
            </w:r>
          </w:p>
        </w:tc>
      </w:tr>
      <w:tr>
        <w:trPr>
          <w:trHeight w:val="172"/>
        </w:trPr>
        <w:tc>
          <w:tcPr>
            <w:tcW w:w="4100" w:type="dxa"/>
            <w:vAlign w:val="bottom"/>
          </w:tcPr>
          <w:p>
            <w:pPr>
              <w:spacing w:after="0"/>
              <w:rPr>
                <w:sz w:val="14"/>
                <w:szCs w:val="14"/>
                <w:color w:val="auto"/>
              </w:rPr>
            </w:pPr>
          </w:p>
        </w:tc>
        <w:tc>
          <w:tcPr>
            <w:tcW w:w="48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$0.50</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$0.57</w:t>
            </w:r>
          </w:p>
        </w:tc>
      </w:tr>
      <w:tr>
        <w:trPr>
          <w:trHeight w:val="172"/>
        </w:trPr>
        <w:tc>
          <w:tcPr>
            <w:tcW w:w="41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$0.49</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$0.57</w:t>
            </w:r>
          </w:p>
        </w:tc>
      </w:tr>
      <w:tr>
        <w:trPr>
          <w:trHeight w:val="172"/>
        </w:trPr>
        <w:tc>
          <w:tcPr>
            <w:tcW w:w="41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earnings per</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ordinary share</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197,436</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203,887</w:t>
            </w:r>
          </w:p>
        </w:tc>
      </w:tr>
      <w:tr>
        <w:trPr>
          <w:trHeight w:val="172"/>
        </w:trPr>
        <w:tc>
          <w:tcPr>
            <w:tcW w:w="41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Shares used in computing diluted earnings per</w:t>
            </w: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ordinary share</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200,262</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206,713</w:t>
            </w:r>
          </w:p>
        </w:tc>
      </w:tr>
      <w:tr>
        <w:trPr>
          <w:trHeight w:val="172"/>
        </w:trPr>
        <w:tc>
          <w:tcPr>
            <w:tcW w:w="41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4460"/>
        <w:spacing w:after="0"/>
        <w:rPr>
          <w:sz w:val="20"/>
          <w:szCs w:val="20"/>
          <w:color w:val="auto"/>
        </w:rPr>
      </w:pPr>
      <w:r>
        <w:rPr>
          <w:rFonts w:ascii="Courier New" w:cs="Courier New" w:eastAsia="Courier New" w:hAnsi="Courier New"/>
          <w:sz w:val="15"/>
          <w:szCs w:val="15"/>
          <w:color w:val="auto"/>
        </w:rPr>
        <w:t>See notes to Unaudited Pro Forma Condensed Combined Financial Statements. for discussion of adjustments.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340"/>
          </w:cols>
          <w:pgMar w:left="320" w:top="289" w:right="239"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8" w:right="4059"/>
        <w:spacing w:after="0"/>
        <w:rPr>
          <w:sz w:val="20"/>
          <w:szCs w:val="20"/>
          <w:color w:val="auto"/>
        </w:rPr>
      </w:pPr>
      <w:r>
        <w:rPr>
          <w:rFonts w:ascii="Courier New" w:cs="Courier New" w:eastAsia="Courier New" w:hAnsi="Courier New"/>
          <w:sz w:val="15"/>
          <w:szCs w:val="15"/>
          <w:color w:val="auto"/>
        </w:rPr>
        <w:t>NOTES TO UNAUDITED PRO FORMA CONDENSED COMBINED FINANCIAL STATEMENTS (Dollars in thousands, except per share data)</w:t>
      </w:r>
    </w:p>
    <w:p>
      <w:pPr>
        <w:spacing w:after="0" w:line="176" w:lineRule="exact"/>
        <w:rPr>
          <w:sz w:val="20"/>
          <w:szCs w:val="20"/>
          <w:color w:val="auto"/>
        </w:rPr>
      </w:pPr>
    </w:p>
    <w:p>
      <w:pPr>
        <w:ind w:left="628" w:right="3439" w:hanging="628"/>
        <w:spacing w:after="0"/>
        <w:tabs>
          <w:tab w:leader="none" w:pos="6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the carrying value of ITDS' goodwill and intellectual property.</w:t>
      </w:r>
    </w:p>
    <w:p>
      <w:pPr>
        <w:spacing w:after="0" w:line="174" w:lineRule="exact"/>
        <w:rPr>
          <w:rFonts w:ascii="Courier New" w:cs="Courier New" w:eastAsia="Courier New" w:hAnsi="Courier New"/>
          <w:sz w:val="15"/>
          <w:szCs w:val="15"/>
          <w:color w:val="auto"/>
        </w:rPr>
      </w:pPr>
    </w:p>
    <w:p>
      <w:pPr>
        <w:ind w:left="628" w:hanging="628"/>
        <w:spacing w:after="0"/>
        <w:tabs>
          <w:tab w:leader="none" w:pos="6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allocation of purchase price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700" w:type="dxa"/>
            <w:vAlign w:val="bottom"/>
          </w:tcPr>
          <w:p>
            <w:pPr>
              <w:spacing w:after="0"/>
              <w:rPr>
                <w:sz w:val="20"/>
                <w:szCs w:val="20"/>
                <w:color w:val="auto"/>
              </w:rPr>
            </w:pPr>
            <w:r>
              <w:rPr>
                <w:rFonts w:ascii="Courier New" w:cs="Courier New" w:eastAsia="Courier New" w:hAnsi="Courier New"/>
                <w:sz w:val="15"/>
                <w:szCs w:val="15"/>
                <w:color w:val="auto"/>
              </w:rPr>
              <w:t>6,450,714 ordinary shares valued at $28.25 per share</w:t>
            </w: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$182,233</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Fair value of stock options to be granted to ITDS employees in exchange</w:t>
            </w:r>
          </w:p>
        </w:tc>
        <w:tc>
          <w:tcPr>
            <w:tcW w:w="1880" w:type="dxa"/>
            <w:vAlign w:val="bottom"/>
          </w:tcPr>
          <w:p>
            <w:pPr>
              <w:spacing w:after="0"/>
              <w:rPr>
                <w:sz w:val="14"/>
                <w:szCs w:val="14"/>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for ITDS vested stock options</w:t>
            </w: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3,300</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Estimated transaction costs</w:t>
            </w: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3,200</w:t>
            </w:r>
          </w:p>
        </w:tc>
      </w:tr>
      <w:tr>
        <w:trPr>
          <w:trHeight w:val="172"/>
        </w:trPr>
        <w:tc>
          <w:tcPr>
            <w:tcW w:w="67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ind w:left="4820"/>
              <w:spacing w:after="0"/>
              <w:rPr>
                <w:sz w:val="20"/>
                <w:szCs w:val="20"/>
                <w:color w:val="auto"/>
              </w:rPr>
            </w:pPr>
            <w:r>
              <w:rPr>
                <w:rFonts w:ascii="Courier New" w:cs="Courier New" w:eastAsia="Courier New" w:hAnsi="Courier New"/>
                <w:sz w:val="15"/>
                <w:szCs w:val="15"/>
                <w:color w:val="auto"/>
              </w:rPr>
              <w:t>Total purchase price</w:t>
            </w: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$188,733</w:t>
            </w:r>
          </w:p>
        </w:tc>
      </w:tr>
      <w:tr>
        <w:trPr>
          <w:trHeight w:val="172"/>
        </w:trPr>
        <w:tc>
          <w:tcPr>
            <w:tcW w:w="67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Allocation of purchase price:</w:t>
            </w:r>
          </w:p>
        </w:tc>
        <w:tc>
          <w:tcPr>
            <w:tcW w:w="1880" w:type="dxa"/>
            <w:vAlign w:val="bottom"/>
          </w:tcPr>
          <w:p>
            <w:pPr>
              <w:spacing w:after="0"/>
              <w:rPr>
                <w:sz w:val="14"/>
                <w:szCs w:val="14"/>
                <w:color w:val="auto"/>
              </w:rPr>
            </w:pPr>
          </w:p>
        </w:tc>
      </w:tr>
      <w:tr>
        <w:trPr>
          <w:trHeight w:val="516"/>
        </w:trPr>
        <w:tc>
          <w:tcPr>
            <w:tcW w:w="6700" w:type="dxa"/>
            <w:vAlign w:val="bottom"/>
          </w:tcPr>
          <w:p>
            <w:pPr>
              <w:spacing w:after="0"/>
              <w:rPr>
                <w:sz w:val="20"/>
                <w:szCs w:val="20"/>
                <w:color w:val="auto"/>
              </w:rPr>
            </w:pPr>
            <w:r>
              <w:rPr>
                <w:rFonts w:ascii="Courier New" w:cs="Courier New" w:eastAsia="Courier New" w:hAnsi="Courier New"/>
                <w:sz w:val="15"/>
                <w:szCs w:val="15"/>
                <w:color w:val="auto"/>
              </w:rPr>
              <w:t>Tangible assets acquired</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$105,375</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Liabilities assumed</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(29,209)</w:t>
            </w:r>
          </w:p>
        </w:tc>
      </w:tr>
      <w:tr>
        <w:trPr>
          <w:trHeight w:val="172"/>
        </w:trPr>
        <w:tc>
          <w:tcPr>
            <w:tcW w:w="6700" w:type="dxa"/>
            <w:vAlign w:val="bottom"/>
          </w:tcPr>
          <w:p>
            <w:pPr>
              <w:spacing w:after="0"/>
              <w:rPr>
                <w:sz w:val="14"/>
                <w:szCs w:val="14"/>
                <w:color w:val="auto"/>
              </w:rPr>
            </w:pP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tangible assets</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76,166</w:t>
            </w:r>
          </w:p>
        </w:tc>
      </w:tr>
      <w:tr>
        <w:trPr>
          <w:trHeight w:val="172"/>
        </w:trPr>
        <w:tc>
          <w:tcPr>
            <w:tcW w:w="6700" w:type="dxa"/>
            <w:vAlign w:val="bottom"/>
          </w:tcPr>
          <w:p>
            <w:pPr>
              <w:spacing w:after="0"/>
              <w:rPr>
                <w:sz w:val="14"/>
                <w:szCs w:val="14"/>
                <w:color w:val="auto"/>
              </w:rPr>
            </w:pP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In process research and development*</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19,876</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Intellectual property</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12,342</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Workforce</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5,407</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Customers list</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647</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Deferred taxes  resulting from  differences  between the assigned value of</w:t>
            </w:r>
          </w:p>
        </w:tc>
        <w:tc>
          <w:tcPr>
            <w:tcW w:w="1880" w:type="dxa"/>
            <w:vAlign w:val="bottom"/>
          </w:tcPr>
          <w:p>
            <w:pPr>
              <w:spacing w:after="0"/>
              <w:rPr>
                <w:sz w:val="14"/>
                <w:szCs w:val="14"/>
                <w:color w:val="auto"/>
              </w:rPr>
            </w:pP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certain assets and their tax basis</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2,523</w:t>
            </w:r>
          </w:p>
        </w:tc>
      </w:tr>
      <w:tr>
        <w:trPr>
          <w:trHeight w:val="172"/>
        </w:trPr>
        <w:tc>
          <w:tcPr>
            <w:tcW w:w="6700" w:type="dxa"/>
            <w:vAlign w:val="bottom"/>
          </w:tcPr>
          <w:p>
            <w:pPr>
              <w:spacing w:after="0"/>
              <w:rPr>
                <w:sz w:val="14"/>
                <w:szCs w:val="14"/>
                <w:color w:val="auto"/>
              </w:rPr>
            </w:pP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identifiable intangible assets</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40,795</w:t>
            </w:r>
          </w:p>
        </w:tc>
      </w:tr>
      <w:tr>
        <w:trPr>
          <w:trHeight w:val="172"/>
        </w:trPr>
        <w:tc>
          <w:tcPr>
            <w:tcW w:w="6700" w:type="dxa"/>
            <w:vAlign w:val="bottom"/>
          </w:tcPr>
          <w:p>
            <w:pPr>
              <w:spacing w:after="0"/>
              <w:rPr>
                <w:sz w:val="14"/>
                <w:szCs w:val="14"/>
                <w:color w:val="auto"/>
              </w:rPr>
            </w:pP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71,772</w:t>
            </w:r>
          </w:p>
        </w:tc>
      </w:tr>
      <w:tr>
        <w:trPr>
          <w:trHeight w:val="172"/>
        </w:trPr>
        <w:tc>
          <w:tcPr>
            <w:tcW w:w="6700" w:type="dxa"/>
            <w:vAlign w:val="bottom"/>
          </w:tcPr>
          <w:p>
            <w:pPr>
              <w:spacing w:after="0"/>
              <w:rPr>
                <w:sz w:val="14"/>
                <w:szCs w:val="14"/>
                <w:color w:val="auto"/>
              </w:rPr>
            </w:pP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14"/>
                <w:szCs w:val="14"/>
                <w:color w:val="auto"/>
              </w:rPr>
            </w:pP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$188,733</w:t>
            </w:r>
          </w:p>
        </w:tc>
      </w:tr>
      <w:tr>
        <w:trPr>
          <w:trHeight w:val="172"/>
        </w:trPr>
        <w:tc>
          <w:tcPr>
            <w:tcW w:w="6700" w:type="dxa"/>
            <w:vAlign w:val="bottom"/>
          </w:tcPr>
          <w:p>
            <w:pPr>
              <w:spacing w:after="0"/>
              <w:rPr>
                <w:sz w:val="14"/>
                <w:szCs w:val="14"/>
                <w:color w:val="auto"/>
              </w:rPr>
            </w:pP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619" w:firstLine="626"/>
        <w:spacing w:after="0" w:line="241" w:lineRule="auto"/>
        <w:rPr>
          <w:sz w:val="20"/>
          <w:szCs w:val="20"/>
          <w:color w:val="auto"/>
        </w:rPr>
      </w:pPr>
      <w:r>
        <w:rPr>
          <w:rFonts w:ascii="Courier New" w:cs="Courier New" w:eastAsia="Courier New" w:hAnsi="Courier New"/>
          <w:sz w:val="15"/>
          <w:szCs w:val="15"/>
          <w:color w:val="auto"/>
        </w:rPr>
        <w:t>* The amount allocated to in-process research and development of $19,876 will be charged to expense immediately upon the completion of the transaction.</w:t>
      </w:r>
    </w:p>
    <w:p>
      <w:pPr>
        <w:spacing w:after="0" w:line="175" w:lineRule="exact"/>
        <w:rPr>
          <w:sz w:val="20"/>
          <w:szCs w:val="20"/>
          <w:color w:val="auto"/>
        </w:rPr>
      </w:pPr>
    </w:p>
    <w:p>
      <w:pPr>
        <w:ind w:left="628" w:hanging="628"/>
        <w:spacing w:after="0"/>
        <w:tabs>
          <w:tab w:leader="none" w:pos="62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estimated transaction costs</w:t>
      </w:r>
    </w:p>
    <w:p>
      <w:pPr>
        <w:spacing w:after="0" w:line="174" w:lineRule="exact"/>
        <w:rPr>
          <w:rFonts w:ascii="Courier New" w:cs="Courier New" w:eastAsia="Courier New" w:hAnsi="Courier New"/>
          <w:sz w:val="15"/>
          <w:szCs w:val="15"/>
          <w:color w:val="auto"/>
        </w:rPr>
      </w:pPr>
    </w:p>
    <w:p>
      <w:pPr>
        <w:ind w:left="628" w:hanging="628"/>
        <w:spacing w:after="0"/>
        <w:tabs>
          <w:tab w:leader="none" w:pos="62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ITDS's historical shareholders' equity.</w:t>
      </w:r>
    </w:p>
    <w:p>
      <w:pPr>
        <w:spacing w:after="0" w:line="175" w:lineRule="exact"/>
        <w:rPr>
          <w:rFonts w:ascii="Courier New" w:cs="Courier New" w:eastAsia="Courier New" w:hAnsi="Courier New"/>
          <w:sz w:val="15"/>
          <w:szCs w:val="15"/>
          <w:color w:val="auto"/>
        </w:rPr>
      </w:pPr>
    </w:p>
    <w:p>
      <w:pPr>
        <w:jc w:val="both"/>
        <w:ind w:left="628" w:right="3439" w:hanging="628"/>
        <w:spacing w:after="0" w:line="241" w:lineRule="auto"/>
        <w:tabs>
          <w:tab w:leader="none" w:pos="62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issuance of Amdocs Ordinary Shares and the recording of the fair value of stock options to be granted to ITDS's employees in exchange for ITDS'vested stock options.</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7"/>
          </w:cols>
          <w:pgMar w:left="312" w:top="289" w:right="1440" w:bottom="1440" w:gutter="0" w:footer="0" w:header="0"/>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20" w:lineRule="exact"/>
        <w:rPr>
          <w:sz w:val="20"/>
          <w:szCs w:val="20"/>
          <w:color w:val="auto"/>
        </w:rPr>
      </w:pPr>
    </w:p>
    <w:p>
      <w:pPr>
        <w:ind w:left="628" w:right="3159" w:hanging="628"/>
        <w:spacing w:after="0" w:line="274" w:lineRule="auto"/>
        <w:tabs>
          <w:tab w:leader="none" w:pos="62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ITDS's historical goodwill amortization and the amortization of adjusted goodwill resulting from the Acquisition:</w:t>
      </w:r>
    </w:p>
    <w:p>
      <w:pPr>
        <w:spacing w:after="0" w:line="152"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adjusted goodwill of $71,772 over</w:t>
            </w:r>
          </w:p>
        </w:tc>
        <w:tc>
          <w:tcPr>
            <w:tcW w:w="2280" w:type="dxa"/>
            <w:vAlign w:val="bottom"/>
          </w:tcPr>
          <w:p>
            <w:pPr>
              <w:spacing w:after="0"/>
              <w:rPr>
                <w:sz w:val="14"/>
                <w:szCs w:val="14"/>
                <w:color w:val="auto"/>
              </w:rPr>
            </w:pPr>
          </w:p>
        </w:tc>
      </w:tr>
      <w:tr>
        <w:trPr>
          <w:trHeight w:val="172"/>
        </w:trPr>
        <w:tc>
          <w:tcPr>
            <w:tcW w:w="6120" w:type="dxa"/>
            <w:vAlign w:val="bottom"/>
          </w:tcPr>
          <w:p>
            <w:pPr>
              <w:ind w:left="360"/>
              <w:spacing w:after="0"/>
              <w:rPr>
                <w:sz w:val="20"/>
                <w:szCs w:val="20"/>
                <w:color w:val="auto"/>
              </w:rPr>
            </w:pPr>
            <w:r>
              <w:rPr>
                <w:rFonts w:ascii="Courier New" w:cs="Courier New" w:eastAsia="Courier New" w:hAnsi="Courier New"/>
                <w:sz w:val="15"/>
                <w:szCs w:val="15"/>
                <w:color w:val="auto"/>
              </w:rPr>
              <w:t>15 years</w:t>
            </w:r>
          </w:p>
        </w:tc>
        <w:tc>
          <w:tcPr>
            <w:tcW w:w="22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$4,785</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Less historical amortization expense</w:t>
            </w:r>
          </w:p>
        </w:tc>
        <w:tc>
          <w:tcPr>
            <w:tcW w:w="22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(3,300)</w:t>
            </w:r>
          </w:p>
        </w:tc>
      </w:tr>
      <w:tr>
        <w:trPr>
          <w:trHeight w:val="172"/>
        </w:trPr>
        <w:tc>
          <w:tcPr>
            <w:tcW w:w="612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Additional goodwill amortization, net</w:t>
            </w:r>
          </w:p>
        </w:tc>
        <w:tc>
          <w:tcPr>
            <w:tcW w:w="22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$1,485</w:t>
            </w:r>
          </w:p>
        </w:tc>
      </w:tr>
      <w:tr>
        <w:trPr>
          <w:trHeight w:val="172"/>
        </w:trPr>
        <w:tc>
          <w:tcPr>
            <w:tcW w:w="612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628" w:right="3159" w:hanging="628"/>
        <w:spacing w:after="0" w:line="267" w:lineRule="auto"/>
        <w:tabs>
          <w:tab w:leader="none" w:pos="62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ITDS's historical amortization of intellectual property and the amortization of the adjusted intellectual property resulting from the valuation at the time of the Acquisition:</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expense relating to intellectual property of</w:t>
            </w:r>
          </w:p>
        </w:tc>
        <w:tc>
          <w:tcPr>
            <w:tcW w:w="2040" w:type="dxa"/>
            <w:vAlign w:val="bottom"/>
          </w:tcPr>
          <w:p>
            <w:pPr>
              <w:spacing w:after="0"/>
              <w:rPr>
                <w:sz w:val="14"/>
                <w:szCs w:val="14"/>
                <w:color w:val="auto"/>
              </w:rPr>
            </w:pP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$12,342 over</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5 years</w:t>
            </w:r>
          </w:p>
        </w:tc>
        <w:tc>
          <w:tcPr>
            <w:tcW w:w="20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$2,468</w:t>
            </w:r>
          </w:p>
        </w:tc>
      </w:tr>
      <w:tr>
        <w:trPr>
          <w:trHeight w:val="172"/>
        </w:trPr>
        <w:tc>
          <w:tcPr>
            <w:tcW w:w="6980" w:type="dxa"/>
            <w:vAlign w:val="bottom"/>
            <w:gridSpan w:val="2"/>
          </w:tcPr>
          <w:p>
            <w:pPr>
              <w:spacing w:after="0"/>
              <w:rPr>
                <w:sz w:val="20"/>
                <w:szCs w:val="20"/>
                <w:color w:val="auto"/>
              </w:rPr>
            </w:pPr>
            <w:r>
              <w:rPr>
                <w:rFonts w:ascii="Courier New" w:cs="Courier New" w:eastAsia="Courier New" w:hAnsi="Courier New"/>
                <w:sz w:val="15"/>
                <w:szCs w:val="15"/>
                <w:color w:val="auto"/>
              </w:rPr>
              <w:t>Less historical amortization expense</w:t>
            </w:r>
          </w:p>
        </w:tc>
        <w:tc>
          <w:tcPr>
            <w:tcW w:w="20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(6,149)</w:t>
            </w:r>
          </w:p>
        </w:tc>
      </w:tr>
      <w:tr>
        <w:trPr>
          <w:trHeight w:val="172"/>
        </w:trPr>
        <w:tc>
          <w:tcPr>
            <w:tcW w:w="11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Reduction of</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amortization expense related to intellectual property, net</w:t>
            </w:r>
          </w:p>
        </w:tc>
        <w:tc>
          <w:tcPr>
            <w:tcW w:w="20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$(3,681)</w:t>
            </w:r>
          </w:p>
        </w:tc>
      </w:tr>
      <w:tr>
        <w:trPr>
          <w:trHeight w:val="172"/>
        </w:trPr>
        <w:tc>
          <w:tcPr>
            <w:tcW w:w="11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516"/>
        </w:trPr>
        <w:tc>
          <w:tcPr>
            <w:tcW w:w="1120" w:type="dxa"/>
            <w:vAlign w:val="bottom"/>
          </w:tcPr>
          <w:p>
            <w:pPr>
              <w:spacing w:after="0"/>
              <w:rPr>
                <w:sz w:val="20"/>
                <w:szCs w:val="20"/>
                <w:color w:val="auto"/>
              </w:rPr>
            </w:pPr>
            <w:r>
              <w:rPr>
                <w:rFonts w:ascii="Courier New" w:cs="Courier New" w:eastAsia="Courier New" w:hAnsi="Courier New"/>
                <w:sz w:val="15"/>
                <w:szCs w:val="15"/>
                <w:color w:val="auto"/>
              </w:rPr>
              <w:t>(8) Reflects</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the amortization of the workforce and customers list, as follows:</w:t>
            </w:r>
          </w:p>
        </w:tc>
        <w:tc>
          <w:tcPr>
            <w:tcW w:w="2040" w:type="dxa"/>
            <w:vAlign w:val="bottom"/>
          </w:tcPr>
          <w:p>
            <w:pPr>
              <w:spacing w:after="0"/>
              <w:rPr>
                <w:sz w:val="24"/>
                <w:szCs w:val="24"/>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expense</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relating</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workforce</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of $5,407 over 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$1,081</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expense</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relating</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customers</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list of $647over</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5 years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bl>
    <w:p>
      <w:pPr>
        <w:spacing w:after="0" w:line="348" w:lineRule="exact"/>
        <w:rPr>
          <w:sz w:val="20"/>
          <w:szCs w:val="20"/>
          <w:color w:val="auto"/>
        </w:rPr>
      </w:pPr>
    </w:p>
    <w:p>
      <w:pPr>
        <w:ind w:left="628" w:right="3079" w:hanging="628"/>
        <w:spacing w:after="0" w:line="241" w:lineRule="auto"/>
        <w:tabs>
          <w:tab w:leader="none" w:pos="6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intellectual property, workforce and customer list and the respective tax basis of such assets.</w:t>
      </w:r>
    </w:p>
    <w:p>
      <w:pPr>
        <w:spacing w:after="0" w:line="176" w:lineRule="exact"/>
        <w:rPr>
          <w:rFonts w:ascii="Courier New" w:cs="Courier New" w:eastAsia="Courier New" w:hAnsi="Courier New"/>
          <w:sz w:val="15"/>
          <w:szCs w:val="15"/>
          <w:color w:val="auto"/>
        </w:rPr>
      </w:pPr>
    </w:p>
    <w:p>
      <w:pPr>
        <w:ind w:left="628" w:right="3159" w:hanging="628"/>
        <w:spacing w:after="0" w:line="242" w:lineRule="auto"/>
        <w:tabs>
          <w:tab w:leader="none" w:pos="6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ITDS transaction costs incurred prior to September 30, 1999. Subsequent to September 30, 1999 ITDS incurred approximately $5,825 of additional transaction costs which were recognized as expenses by ITDS when incurred. Such expenses will result in an increase to goodwill.</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7"/>
          </w:cols>
          <w:pgMar w:left="312"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69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AMDOCS LIMITED</w:t>
      </w:r>
    </w:p>
    <w:p>
      <w:pPr>
        <w:sectPr>
          <w:pgSz w:w="11900" w:h="16838" w:orient="portrait"/>
          <w:cols w:equalWidth="0" w:num="1">
            <w:col w:w="10139"/>
          </w:cols>
          <w:pgMar w:left="320"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 2000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Thomas G. O'Brien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Thomas G. O'Brien</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Treasurer and Secretary</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U.S. Representative</w:t>
      </w:r>
    </w:p>
    <w:p>
      <w:pPr>
        <w:spacing w:after="0" w:line="184" w:lineRule="exact"/>
        <w:rPr>
          <w:sz w:val="20"/>
          <w:szCs w:val="20"/>
          <w:color w:val="auto"/>
        </w:rPr>
      </w:pPr>
    </w:p>
    <w:p>
      <w:pPr>
        <w:sectPr>
          <w:pgSz w:w="11900" w:h="16838" w:orient="portrait"/>
          <w:cols w:equalWidth="0" w:num="3">
            <w:col w:w="440" w:space="180"/>
            <w:col w:w="2680" w:space="720"/>
            <w:col w:w="6119"/>
          </w:cols>
          <w:pgMar w:left="320" w:top="289"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9" w:right="1440" w:bottom="1440" w:gutter="0" w:footer="0" w:header="0"/>
          <w:type w:val="continuous"/>
        </w:sectPr>
      </w:pPr>
    </w:p>
    <w:bookmarkStart w:id="9" w:name="page10"/>
    <w:bookmarkEnd w:id="9"/>
    <w:tbl>
      <w:tblPr>
        <w:tblLayout w:type="fixed"/>
        <w:tblInd w:w="8" w:type="dxa"/>
        <w:tblCellMar>
          <w:top w:w="0" w:type="dxa"/>
          <w:left w:w="0" w:type="dxa"/>
          <w:bottom w:w="0" w:type="dxa"/>
          <w:right w:w="0" w:type="dxa"/>
        </w:tblCellMar>
      </w:tblPr>
      <w:tr>
        <w:trPr>
          <w:trHeight w:val="170"/>
        </w:trPr>
        <w:tc>
          <w:tcPr>
            <w:tcW w:w="17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10</w:t>
            </w:r>
          </w:p>
        </w:tc>
        <w:tc>
          <w:tcPr>
            <w:tcW w:w="5280" w:type="dxa"/>
            <w:vAlign w:val="bottom"/>
          </w:tcPr>
          <w:p>
            <w:pPr>
              <w:spacing w:after="0"/>
              <w:rPr>
                <w:sz w:val="14"/>
                <w:szCs w:val="14"/>
                <w:color w:val="auto"/>
              </w:rPr>
            </w:pPr>
          </w:p>
        </w:tc>
      </w:tr>
      <w:tr>
        <w:trPr>
          <w:trHeight w:val="516"/>
        </w:trPr>
        <w:tc>
          <w:tcPr>
            <w:tcW w:w="1700" w:type="dxa"/>
            <w:vAlign w:val="bottom"/>
          </w:tcPr>
          <w:p>
            <w:pPr>
              <w:spacing w:after="0"/>
              <w:rPr>
                <w:sz w:val="24"/>
                <w:szCs w:val="24"/>
                <w:color w:val="auto"/>
              </w:rPr>
            </w:pPr>
          </w:p>
        </w:tc>
        <w:tc>
          <w:tcPr>
            <w:tcW w:w="5280" w:type="dxa"/>
            <w:vAlign w:val="bottom"/>
          </w:tcPr>
          <w:p>
            <w:pPr>
              <w:ind w:left="1240"/>
              <w:spacing w:after="0"/>
              <w:rPr>
                <w:sz w:val="20"/>
                <w:szCs w:val="20"/>
                <w:color w:val="auto"/>
              </w:rPr>
            </w:pPr>
            <w:r>
              <w:rPr>
                <w:rFonts w:ascii="Courier New" w:cs="Courier New" w:eastAsia="Courier New" w:hAnsi="Courier New"/>
                <w:sz w:val="15"/>
                <w:szCs w:val="15"/>
                <w:color w:val="auto"/>
              </w:rPr>
              <w:t>EXHIBIT INDEX</w:t>
            </w: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DESCRIPTION</w:t>
            </w: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w w:val="99"/>
              </w:rPr>
              <w:t>Agreement and Plan of Merger, dated as of September</w:t>
            </w:r>
          </w:p>
        </w:tc>
      </w:tr>
      <w:tr>
        <w:trPr>
          <w:trHeight w:val="172"/>
        </w:trPr>
        <w:tc>
          <w:tcPr>
            <w:tcW w:w="1700" w:type="dxa"/>
            <w:vAlign w:val="bottom"/>
          </w:tcPr>
          <w:p>
            <w:pPr>
              <w:spacing w:after="0"/>
              <w:rPr>
                <w:sz w:val="14"/>
                <w:szCs w:val="14"/>
                <w:color w:val="auto"/>
              </w:rPr>
            </w:pP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3, 1999, among Amdocs, Ivan Acquisition Corp. and</w:t>
            </w:r>
          </w:p>
        </w:tc>
      </w:tr>
      <w:tr>
        <w:trPr>
          <w:trHeight w:val="172"/>
        </w:trPr>
        <w:tc>
          <w:tcPr>
            <w:tcW w:w="1700" w:type="dxa"/>
            <w:vAlign w:val="bottom"/>
          </w:tcPr>
          <w:p>
            <w:pPr>
              <w:spacing w:after="0"/>
              <w:rPr>
                <w:sz w:val="14"/>
                <w:szCs w:val="14"/>
                <w:color w:val="auto"/>
              </w:rPr>
            </w:pP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ITDS (Incorporated by reference from the</w:t>
            </w:r>
          </w:p>
        </w:tc>
      </w:tr>
      <w:tr>
        <w:trPr>
          <w:trHeight w:val="172"/>
        </w:trPr>
        <w:tc>
          <w:tcPr>
            <w:tcW w:w="1700" w:type="dxa"/>
            <w:vAlign w:val="bottom"/>
          </w:tcPr>
          <w:p>
            <w:pPr>
              <w:spacing w:after="0"/>
              <w:rPr>
                <w:sz w:val="14"/>
                <w:szCs w:val="14"/>
                <w:color w:val="auto"/>
              </w:rPr>
            </w:pP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Registration Statement on Form F-4 (File No.</w:t>
            </w:r>
          </w:p>
        </w:tc>
      </w:tr>
      <w:tr>
        <w:trPr>
          <w:trHeight w:val="172"/>
        </w:trPr>
        <w:tc>
          <w:tcPr>
            <w:tcW w:w="1700" w:type="dxa"/>
            <w:vAlign w:val="bottom"/>
          </w:tcPr>
          <w:p>
            <w:pPr>
              <w:spacing w:after="0"/>
              <w:rPr>
                <w:sz w:val="14"/>
                <w:szCs w:val="14"/>
                <w:color w:val="auto"/>
              </w:rPr>
            </w:pP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333-89673) of Amdocs filed with the Securities and</w:t>
            </w:r>
          </w:p>
        </w:tc>
      </w:tr>
      <w:tr>
        <w:trPr>
          <w:trHeight w:val="172"/>
        </w:trPr>
        <w:tc>
          <w:tcPr>
            <w:tcW w:w="1700" w:type="dxa"/>
            <w:vAlign w:val="bottom"/>
          </w:tcPr>
          <w:p>
            <w:pPr>
              <w:spacing w:after="0"/>
              <w:rPr>
                <w:sz w:val="14"/>
                <w:szCs w:val="14"/>
                <w:color w:val="auto"/>
              </w:rPr>
            </w:pP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Exchange Commission on October 26, 1999).</w:t>
            </w:r>
          </w:p>
        </w:tc>
      </w:tr>
      <w:tr>
        <w:trPr>
          <w:trHeight w:val="344"/>
        </w:trPr>
        <w:tc>
          <w:tcPr>
            <w:tcW w:w="1700" w:type="dxa"/>
            <w:vAlign w:val="bottom"/>
          </w:tcPr>
          <w:p>
            <w:pPr>
              <w:jc w:val="right"/>
              <w:ind w:right="1185"/>
              <w:spacing w:after="0"/>
              <w:rPr>
                <w:sz w:val="20"/>
                <w:szCs w:val="20"/>
                <w:color w:val="auto"/>
              </w:rPr>
            </w:pPr>
            <w:r>
              <w:rPr>
                <w:rFonts w:ascii="Courier New" w:cs="Courier New" w:eastAsia="Courier New" w:hAnsi="Courier New"/>
                <w:sz w:val="15"/>
                <w:szCs w:val="15"/>
                <w:color w:val="auto"/>
                <w:w w:val="93"/>
              </w:rPr>
              <w:t>99.1*</w:t>
            </w: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Amdocs Limited Press Release, dated November 30,</w:t>
            </w:r>
          </w:p>
        </w:tc>
      </w:tr>
      <w:tr>
        <w:trPr>
          <w:trHeight w:val="172"/>
        </w:trPr>
        <w:tc>
          <w:tcPr>
            <w:tcW w:w="1700" w:type="dxa"/>
            <w:vAlign w:val="bottom"/>
          </w:tcPr>
          <w:p>
            <w:pPr>
              <w:spacing w:after="0"/>
              <w:rPr>
                <w:sz w:val="14"/>
                <w:szCs w:val="14"/>
                <w:color w:val="auto"/>
              </w:rPr>
            </w:pP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1999.</w:t>
            </w:r>
          </w:p>
        </w:tc>
      </w:tr>
    </w:tbl>
    <w:p>
      <w:pPr>
        <w:spacing w:after="0" w:line="174"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sectPr>
      <w:pgSz w:w="11900" w:h="16838" w:orient="portrait"/>
      <w:cols w:equalWidth="0" w:num="1">
        <w:col w:w="10147"/>
      </w:cols>
      <w:pgMar w:left="312"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2"/>
    </w:lvl>
  </w:abstractNum>
  <w:abstractNum w:abstractNumId="1">
    <w:nsid w:val="3D1B58BA"/>
    <w:multiLevelType w:val="hybridMultilevel"/>
    <w:lvl w:ilvl="0">
      <w:lvlJc w:val="left"/>
      <w:lvlText w:val="(%1)"/>
      <w:numFmt w:val="lowerLetter"/>
      <w:start w:val="3"/>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9"/>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2020-10-06T09:47:28Z</dcterms:created>
  <dcterms:modified xsi:type="dcterms:W3CDTF">2020-10-06T09:47:28Z</dcterms:modified>
</cp:coreProperties>
</file>