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February, 2012</w:t>
      </w:r>
    </w:p>
    <w:p>
      <w:pPr>
        <w:spacing w:after="0" w:line="17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15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right="80"/>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jc w:val="center"/>
        <w:ind w:right="-3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On February 1, 2012, Amdocs Limited (“Amdocs”) issued a press release announcing financial results for the quarter ended December 31, 2011. A copy of the press release is furnished as Exhibit 99.1 to this Report of Foreign Private Issuer on Form 6-K.</w:t>
      </w:r>
    </w:p>
    <w:p>
      <w:pPr>
        <w:spacing w:after="0" w:line="132" w:lineRule="exact"/>
        <w:rPr>
          <w:sz w:val="24"/>
          <w:szCs w:val="24"/>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14" w:right="279" w:bottom="1440" w:gutter="0" w:footer="0" w:header="0"/>
        </w:sectPr>
      </w:pPr>
    </w:p>
    <w:bookmarkStart w:id="1" w:name="page2"/>
    <w:bookmarkEnd w:id="1"/>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G. O’Brien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U.S.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2012</w:t>
      </w:r>
    </w:p>
    <w:p>
      <w:pPr>
        <w:sectPr>
          <w:pgSz w:w="11900" w:h="16838" w:orient="portrait"/>
          <w:cols w:equalWidth="0" w:num="1">
            <w:col w:w="10980"/>
          </w:cols>
          <w:pgMar w:left="240" w:top="274" w:right="6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0" w:type="dxa"/>
            <w:vAlign w:val="bottom"/>
          </w:tcPr>
          <w:p>
            <w:pPr>
              <w:ind w:left="2300"/>
              <w:spacing w:after="0"/>
              <w:rPr>
                <w:sz w:val="20"/>
                <w:szCs w:val="20"/>
                <w:color w:val="auto"/>
              </w:rPr>
            </w:pPr>
            <w:r>
              <w:rPr>
                <w:rFonts w:ascii="Arial" w:cs="Arial" w:eastAsia="Arial" w:hAnsi="Arial"/>
                <w:sz w:val="18"/>
                <w:szCs w:val="18"/>
                <w:color w:val="auto"/>
                <w:w w:val="98"/>
              </w:rPr>
              <w:t>EXHIBIT INDEX</w:t>
            </w:r>
          </w:p>
        </w:tc>
      </w:tr>
      <w:tr>
        <w:trPr>
          <w:trHeight w:val="353"/>
        </w:trPr>
        <w:tc>
          <w:tcPr>
            <w:tcW w:w="860" w:type="dxa"/>
            <w:vAlign w:val="bottom"/>
          </w:tcPr>
          <w:p>
            <w:pPr>
              <w:jc w:val="right"/>
              <w:spacing w:after="0"/>
              <w:rPr>
                <w:sz w:val="20"/>
                <w:szCs w:val="20"/>
                <w:color w:val="auto"/>
              </w:rPr>
            </w:pPr>
            <w:r>
              <w:rPr>
                <w:rFonts w:ascii="Arial" w:cs="Arial" w:eastAsia="Arial" w:hAnsi="Arial"/>
                <w:sz w:val="14"/>
                <w:szCs w:val="14"/>
                <w:color w:val="auto"/>
                <w:w w:val="93"/>
              </w:rPr>
              <w:t>EXHIBIT NO.</w:t>
            </w:r>
          </w:p>
        </w:tc>
        <w:tc>
          <w:tcPr>
            <w:tcW w:w="5500" w:type="dxa"/>
            <w:vAlign w:val="bottom"/>
            <w:gridSpan w:val="3"/>
          </w:tcPr>
          <w:p>
            <w:pPr>
              <w:ind w:left="980"/>
              <w:spacing w:after="0"/>
              <w:rPr>
                <w:sz w:val="20"/>
                <w:szCs w:val="20"/>
                <w:color w:val="auto"/>
              </w:rPr>
            </w:pPr>
            <w:r>
              <w:rPr>
                <w:rFonts w:ascii="Arial" w:cs="Arial" w:eastAsia="Arial" w:hAnsi="Arial"/>
                <w:sz w:val="14"/>
                <w:szCs w:val="14"/>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16"/>
        </w:trPr>
        <w:tc>
          <w:tcPr>
            <w:tcW w:w="860" w:type="dxa"/>
            <w:vAlign w:val="bottom"/>
          </w:tcPr>
          <w:p>
            <w:pPr>
              <w:jc w:val="right"/>
              <w:ind w:right="202"/>
              <w:spacing w:after="0"/>
              <w:rPr>
                <w:sz w:val="20"/>
                <w:szCs w:val="20"/>
                <w:color w:val="auto"/>
              </w:rPr>
            </w:pPr>
            <w:r>
              <w:rPr>
                <w:rFonts w:ascii="Arial" w:cs="Arial" w:eastAsia="Arial" w:hAnsi="Arial"/>
                <w:sz w:val="18"/>
                <w:szCs w:val="18"/>
                <w:color w:val="auto"/>
              </w:rPr>
              <w:t>99.1</w:t>
            </w:r>
          </w:p>
        </w:tc>
        <w:tc>
          <w:tcPr>
            <w:tcW w:w="5500" w:type="dxa"/>
            <w:vAlign w:val="bottom"/>
            <w:gridSpan w:val="3"/>
          </w:tcPr>
          <w:p>
            <w:pPr>
              <w:ind w:left="980"/>
              <w:spacing w:after="0"/>
              <w:rPr>
                <w:sz w:val="20"/>
                <w:szCs w:val="20"/>
                <w:color w:val="auto"/>
              </w:rPr>
            </w:pPr>
            <w:r>
              <w:rPr>
                <w:rFonts w:ascii="Arial" w:cs="Arial" w:eastAsia="Arial" w:hAnsi="Arial"/>
                <w:sz w:val="18"/>
                <w:szCs w:val="18"/>
                <w:color w:val="auto"/>
              </w:rPr>
              <w:t>Amdocs Limited Press Release dated February 1, 2012.</w:t>
            </w:r>
          </w:p>
        </w:tc>
      </w:tr>
    </w:tbl>
    <w:p>
      <w:pPr>
        <w:ind w:left="98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246380</wp:posOffset>
            </wp:positionV>
            <wp:extent cx="133794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945" cy="28321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center"/>
        <w:ind w:left="260" w:right="2800"/>
        <w:spacing w:after="0" w:line="306" w:lineRule="auto"/>
        <w:rPr>
          <w:sz w:val="20"/>
          <w:szCs w:val="20"/>
          <w:color w:val="auto"/>
        </w:rPr>
      </w:pPr>
      <w:r>
        <w:rPr>
          <w:rFonts w:ascii="Arial" w:cs="Arial" w:eastAsia="Arial" w:hAnsi="Arial"/>
          <w:sz w:val="16"/>
          <w:szCs w:val="16"/>
          <w:b w:val="1"/>
          <w:bCs w:val="1"/>
          <w:i w:val="1"/>
          <w:iCs w:val="1"/>
          <w:color w:val="auto"/>
        </w:rPr>
        <w:t>Amdocs Limited Reports Quarterly Revenue of $807 Million, Up 4.1% YoY Raises fiscal 2012 non-GAAP earnings per share outlook to at least 11-13% YoY growth, up from previous outlook of at least 10-12%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90" w:lineRule="exact"/>
        <w:rPr>
          <w:sz w:val="20"/>
          <w:szCs w:val="20"/>
          <w:color w:val="auto"/>
        </w:rPr>
      </w:pPr>
    </w:p>
    <w:p>
      <w:pPr>
        <w:ind w:left="440" w:right="14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fiscal quarter revenue of $807 million, compared to the $805-$825 million guidance range. Foreign currency movements negatively affected revenue by approximately $6 million sequentially relative to the fourth fiscal quarter of 2011</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First fiscal quarter non-GAAP operating income of $133 million; non-GAAP operating margin of 16.5%; GAAP operating income of $109 million</w:t>
      </w:r>
    </w:p>
    <w:p>
      <w:pPr>
        <w:spacing w:after="0" w:line="113" w:lineRule="exact"/>
        <w:rPr>
          <w:rFonts w:ascii="Arial" w:cs="Arial" w:eastAsia="Arial" w:hAnsi="Arial"/>
          <w:sz w:val="16"/>
          <w:szCs w:val="16"/>
          <w:color w:val="auto"/>
        </w:rPr>
      </w:pPr>
    </w:p>
    <w:p>
      <w:pPr>
        <w:ind w:left="440" w:right="26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First fiscal quarter diluted non-GAAP EPS of $0.64, compared to the $0.61-$0.67 guidance range, excluding amortization of purchased intangible assets and other acquisition related costs and equity-based compensation expense, net of related tax effects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$0.53 for the first fiscal quarter, compared to the $0.49-$0.57 guidance range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$121 million for the first fiscal quarter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$2.69 billion at the end of the first fiscal quarter, up $20 million from the end of the fourth fiscal quarter of 2011</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$140 million of ordinary shares during the first fiscal quarter</w:t>
      </w:r>
    </w:p>
    <w:p>
      <w:pPr>
        <w:spacing w:after="0" w:line="90" w:lineRule="exact"/>
        <w:rPr>
          <w:rFonts w:ascii="Arial" w:cs="Arial" w:eastAsia="Arial" w:hAnsi="Arial"/>
          <w:sz w:val="18"/>
          <w:szCs w:val="18"/>
          <w:color w:val="auto"/>
        </w:rPr>
      </w:pPr>
    </w:p>
    <w:p>
      <w:pPr>
        <w:ind w:left="440" w:right="420" w:hanging="324"/>
        <w:spacing w:after="0" w:line="306"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Second quarter fiscal 2012 guidance: Expected revenue of approximately $800-$820 million and diluted non-GAAP EPS of $0.62-$0.68, excluding amortization of purchased intangible assets and other acquisition-related costs and approximately $0.05-$0.06 per share of equity-based compensation expense, net of related tax effects. Diluted GAAP EPS is expected to be approximately $0.50-$0.58</w:t>
      </w:r>
    </w:p>
    <w:p>
      <w:pPr>
        <w:spacing w:after="0" w:line="25" w:lineRule="exact"/>
        <w:rPr>
          <w:rFonts w:ascii="Arial" w:cs="Arial" w:eastAsia="Arial" w:hAnsi="Arial"/>
          <w:sz w:val="16"/>
          <w:szCs w:val="16"/>
          <w:color w:val="auto"/>
        </w:rPr>
      </w:pPr>
    </w:p>
    <w:p>
      <w:pPr>
        <w:ind w:left="440" w:right="4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Fiscal 2012 guidance: At least 11-13% non-GAAP EPS growth expected in fiscal 2012. Expected revenue growth of 5-6% on a constant currency basis and expected reported revenue growth of 4-5% including the effects of foreign currency fluctuations</w:t>
      </w:r>
    </w:p>
    <w:p>
      <w:pPr>
        <w:sectPr>
          <w:pgSz w:w="11900" w:h="16838" w:orient="portrait"/>
          <w:cols w:equalWidth="0" w:num="1">
            <w:col w:w="11420"/>
          </w:cols>
          <w:pgMar w:left="240" w:top="125" w:right="239" w:bottom="1440" w:gutter="0" w:footer="0" w:header="0"/>
        </w:sectPr>
      </w:pPr>
    </w:p>
    <w:bookmarkStart w:id="4" w:name="page5"/>
    <w:bookmarkEnd w:id="4"/>
    <w:p>
      <w:pPr>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 LOUIS – February 1, 2012 </w:t>
      </w:r>
      <w:r>
        <w:rPr>
          <w:rFonts w:ascii="Arial" w:cs="Arial" w:eastAsia="Arial" w:hAnsi="Arial"/>
          <w:sz w:val="18"/>
          <w:szCs w:val="18"/>
          <w:color w:val="auto"/>
        </w:rPr>
        <w:t>– Amdocs Limited (NYSE: DOX) today reported that for its first fiscal quarter ended December 31, 2011, revenue was $807.0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down 0.6% sequentially from the fourth fiscal quarter of 2011 and up 4.1% as compared to last year’s first fiscal quarter. Net income on a non-GAAP basis was $111.3 million, or $0.64 per diluted share, compared to non-GAAP net income of $99.8 million, or $0.52 per diluted share, in the first quarter of fiscal 2011. Non-GAAP net income excludes amortization of purchased intangible assets and other acquisition related costs and equity-based compensation expenses of $18.5 million, net of related tax effects, in the first quarter of fiscal 2012 and excludes such amortization and other acquisition related costs and equity-based compensation expenses of $26.4 million, net of related tax effects, in the first quarter of fiscal 2011. The Company’s GAAP net income for the first quarter of fiscal 2012 was $92.7 million, or $0.53 per diluted share, compared to GAAP net income of $73.4 million, or $0.38 per diluted share, in the prior year’s first fiscal quarter.</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first fiscal quarter, our market leading position continued to translate into healthy demand across our portfolio. Our results benefitted from strong performance in the emerging markets and Europe, somewhat tempered by slower spending at AT&amp;T in conjunction with the cancellation of the merger with T-Mobile. In the emerging markets, our global market position and track record of successful implementations continue to result in new, influential deals with some of the largest carriers in these regions. Additionally, we are seeing healthy and diverse business activity in Europe with minimal impact to date from macroeconomic uncertainty in the region. In North America, AT&amp;T’s mid-December withdrawal of its bid for T-Mobile USA caused some spending slowdown in our largest customer, while the rest of the region performed as expected,” said Eli Gelman, chief executive officer of Amdocs Management Limited.</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Gelman continued, “During the quarter, we signed several key strategic wins, including the agreement with Comcast announced today and three deals in Latin America. These wins are strong evidence that the investment decisions we made over the last year were focused in the right areas and are supporting exciting new activities. First, the cable industry continues to progress forward with gradual transformation. The multi-year agreement with Comcast demonstrates that Amdocs is partnering with leading cable operators to realize their vision. Additionally, the new business in Latin America further establishes Amdocs as a leader in providing next-generation customer experience systems in one of the fastest growing emerging markets.”</w:t>
      </w:r>
    </w:p>
    <w:p>
      <w:pPr>
        <w:sectPr>
          <w:pgSz w:w="11900" w:h="16838" w:orient="portrait"/>
          <w:cols w:equalWidth="0" w:num="1">
            <w:col w:w="11400"/>
          </w:cols>
          <w:pgMar w:left="240" w:top="274" w:right="259" w:bottom="144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Gelman concluded, “We continue to demonstrate our belief in the future success of Amdocs by repurchasing our shares. Since resuming the buy-back program in April 2010, we have repurchased approximately $1.2 billion of our ordinary shares as of December 31, 2011, or roughly 20% of our shares outstanding. Incorporating our repurchase activity thus far in fiscal 2012, we are raising our fiscal 2012 non-GAAP earnings per share outlook to at least 11-13% year-over-year growth, compared to our prior outlook of at least 10-12% growth. This outlook does not include any future repurchase activity. Our earnings forecast factors in expected revenue growth of 5-6% on a constant currency basis and a revised reported revenue growth outlook of 4-5% including the effects of foreign currency fluctuations. The pace of reacceleration at AT&amp;T is one of the largest variables to consider within our revenue outlook range.”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First Fiscal Quarter Results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was $121 million for the quarter, comprised of cash flow from operations of $150 million less $29 million in net capital expenditures and other.</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$2.69 billion at the end of the first quarter of fiscal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Amdocs expects that revenue for the second quarter of fiscal 2012 will be approximately $800-$820 million. Diluted earnings per share on a non-GAAP basis for the second fiscal quarter are expected to be $0.62-$0.68, excluding amortization of purchased intangible assets and other acquisition-related costs and approximately $0.05-$0.06 per share of equity-based compensation expense, net of related tax effects. Amdocs estimates GAAP diluted earnings per share for the second fiscal quarter will be $0.50-$0.58.</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Details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Amdocs will host a conference call on February 1, 2012 at 5:00 p.m. Eastern Time to discuss the Company’s first fiscal quarter results. The call will be carried live on the Internet via the Amdocs website, www.amdocs.com.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income taxes and non-GAAP net income. These non-GAAP measures exclude the following items:</w:t>
      </w:r>
    </w:p>
    <w:p>
      <w:pPr>
        <w:spacing w:after="0" w:line="59"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 related costs;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ectPr>
          <w:pgSz w:w="11900" w:h="16838" w:orient="portrait"/>
          <w:cols w:equalWidth="0" w:num="1">
            <w:col w:w="11400"/>
          </w:cols>
          <w:pgMar w:left="240" w:top="274" w:right="259" w:bottom="1440" w:gutter="0" w:footer="0" w:header="0"/>
        </w:sectPr>
      </w:pPr>
    </w:p>
    <w:bookmarkStart w:id="7" w:name="page8"/>
    <w:bookmarkEnd w:id="7"/>
    <w:p>
      <w:pPr>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its internal budgeting process and in monitoring the results of the business, Amdocs’ management uses financial statements that do not include amortization of purchased intangible assets and other acquisition related costs,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10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For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product portfolio with value-driven professional services and managed services operations. With revenue of $3.2 billion in fiscal 2011, Amdocs and its over 19,000 employees serve customers in more than 60 countries.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Amdocs: Embrace Challenge, Experience Success.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ectPr>
          <w:pgSz w:w="11900" w:h="16838" w:orient="portrait"/>
          <w:cols w:equalWidth="0" w:num="1">
            <w:col w:w="11340"/>
          </w:cols>
          <w:pgMar w:left="240" w:top="280" w:right="319" w:bottom="1440" w:gutter="0" w:footer="0" w:header="0"/>
        </w:sectPr>
      </w:pPr>
    </w:p>
    <w:bookmarkStart w:id="8" w:name="page9"/>
    <w:bookmarkEnd w:id="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2011 filed on December 8,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 # #</w:t>
      </w:r>
    </w:p>
    <w:p>
      <w:pPr>
        <w:sectPr>
          <w:pgSz w:w="11900" w:h="16838" w:orient="portrait"/>
          <w:cols w:equalWidth="0" w:num="1">
            <w:col w:w="11380"/>
          </w:cols>
          <w:pgMar w:left="240" w:top="280"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35,796</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771,214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745,275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807,010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775,181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516,181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508,138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61,307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106,337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13,206</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697,962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687,597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109,048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105,435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92,731</w:t>
            </w:r>
          </w:p>
        </w:tc>
        <w:tc>
          <w:tcPr>
            <w:tcW w:w="4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172,712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191,599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173,812</w:t>
            </w: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192,969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6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680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807,010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775,181</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132,807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120,268</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111,254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99,769</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173,812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192,969</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5"/>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85"/>
              </w:rPr>
              <w:t>December 31, 2011</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7"/>
          </w:tcPr>
          <w:p>
            <w:pPr>
              <w:jc w:val="center"/>
              <w:ind w:right="180"/>
              <w:spacing w:after="0" w:line="142" w:lineRule="exact"/>
              <w:rPr>
                <w:sz w:val="20"/>
                <w:szCs w:val="20"/>
                <w:color w:val="auto"/>
              </w:rPr>
            </w:pPr>
            <w:r>
              <w:rPr>
                <w:rFonts w:ascii="Arial" w:cs="Arial" w:eastAsia="Arial" w:hAnsi="Arial"/>
                <w:sz w:val="14"/>
                <w:szCs w:val="14"/>
                <w:b w:val="1"/>
                <w:bCs w:val="1"/>
                <w:color w:val="auto"/>
                <w:w w:val="86"/>
              </w:rPr>
              <w:t>Reconciliation items</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4"/>
          </w:tcPr>
          <w:p>
            <w:pPr>
              <w:jc w:val="center"/>
              <w:ind w:right="32"/>
              <w:spacing w:after="0" w:line="129" w:lineRule="exact"/>
              <w:rPr>
                <w:sz w:val="20"/>
                <w:szCs w:val="20"/>
                <w:color w:val="auto"/>
              </w:rPr>
            </w:pPr>
            <w:r>
              <w:rPr>
                <w:rFonts w:ascii="Arial" w:cs="Arial" w:eastAsia="Arial" w:hAnsi="Arial"/>
                <w:sz w:val="14"/>
                <w:szCs w:val="14"/>
                <w:b w:val="1"/>
                <w:bCs w:val="1"/>
                <w:color w:val="auto"/>
                <w:w w:val="88"/>
              </w:rPr>
              <w:t>Amortization</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132"/>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132"/>
              <w:spacing w:after="0" w:line="149" w:lineRule="exact"/>
              <w:rPr>
                <w:sz w:val="20"/>
                <w:szCs w:val="20"/>
                <w:color w:val="auto"/>
              </w:rPr>
            </w:pPr>
            <w:r>
              <w:rPr>
                <w:rFonts w:ascii="Arial" w:cs="Arial" w:eastAsia="Arial" w:hAnsi="Arial"/>
                <w:sz w:val="14"/>
                <w:szCs w:val="14"/>
                <w:b w:val="1"/>
                <w:bCs w:val="1"/>
                <w:color w:val="auto"/>
                <w:w w:val="84"/>
              </w:rPr>
              <w:t>purchased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Equity based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82"/>
              </w:rPr>
              <w:t>intangible assets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GAAP</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132"/>
              <w:spacing w:after="0"/>
              <w:rPr>
                <w:sz w:val="20"/>
                <w:szCs w:val="20"/>
                <w:color w:val="auto"/>
              </w:rPr>
            </w:pPr>
            <w:r>
              <w:rPr>
                <w:rFonts w:ascii="Arial" w:cs="Arial" w:eastAsia="Arial" w:hAnsi="Arial"/>
                <w:sz w:val="14"/>
                <w:szCs w:val="14"/>
                <w:b w:val="1"/>
                <w:bCs w:val="1"/>
                <w:color w:val="auto"/>
                <w:w w:val="87"/>
              </w:rPr>
              <w:t>and other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expense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2"/>
              </w:rPr>
              <w:t>Tax effect</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931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32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516,181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510,578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61,307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(1,041)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9"/>
              </w:rPr>
              <w:t>106,337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13,206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(13.206)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697,962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674,203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109,048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13,206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10,553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132,807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92,731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13,206</w:t>
            </w:r>
          </w:p>
        </w:tc>
        <w:tc>
          <w:tcPr>
            <w:tcW w:w="420" w:type="dxa"/>
            <w:vAlign w:val="bottom"/>
            <w:gridSpan w:val="3"/>
          </w:tcPr>
          <w:p>
            <w:pPr>
              <w:ind w:left="3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10,553</w:t>
            </w:r>
          </w:p>
        </w:tc>
        <w:tc>
          <w:tcPr>
            <w:tcW w:w="180" w:type="dxa"/>
            <w:vAlign w:val="bottom"/>
          </w:tcPr>
          <w:p>
            <w:pPr>
              <w:spacing w:after="0"/>
              <w:rPr>
                <w:sz w:val="19"/>
                <w:szCs w:val="19"/>
                <w:color w:val="auto"/>
              </w:rPr>
            </w:pPr>
          </w:p>
        </w:tc>
        <w:tc>
          <w:tcPr>
            <w:tcW w:w="1180" w:type="dxa"/>
            <w:vAlign w:val="bottom"/>
            <w:gridSpan w:val="6"/>
          </w:tcPr>
          <w:p>
            <w:pPr>
              <w:jc w:val="center"/>
              <w:ind w:right="120"/>
              <w:spacing w:after="0"/>
              <w:rPr>
                <w:sz w:val="20"/>
                <w:szCs w:val="20"/>
                <w:color w:val="auto"/>
              </w:rPr>
            </w:pPr>
            <w:r>
              <w:rPr>
                <w:rFonts w:ascii="Arial" w:cs="Arial" w:eastAsia="Arial" w:hAnsi="Arial"/>
                <w:sz w:val="18"/>
                <w:szCs w:val="18"/>
                <w:color w:val="auto"/>
                <w:w w:val="85"/>
              </w:rPr>
              <w:t>$ (5,236)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79"/>
              </w:rPr>
              <w:t>$ 111,254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85"/>
              </w:rPr>
              <w:t>Three months ended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87"/>
              </w:rPr>
              <w:t>December 31, 2010</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8"/>
          </w:tcPr>
          <w:p>
            <w:pPr>
              <w:jc w:val="center"/>
              <w:ind w:right="240"/>
              <w:spacing w:after="0" w:line="142" w:lineRule="exact"/>
              <w:rPr>
                <w:sz w:val="20"/>
                <w:szCs w:val="20"/>
                <w:color w:val="auto"/>
              </w:rPr>
            </w:pPr>
            <w:r>
              <w:rPr>
                <w:rFonts w:ascii="Arial" w:cs="Arial" w:eastAsia="Arial" w:hAnsi="Arial"/>
                <w:sz w:val="14"/>
                <w:szCs w:val="14"/>
                <w:b w:val="1"/>
                <w:bCs w:val="1"/>
                <w:color w:val="auto"/>
                <w:w w:val="86"/>
              </w:rPr>
              <w:t>Reconciliation items</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5"/>
          </w:tcPr>
          <w:p>
            <w:pPr>
              <w:jc w:val="center"/>
              <w:ind w:right="272"/>
              <w:spacing w:after="0" w:line="129" w:lineRule="exact"/>
              <w:rPr>
                <w:sz w:val="20"/>
                <w:szCs w:val="20"/>
                <w:color w:val="auto"/>
              </w:rPr>
            </w:pPr>
            <w:r>
              <w:rPr>
                <w:rFonts w:ascii="Arial" w:cs="Arial" w:eastAsia="Arial" w:hAnsi="Arial"/>
                <w:sz w:val="14"/>
                <w:szCs w:val="14"/>
                <w:b w:val="1"/>
                <w:bCs w:val="1"/>
                <w:color w:val="auto"/>
                <w:w w:val="88"/>
              </w:rPr>
              <w:t>Amortization</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612"/>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5"/>
          </w:tcPr>
          <w:p>
            <w:pPr>
              <w:jc w:val="center"/>
              <w:ind w:right="232"/>
              <w:spacing w:after="0" w:line="149" w:lineRule="exact"/>
              <w:rPr>
                <w:sz w:val="20"/>
                <w:szCs w:val="20"/>
                <w:color w:val="auto"/>
              </w:rPr>
            </w:pPr>
            <w:r>
              <w:rPr>
                <w:rFonts w:ascii="Arial" w:cs="Arial" w:eastAsia="Arial" w:hAnsi="Arial"/>
                <w:sz w:val="14"/>
                <w:szCs w:val="14"/>
                <w:b w:val="1"/>
                <w:bCs w:val="1"/>
                <w:color w:val="auto"/>
                <w:w w:val="84"/>
              </w:rPr>
              <w:t>purchased</w:t>
            </w:r>
          </w:p>
        </w:tc>
        <w:tc>
          <w:tcPr>
            <w:tcW w:w="160" w:type="dxa"/>
            <w:vAlign w:val="bottom"/>
          </w:tcPr>
          <w:p>
            <w:pPr>
              <w:spacing w:after="0"/>
              <w:rPr>
                <w:sz w:val="12"/>
                <w:szCs w:val="12"/>
                <w:color w:val="auto"/>
              </w:rPr>
            </w:pPr>
          </w:p>
        </w:tc>
        <w:tc>
          <w:tcPr>
            <w:tcW w:w="11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Equity based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5"/>
          </w:tcPr>
          <w:p>
            <w:pPr>
              <w:jc w:val="center"/>
              <w:ind w:right="252"/>
              <w:spacing w:after="0" w:line="149" w:lineRule="exact"/>
              <w:rPr>
                <w:sz w:val="20"/>
                <w:szCs w:val="20"/>
                <w:color w:val="auto"/>
              </w:rPr>
            </w:pPr>
            <w:r>
              <w:rPr>
                <w:rFonts w:ascii="Arial" w:cs="Arial" w:eastAsia="Arial" w:hAnsi="Arial"/>
                <w:sz w:val="14"/>
                <w:szCs w:val="14"/>
                <w:b w:val="1"/>
                <w:bCs w:val="1"/>
                <w:color w:val="auto"/>
                <w:w w:val="82"/>
              </w:rPr>
              <w:t>intangible assets</w:t>
            </w:r>
          </w:p>
        </w:tc>
        <w:tc>
          <w:tcPr>
            <w:tcW w:w="160" w:type="dxa"/>
            <w:vAlign w:val="bottom"/>
          </w:tcPr>
          <w:p>
            <w:pPr>
              <w:spacing w:after="0"/>
              <w:rPr>
                <w:sz w:val="12"/>
                <w:szCs w:val="12"/>
                <w:color w:val="auto"/>
              </w:rPr>
            </w:pPr>
          </w:p>
        </w:tc>
        <w:tc>
          <w:tcPr>
            <w:tcW w:w="11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140" w:type="dxa"/>
            <w:vAlign w:val="bottom"/>
            <w:gridSpan w:val="5"/>
          </w:tcPr>
          <w:p>
            <w:pPr>
              <w:ind w:left="140"/>
              <w:spacing w:after="0"/>
              <w:rPr>
                <w:sz w:val="20"/>
                <w:szCs w:val="20"/>
                <w:color w:val="auto"/>
              </w:rPr>
            </w:pPr>
            <w:r>
              <w:rPr>
                <w:rFonts w:ascii="Arial" w:cs="Arial" w:eastAsia="Arial" w:hAnsi="Arial"/>
                <w:sz w:val="14"/>
                <w:szCs w:val="14"/>
                <w:b w:val="1"/>
                <w:bCs w:val="1"/>
                <w:color w:val="auto"/>
              </w:rPr>
              <w:t>GAAP</w:t>
            </w:r>
          </w:p>
        </w:tc>
        <w:tc>
          <w:tcPr>
            <w:tcW w:w="1260" w:type="dxa"/>
            <w:vAlign w:val="bottom"/>
            <w:gridSpan w:val="5"/>
          </w:tcPr>
          <w:p>
            <w:pPr>
              <w:jc w:val="center"/>
              <w:ind w:right="232"/>
              <w:spacing w:after="0"/>
              <w:rPr>
                <w:sz w:val="20"/>
                <w:szCs w:val="20"/>
                <w:color w:val="auto"/>
              </w:rPr>
            </w:pPr>
            <w:r>
              <w:rPr>
                <w:rFonts w:ascii="Arial" w:cs="Arial" w:eastAsia="Arial" w:hAnsi="Arial"/>
                <w:sz w:val="14"/>
                <w:szCs w:val="14"/>
                <w:b w:val="1"/>
                <w:bCs w:val="1"/>
                <w:color w:val="auto"/>
                <w:w w:val="87"/>
              </w:rPr>
              <w:t>and other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1040" w:type="dxa"/>
            <w:vAlign w:val="bottom"/>
            <w:gridSpan w:val="5"/>
          </w:tcPr>
          <w:p>
            <w:pPr>
              <w:spacing w:after="0"/>
              <w:rPr>
                <w:sz w:val="20"/>
                <w:szCs w:val="20"/>
                <w:color w:val="auto"/>
              </w:rPr>
            </w:pPr>
            <w:r>
              <w:rPr>
                <w:rFonts w:ascii="Arial" w:cs="Arial" w:eastAsia="Arial" w:hAnsi="Arial"/>
                <w:sz w:val="14"/>
                <w:szCs w:val="14"/>
                <w:b w:val="1"/>
                <w:bCs w:val="1"/>
                <w:color w:val="auto"/>
              </w:rPr>
              <w:t>Tax effect</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320" w:type="dxa"/>
            <w:vAlign w:val="bottom"/>
          </w:tcPr>
          <w:p>
            <w:pPr>
              <w:jc w:val="right"/>
              <w:ind w:right="155"/>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700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6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880" w:type="dxa"/>
            <w:vAlign w:val="bottom"/>
            <w:gridSpan w:val="3"/>
          </w:tcPr>
          <w:p>
            <w:pPr>
              <w:jc w:val="right"/>
              <w:ind w:right="332"/>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508,138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54,992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104,357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19,410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112"/>
              <w:spacing w:after="0"/>
              <w:rPr>
                <w:sz w:val="20"/>
                <w:szCs w:val="20"/>
                <w:color w:val="auto"/>
              </w:rPr>
            </w:pPr>
            <w:r>
              <w:rPr>
                <w:rFonts w:ascii="Arial" w:cs="Arial" w:eastAsia="Arial" w:hAnsi="Arial"/>
                <w:sz w:val="18"/>
                <w:szCs w:val="18"/>
                <w:color w:val="auto"/>
                <w:w w:val="89"/>
              </w:rPr>
              <w:t>(19,410)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687,597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color w:val="auto"/>
                <w:w w:val="89"/>
              </w:rPr>
              <w:t>(19,410)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(13,274)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654,913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87,584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19,410</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13,274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120,268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6,306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4"/>
              </w:rPr>
              <w:t>$ 73,391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7"/>
              </w:rPr>
              <w:t>19,410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13,274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 (6,306)</w:t>
            </w:r>
          </w:p>
        </w:tc>
        <w:tc>
          <w:tcPr>
            <w:tcW w:w="4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7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840" w:type="dxa"/>
            <w:vAlign w:val="bottom"/>
            <w:gridSpan w:val="2"/>
            <w:shd w:val="clear" w:color="auto" w:fill="CCEEFF"/>
          </w:tcPr>
          <w:p>
            <w:pPr>
              <w:ind w:left="176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924,976</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1,173,470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Accounts receivable, net, including unbilled of $98,849 and $72,048, respectively</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590,681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127,059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1,749,084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1,979,320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52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248,047</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258,402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1,921,481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1,933,154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488,629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40" w:type="dxa"/>
            <w:vAlign w:val="bottom"/>
            <w:gridSpan w:val="2"/>
            <w:shd w:val="clear" w:color="auto" w:fill="CCEEFF"/>
          </w:tcPr>
          <w:p>
            <w:pPr>
              <w:ind w:left="176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4,407,241</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4,636,572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840" w:type="dxa"/>
            <w:vAlign w:val="bottom"/>
            <w:gridSpan w:val="2"/>
          </w:tcPr>
          <w:p>
            <w:pPr>
              <w:ind w:left="176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640,259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594,603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Deferred revenue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151,347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813,656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1,011,206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Shareholders’ equity</w:t>
            </w: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2,990,317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3,023,301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840" w:type="dxa"/>
            <w:vAlign w:val="bottom"/>
            <w:gridSpan w:val="2"/>
            <w:shd w:val="clear" w:color="auto" w:fill="CCEEFF"/>
          </w:tcPr>
          <w:p>
            <w:pPr>
              <w:ind w:left="176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4,407,241</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4,636,572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92,731</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40,542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(5,776)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equity-based compensation</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Loss from short-term interest-bearing investments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(20,673)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(6,239)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accrued personnel</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(6,580)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Other noncurrent liabilities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149,946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162,301</w:t>
            </w:r>
          </w:p>
        </w:tc>
        <w:tc>
          <w:tcPr>
            <w:tcW w:w="0" w:type="dxa"/>
            <w:vAlign w:val="bottom"/>
          </w:tcPr>
          <w:p>
            <w:pPr>
              <w:spacing w:after="0"/>
              <w:rPr>
                <w:sz w:val="1"/>
                <w:szCs w:val="1"/>
                <w:color w:val="auto"/>
              </w:rPr>
            </w:pPr>
          </w:p>
        </w:tc>
      </w:tr>
      <w:tr>
        <w:trPr>
          <w:trHeight w:val="221"/>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74,108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21"/>
        </w:trPr>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Repurchase of shares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(139,715)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(366,053)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(299,814)</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4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(234,955)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(144,333)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831,371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1,036,195</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40" w:type="dxa"/>
            <w:vAlign w:val="bottom"/>
            <w:gridSpan w:val="2"/>
            <w:vMerge w:val="continue"/>
          </w:tcPr>
          <w:p>
            <w:pPr>
              <w:spacing w:after="0"/>
              <w:rPr>
                <w:sz w:val="19"/>
                <w:szCs w:val="19"/>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596,416</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891,862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5"/>
          </w:tcPr>
          <w:p>
            <w:pPr>
              <w:jc w:val="right"/>
              <w:ind w:right="280"/>
              <w:spacing w:after="0" w:line="129" w:lineRule="exact"/>
              <w:rPr>
                <w:sz w:val="20"/>
                <w:szCs w:val="20"/>
                <w:color w:val="auto"/>
              </w:rPr>
            </w:pPr>
            <w:r>
              <w:rPr>
                <w:rFonts w:ascii="Arial" w:cs="Arial" w:eastAsia="Arial" w:hAnsi="Arial"/>
                <w:sz w:val="14"/>
                <w:szCs w:val="14"/>
                <w:b w:val="1"/>
                <w:bCs w:val="1"/>
                <w:color w:val="auto"/>
                <w:w w:val="81"/>
              </w:rPr>
              <w:t>December 31,</w:t>
            </w:r>
          </w:p>
        </w:tc>
        <w:tc>
          <w:tcPr>
            <w:tcW w:w="22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9"/>
              </w:rPr>
              <w:t>September 30,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1"/>
                <w:szCs w:val="11"/>
                <w:color w:val="auto"/>
              </w:rPr>
            </w:pPr>
          </w:p>
        </w:tc>
        <w:tc>
          <w:tcPr>
            <w:tcW w:w="8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960" w:type="dxa"/>
            <w:vAlign w:val="bottom"/>
            <w:gridSpan w:val="4"/>
          </w:tcPr>
          <w:p>
            <w:pPr>
              <w:jc w:val="center"/>
              <w:ind w:left="406"/>
              <w:spacing w:after="0"/>
              <w:rPr>
                <w:sz w:val="20"/>
                <w:szCs w:val="20"/>
                <w:color w:val="auto"/>
              </w:rPr>
            </w:pPr>
            <w:r>
              <w:rPr>
                <w:rFonts w:ascii="Arial" w:cs="Arial" w:eastAsia="Arial" w:hAnsi="Arial"/>
                <w:sz w:val="14"/>
                <w:szCs w:val="14"/>
                <w:b w:val="1"/>
                <w:bCs w:val="1"/>
                <w:color w:val="auto"/>
                <w:w w:val="89"/>
              </w:rPr>
              <w:t>2011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34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$584.9</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Europe</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110.3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105.5</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97.2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7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122.9</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96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4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7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gridSpan w:val="2"/>
            <w:vMerge w:val="continue"/>
          </w:tcPr>
          <w:p>
            <w:pPr>
              <w:spacing w:after="0"/>
              <w:rPr>
                <w:sz w:val="19"/>
                <w:szCs w:val="19"/>
                <w:color w:val="auto"/>
              </w:rPr>
            </w:pPr>
          </w:p>
        </w:tc>
        <w:tc>
          <w:tcPr>
            <w:tcW w:w="2040" w:type="dxa"/>
            <w:vAlign w:val="bottom"/>
            <w:gridSpan w:val="2"/>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807.0</w:t>
            </w:r>
          </w:p>
        </w:tc>
        <w:tc>
          <w:tcPr>
            <w:tcW w:w="240" w:type="dxa"/>
            <w:vAlign w:val="bottom"/>
          </w:tcPr>
          <w:p>
            <w:pPr>
              <w:spacing w:after="0"/>
              <w:rPr>
                <w:sz w:val="19"/>
                <w:szCs w:val="19"/>
                <w:color w:val="auto"/>
              </w:rPr>
            </w:pPr>
          </w:p>
        </w:tc>
        <w:tc>
          <w:tcPr>
            <w:tcW w:w="40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812.2</w:t>
            </w:r>
          </w:p>
        </w:tc>
        <w:tc>
          <w:tcPr>
            <w:tcW w:w="9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801.4</w:t>
            </w:r>
          </w:p>
        </w:tc>
        <w:tc>
          <w:tcPr>
            <w:tcW w:w="4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788.9</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320" w:type="dxa"/>
            <w:vAlign w:val="bottom"/>
            <w:gridSpan w:val="6"/>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0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1"/>
                <w:szCs w:val="11"/>
                <w:color w:val="auto"/>
              </w:rPr>
            </w:pPr>
          </w:p>
        </w:tc>
        <w:tc>
          <w:tcPr>
            <w:tcW w:w="1040" w:type="dxa"/>
            <w:vAlign w:val="bottom"/>
            <w:gridSpan w:val="4"/>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560" w:type="dxa"/>
            <w:vAlign w:val="bottom"/>
            <w:gridSpan w:val="4"/>
          </w:tcPr>
          <w:p>
            <w:pPr>
              <w:ind w:left="2020"/>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3"/>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84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79"/>
              <w:spacing w:after="0"/>
              <w:rPr>
                <w:sz w:val="20"/>
                <w:szCs w:val="20"/>
                <w:color w:val="auto"/>
              </w:rPr>
            </w:pPr>
            <w:r>
              <w:rPr>
                <w:rFonts w:ascii="Arial" w:cs="Arial" w:eastAsia="Arial" w:hAnsi="Arial"/>
                <w:sz w:val="14"/>
                <w:szCs w:val="14"/>
                <w:b w:val="1"/>
                <w:bCs w:val="1"/>
                <w:color w:val="auto"/>
                <w:w w:val="76"/>
              </w:rPr>
              <w:t>2011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Emerging Markets Revenue</w:t>
            </w:r>
          </w:p>
        </w:tc>
        <w:tc>
          <w:tcPr>
            <w:tcW w:w="1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82.5</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left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$ 73.2</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9"/>
              </w:rPr>
              <w:t>September 30,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1"/>
                <w:szCs w:val="11"/>
                <w:color w:val="auto"/>
              </w:rPr>
            </w:pPr>
          </w:p>
        </w:tc>
        <w:tc>
          <w:tcPr>
            <w:tcW w:w="8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960" w:type="dxa"/>
            <w:vAlign w:val="bottom"/>
            <w:gridSpan w:val="4"/>
          </w:tcPr>
          <w:p>
            <w:pPr>
              <w:jc w:val="center"/>
              <w:ind w:left="406"/>
              <w:spacing w:after="0"/>
              <w:rPr>
                <w:sz w:val="20"/>
                <w:szCs w:val="20"/>
                <w:color w:val="auto"/>
              </w:rPr>
            </w:pPr>
            <w:r>
              <w:rPr>
                <w:rFonts w:ascii="Arial" w:cs="Arial" w:eastAsia="Arial" w:hAnsi="Arial"/>
                <w:sz w:val="14"/>
                <w:szCs w:val="14"/>
                <w:b w:val="1"/>
                <w:bCs w:val="1"/>
                <w:color w:val="auto"/>
                <w:w w:val="89"/>
              </w:rPr>
              <w:t>2011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Managed Services Revenue</w:t>
            </w:r>
          </w:p>
        </w:tc>
        <w:tc>
          <w:tcPr>
            <w:tcW w:w="204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419.7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480" w:type="dxa"/>
            <w:vAlign w:val="bottom"/>
            <w:tcBorders>
              <w:top w:val="single" w:sz="8" w:color="CCEEFF"/>
              <w:left w:val="single" w:sz="8" w:color="CCEEFF"/>
              <w:right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384.2</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9"/>
              </w:rPr>
              <w:t>September 30,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1"/>
                <w:szCs w:val="11"/>
                <w:color w:val="auto"/>
              </w:rPr>
            </w:pPr>
          </w:p>
        </w:tc>
        <w:tc>
          <w:tcPr>
            <w:tcW w:w="8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960" w:type="dxa"/>
            <w:vAlign w:val="bottom"/>
            <w:gridSpan w:val="4"/>
          </w:tcPr>
          <w:p>
            <w:pPr>
              <w:jc w:val="center"/>
              <w:ind w:left="426"/>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Experience Systems</w:t>
            </w:r>
          </w:p>
        </w:tc>
        <w:tc>
          <w:tcPr>
            <w:tcW w:w="204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480" w:type="dxa"/>
            <w:vAlign w:val="bottom"/>
            <w:tcBorders>
              <w:top w:val="single" w:sz="8" w:color="CCEEFF"/>
              <w:left w:val="single" w:sz="8" w:color="CCEEFF"/>
              <w:right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$751.1</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Directory</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480" w:type="dxa"/>
            <w:vAlign w:val="bottom"/>
            <w:gridSpan w:val="2"/>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4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807.0</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1380" w:type="dxa"/>
            <w:vAlign w:val="bottom"/>
            <w:tcBorders>
              <w:left w:val="single" w:sz="8" w:color="CCEEFF"/>
            </w:tcBorders>
            <w:gridSpan w:val="5"/>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801.4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788.9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9"/>
              </w:rPr>
              <w:t>September 30,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1"/>
                <w:szCs w:val="11"/>
                <w:color w:val="auto"/>
              </w:rPr>
            </w:pPr>
          </w:p>
        </w:tc>
        <w:tc>
          <w:tcPr>
            <w:tcW w:w="8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960" w:type="dxa"/>
            <w:vAlign w:val="bottom"/>
            <w:gridSpan w:val="4"/>
          </w:tcPr>
          <w:p>
            <w:pPr>
              <w:jc w:val="center"/>
              <w:ind w:left="406"/>
              <w:spacing w:after="0"/>
              <w:rPr>
                <w:sz w:val="20"/>
                <w:szCs w:val="20"/>
                <w:color w:val="auto"/>
              </w:rPr>
            </w:pPr>
            <w:r>
              <w:rPr>
                <w:rFonts w:ascii="Arial" w:cs="Arial" w:eastAsia="Arial" w:hAnsi="Arial"/>
                <w:sz w:val="14"/>
                <w:szCs w:val="14"/>
                <w:b w:val="1"/>
                <w:bCs w:val="1"/>
                <w:color w:val="auto"/>
                <w:w w:val="89"/>
              </w:rPr>
              <w:t>2011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12-Month Backlog</w:t>
            </w:r>
          </w:p>
        </w:tc>
        <w:tc>
          <w:tcPr>
            <w:tcW w:w="204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480" w:type="dxa"/>
            <w:vAlign w:val="bottom"/>
            <w:tcBorders>
              <w:top w:val="single" w:sz="8" w:color="CCEEFF"/>
              <w:left w:val="single" w:sz="8" w:color="CCEEFF"/>
              <w:right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2,620</w:t>
            </w:r>
          </w:p>
        </w:tc>
        <w:tc>
          <w:tcPr>
            <w:tcW w:w="42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2019-12-09T12:48:54Z</dcterms:created>
  <dcterms:modified xsi:type="dcterms:W3CDTF">2019-12-09T12:48:54Z</dcterms:modified>
</cp:coreProperties>
</file>