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For the month of February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08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39"/>
        <w:spacing w:after="0" w:line="207" w:lineRule="exact"/>
        <w:tabs>
          <w:tab w:leader="none" w:pos="52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560"/>
          </w:cols>
          <w:pgMar w:left="440" w:top="368"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At the 2021 Annual General Meeting of Shareholders of Amdocs Limited (the “Company”) held on January 29, 2021, the proposals listed below were submitted to a vote of the Company’s shareholders. The proposals are described in the Company’s proxy statement for the 2021 Annual General Meeting of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ten nominees to the Company’s Board of Directors each for a term of one year.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10 nominees named in the proxy statement were elected to serve as directors until the Company’s 2022 Annual General Meeting of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the vote on each director standing for election is provided below:</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Votes</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Votes</w:t>
            </w:r>
          </w:p>
        </w:tc>
        <w:tc>
          <w:tcPr>
            <w:tcW w:w="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48"/>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Nominee</w:t>
            </w:r>
          </w:p>
        </w:tc>
        <w:tc>
          <w:tcPr>
            <w:tcW w:w="5700" w:type="dxa"/>
            <w:vAlign w:val="bottom"/>
            <w:vMerge w:val="restart"/>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Votes For</w:t>
            </w:r>
          </w:p>
        </w:tc>
        <w:tc>
          <w:tcPr>
            <w:tcW w:w="11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178"/>
        </w:trPr>
        <w:tc>
          <w:tcPr>
            <w:tcW w:w="560" w:type="dxa"/>
            <w:vAlign w:val="bottom"/>
            <w:tcBorders>
              <w:bottom w:val="single" w:sz="8" w:color="auto"/>
            </w:tcBorders>
            <w:vMerge w:val="continue"/>
          </w:tcPr>
          <w:p>
            <w:pPr>
              <w:spacing w:after="0"/>
              <w:rPr>
                <w:sz w:val="15"/>
                <w:szCs w:val="15"/>
                <w:color w:val="auto"/>
              </w:rPr>
            </w:pPr>
          </w:p>
        </w:tc>
        <w:tc>
          <w:tcPr>
            <w:tcW w:w="570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Against</w:t>
            </w: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Abstaining</w:t>
            </w:r>
          </w:p>
        </w:tc>
        <w:tc>
          <w:tcPr>
            <w:tcW w:w="5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Votes</w:t>
            </w: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Robert A. Minicucci</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98,843,826</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9,033,184</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2,795,910</w:t>
            </w: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Adrian Gardner</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104,485,729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6,076,311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110,880</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Kahan</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92,363,527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15,519,278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2,790,114</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Rafael de la Vega</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109,056,976</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1,504,250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111,694</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Giora Yaron</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107,032,105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3,531,285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109,530</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106,683,671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3,873,105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116,144</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T.C. LeFave</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102,903,338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4,979,839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2,789,743</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John A. MacDonald</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109,068,707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1,493,601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110,612</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Shuky Sheffer</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107,113,713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3,450,099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109,107</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Yvette Kanouff</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110,008,017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560,201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104,702</w:t>
            </w: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u w:val="single" w:color="auto"/>
          <w:color w:val="auto"/>
        </w:rPr>
        <w:t>Proposal 2 – The approval of an increase in the dividend rate under the Company’s quarterly cash dividend program from $0.3275 per share to $0.36 per share.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shareholders approved an increase in the dividend rate under the Company’s quarterly cash dividend program from $0.3275 per share to $0.36 per share. The voting results were as follows: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For</w:t>
            </w:r>
          </w:p>
        </w:tc>
        <w:tc>
          <w:tcPr>
            <w:tcW w:w="2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Votes Against</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Abstaining</w:t>
            </w:r>
          </w:p>
        </w:tc>
        <w:tc>
          <w:tcPr>
            <w:tcW w:w="2140" w:type="dxa"/>
            <w:vAlign w:val="bottom"/>
          </w:tcPr>
          <w:p>
            <w:pPr>
              <w:ind w:left="500"/>
              <w:spacing w:after="0"/>
              <w:rPr>
                <w:sz w:val="20"/>
                <w:szCs w:val="20"/>
                <w:color w:val="auto"/>
              </w:rPr>
            </w:pPr>
            <w:r>
              <w:rPr>
                <w:rFonts w:ascii="Arial" w:cs="Arial" w:eastAsia="Arial" w:hAnsi="Arial"/>
                <w:sz w:val="14"/>
                <w:szCs w:val="14"/>
                <w:b w:val="1"/>
                <w:bCs w:val="1"/>
                <w:color w:val="auto"/>
              </w:rPr>
              <w:t>Broker Non-Votes</w:t>
            </w:r>
          </w:p>
        </w:tc>
      </w:tr>
      <w:tr>
        <w:trPr>
          <w:trHeight w:val="209"/>
        </w:trPr>
        <w:tc>
          <w:tcPr>
            <w:tcW w:w="22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110,574,226</w:t>
            </w:r>
          </w:p>
        </w:tc>
        <w:tc>
          <w:tcPr>
            <w:tcW w:w="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4,189</w:t>
            </w:r>
          </w:p>
        </w:tc>
        <w:tc>
          <w:tcPr>
            <w:tcW w:w="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rPr>
              <w:t>94,506</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3 – The approval of the Company’s Consolidated Financial Statements for the fiscal year ended September 30, 2020.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shareholders approved the Company’s Consolidated Financial Statements for the fiscal year ended September 30, 2020. The voting results were as follows: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For</w:t>
            </w:r>
          </w:p>
        </w:tc>
        <w:tc>
          <w:tcPr>
            <w:tcW w:w="2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Votes Against</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Abstaining</w:t>
            </w:r>
          </w:p>
        </w:tc>
        <w:tc>
          <w:tcPr>
            <w:tcW w:w="2140" w:type="dxa"/>
            <w:vAlign w:val="bottom"/>
          </w:tcPr>
          <w:p>
            <w:pPr>
              <w:ind w:left="500"/>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22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110,307,439</w:t>
            </w:r>
          </w:p>
        </w:tc>
        <w:tc>
          <w:tcPr>
            <w:tcW w:w="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2,842</w:t>
            </w:r>
          </w:p>
        </w:tc>
        <w:tc>
          <w:tcPr>
            <w:tcW w:w="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100,605</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i w:val="1"/>
          <w:iCs w:val="1"/>
          <w:u w:val="single" w:color="auto"/>
          <w:color w:val="auto"/>
        </w:rPr>
        <w:t>Proposal 4 – The ratification and approval of the appointment of Ernst &amp; Young LLP as the Company’s independent registered public accounting firm for the fiscal year ending September 30, 2021, and until the next annual general meeting, and authorization of the Audit Committee of the Board of Directors to fix the remuneration of such independent registered public accounting firm in accordance with the nature and extent of its services.</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shareholders ratified and approved the appointment of Ernst &amp; Young LLP as the Company’s independent registered public accounting firm for the fiscal year ending September 30, 2021, and until the next annual general meeting, and authorized the Audit Committee of the Board of Directors to fix the remuneration of such independent registered public accounting firm in accordance with the nature and extent of its services. The voting results were as follows:</w:t>
      </w:r>
    </w:p>
    <w:p>
      <w:pPr>
        <w:spacing w:after="0" w:line="205"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For</w:t>
            </w:r>
          </w:p>
        </w:tc>
        <w:tc>
          <w:tcPr>
            <w:tcW w:w="2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Votes Against</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Abstaining</w:t>
            </w:r>
          </w:p>
        </w:tc>
        <w:tc>
          <w:tcPr>
            <w:tcW w:w="2140" w:type="dxa"/>
            <w:vAlign w:val="bottom"/>
          </w:tcPr>
          <w:p>
            <w:pPr>
              <w:ind w:left="500"/>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22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106,229,615</w:t>
            </w:r>
          </w:p>
        </w:tc>
        <w:tc>
          <w:tcPr>
            <w:tcW w:w="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4,342,700</w:t>
            </w:r>
          </w:p>
        </w:tc>
        <w:tc>
          <w:tcPr>
            <w:tcW w:w="8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rPr>
              <w:t>100,605</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0920"/>
          </w:cols>
          <w:pgMar w:left="440" w:top="270" w:right="5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2021</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2021-02-01T15:32:32Z</dcterms:created>
  <dcterms:modified xsi:type="dcterms:W3CDTF">2021-02-01T15:32:32Z</dcterms:modified>
</cp:coreProperties>
</file>