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8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8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83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0"/>
          <w:szCs w:val="20"/>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0"/>
          <w:szCs w:val="20"/>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83"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March 31, 2011</w:t>
      </w:r>
    </w:p>
    <w:p>
      <w:pPr>
        <w:spacing w:after="0" w:line="225"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0"/>
          <w:szCs w:val="20"/>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50"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Suite 5, Tower Hill House Le Bordage</w:t>
      </w:r>
    </w:p>
    <w:p>
      <w:pPr>
        <w:spacing w:after="0" w:line="23"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St. Peter Port, Island of Guernsey, GY1 3QT</w:t>
      </w:r>
    </w:p>
    <w:p>
      <w:pPr>
        <w:spacing w:after="0" w:line="211"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9"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(Address of principal executive offices)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0"/>
          <w:szCs w:val="20"/>
          <w:color w:val="auto"/>
        </w:rPr>
      </w:pPr>
    </w:p>
    <w:p>
      <w:pPr>
        <w:ind w:left="440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0"/>
          <w:szCs w:val="20"/>
          <w:color w:val="auto"/>
        </w:rPr>
      </w:pPr>
    </w:p>
    <w:p>
      <w:pPr>
        <w:ind w:left="5000"/>
        <w:spacing w:after="0" w:line="207" w:lineRule="exact"/>
        <w:tabs>
          <w:tab w:leader="none" w:pos="58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-10160</wp:posOffset>
            </wp:positionV>
            <wp:extent cx="571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0580"/>
          </w:cols>
          <w:pgMar w:left="240" w:top="122" w:right="10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80" w:type="dxa"/>
            <w:vAlign w:val="bottom"/>
            <w:gridSpan w:val="3"/>
          </w:tcPr>
          <w:p>
            <w:pPr>
              <w:jc w:val="center"/>
              <w:ind w:right="2460"/>
              <w:spacing w:after="0"/>
              <w:rPr>
                <w:sz w:val="20"/>
                <w:szCs w:val="20"/>
                <w:color w:val="auto"/>
              </w:rPr>
            </w:pPr>
            <w:r>
              <w:rPr>
                <w:rFonts w:ascii="Arial" w:cs="Arial" w:eastAsia="Arial" w:hAnsi="Arial"/>
                <w:sz w:val="18"/>
                <w:szCs w:val="18"/>
                <w:color w:val="auto"/>
              </w:rPr>
              <w:t>AMDOCS LIMITED</w:t>
            </w:r>
          </w:p>
        </w:tc>
        <w:tc>
          <w:tcPr>
            <w:tcW w:w="1980" w:type="dxa"/>
            <w:vAlign w:val="bottom"/>
          </w:tcPr>
          <w:p>
            <w:pPr>
              <w:spacing w:after="0"/>
              <w:rPr>
                <w:sz w:val="20"/>
                <w:szCs w:val="20"/>
                <w:color w:val="auto"/>
              </w:rPr>
            </w:pPr>
          </w:p>
        </w:tc>
      </w:tr>
      <w:tr>
        <w:trPr>
          <w:trHeight w:val="324"/>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0" w:type="dxa"/>
            <w:vAlign w:val="bottom"/>
            <w:gridSpan w:val="2"/>
          </w:tcPr>
          <w:p>
            <w:pPr>
              <w:jc w:val="center"/>
              <w:ind w:right="2840"/>
              <w:spacing w:after="0"/>
              <w:rPr>
                <w:sz w:val="20"/>
                <w:szCs w:val="20"/>
                <w:color w:val="auto"/>
              </w:rPr>
            </w:pPr>
            <w:r>
              <w:rPr>
                <w:rFonts w:ascii="Arial" w:cs="Arial" w:eastAsia="Arial" w:hAnsi="Arial"/>
                <w:sz w:val="18"/>
                <w:szCs w:val="18"/>
                <w:color w:val="auto"/>
                <w:w w:val="97"/>
              </w:rPr>
              <w:t>FORM 6-K</w:t>
            </w:r>
          </w:p>
        </w:tc>
        <w:tc>
          <w:tcPr>
            <w:tcW w:w="1980" w:type="dxa"/>
            <w:vAlign w:val="bottom"/>
          </w:tcPr>
          <w:p>
            <w:pPr>
              <w:spacing w:after="0"/>
              <w:rPr>
                <w:sz w:val="24"/>
                <w:szCs w:val="24"/>
                <w:color w:val="auto"/>
              </w:rPr>
            </w:pPr>
          </w:p>
        </w:tc>
      </w:tr>
      <w:tr>
        <w:trPr>
          <w:trHeight w:val="432"/>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60" w:type="dxa"/>
            <w:vAlign w:val="bottom"/>
            <w:gridSpan w:val="5"/>
          </w:tcPr>
          <w:p>
            <w:pPr>
              <w:jc w:val="center"/>
              <w:ind w:right="1380"/>
              <w:spacing w:after="0"/>
              <w:rPr>
                <w:sz w:val="20"/>
                <w:szCs w:val="20"/>
                <w:color w:val="auto"/>
              </w:rPr>
            </w:pPr>
            <w:r>
              <w:rPr>
                <w:rFonts w:ascii="Arial" w:cs="Arial" w:eastAsia="Arial" w:hAnsi="Arial"/>
                <w:sz w:val="18"/>
                <w:szCs w:val="18"/>
                <w:color w:val="auto"/>
                <w:w w:val="92"/>
              </w:rPr>
              <w:t>REPORT OF FOREIGN PRIVATE ISSUER</w:t>
            </w:r>
          </w:p>
        </w:tc>
        <w:tc>
          <w:tcPr>
            <w:tcW w:w="1980" w:type="dxa"/>
            <w:vAlign w:val="bottom"/>
          </w:tcPr>
          <w:p>
            <w:pPr>
              <w:spacing w:after="0"/>
              <w:rPr>
                <w:sz w:val="24"/>
                <w:szCs w:val="24"/>
                <w:color w:val="auto"/>
              </w:rPr>
            </w:pPr>
          </w:p>
        </w:tc>
      </w:tr>
      <w:tr>
        <w:trPr>
          <w:trHeight w:val="432"/>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60" w:type="dxa"/>
            <w:vAlign w:val="bottom"/>
            <w:gridSpan w:val="5"/>
          </w:tcPr>
          <w:p>
            <w:pPr>
              <w:jc w:val="center"/>
              <w:ind w:right="1400"/>
              <w:spacing w:after="0"/>
              <w:rPr>
                <w:sz w:val="20"/>
                <w:szCs w:val="20"/>
                <w:color w:val="auto"/>
              </w:rPr>
            </w:pPr>
            <w:r>
              <w:rPr>
                <w:rFonts w:ascii="Arial" w:cs="Arial" w:eastAsia="Arial" w:hAnsi="Arial"/>
                <w:sz w:val="18"/>
                <w:szCs w:val="18"/>
                <w:color w:val="auto"/>
                <w:w w:val="94"/>
              </w:rPr>
              <w:t>FOR THE QUARTER ENDED MARCH 31, 2011</w:t>
            </w:r>
          </w:p>
        </w:tc>
        <w:tc>
          <w:tcPr>
            <w:tcW w:w="1980" w:type="dxa"/>
            <w:vAlign w:val="bottom"/>
          </w:tcPr>
          <w:p>
            <w:pPr>
              <w:spacing w:after="0"/>
              <w:rPr>
                <w:sz w:val="24"/>
                <w:szCs w:val="24"/>
                <w:color w:val="auto"/>
              </w:rPr>
            </w:pPr>
          </w:p>
        </w:tc>
      </w:tr>
      <w:tr>
        <w:trPr>
          <w:trHeight w:val="432"/>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0" w:type="dxa"/>
            <w:vAlign w:val="bottom"/>
            <w:gridSpan w:val="2"/>
          </w:tcPr>
          <w:p>
            <w:pPr>
              <w:jc w:val="center"/>
              <w:ind w:right="2840"/>
              <w:spacing w:after="0"/>
              <w:rPr>
                <w:sz w:val="20"/>
                <w:szCs w:val="20"/>
                <w:color w:val="auto"/>
              </w:rPr>
            </w:pPr>
            <w:r>
              <w:rPr>
                <w:rFonts w:ascii="Arial" w:cs="Arial" w:eastAsia="Arial" w:hAnsi="Arial"/>
                <w:sz w:val="18"/>
                <w:szCs w:val="18"/>
                <w:color w:val="auto"/>
              </w:rPr>
              <w:t>INDEX</w:t>
            </w:r>
          </w:p>
        </w:tc>
        <w:tc>
          <w:tcPr>
            <w:tcW w:w="1980" w:type="dxa"/>
            <w:vAlign w:val="bottom"/>
          </w:tcPr>
          <w:p>
            <w:pPr>
              <w:spacing w:after="0"/>
              <w:rPr>
                <w:sz w:val="24"/>
                <w:szCs w:val="24"/>
                <w:color w:val="auto"/>
              </w:rPr>
            </w:pPr>
          </w:p>
        </w:tc>
      </w:tr>
      <w:tr>
        <w:trPr>
          <w:trHeight w:val="392"/>
        </w:trPr>
        <w:tc>
          <w:tcPr>
            <w:tcW w:w="934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220" w:type="dxa"/>
            <w:vAlign w:val="bottom"/>
            <w:tcBorders>
              <w:top w:val="single" w:sz="8" w:color="0000EE"/>
            </w:tcBorders>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54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560" w:type="dxa"/>
            <w:vAlign w:val="bottom"/>
            <w:tcBorders>
              <w:top w:val="single" w:sz="8" w:color="0000EE"/>
            </w:tcBorders>
            <w:gridSpan w:val="4"/>
          </w:tcPr>
          <w:p>
            <w:pPr>
              <w:spacing w:after="0"/>
              <w:rPr>
                <w:sz w:val="17"/>
                <w:szCs w:val="17"/>
                <w:color w:val="auto"/>
              </w:rPr>
            </w:pPr>
          </w:p>
        </w:tc>
        <w:tc>
          <w:tcPr>
            <w:tcW w:w="6500" w:type="dxa"/>
            <w:vAlign w:val="bottom"/>
            <w:gridSpan w:val="7"/>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22"/>
        </w:trPr>
        <w:tc>
          <w:tcPr>
            <w:tcW w:w="220" w:type="dxa"/>
            <w:vAlign w:val="bottom"/>
          </w:tcPr>
          <w:p>
            <w:pPr>
              <w:spacing w:after="0"/>
              <w:rPr>
                <w:sz w:val="19"/>
                <w:szCs w:val="19"/>
                <w:color w:val="auto"/>
              </w:rPr>
            </w:pPr>
          </w:p>
        </w:tc>
        <w:tc>
          <w:tcPr>
            <w:tcW w:w="9120" w:type="dxa"/>
            <w:vAlign w:val="bottom"/>
            <w:gridSpan w:val="15"/>
          </w:tcPr>
          <w:p>
            <w:pPr>
              <w:ind w:left="200"/>
              <w:spacing w:after="0"/>
              <w:rPr>
                <w:sz w:val="20"/>
                <w:szCs w:val="20"/>
                <w:color w:val="auto"/>
              </w:rPr>
            </w:pPr>
            <w:r>
              <w:rPr>
                <w:rFonts w:ascii="Arial" w:cs="Arial" w:eastAsia="Arial" w:hAnsi="Arial"/>
                <w:sz w:val="18"/>
                <w:szCs w:val="18"/>
                <w:color w:val="auto"/>
              </w:rPr>
              <w:t>Unaudited Consolidated Financial Statements</w:t>
            </w:r>
          </w:p>
        </w:tc>
        <w:tc>
          <w:tcPr>
            <w:tcW w:w="1980" w:type="dxa"/>
            <w:vAlign w:val="bottom"/>
          </w:tcPr>
          <w:p>
            <w:pPr>
              <w:spacing w:after="0"/>
              <w:rPr>
                <w:sz w:val="19"/>
                <w:szCs w:val="19"/>
                <w:color w:val="auto"/>
              </w:rPr>
            </w:pPr>
          </w:p>
        </w:tc>
      </w:tr>
      <w:tr>
        <w:trPr>
          <w:trHeight w:val="190"/>
        </w:trPr>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720" w:type="dxa"/>
            <w:vAlign w:val="bottom"/>
            <w:gridSpan w:val="14"/>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19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72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Income</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72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 of Changes in Shareholders’ Equity</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4400" w:type="dxa"/>
            <w:vAlign w:val="bottom"/>
            <w:gridSpan w:val="2"/>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720" w:type="dxa"/>
            <w:vAlign w:val="bottom"/>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Financial Statements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2.</w:t>
              </w:r>
            </w:hyperlink>
          </w:p>
        </w:tc>
        <w:tc>
          <w:tcPr>
            <w:tcW w:w="340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Operating and Financial Review and Prospects</w:t>
              </w:r>
            </w:hyperlink>
          </w:p>
        </w:tc>
        <w:tc>
          <w:tcPr>
            <w:tcW w:w="5200" w:type="dxa"/>
            <w:vAlign w:val="bottom"/>
            <w:gridSpan w:val="4"/>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54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PART II OTHER INFORMATION</w:t>
              </w:r>
            </w:hyperlink>
          </w:p>
        </w:tc>
        <w:tc>
          <w:tcPr>
            <w:tcW w:w="6800" w:type="dxa"/>
            <w:vAlign w:val="bottom"/>
            <w:gridSpan w:val="9"/>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2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1.</w:t>
              </w:r>
            </w:hyperlink>
          </w:p>
        </w:tc>
        <w:tc>
          <w:tcPr>
            <w:tcW w:w="8600" w:type="dxa"/>
            <w:vAlign w:val="bottom"/>
            <w:gridSpan w:val="13"/>
          </w:tcPr>
          <w:p>
            <w:pPr>
              <w:ind w:left="20"/>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Changes in Securities, Use of Proceeds and Issuer Purchases of Equity Securities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20" w:type="dxa"/>
            <w:vAlign w:val="bottom"/>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2.</w:t>
              </w:r>
            </w:hyperlink>
          </w:p>
        </w:tc>
        <w:tc>
          <w:tcPr>
            <w:tcW w:w="158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Reports on Form 6-K</w:t>
              </w:r>
            </w:hyperlink>
          </w:p>
        </w:tc>
        <w:tc>
          <w:tcPr>
            <w:tcW w:w="4280" w:type="dxa"/>
            <w:vAlign w:val="bottom"/>
            <w:tcBorders>
              <w:top w:val="single" w:sz="8" w:color="0000EE"/>
            </w:tcBorders>
            <w:gridSpan w:val="9"/>
          </w:tcPr>
          <w:p>
            <w:pPr>
              <w:spacing w:after="0"/>
              <w:rPr>
                <w:sz w:val="17"/>
                <w:szCs w:val="17"/>
                <w:color w:val="auto"/>
              </w:rPr>
            </w:pPr>
          </w:p>
        </w:tc>
        <w:tc>
          <w:tcPr>
            <w:tcW w:w="2740" w:type="dxa"/>
            <w:vAlign w:val="bottom"/>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9340" w:type="dxa"/>
            <w:vAlign w:val="bottom"/>
            <w:gridSpan w:val="1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report on Form 6-K shall be incorporated by reference into the Registration Statements on Form F-3 (File Nos. 333-114079 and 333-114344) and any other Registration Statement filed by the Registrant that by its terms automatically incorporates the Registrant’s filings and submissions with the SEC under Sections 13(a), 13(c) or 15(d) of the Securities Exchange Act of 1934.</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4"/>
                <w:szCs w:val="14"/>
                <w:b w:val="1"/>
                <w:bCs w:val="1"/>
                <w:color w:val="auto"/>
              </w:rPr>
              <w:t>As of</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8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March 31,</w:t>
            </w:r>
          </w:p>
        </w:tc>
        <w:tc>
          <w:tcPr>
            <w:tcW w:w="520" w:type="dxa"/>
            <w:vAlign w:val="bottom"/>
          </w:tcPr>
          <w:p>
            <w:pPr>
              <w:spacing w:after="0"/>
              <w:rPr>
                <w:sz w:val="10"/>
                <w:szCs w:val="10"/>
                <w:color w:val="auto"/>
              </w:rPr>
            </w:pPr>
          </w:p>
        </w:tc>
        <w:tc>
          <w:tcPr>
            <w:tcW w:w="9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812,612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1,036,195</w:t>
            </w: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Short-term interest-bearing investments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343,900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397,104</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569,277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580,000</w:t>
            </w: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Deferred income taxes and taxes receivable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124,182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126,083</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145,278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112,417</w:t>
            </w:r>
          </w:p>
        </w:tc>
      </w:tr>
      <w:tr>
        <w:trPr>
          <w:trHeight w:val="223"/>
        </w:trPr>
        <w:tc>
          <w:tcPr>
            <w:tcW w:w="20" w:type="dxa"/>
            <w:vAlign w:val="bottom"/>
          </w:tcPr>
          <w:p>
            <w:pPr>
              <w:spacing w:after="0"/>
              <w:rPr>
                <w:sz w:val="19"/>
                <w:szCs w:val="19"/>
                <w:color w:val="auto"/>
              </w:rPr>
            </w:pPr>
          </w:p>
        </w:tc>
        <w:tc>
          <w:tcPr>
            <w:tcW w:w="8480" w:type="dxa"/>
            <w:vAlign w:val="bottom"/>
          </w:tcPr>
          <w:p>
            <w:pPr>
              <w:ind w:left="40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1,995,249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2,251,799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245,534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258,273</w:t>
            </w: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117,276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132,403</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1,637,416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1,637,416</w:t>
            </w: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182,773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218,762</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364,408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321,951</w:t>
            </w:r>
          </w:p>
        </w:tc>
      </w:tr>
      <w:tr>
        <w:trPr>
          <w:trHeight w:val="223"/>
        </w:trPr>
        <w:tc>
          <w:tcPr>
            <w:tcW w:w="20" w:type="dxa"/>
            <w:vAlign w:val="bottom"/>
          </w:tcPr>
          <w:p>
            <w:pPr>
              <w:spacing w:after="0"/>
              <w:rPr>
                <w:sz w:val="19"/>
                <w:szCs w:val="19"/>
                <w:color w:val="auto"/>
              </w:rPr>
            </w:pPr>
          </w:p>
        </w:tc>
        <w:tc>
          <w:tcPr>
            <w:tcW w:w="8480" w:type="dxa"/>
            <w:vAlign w:val="bottom"/>
          </w:tcPr>
          <w:p>
            <w:pPr>
              <w:ind w:left="40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4,542,656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4,820,604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147,981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168,321</w:t>
            </w: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230,418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250,455</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personnel costs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165,202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202,773</w:t>
            </w: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Short-term financing arrangements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210,437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184,481</w:t>
            </w:r>
          </w:p>
        </w:tc>
      </w:tr>
      <w:tr>
        <w:trPr>
          <w:trHeight w:val="223"/>
        </w:trPr>
        <w:tc>
          <w:tcPr>
            <w:tcW w:w="20" w:type="dxa"/>
            <w:vAlign w:val="bottom"/>
          </w:tcPr>
          <w:p>
            <w:pPr>
              <w:spacing w:after="0"/>
              <w:rPr>
                <w:sz w:val="19"/>
                <w:szCs w:val="19"/>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Deferred income taxes and taxes payable</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769,024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1,024,147</w:t>
            </w: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Deferred income taxes and taxes payable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292,382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293,723</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300,497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273,354</w:t>
            </w:r>
          </w:p>
        </w:tc>
      </w:tr>
      <w:tr>
        <w:trPr>
          <w:trHeight w:val="230"/>
        </w:trPr>
        <w:tc>
          <w:tcPr>
            <w:tcW w:w="20" w:type="dxa"/>
            <w:vAlign w:val="bottom"/>
          </w:tcPr>
          <w:p>
            <w:pPr>
              <w:spacing w:after="0"/>
              <w:rPr>
                <w:sz w:val="20"/>
                <w:szCs w:val="20"/>
                <w:color w:val="auto"/>
              </w:rPr>
            </w:pPr>
          </w:p>
        </w:tc>
        <w:tc>
          <w:tcPr>
            <w:tcW w:w="8480" w:type="dxa"/>
            <w:vAlign w:val="bottom"/>
          </w:tcPr>
          <w:p>
            <w:pPr>
              <w:ind w:left="40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1,361,903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1,591,224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4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Ordinary Shares — Authorized 700,000 shares; £0.01 par value; 246,435 and 244,131 issued and 185,655 and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193,049 outstanding, respectively</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3,956</w:t>
            </w: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2,455,378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2,402,163</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60,780 and 51,082 ordinary shares, respectively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(1,583,835)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(1,309,161)</w:t>
            </w: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7,246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1,952</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2,297,971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2,130,470</w:t>
            </w:r>
          </w:p>
        </w:tc>
      </w:tr>
      <w:tr>
        <w:trPr>
          <w:trHeight w:val="230"/>
        </w:trPr>
        <w:tc>
          <w:tcPr>
            <w:tcW w:w="20" w:type="dxa"/>
            <w:vAlign w:val="bottom"/>
          </w:tcPr>
          <w:p>
            <w:pPr>
              <w:spacing w:after="0"/>
              <w:rPr>
                <w:sz w:val="20"/>
                <w:szCs w:val="20"/>
                <w:color w:val="auto"/>
              </w:rPr>
            </w:pPr>
          </w:p>
        </w:tc>
        <w:tc>
          <w:tcPr>
            <w:tcW w:w="8480" w:type="dxa"/>
            <w:vAlign w:val="bottom"/>
          </w:tcPr>
          <w:p>
            <w:pPr>
              <w:ind w:left="400"/>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3,180,753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3,229,380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liabilities and shareholders’ equity</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4,542,656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4,820,604</w:t>
            </w: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License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28,695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25,949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588"/>
              <w:spacing w:after="0"/>
              <w:rPr>
                <w:sz w:val="20"/>
                <w:szCs w:val="20"/>
                <w:color w:val="auto"/>
              </w:rPr>
            </w:pPr>
            <w:r>
              <w:rPr>
                <w:rFonts w:ascii="Arial" w:cs="Arial" w:eastAsia="Arial" w:hAnsi="Arial"/>
                <w:sz w:val="18"/>
                <w:szCs w:val="18"/>
                <w:color w:val="auto"/>
              </w:rPr>
              <w:t>58,601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760,240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718,020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1,505,515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1,418,681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788,935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743,969</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1,564,116</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1,468,780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c>
          <w:tcPr>
            <w:tcW w:w="1400" w:type="dxa"/>
            <w:vAlign w:val="bottom"/>
            <w:gridSpan w:val="2"/>
          </w:tcPr>
          <w:p>
            <w:pPr>
              <w:jc w:val="right"/>
              <w:ind w:right="588"/>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513,238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475,440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1,021,376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53,536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51,190</w:t>
            </w:r>
          </w:p>
        </w:tc>
        <w:tc>
          <w:tcPr>
            <w:tcW w:w="100" w:type="dxa"/>
            <w:vAlign w:val="bottom"/>
          </w:tcPr>
          <w:p>
            <w:pPr>
              <w:spacing w:after="0"/>
              <w:rPr>
                <w:sz w:val="18"/>
                <w:szCs w:val="18"/>
                <w:color w:val="auto"/>
              </w:rPr>
            </w:pPr>
          </w:p>
        </w:tc>
        <w:tc>
          <w:tcPr>
            <w:tcW w:w="1400" w:type="dxa"/>
            <w:vAlign w:val="bottom"/>
            <w:gridSpan w:val="2"/>
          </w:tcPr>
          <w:p>
            <w:pPr>
              <w:jc w:val="right"/>
              <w:ind w:right="588"/>
              <w:spacing w:after="0"/>
              <w:rPr>
                <w:sz w:val="20"/>
                <w:szCs w:val="20"/>
                <w:color w:val="auto"/>
              </w:rPr>
            </w:pPr>
            <w:r>
              <w:rPr>
                <w:rFonts w:ascii="Arial" w:cs="Arial" w:eastAsia="Arial" w:hAnsi="Arial"/>
                <w:sz w:val="18"/>
                <w:szCs w:val="18"/>
                <w:color w:val="auto"/>
              </w:rPr>
              <w:t>108,528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99,064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92,028</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203,421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1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21,439</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35,753</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682,379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640,842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1,369,976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1,266,504</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106,556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103,127</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194,140</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(22,761)</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(3,068)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(23,476)</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106,605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80,366</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191,072</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12,495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11,816</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23,571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21,897</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94,110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68,550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167,501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187,788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206,025</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189,713</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189,232</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207,691</w:t>
            </w: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191,120</w:t>
            </w: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Additional</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300" w:type="dxa"/>
            <w:vAlign w:val="bottom"/>
            <w:gridSpan w:val="7"/>
            <w:vMerge w:val="restart"/>
          </w:tcPr>
          <w:p>
            <w:pPr>
              <w:ind w:left="400"/>
              <w:spacing w:after="0"/>
              <w:rPr>
                <w:sz w:val="20"/>
                <w:szCs w:val="20"/>
                <w:color w:val="auto"/>
              </w:rPr>
            </w:pPr>
            <w:r>
              <w:rPr>
                <w:rFonts w:ascii="Arial" w:cs="Arial" w:eastAsia="Arial" w:hAnsi="Arial"/>
                <w:sz w:val="14"/>
                <w:szCs w:val="14"/>
                <w:b w:val="1"/>
                <w:bCs w:val="1"/>
                <w:color w:val="auto"/>
              </w:rPr>
              <w:t>Ordinary Shares</w:t>
            </w:r>
          </w:p>
        </w:tc>
        <w:tc>
          <w:tcPr>
            <w:tcW w:w="132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700" w:type="dxa"/>
            <w:vAlign w:val="bottom"/>
          </w:tcPr>
          <w:p>
            <w:pPr>
              <w:spacing w:after="0"/>
              <w:rPr>
                <w:sz w:val="13"/>
                <w:szCs w:val="13"/>
                <w:color w:val="auto"/>
              </w:rPr>
            </w:pPr>
          </w:p>
        </w:tc>
        <w:tc>
          <w:tcPr>
            <w:tcW w:w="2300" w:type="dxa"/>
            <w:vAlign w:val="bottom"/>
            <w:gridSpan w:val="7"/>
            <w:vMerge w:val="continue"/>
          </w:tcPr>
          <w:p>
            <w:pPr>
              <w:spacing w:after="0"/>
              <w:rPr>
                <w:sz w:val="13"/>
                <w:szCs w:val="13"/>
                <w:color w:val="auto"/>
              </w:rPr>
            </w:pPr>
          </w:p>
        </w:tc>
        <w:tc>
          <w:tcPr>
            <w:tcW w:w="1320" w:type="dxa"/>
            <w:vAlign w:val="bottom"/>
            <w:gridSpan w:val="2"/>
          </w:tcPr>
          <w:p>
            <w:pPr>
              <w:jc w:val="right"/>
              <w:ind w:right="680"/>
              <w:spacing w:after="0" w:line="158" w:lineRule="exact"/>
              <w:rPr>
                <w:sz w:val="20"/>
                <w:szCs w:val="20"/>
                <w:color w:val="auto"/>
              </w:rPr>
            </w:pPr>
            <w:r>
              <w:rPr>
                <w:rFonts w:ascii="Arial" w:cs="Arial" w:eastAsia="Arial" w:hAnsi="Arial"/>
                <w:sz w:val="14"/>
                <w:szCs w:val="14"/>
                <w:b w:val="1"/>
                <w:bCs w:val="1"/>
                <w:color w:val="auto"/>
              </w:rPr>
              <w:t>Paid-in</w:t>
            </w:r>
          </w:p>
        </w:tc>
        <w:tc>
          <w:tcPr>
            <w:tcW w:w="138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Treasury</w:t>
            </w:r>
          </w:p>
        </w:tc>
        <w:tc>
          <w:tcPr>
            <w:tcW w:w="118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Comprehensive</w:t>
            </w:r>
          </w:p>
        </w:tc>
        <w:tc>
          <w:tcPr>
            <w:tcW w:w="240" w:type="dxa"/>
            <w:vAlign w:val="bottom"/>
          </w:tcPr>
          <w:p>
            <w:pPr>
              <w:spacing w:after="0"/>
              <w:rPr>
                <w:sz w:val="13"/>
                <w:szCs w:val="13"/>
                <w:color w:val="auto"/>
              </w:rPr>
            </w:pPr>
          </w:p>
        </w:tc>
        <w:tc>
          <w:tcPr>
            <w:tcW w:w="132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rPr>
              <w:t>Retained</w:t>
            </w:r>
          </w:p>
        </w:tc>
        <w:tc>
          <w:tcPr>
            <w:tcW w:w="9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Shareholders’</w:t>
            </w: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980" w:type="dxa"/>
            <w:vAlign w:val="bottom"/>
            <w:tcBorders>
              <w:top w:val="single" w:sz="8" w:color="auto"/>
            </w:tcBorders>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Pr>
          <w:p>
            <w:pPr>
              <w:spacing w:after="0"/>
              <w:rPr>
                <w:sz w:val="12"/>
                <w:szCs w:val="12"/>
                <w:color w:val="auto"/>
              </w:rPr>
            </w:pPr>
          </w:p>
        </w:tc>
        <w:tc>
          <w:tcPr>
            <w:tcW w:w="132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Capital</w:t>
            </w:r>
          </w:p>
        </w:tc>
        <w:tc>
          <w:tcPr>
            <w:tcW w:w="13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102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3"/>
              </w:rPr>
              <w:t>Income</w:t>
            </w:r>
          </w:p>
        </w:tc>
        <w:tc>
          <w:tcPr>
            <w:tcW w:w="240" w:type="dxa"/>
            <w:vAlign w:val="bottom"/>
          </w:tcPr>
          <w:p>
            <w:pPr>
              <w:spacing w:after="0"/>
              <w:rPr>
                <w:sz w:val="12"/>
                <w:szCs w:val="12"/>
                <w:color w:val="auto"/>
              </w:rPr>
            </w:pPr>
          </w:p>
        </w:tc>
        <w:tc>
          <w:tcPr>
            <w:tcW w:w="132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Earnings</w:t>
            </w:r>
          </w:p>
        </w:tc>
        <w:tc>
          <w:tcPr>
            <w:tcW w:w="9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1"/>
        </w:trPr>
        <w:tc>
          <w:tcPr>
            <w:tcW w:w="270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as of September 30,</w:t>
            </w: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2010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193,049</w:t>
            </w:r>
          </w:p>
        </w:tc>
        <w:tc>
          <w:tcPr>
            <w:tcW w:w="2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3,956</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$ 2,402,163</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 (1,309,161)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1,952</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$ 2,130,470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$ 3,229,380</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Comprehensive income: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167,501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167,501</w:t>
            </w:r>
          </w:p>
        </w:tc>
        <w:tc>
          <w:tcPr>
            <w:tcW w:w="0" w:type="dxa"/>
            <w:vAlign w:val="bottom"/>
          </w:tcPr>
          <w:p>
            <w:pPr>
              <w:spacing w:after="0"/>
              <w:rPr>
                <w:sz w:val="1"/>
                <w:szCs w:val="1"/>
                <w:color w:val="auto"/>
              </w:rPr>
            </w:pPr>
          </w:p>
        </w:tc>
      </w:tr>
      <w:tr>
        <w:trPr>
          <w:trHeight w:val="202"/>
        </w:trPr>
        <w:tc>
          <w:tcPr>
            <w:tcW w:w="2700" w:type="dxa"/>
            <w:vAlign w:val="bottom"/>
          </w:tcPr>
          <w:p>
            <w:pPr>
              <w:ind w:left="220"/>
              <w:spacing w:after="0" w:line="201" w:lineRule="exact"/>
              <w:rPr>
                <w:sz w:val="20"/>
                <w:szCs w:val="20"/>
                <w:color w:val="auto"/>
              </w:rPr>
            </w:pPr>
            <w:r>
              <w:rPr>
                <w:rFonts w:ascii="Arial" w:cs="Arial" w:eastAsia="Arial" w:hAnsi="Arial"/>
                <w:sz w:val="18"/>
                <w:szCs w:val="18"/>
                <w:color w:val="auto"/>
              </w:rPr>
              <w:t>Unrealized gain on foreign</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420"/>
              <w:spacing w:after="0"/>
              <w:rPr>
                <w:sz w:val="20"/>
                <w:szCs w:val="20"/>
                <w:color w:val="auto"/>
              </w:rPr>
            </w:pPr>
            <w:r>
              <w:rPr>
                <w:rFonts w:ascii="Arial" w:cs="Arial" w:eastAsia="Arial" w:hAnsi="Arial"/>
                <w:sz w:val="18"/>
                <w:szCs w:val="18"/>
                <w:color w:val="auto"/>
              </w:rPr>
              <w:t>currency hedging</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420"/>
              <w:spacing w:after="0"/>
              <w:rPr>
                <w:sz w:val="20"/>
                <w:szCs w:val="20"/>
                <w:color w:val="auto"/>
              </w:rPr>
            </w:pPr>
            <w:r>
              <w:rPr>
                <w:rFonts w:ascii="Arial" w:cs="Arial" w:eastAsia="Arial" w:hAnsi="Arial"/>
                <w:sz w:val="18"/>
                <w:szCs w:val="18"/>
                <w:color w:val="auto"/>
              </w:rPr>
              <w:t>contracts, net of $880 tax</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5,249</w:t>
            </w:r>
          </w:p>
        </w:tc>
        <w:tc>
          <w:tcPr>
            <w:tcW w:w="24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5,249</w:t>
            </w: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Unrealized gain on short-</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 interest-bearing</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net of $6 tax</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2"/>
        </w:trPr>
        <w:tc>
          <w:tcPr>
            <w:tcW w:w="2700" w:type="dxa"/>
            <w:vAlign w:val="bottom"/>
          </w:tcPr>
          <w:p>
            <w:pPr>
              <w:ind w:left="220"/>
              <w:spacing w:after="0" w:line="201" w:lineRule="exact"/>
              <w:rPr>
                <w:sz w:val="20"/>
                <w:szCs w:val="20"/>
                <w:color w:val="auto"/>
              </w:rPr>
            </w:pPr>
            <w:r>
              <w:rPr>
                <w:rFonts w:ascii="Arial" w:cs="Arial" w:eastAsia="Arial" w:hAnsi="Arial"/>
                <w:sz w:val="18"/>
                <w:szCs w:val="18"/>
                <w:color w:val="auto"/>
              </w:rPr>
              <w:t>Unrealized gain on defined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420"/>
              <w:spacing w:after="0"/>
              <w:rPr>
                <w:sz w:val="20"/>
                <w:szCs w:val="20"/>
                <w:color w:val="auto"/>
              </w:rPr>
            </w:pPr>
            <w:r>
              <w:rPr>
                <w:rFonts w:ascii="Arial" w:cs="Arial" w:eastAsia="Arial" w:hAnsi="Arial"/>
                <w:sz w:val="18"/>
                <w:szCs w:val="18"/>
                <w:color w:val="auto"/>
              </w:rPr>
              <w:t>benefit plan, net of $3 tax</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income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172,795</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20"/>
                <w:szCs w:val="20"/>
                <w:color w:val="auto"/>
              </w:rPr>
            </w:pPr>
            <w:r>
              <w:rPr>
                <w:rFonts w:ascii="Arial" w:cs="Arial" w:eastAsia="Arial" w:hAnsi="Arial"/>
                <w:sz w:val="18"/>
                <w:szCs w:val="18"/>
                <w:color w:val="auto"/>
              </w:rPr>
              <w:t>Employee stock options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1,710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27</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35,059</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35,086</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(9,698)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(274,674)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(274,674)</w:t>
            </w: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Issuance of restricted stock, net</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20"/>
              <w:spacing w:after="0"/>
              <w:rPr>
                <w:sz w:val="20"/>
                <w:szCs w:val="20"/>
                <w:color w:val="auto"/>
              </w:rPr>
            </w:pPr>
            <w:r>
              <w:rPr>
                <w:rFonts w:ascii="Arial" w:cs="Arial" w:eastAsia="Arial" w:hAnsi="Arial"/>
                <w:sz w:val="18"/>
                <w:szCs w:val="18"/>
                <w:color w:val="auto"/>
              </w:rPr>
              <w:t>of forfeitures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594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Equity-based compensation</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related to employees</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18,156</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18,156</w:t>
            </w:r>
          </w:p>
        </w:tc>
        <w:tc>
          <w:tcPr>
            <w:tcW w:w="0" w:type="dxa"/>
            <w:vAlign w:val="bottom"/>
          </w:tcPr>
          <w:p>
            <w:pPr>
              <w:spacing w:after="0"/>
              <w:rPr>
                <w:sz w:val="1"/>
                <w:szCs w:val="1"/>
                <w:color w:val="auto"/>
              </w:rPr>
            </w:pPr>
          </w:p>
        </w:tc>
      </w:tr>
      <w:tr>
        <w:trPr>
          <w:trHeight w:val="223"/>
        </w:trPr>
        <w:tc>
          <w:tcPr>
            <w:tcW w:w="2700" w:type="dxa"/>
            <w:vAlign w:val="bottom"/>
          </w:tcPr>
          <w:p>
            <w:pPr>
              <w:spacing w:after="0"/>
              <w:rPr>
                <w:sz w:val="20"/>
                <w:szCs w:val="20"/>
                <w:color w:val="auto"/>
              </w:rPr>
            </w:pPr>
            <w:r>
              <w:rPr>
                <w:rFonts w:ascii="Arial" w:cs="Arial" w:eastAsia="Arial" w:hAnsi="Arial"/>
                <w:sz w:val="18"/>
                <w:szCs w:val="18"/>
                <w:b w:val="1"/>
                <w:bCs w:val="1"/>
                <w:color w:val="auto"/>
              </w:rPr>
              <w:t>Balance as of March 31, 2011</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185,655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3,993</w:t>
            </w:r>
          </w:p>
        </w:tc>
        <w:tc>
          <w:tcPr>
            <w:tcW w:w="4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$ 2,455,378</w:t>
            </w:r>
          </w:p>
        </w:tc>
        <w:tc>
          <w:tcPr>
            <w:tcW w:w="4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(1,583,835</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$ 2,297,971</w:t>
            </w:r>
          </w:p>
        </w:tc>
        <w:tc>
          <w:tcPr>
            <w:tcW w:w="4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$ 3,180,753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As of March 31, 2011 and September 30, 2010, accumulated other comprehensive income is comprised of unrealized gain on derivatives, net of tax, of $11,251 and $6,002, respectively, unrealized loss on cash equivalents and short-term interest-bearing investments, net of tax, of $(1,233) and $(1,267), respectively, and unrealized loss on defined benefit plan, net of tax, of $(2,772) and $(2,783), respectively.</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Net income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167,501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156,903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94,049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97,524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on investment in a subsidiary</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Equity-based compensation expense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18,156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12,756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Excess tax benefit from equity-based compensation</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(gain) from short-term interest-bearing investments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1,577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20,879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(25,225)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(34,739)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Accounts payable, accrued expenses and accrued personnel</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(69,103)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34,293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Income taxes payable, net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(1,085)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18,939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7,521</w:t>
            </w:r>
          </w:p>
        </w:tc>
        <w:tc>
          <w:tcPr>
            <w:tcW w:w="0" w:type="dxa"/>
            <w:vAlign w:val="bottom"/>
          </w:tcPr>
          <w:p>
            <w:pPr>
              <w:spacing w:after="0"/>
              <w:rPr>
                <w:sz w:val="1"/>
                <w:szCs w:val="1"/>
                <w:color w:val="auto"/>
              </w:rPr>
            </w:pPr>
          </w:p>
        </w:tc>
      </w:tr>
      <w:tr>
        <w:trPr>
          <w:trHeight w:val="230"/>
        </w:trPr>
        <w:tc>
          <w:tcPr>
            <w:tcW w:w="72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237,846</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358,075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(55,456)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314,857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747,201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(263,191)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(871,945)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(149,685)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Other</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(17,618)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(21,408)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(314,503)</w:t>
            </w: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Repurchase of shares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(274,674)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35,096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Payments under capital lease, short-term financing arrangements and other</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(443)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(440,021)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17,200</w:t>
            </w: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(223,583)</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1,036,195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728,762</w:t>
            </w: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8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812,612</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789,534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Cash paid for:</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net of refunds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9,359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Interest</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289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20" w:firstLine="215"/>
        <w:spacing w:after="0" w:line="276" w:lineRule="auto"/>
        <w:rPr>
          <w:sz w:val="20"/>
          <w:szCs w:val="20"/>
          <w:color w:val="auto"/>
        </w:rPr>
      </w:pPr>
      <w:r>
        <w:rPr>
          <w:rFonts w:ascii="Arial" w:cs="Arial" w:eastAsia="Arial" w:hAnsi="Arial"/>
          <w:sz w:val="17"/>
          <w:szCs w:val="17"/>
          <w:color w:val="auto"/>
        </w:rPr>
        <w:t>Amdocs Limited (the “Company”) is a leading provider of software and services for communications, media and entertainment industry service providers. The Company and its subsidiaries operate in one segment, providing integrated products and services. The Company designs, develops, markets, supports, implements and operates customer experience systems, including revenue management, customer management, service and resource management, service delivery, portfolio enablers, consulting, system integration, managed services and product support, primarily to leading wireless, wireline, cable and satellite service providers throughout the world. Amdocs also offers a full range of directory sales and publishing systems.</w:t>
      </w:r>
    </w:p>
    <w:p>
      <w:pPr>
        <w:spacing w:after="0" w:line="64"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Company is a Guernsey corporation, which directly or indirectly holds numerous wholly-owned subsidiaries around the world. The majority of the Company’s customers are in North America, Europe, Latin America and the Asia-Pacific region. The Company’s main production and operating facilities are located in Brazil, Canada, Cyprus, India, Ireland, Israel and the United States.</w:t>
      </w:r>
    </w:p>
    <w:p>
      <w:pPr>
        <w:spacing w:after="0" w:line="73"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In the opinion of the Company’s management, all adjustments considered necessary for a fair presentation of the unaudited interim consolidated financial statements have been included herein and are of a normal recurring nature.</w:t>
      </w:r>
    </w:p>
    <w:p>
      <w:pPr>
        <w:spacing w:after="0" w:line="73"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73"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2010, set forth in the Company’s Annual Report on Form 20-F filed on December 7, 2010 with the U.S. Securities and Exchange Commission, or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immaterial amounts in prior year financial statements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jc w:val="both"/>
        <w:ind w:right="20" w:firstLine="225"/>
        <w:spacing w:after="0" w:line="259" w:lineRule="auto"/>
        <w:rPr>
          <w:sz w:val="20"/>
          <w:szCs w:val="20"/>
          <w:color w:val="auto"/>
        </w:rPr>
      </w:pPr>
      <w:r>
        <w:rPr>
          <w:rFonts w:ascii="Arial" w:cs="Arial" w:eastAsia="Arial" w:hAnsi="Arial"/>
          <w:sz w:val="18"/>
          <w:szCs w:val="18"/>
          <w:color w:val="auto"/>
        </w:rPr>
        <w:t>In January 2010, the Financial Accounting Standards Board, or FASB, issued guidance to amend the disclosure requirements of fair value measurements. The guidance requires the disclosure on the roll forward activities for assets and liabilities measured using significant unobservable inputs (Level 3 fair value measurements), and will become effective for the Company beginning October 1, 2011. The adoption of this new guidance will not have a material impact on the Company’s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Standards</w:t>
      </w:r>
    </w:p>
    <w:p>
      <w:pPr>
        <w:spacing w:after="0" w:line="121" w:lineRule="exact"/>
        <w:rPr>
          <w:sz w:val="20"/>
          <w:szCs w:val="20"/>
          <w:color w:val="auto"/>
        </w:rPr>
      </w:pPr>
    </w:p>
    <w:p>
      <w:pPr>
        <w:jc w:val="both"/>
        <w:ind w:right="140" w:firstLine="225"/>
        <w:spacing w:after="0" w:line="259" w:lineRule="auto"/>
        <w:rPr>
          <w:sz w:val="20"/>
          <w:szCs w:val="20"/>
          <w:color w:val="auto"/>
        </w:rPr>
      </w:pPr>
      <w:r>
        <w:rPr>
          <w:rFonts w:ascii="Arial" w:cs="Arial" w:eastAsia="Arial" w:hAnsi="Arial"/>
          <w:sz w:val="18"/>
          <w:szCs w:val="18"/>
          <w:color w:val="auto"/>
        </w:rPr>
        <w:t>In June 2009, the FASB issued authoritative guidance on the consolidation of variable interest entities, which was effective for the Company beginning October 1, 2010. The new guidance requires revised evaluations of whether entities represent variable interest entities, ongoing assessments of control over such entities, and additional disclosures for variable interests. The adoption of this new guidance did not have a material impact on the Company’s financial statements.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jc w:val="both"/>
        <w:ind w:right="180" w:firstLine="222"/>
        <w:spacing w:after="0" w:line="279" w:lineRule="auto"/>
        <w:rPr>
          <w:sz w:val="20"/>
          <w:szCs w:val="20"/>
          <w:color w:val="auto"/>
        </w:rPr>
      </w:pPr>
      <w:r>
        <w:rPr>
          <w:rFonts w:ascii="Arial" w:cs="Arial" w:eastAsia="Arial" w:hAnsi="Arial"/>
          <w:sz w:val="17"/>
          <w:szCs w:val="17"/>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63" w:lineRule="exact"/>
        <w:rPr>
          <w:sz w:val="20"/>
          <w:szCs w:val="20"/>
          <w:color w:val="auto"/>
        </w:rPr>
      </w:pPr>
    </w:p>
    <w:p>
      <w:pPr>
        <w:ind w:right="440" w:firstLine="222"/>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73" w:lineRule="exact"/>
        <w:rPr>
          <w:sz w:val="20"/>
          <w:szCs w:val="20"/>
          <w:color w:val="auto"/>
        </w:rPr>
      </w:pPr>
    </w:p>
    <w:p>
      <w:pPr>
        <w:jc w:val="center"/>
        <w:ind w:right="5220"/>
        <w:spacing w:after="0"/>
        <w:rPr>
          <w:sz w:val="20"/>
          <w:szCs w:val="20"/>
          <w:color w:val="auto"/>
        </w:rPr>
      </w:pPr>
      <w:r>
        <w:rPr>
          <w:rFonts w:ascii="Arial" w:cs="Arial" w:eastAsia="Arial" w:hAnsi="Arial"/>
          <w:sz w:val="17"/>
          <w:szCs w:val="17"/>
          <w:color w:val="auto"/>
        </w:rPr>
        <w:t>The three levels of inputs that may be used to measure fair value are as follows: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tables present the Company’s assets and liabilities measured at fair value on a recurring basis as of March 31, 2011 and September 30, 2010: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As of March 31, 2011</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660"/>
              <w:spacing w:after="0" w:line="142" w:lineRule="exact"/>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12"/>
                <w:szCs w:val="12"/>
                <w:color w:val="auto"/>
              </w:rPr>
            </w:pPr>
          </w:p>
        </w:tc>
        <w:tc>
          <w:tcPr>
            <w:tcW w:w="72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4040" w:type="dxa"/>
            <w:vAlign w:val="bottom"/>
            <w:gridSpan w:val="5"/>
          </w:tcPr>
          <w:p>
            <w:pPr>
              <w:jc w:val="right"/>
              <w:ind w:right="80"/>
              <w:spacing w:after="0"/>
              <w:rPr>
                <w:sz w:val="20"/>
                <w:szCs w:val="20"/>
                <w:color w:val="auto"/>
              </w:rPr>
            </w:pPr>
            <w:r>
              <w:rPr>
                <w:rFonts w:ascii="Arial" w:cs="Arial" w:eastAsia="Arial" w:hAnsi="Arial"/>
                <w:sz w:val="18"/>
                <w:szCs w:val="18"/>
                <w:color w:val="auto"/>
              </w:rPr>
              <w:t>$ 413,888</w:t>
            </w:r>
          </w:p>
        </w:tc>
        <w:tc>
          <w:tcPr>
            <w:tcW w:w="700" w:type="dxa"/>
            <w:vAlign w:val="bottom"/>
            <w:gridSpan w:val="3"/>
          </w:tcPr>
          <w:p>
            <w:pPr>
              <w:ind w:left="60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$ 413,888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treasuries</w:t>
            </w:r>
          </w:p>
        </w:tc>
        <w:tc>
          <w:tcPr>
            <w:tcW w:w="40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125,698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U.S. agencies</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59,965</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59,965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guaranteed debt</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70,565</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52,511</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52,511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Supranational and sovereign debt</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7,318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Asset backed obligations</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5,481</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Mortgages (including agencies and corporate)</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12,859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Commercial paper and certificates of deposit</w:t>
            </w:r>
          </w:p>
        </w:tc>
        <w:tc>
          <w:tcPr>
            <w:tcW w:w="3260" w:type="dxa"/>
            <w:vAlign w:val="bottom"/>
            <w:gridSpan w:val="2"/>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10,074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4,414</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40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549,660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9"/>
              </w:rPr>
              <w:t>213,113</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762,773</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9,605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$ 549,660</w:t>
            </w:r>
          </w:p>
        </w:tc>
        <w:tc>
          <w:tcPr>
            <w:tcW w:w="1840" w:type="dxa"/>
            <w:vAlign w:val="bottom"/>
            <w:gridSpan w:val="6"/>
            <w:shd w:val="clear" w:color="auto" w:fill="CCEEFF"/>
          </w:tcPr>
          <w:p>
            <w:pPr>
              <w:jc w:val="right"/>
              <w:ind w:right="540"/>
              <w:spacing w:after="0"/>
              <w:rPr>
                <w:sz w:val="20"/>
                <w:szCs w:val="20"/>
                <w:color w:val="auto"/>
              </w:rPr>
            </w:pPr>
            <w:r>
              <w:rPr>
                <w:rFonts w:ascii="Arial" w:cs="Arial" w:eastAsia="Arial" w:hAnsi="Arial"/>
                <w:sz w:val="18"/>
                <w:szCs w:val="18"/>
                <w:color w:val="auto"/>
              </w:rPr>
              <w:t>$ 222,718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$ 772,378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As of September 30, 2010</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2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2"/>
                <w:szCs w:val="12"/>
                <w:color w:val="auto"/>
              </w:rPr>
            </w:pPr>
          </w:p>
        </w:tc>
        <w:tc>
          <w:tcPr>
            <w:tcW w:w="1380" w:type="dxa"/>
            <w:vAlign w:val="bottom"/>
            <w:gridSpan w:val="5"/>
          </w:tcPr>
          <w:p>
            <w:pPr>
              <w:ind w:left="12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72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3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3960" w:type="dxa"/>
            <w:vAlign w:val="bottom"/>
            <w:gridSpan w:val="4"/>
          </w:tcPr>
          <w:p>
            <w:pPr>
              <w:jc w:val="right"/>
              <w:ind w:right="140"/>
              <w:spacing w:after="0"/>
              <w:rPr>
                <w:sz w:val="20"/>
                <w:szCs w:val="20"/>
                <w:color w:val="auto"/>
              </w:rPr>
            </w:pPr>
            <w:r>
              <w:rPr>
                <w:rFonts w:ascii="Arial" w:cs="Arial" w:eastAsia="Arial" w:hAnsi="Arial"/>
                <w:sz w:val="18"/>
                <w:szCs w:val="18"/>
                <w:color w:val="auto"/>
              </w:rPr>
              <w:t>$ 867,335</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w w:val="96"/>
              </w:rPr>
              <w:t>$  867,335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treasuries</w:t>
            </w:r>
          </w:p>
        </w:tc>
        <w:tc>
          <w:tcPr>
            <w:tcW w:w="3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111,912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U.S. agencies</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5"/>
          </w:tcPr>
          <w:p>
            <w:pPr>
              <w:jc w:val="right"/>
              <w:ind w:right="140"/>
              <w:spacing w:after="0"/>
              <w:rPr>
                <w:sz w:val="20"/>
                <w:szCs w:val="20"/>
                <w:color w:val="auto"/>
              </w:rPr>
            </w:pPr>
            <w:r>
              <w:rPr>
                <w:rFonts w:ascii="Arial" w:cs="Arial" w:eastAsia="Arial" w:hAnsi="Arial"/>
                <w:sz w:val="18"/>
                <w:szCs w:val="18"/>
                <w:color w:val="auto"/>
              </w:rPr>
              <w:t>65,724</w:t>
            </w:r>
          </w:p>
        </w:tc>
        <w:tc>
          <w:tcPr>
            <w:tcW w:w="5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65,724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guaranteed debt</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102,112</w:t>
            </w:r>
          </w:p>
        </w:tc>
        <w:tc>
          <w:tcPr>
            <w:tcW w:w="5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Supranational and sovereign debt</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5"/>
          </w:tcPr>
          <w:p>
            <w:pPr>
              <w:jc w:val="right"/>
              <w:ind w:right="140"/>
              <w:spacing w:after="0"/>
              <w:rPr>
                <w:sz w:val="20"/>
                <w:szCs w:val="20"/>
                <w:color w:val="auto"/>
              </w:rPr>
            </w:pPr>
            <w:r>
              <w:rPr>
                <w:rFonts w:ascii="Arial" w:cs="Arial" w:eastAsia="Arial" w:hAnsi="Arial"/>
                <w:sz w:val="18"/>
                <w:szCs w:val="18"/>
                <w:color w:val="auto"/>
              </w:rPr>
              <w:t>23,771</w:t>
            </w:r>
          </w:p>
        </w:tc>
        <w:tc>
          <w:tcPr>
            <w:tcW w:w="5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58,742</w:t>
            </w:r>
          </w:p>
        </w:tc>
        <w:tc>
          <w:tcPr>
            <w:tcW w:w="5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Asset backed obligations</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7,147</w:t>
            </w:r>
          </w:p>
        </w:tc>
        <w:tc>
          <w:tcPr>
            <w:tcW w:w="5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7,147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Mortgages (including agencies and corporate)</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18,948</w:t>
            </w:r>
          </w:p>
        </w:tc>
        <w:tc>
          <w:tcPr>
            <w:tcW w:w="5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Commercial paper and certificates of deposit</w:t>
            </w:r>
          </w:p>
        </w:tc>
        <w:tc>
          <w:tcPr>
            <w:tcW w:w="31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10,048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9,254</w:t>
            </w:r>
          </w:p>
        </w:tc>
        <w:tc>
          <w:tcPr>
            <w:tcW w:w="5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19,302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3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989,295</w:t>
            </w:r>
          </w:p>
        </w:tc>
        <w:tc>
          <w:tcPr>
            <w:tcW w:w="8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285,698</w:t>
            </w:r>
          </w:p>
        </w:tc>
        <w:tc>
          <w:tcPr>
            <w:tcW w:w="5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1,274,993</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3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4,333</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$ 989,295</w:t>
            </w:r>
          </w:p>
        </w:tc>
        <w:tc>
          <w:tcPr>
            <w:tcW w:w="8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$ 290,031</w:t>
            </w:r>
          </w:p>
        </w:tc>
        <w:tc>
          <w:tcPr>
            <w:tcW w:w="5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$ 1,279,326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120" w:type="dxa"/>
            <w:vAlign w:val="bottom"/>
            <w:vMerge w:val="restart"/>
          </w:tcPr>
          <w:p>
            <w:pPr>
              <w:jc w:val="right"/>
              <w:ind w:right="1870"/>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15"/>
        <w:spacing w:after="0" w:line="276" w:lineRule="auto"/>
        <w:rPr>
          <w:sz w:val="20"/>
          <w:szCs w:val="20"/>
          <w:color w:val="auto"/>
        </w:rPr>
      </w:pPr>
      <w:r>
        <w:rPr>
          <w:rFonts w:ascii="Arial" w:cs="Arial" w:eastAsia="Arial" w:hAnsi="Arial"/>
          <w:sz w:val="17"/>
          <w:szCs w:val="17"/>
          <w:color w:val="auto"/>
        </w:rPr>
        <w:t>Available for 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and discounted cash flow techniques.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six months ended March 31, 2011.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40" w:firstLine="222"/>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other current assets, accounts payable, accrued personnel costs, short-term financing arrangements and other current liabilities approximates their fair value because of the relatively short maturity of these items.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Available-For-Sale Securities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6"/>
              </w:rPr>
              <w:t>As of March 31, 2011</w:t>
            </w: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Amortized Cost</w:t>
            </w:r>
          </w:p>
        </w:tc>
        <w:tc>
          <w:tcPr>
            <w:tcW w:w="600" w:type="dxa"/>
            <w:vAlign w:val="bottom"/>
            <w:vMerge w:val="restart"/>
          </w:tcPr>
          <w:p>
            <w:pPr>
              <w:spacing w:after="0"/>
              <w:rPr>
                <w:sz w:val="10"/>
                <w:szCs w:val="10"/>
                <w:color w:val="auto"/>
              </w:rPr>
            </w:pPr>
          </w:p>
        </w:tc>
        <w:tc>
          <w:tcPr>
            <w:tcW w:w="1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3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2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Gains</w:t>
            </w:r>
          </w:p>
        </w:tc>
        <w:tc>
          <w:tcPr>
            <w:tcW w:w="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1"/>
              </w:rPr>
              <w:t>Losses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413,888</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$ 413,888</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U.S. government treasuries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125,645</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125,698</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U.S. agencies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59,593</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372</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59,965</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Government guaranteed debt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69,890</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675</w:t>
            </w:r>
          </w:p>
        </w:tc>
        <w:tc>
          <w:tcPr>
            <w:tcW w:w="2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70,565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53,173</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365</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1,027</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52,511</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Supranational and sovereign debt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7,282</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7,318</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763</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5,481</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Mortgages (including agencies and corporate)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13,738</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274</w:t>
            </w:r>
          </w:p>
        </w:tc>
        <w:tc>
          <w:tcPr>
            <w:tcW w:w="2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1,153</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12,859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14,601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14,488</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Total(1)</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764,054</w:t>
            </w: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w:t>
            </w:r>
          </w:p>
        </w:tc>
        <w:tc>
          <w:tcPr>
            <w:tcW w:w="6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$ 762,773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30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Available-for-sale securities are classified as short term interest-bearing investments on the Company’s balance sheet, except for $418,873 of securities with maturities from date of acquisition of 90 days or less which are included in cash and cash equivalents as of March 31, 2011.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5"/>
          </w:tcPr>
          <w:p>
            <w:pPr>
              <w:jc w:val="right"/>
              <w:ind w:right="1240"/>
              <w:spacing w:after="0"/>
              <w:rPr>
                <w:sz w:val="20"/>
                <w:szCs w:val="20"/>
                <w:color w:val="auto"/>
              </w:rPr>
            </w:pPr>
            <w:r>
              <w:rPr>
                <w:rFonts w:ascii="Arial" w:cs="Arial" w:eastAsia="Arial" w:hAnsi="Arial"/>
                <w:sz w:val="14"/>
                <w:szCs w:val="14"/>
                <w:b w:val="1"/>
                <w:bCs w:val="1"/>
                <w:color w:val="auto"/>
              </w:rPr>
              <w:t>As of September 30, 2010</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6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8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4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867,335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867,335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U.S. government treasuries</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111,685</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111,912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U.S. agencies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64,837</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887</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65,724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Government guaranteed debt</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100,832</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1,280</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102,112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23,672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59,247</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728</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1,233</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58,742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8,230</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1,083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7,147</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Mortgages (including agencies and corporate)</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21,062</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2,486</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18,948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19,414</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19,302</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Total(2)</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1,276,314</w:t>
            </w: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3,593</w:t>
            </w: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4,914</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1,274,993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80" w:hanging="452"/>
        <w:spacing w:after="0" w:line="308"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Available-for-sale securities are classified as short term interest-bearing investments on the Company’s balance sheet, except for $877,889 of securities with maturities from date of acquisition of 90 days or less which are included in cash and cash equivalents as of September 30, 2010.</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215"/>
        <w:spacing w:after="0" w:line="276" w:lineRule="auto"/>
        <w:rPr>
          <w:sz w:val="20"/>
          <w:szCs w:val="20"/>
          <w:color w:val="auto"/>
        </w:rPr>
      </w:pPr>
      <w:r>
        <w:rPr>
          <w:rFonts w:ascii="Arial" w:cs="Arial" w:eastAsia="Arial" w:hAnsi="Arial"/>
          <w:sz w:val="17"/>
          <w:szCs w:val="17"/>
          <w:color w:val="auto"/>
        </w:rPr>
        <w:t>As of March 31, 2011, the unrealized losses were primarily due to credit market conditions and interest rate movements. A significant portion of the unrealized losses has been in a continuous loss position for 12 months or greater. The Company assessed whether such unrealized losses for the investments in its portfolio were other-than-temporary. Based on this assessment, an immaterial credit loss was recognized in the three and six months ended March 31, 2011 and 2010. As of March 31, 2011, unrealized losses of $726 related to securities for which credit losses were recognized and that are considered other-than-temporarily impaired securities, are included in accumulated other comprehensive income.</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 cumulative roll forward of credit losses recognized in earnings as of March 31, 2011: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1, 2010</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Credit loss on debt securities for which an other-than-temporary impairment was not previously recognized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Additional credit loss on debt securities for which an other-than-temporary impairment was previously recognized</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Reductions for securities realized during the period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2011</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vMerge w:val="restart"/>
          </w:tcPr>
          <w:p>
            <w:pPr>
              <w:ind w:left="200"/>
              <w:spacing w:after="0"/>
              <w:rPr>
                <w:sz w:val="20"/>
                <w:szCs w:val="20"/>
                <w:color w:val="auto"/>
              </w:rPr>
            </w:pPr>
            <w:r>
              <w:rPr>
                <w:rFonts w:ascii="Arial" w:cs="Arial" w:eastAsia="Arial" w:hAnsi="Arial"/>
                <w:sz w:val="18"/>
                <w:szCs w:val="18"/>
                <w:color w:val="auto"/>
              </w:rPr>
              <w:t>As of March 31, 2011, the Company’s available-for-sale securities had the following maturity dates:</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46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568,510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Due within between one and two years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144,687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Due within between two and three years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Due within between three and four years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4,910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762,773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121" w:lineRule="exact"/>
        <w:rPr>
          <w:sz w:val="20"/>
          <w:szCs w:val="20"/>
          <w:color w:val="auto"/>
        </w:rPr>
      </w:pPr>
    </w:p>
    <w:p>
      <w:pPr>
        <w:jc w:val="both"/>
        <w:ind w:right="20" w:firstLine="222"/>
        <w:spacing w:after="0" w:line="308" w:lineRule="auto"/>
        <w:rPr>
          <w:sz w:val="20"/>
          <w:szCs w:val="20"/>
          <w:color w:val="auto"/>
        </w:rPr>
      </w:pPr>
      <w:r>
        <w:rPr>
          <w:rFonts w:ascii="Arial" w:cs="Arial" w:eastAsia="Arial" w:hAnsi="Arial"/>
          <w:sz w:val="17"/>
          <w:szCs w:val="17"/>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38"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Company’s derivatives expose it to credit risks from possible non-performance by counterparties. The maximum amount of loss due to credit risk that the Company would incur if counterparties to the derivative financial instruments failed completely to perform according to the terms of the contracts, based on the gross fair value of the Company’s derivative contracts that are favorable to the Company, was approximately $19,767 as of March 31, 2011. The Company has limited its credit risk by entering into derivative transactions exclusively with investment-grade rated financial institutions and monitors the creditworthiness of these financial institutions on an ongoing basis.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table below presents the total volume or notional amounts of the Company’s derivative instruments as of March 31, 2011. Notional values are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dollar translated and calculated based on forward rates as of March 31, 2011 for forward contracts, and based on spot rates as of March 31, 2011 for options.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80" w:type="dxa"/>
            <w:vAlign w:val="bottom"/>
            <w:vMerge w:val="restart"/>
          </w:tcPr>
          <w:p>
            <w:pPr>
              <w:spacing w:after="0"/>
              <w:rPr>
                <w:sz w:val="20"/>
                <w:szCs w:val="20"/>
                <w:color w:val="auto"/>
              </w:rPr>
            </w:pPr>
            <w:r>
              <w:rPr>
                <w:rFonts w:ascii="Arial" w:cs="Arial" w:eastAsia="Arial" w:hAnsi="Arial"/>
                <w:sz w:val="18"/>
                <w:szCs w:val="18"/>
                <w:color w:val="auto"/>
              </w:rPr>
              <w:t>Foreign exchange contracts</w:t>
            </w: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Notional Value*</w:t>
            </w:r>
          </w:p>
        </w:tc>
        <w:tc>
          <w:tcPr>
            <w:tcW w:w="0" w:type="dxa"/>
            <w:vAlign w:val="bottom"/>
          </w:tcPr>
          <w:p>
            <w:pPr>
              <w:spacing w:after="0"/>
              <w:rPr>
                <w:sz w:val="1"/>
                <w:szCs w:val="1"/>
                <w:color w:val="auto"/>
              </w:rPr>
            </w:pPr>
          </w:p>
        </w:tc>
      </w:tr>
      <w:tr>
        <w:trPr>
          <w:trHeight w:val="224"/>
        </w:trPr>
        <w:tc>
          <w:tcPr>
            <w:tcW w:w="9980" w:type="dxa"/>
            <w:vAlign w:val="bottom"/>
            <w:vMerge w:val="continue"/>
          </w:tcPr>
          <w:p>
            <w:pPr>
              <w:spacing w:after="0"/>
              <w:rPr>
                <w:sz w:val="19"/>
                <w:szCs w:val="19"/>
                <w:color w:val="auto"/>
              </w:rPr>
            </w:pPr>
          </w:p>
        </w:tc>
        <w:tc>
          <w:tcPr>
            <w:tcW w:w="1440" w:type="dxa"/>
            <w:vAlign w:val="bottom"/>
          </w:tcPr>
          <w:p>
            <w:pPr>
              <w:jc w:val="right"/>
              <w:ind w:right="339"/>
              <w:spacing w:after="0"/>
              <w:rPr>
                <w:sz w:val="20"/>
                <w:szCs w:val="20"/>
                <w:color w:val="auto"/>
              </w:rPr>
            </w:pPr>
            <w:r>
              <w:rPr>
                <w:rFonts w:ascii="Arial" w:cs="Arial" w:eastAsia="Arial" w:hAnsi="Arial"/>
                <w:sz w:val="18"/>
                <w:szCs w:val="18"/>
                <w:color w:val="auto"/>
              </w:rPr>
              <w:t>$875,463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30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Please see Note 4 to the unaudited consolidated financial statements. The fair value of the open foreign currency exchange contracts recorded by the Company on its consolidated balance sheets as of March 31, 2011 and September 30, 2010, as an asset or a liability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84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March 31,</w:t>
            </w:r>
          </w:p>
        </w:tc>
        <w:tc>
          <w:tcPr>
            <w:tcW w:w="50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16,836</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(3,294)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13,880</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2,521</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(6,796)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(4,275)</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9,605</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 Hedges</w:t>
      </w:r>
    </w:p>
    <w:p>
      <w:pPr>
        <w:spacing w:after="0" w:line="117" w:lineRule="exact"/>
        <w:rPr>
          <w:sz w:val="20"/>
          <w:szCs w:val="20"/>
          <w:color w:val="auto"/>
        </w:rPr>
      </w:pPr>
    </w:p>
    <w:p>
      <w:pPr>
        <w:ind w:right="220" w:firstLine="225"/>
        <w:spacing w:after="0" w:line="276" w:lineRule="auto"/>
        <w:rPr>
          <w:sz w:val="20"/>
          <w:szCs w:val="20"/>
          <w:color w:val="auto"/>
        </w:rPr>
      </w:pPr>
      <w:r>
        <w:rPr>
          <w:rFonts w:ascii="Arial" w:cs="Arial" w:eastAsia="Arial" w:hAnsi="Arial"/>
          <w:sz w:val="17"/>
          <w:szCs w:val="17"/>
          <w:color w:val="auto"/>
        </w:rPr>
        <w:t>In order to reduce the impact of changes in foreign currency exchange rates on its results, the Company enters into foreign currency exchange forward contracts and options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two years (a vast majority of the forward contracts and options outstanding as of March 31, 2011 are expected to mature within the next 12 months).</w:t>
      </w:r>
    </w:p>
    <w:p>
      <w:pPr>
        <w:spacing w:after="0" w:line="64" w:lineRule="exact"/>
        <w:rPr>
          <w:sz w:val="20"/>
          <w:szCs w:val="20"/>
          <w:color w:val="auto"/>
        </w:rPr>
      </w:pPr>
    </w:p>
    <w:p>
      <w:pPr>
        <w:ind w:right="140" w:firstLine="222"/>
        <w:spacing w:after="0" w:line="272" w:lineRule="auto"/>
        <w:rPr>
          <w:sz w:val="20"/>
          <w:szCs w:val="20"/>
          <w:color w:val="auto"/>
        </w:rPr>
      </w:pPr>
      <w:r>
        <w:rPr>
          <w:rFonts w:ascii="Arial" w:cs="Arial" w:eastAsia="Arial" w:hAnsi="Arial"/>
          <w:sz w:val="17"/>
          <w:szCs w:val="17"/>
          <w:color w:val="auto"/>
        </w:rPr>
        <w:t>The effective portion of the gain or loss on the derivative instruments is initially recorded as a component of other comprehensive income, a separate component of shareholders’ equity, and subsequently reclassified into earnings to the same line item as the related forecasted transaction and in the same period or periods during which the hedged exposure affects earnings. The cash flow hedges are evaluated for effectiveness at least quarterly. As the critical terms of the forward contract or options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income (expense), net.</w:t>
      </w:r>
    </w:p>
    <w:p>
      <w:pPr>
        <w:spacing w:after="0" w:line="70"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effect of the Company’s cash flow hedging instruments in the consolidated statement of income for the three months ended March 31, 2011 and 2010, respectively, which partially offset the foreign currency impact from the underlying exposures, is summarized as follows:</w:t>
      </w:r>
    </w:p>
    <w:p>
      <w:pPr>
        <w:spacing w:after="0" w:line="162"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GAINS (LOSSES) RECLASSIFIED FROM</w:t>
      </w:r>
    </w:p>
    <w:p>
      <w:pPr>
        <w:jc w:val="center"/>
        <w:ind w:left="7080"/>
        <w:spacing w:after="0" w:line="226" w:lineRule="auto"/>
        <w:rPr>
          <w:sz w:val="20"/>
          <w:szCs w:val="20"/>
          <w:color w:val="auto"/>
        </w:rPr>
      </w:pPr>
      <w:r>
        <w:rPr>
          <w:rFonts w:ascii="Arial" w:cs="Arial" w:eastAsia="Arial" w:hAnsi="Arial"/>
          <w:sz w:val="14"/>
          <w:szCs w:val="14"/>
          <w:b w:val="1"/>
          <w:bCs w:val="1"/>
          <w:color w:val="auto"/>
        </w:rPr>
        <w:t>OTHER COMPREHENSIVE INCOME (EFFECTIVE PORTION)</w:t>
      </w:r>
    </w:p>
    <w:p>
      <w:pPr>
        <w:jc w:val="center"/>
        <w:ind w:left="7080"/>
        <w:spacing w:after="0" w:line="232" w:lineRule="auto"/>
        <w:rPr>
          <w:sz w:val="20"/>
          <w:szCs w:val="20"/>
          <w:color w:val="auto"/>
        </w:rPr>
      </w:pPr>
      <w:r>
        <w:rPr>
          <w:rFonts w:ascii="Arial" w:cs="Arial" w:eastAsia="Arial" w:hAnsi="Arial"/>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142"/>
        </w:trPr>
        <w:tc>
          <w:tcPr>
            <w:tcW w:w="41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2"/>
          </w:tcPr>
          <w:p>
            <w:pPr>
              <w:jc w:val="right"/>
              <w:ind w:right="1600"/>
              <w:spacing w:after="0" w:line="142" w:lineRule="exact"/>
              <w:rPr>
                <w:sz w:val="20"/>
                <w:szCs w:val="20"/>
                <w:color w:val="auto"/>
              </w:rPr>
            </w:pPr>
            <w:r>
              <w:rPr>
                <w:rFonts w:ascii="Arial" w:cs="Arial" w:eastAsia="Arial" w:hAnsi="Arial"/>
                <w:sz w:val="14"/>
                <w:szCs w:val="14"/>
                <w:b w:val="1"/>
                <w:bCs w:val="1"/>
                <w:color w:val="auto"/>
                <w:w w:val="98"/>
              </w:rPr>
              <w:t>March 31, 2011</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March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Line item in statement of income:</w:t>
            </w:r>
          </w:p>
        </w:tc>
        <w:tc>
          <w:tcPr>
            <w:tcW w:w="30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Revenue</w:t>
            </w:r>
          </w:p>
        </w:tc>
        <w:tc>
          <w:tcPr>
            <w:tcW w:w="31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600" w:type="dxa"/>
            <w:vAlign w:val="bottom"/>
            <w:gridSpan w:val="2"/>
          </w:tcPr>
          <w:p>
            <w:pPr>
              <w:jc w:val="right"/>
              <w:ind w:right="1320"/>
              <w:spacing w:after="0"/>
              <w:rPr>
                <w:sz w:val="20"/>
                <w:szCs w:val="20"/>
                <w:color w:val="auto"/>
              </w:rPr>
            </w:pPr>
            <w:r>
              <w:rPr>
                <w:rFonts w:ascii="Arial" w:cs="Arial" w:eastAsia="Arial" w:hAnsi="Arial"/>
                <w:sz w:val="18"/>
                <w:szCs w:val="18"/>
                <w:color w:val="auto"/>
              </w:rPr>
              <w:t>(297)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1,996</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2"/>
          </w:tcPr>
          <w:p>
            <w:pPr>
              <w:jc w:val="right"/>
              <w:ind w:right="1380"/>
              <w:spacing w:after="0"/>
              <w:rPr>
                <w:sz w:val="20"/>
                <w:szCs w:val="20"/>
                <w:color w:val="auto"/>
              </w:rPr>
            </w:pPr>
            <w:r>
              <w:rPr>
                <w:rFonts w:ascii="Arial" w:cs="Arial" w:eastAsia="Arial" w:hAnsi="Arial"/>
                <w:sz w:val="18"/>
                <w:szCs w:val="18"/>
                <w:color w:val="auto"/>
              </w:rPr>
              <w:t>399</w:t>
            </w: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30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1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000" w:type="dxa"/>
            <w:vAlign w:val="bottom"/>
            <w:vMerge w:val="restart"/>
          </w:tcPr>
          <w:p>
            <w:pPr>
              <w:jc w:val="right"/>
              <w:ind w:right="1290"/>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8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effect of the Company’s cash flow hedging instruments in the consolidated statement of income for the six months ended March 31, 2011 and 2010, respectively, which partially offset the foreign currency impact from the underlying exposures, is summarized as follows:</w:t>
      </w:r>
    </w:p>
    <w:p>
      <w:pPr>
        <w:spacing w:after="0" w:line="162"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GAINS (LOSSES) RECLASSIFIED FROM</w:t>
      </w:r>
    </w:p>
    <w:p>
      <w:pPr>
        <w:jc w:val="center"/>
        <w:ind w:left="7080"/>
        <w:spacing w:after="0" w:line="226" w:lineRule="auto"/>
        <w:rPr>
          <w:sz w:val="20"/>
          <w:szCs w:val="20"/>
          <w:color w:val="auto"/>
        </w:rPr>
      </w:pPr>
      <w:r>
        <w:rPr>
          <w:rFonts w:ascii="Arial" w:cs="Arial" w:eastAsia="Arial" w:hAnsi="Arial"/>
          <w:sz w:val="14"/>
          <w:szCs w:val="14"/>
          <w:b w:val="1"/>
          <w:bCs w:val="1"/>
          <w:color w:val="auto"/>
        </w:rPr>
        <w:t>OTHER COMPREHENSIVE INCOME (EFFECTIVE PORTION)</w:t>
      </w:r>
    </w:p>
    <w:p>
      <w:pPr>
        <w:jc w:val="center"/>
        <w:ind w:left="7080"/>
        <w:spacing w:after="0" w:line="232" w:lineRule="auto"/>
        <w:rPr>
          <w:sz w:val="20"/>
          <w:szCs w:val="20"/>
          <w:color w:val="auto"/>
        </w:rPr>
      </w:pPr>
      <w:r>
        <w:rPr>
          <w:rFonts w:ascii="Arial" w:cs="Arial" w:eastAsia="Arial" w:hAnsi="Arial"/>
          <w:sz w:val="14"/>
          <w:szCs w:val="14"/>
          <w:b w:val="1"/>
          <w:bCs w:val="1"/>
          <w:color w:val="auto"/>
        </w:rPr>
        <w:t>Six months ended</w:t>
      </w:r>
    </w:p>
    <w:tbl>
      <w:tblPr>
        <w:tblLayout w:type="fixed"/>
        <w:tblInd w:w="0" w:type="dxa"/>
        <w:tblCellMar>
          <w:top w:w="0" w:type="dxa"/>
          <w:left w:w="0" w:type="dxa"/>
          <w:bottom w:w="0" w:type="dxa"/>
          <w:right w:w="0" w:type="dxa"/>
        </w:tblCellMar>
      </w:tblPr>
      <w:tr>
        <w:trPr>
          <w:trHeight w:val="142"/>
        </w:trPr>
        <w:tc>
          <w:tcPr>
            <w:tcW w:w="7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3"/>
          </w:tcPr>
          <w:p>
            <w:pPr>
              <w:jc w:val="right"/>
              <w:ind w:right="1600"/>
              <w:spacing w:after="0" w:line="142" w:lineRule="exact"/>
              <w:rPr>
                <w:sz w:val="20"/>
                <w:szCs w:val="20"/>
                <w:color w:val="auto"/>
              </w:rPr>
            </w:pPr>
            <w:r>
              <w:rPr>
                <w:rFonts w:ascii="Arial" w:cs="Arial" w:eastAsia="Arial" w:hAnsi="Arial"/>
                <w:sz w:val="14"/>
                <w:szCs w:val="14"/>
                <w:b w:val="1"/>
                <w:bCs w:val="1"/>
                <w:color w:val="auto"/>
                <w:w w:val="98"/>
              </w:rPr>
              <w:t>March 31, 2011</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March 31, 2010</w:t>
            </w:r>
          </w:p>
        </w:tc>
        <w:tc>
          <w:tcPr>
            <w:tcW w:w="100" w:type="dxa"/>
            <w:vAlign w:val="bottom"/>
          </w:tcPr>
          <w:p>
            <w:pPr>
              <w:spacing w:after="0"/>
              <w:rPr>
                <w:sz w:val="12"/>
                <w:szCs w:val="12"/>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Line item in statement of income:</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2600" w:type="dxa"/>
            <w:vAlign w:val="bottom"/>
            <w:gridSpan w:val="3"/>
          </w:tcPr>
          <w:p>
            <w:pPr>
              <w:jc w:val="right"/>
              <w:ind w:right="1320"/>
              <w:spacing w:after="0"/>
              <w:rPr>
                <w:sz w:val="20"/>
                <w:szCs w:val="20"/>
                <w:color w:val="auto"/>
              </w:rPr>
            </w:pPr>
            <w:r>
              <w:rPr>
                <w:rFonts w:ascii="Arial" w:cs="Arial" w:eastAsia="Arial" w:hAnsi="Arial"/>
                <w:sz w:val="18"/>
                <w:szCs w:val="18"/>
                <w:color w:val="auto"/>
              </w:rPr>
              <w:t>(614)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(2,999)</w:t>
            </w: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4,535</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5,558</w:t>
            </w: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1,006</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1,440</w:t>
            </w: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1,002</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5,929</w:t>
            </w:r>
          </w:p>
        </w:tc>
        <w:tc>
          <w:tcPr>
            <w:tcW w:w="20" w:type="dxa"/>
            <w:vAlign w:val="bottom"/>
            <w:tcBorders>
              <w:bottom w:val="single" w:sz="8" w:color="auto"/>
            </w:tcBorders>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4,781</w:t>
            </w:r>
          </w:p>
        </w:tc>
        <w:tc>
          <w:tcPr>
            <w:tcW w:w="10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215"/>
        <w:spacing w:after="0" w:line="279" w:lineRule="auto"/>
        <w:rPr>
          <w:sz w:val="20"/>
          <w:szCs w:val="20"/>
          <w:color w:val="auto"/>
        </w:rPr>
      </w:pPr>
      <w:r>
        <w:rPr>
          <w:rFonts w:ascii="Arial" w:cs="Arial" w:eastAsia="Arial" w:hAnsi="Arial"/>
          <w:sz w:val="17"/>
          <w:szCs w:val="17"/>
          <w:color w:val="auto"/>
        </w:rPr>
        <w:t>An aggregate gain of $2,186 and $2,848, net of taxes, was reclassified from other comprehensive income in the three months ended March 31, 2011 and 2010, respectively. An aggregate gain of $5,198 and $4,134, net of taxes, was reclassified from other comprehensive income in the six months ended March 31, 2011 and 2010, respectively. The ineffective portion of the change in fair value of a cash flow hedge, including the time value portion excluded from effectiveness testing for the three and six months ended March 31, 2011 and 2010, was not material.</w:t>
      </w:r>
    </w:p>
    <w:p>
      <w:pPr>
        <w:spacing w:after="0" w:line="63" w:lineRule="exact"/>
        <w:rPr>
          <w:sz w:val="20"/>
          <w:szCs w:val="20"/>
          <w:color w:val="auto"/>
        </w:rPr>
      </w:pPr>
    </w:p>
    <w:p>
      <w:pPr>
        <w:ind w:right="60" w:firstLine="215"/>
        <w:spacing w:after="0" w:line="257" w:lineRule="auto"/>
        <w:rPr>
          <w:sz w:val="20"/>
          <w:szCs w:val="20"/>
          <w:color w:val="auto"/>
        </w:rPr>
      </w:pPr>
      <w:r>
        <w:rPr>
          <w:rFonts w:ascii="Arial" w:cs="Arial" w:eastAsia="Arial" w:hAnsi="Arial"/>
          <w:sz w:val="18"/>
          <w:szCs w:val="18"/>
          <w:color w:val="auto"/>
        </w:rPr>
        <w:t>As of March 31, 2011, amounts related to derivatives designated as cash flow hedges and recorded in accumulated other comprehensive income totaled $11,251 which will be reclassified into earnings within the next 12 months and will partially offset the foreign currency impact from the underlying exposures. The amount ultimately realized in earnings will likely differ due to future changes in foreign exchange rates. Gains (losses) from cash flow hedges recognized in other comprehensive income during the six months ended March 31, 2011 and 2010, respectively, were $12,058 and (4,469), or $10,447 and (3,822), net of taxes.</w:t>
      </w:r>
    </w:p>
    <w:p>
      <w:pPr>
        <w:spacing w:after="0" w:line="80"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Cash flow hedges are required to be discontinued in the event the underlying forecasted hedged transaction is no longer probable to occur. The Company did not discontinue any cash flow hedges during any of the periods presented nor does the Company anticipate any such discontinuance in the normal course of business.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activity related to the changes in net unrealized gains on cash flow hedges, net of tax, in accumulated other comprehensive income was as follows:</w:t>
      </w:r>
    </w:p>
    <w:p>
      <w:pPr>
        <w:spacing w:after="0" w:line="240"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Six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cash flow hedges, net of tax, beginning of period</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6,002</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Changes associated with hedging transactions, net of tax</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w w:val="94"/>
              </w:rPr>
              <w:t>10,447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into earnings, net of tax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(4,134)</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Net unrealized gains on cash flow hedges, net of tax,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11,251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Risk Management Derivatives</w:t>
      </w:r>
    </w:p>
    <w:p>
      <w:pPr>
        <w:spacing w:after="0" w:line="117" w:lineRule="exact"/>
        <w:rPr>
          <w:sz w:val="20"/>
          <w:szCs w:val="20"/>
          <w:color w:val="auto"/>
        </w:rPr>
      </w:pPr>
    </w:p>
    <w:p>
      <w:pPr>
        <w:jc w:val="both"/>
        <w:ind w:right="40" w:firstLine="222"/>
        <w:spacing w:after="0" w:line="277" w:lineRule="auto"/>
        <w:rPr>
          <w:sz w:val="20"/>
          <w:szCs w:val="20"/>
          <w:color w:val="auto"/>
        </w:rPr>
      </w:pPr>
      <w:r>
        <w:rPr>
          <w:rFonts w:ascii="Arial" w:cs="Arial" w:eastAsia="Arial" w:hAnsi="Arial"/>
          <w:sz w:val="18"/>
          <w:szCs w:val="18"/>
          <w:color w:val="auto"/>
        </w:rPr>
        <w:t>The Company also enters into foreign currency exchange forward contracts that are not designated as hedging instruments under hedge accounting and are used to reduce the impact of foreign currency on certain balance sheet exposures and certain revenue and expense.</w:t>
      </w:r>
    </w:p>
    <w:p>
      <w:pPr>
        <w:spacing w:after="0" w:line="6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These instruments are generally short-term in nature, with typical maturities of less than one year, and are subject to fluctuations in foreign exchange rates.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2"/>
        <w:spacing w:after="0" w:line="308" w:lineRule="auto"/>
        <w:rPr>
          <w:sz w:val="20"/>
          <w:szCs w:val="20"/>
          <w:color w:val="auto"/>
        </w:rPr>
      </w:pPr>
      <w:r>
        <w:rPr>
          <w:rFonts w:ascii="Arial" w:cs="Arial" w:eastAsia="Arial" w:hAnsi="Arial"/>
          <w:sz w:val="17"/>
          <w:szCs w:val="17"/>
          <w:color w:val="auto"/>
        </w:rPr>
        <w:t>The effect of the Company’s non-designated hedging instruments in the consolidated statement of income for the three months ended March 31, 2011 and 2010, respectively, which partially offset the foreign currency impact from the underlying exposures, is summarized as follows:</w:t>
      </w:r>
    </w:p>
    <w:p>
      <w:pPr>
        <w:spacing w:after="0" w:line="138" w:lineRule="exact"/>
        <w:rPr>
          <w:sz w:val="20"/>
          <w:szCs w:val="20"/>
          <w:color w:val="auto"/>
        </w:rPr>
      </w:pPr>
    </w:p>
    <w:p>
      <w:pPr>
        <w:jc w:val="center"/>
        <w:ind w:left="8280"/>
        <w:spacing w:after="0"/>
        <w:rPr>
          <w:sz w:val="20"/>
          <w:szCs w:val="20"/>
          <w:color w:val="auto"/>
        </w:rPr>
      </w:pPr>
      <w:r>
        <w:rPr>
          <w:rFonts w:ascii="Arial" w:cs="Arial" w:eastAsia="Arial" w:hAnsi="Arial"/>
          <w:sz w:val="14"/>
          <w:szCs w:val="14"/>
          <w:b w:val="1"/>
          <w:bCs w:val="1"/>
          <w:color w:val="auto"/>
        </w:rPr>
        <w:t>GAINS (LOSSES) RECOGNIZED IN INCOME</w:t>
      </w:r>
    </w:p>
    <w:p>
      <w:pPr>
        <w:jc w:val="center"/>
        <w:ind w:left="8240"/>
        <w:spacing w:after="0" w:line="236" w:lineRule="auto"/>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March 31, 2011</w:t>
            </w:r>
          </w:p>
        </w:tc>
        <w:tc>
          <w:tcPr>
            <w:tcW w:w="4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March 31, 2010</w:t>
            </w:r>
          </w:p>
        </w:tc>
        <w:tc>
          <w:tcPr>
            <w:tcW w:w="100" w:type="dxa"/>
            <w:vAlign w:val="bottom"/>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Line item in statement of income:</w:t>
            </w:r>
          </w:p>
        </w:tc>
        <w:tc>
          <w:tcPr>
            <w:tcW w:w="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Revenue</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(443)</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(763)</w:t>
            </w: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822</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w:t>
            </w: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95</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Interest and other income (expense), net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(6,877)</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1,820</w:t>
            </w: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(137)</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w:t>
            </w: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(6,483)</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0" w:firstLine="222"/>
        <w:spacing w:after="0" w:line="308" w:lineRule="auto"/>
        <w:rPr>
          <w:sz w:val="20"/>
          <w:szCs w:val="20"/>
          <w:color w:val="auto"/>
        </w:rPr>
      </w:pPr>
      <w:r>
        <w:rPr>
          <w:rFonts w:ascii="Arial" w:cs="Arial" w:eastAsia="Arial" w:hAnsi="Arial"/>
          <w:sz w:val="17"/>
          <w:szCs w:val="17"/>
          <w:color w:val="auto"/>
        </w:rPr>
        <w:t>The effect of the Company’s non-designated as hedging instruments in the consolidated statement of income for the six months ended March 31, 2011 and 2010, respectively, which partially offset the foreign currency impact from the underlying exposure, is summarized as follows:</w:t>
      </w:r>
    </w:p>
    <w:p>
      <w:pPr>
        <w:spacing w:after="0" w:line="138" w:lineRule="exact"/>
        <w:rPr>
          <w:sz w:val="20"/>
          <w:szCs w:val="20"/>
          <w:color w:val="auto"/>
        </w:rPr>
      </w:pPr>
    </w:p>
    <w:p>
      <w:pPr>
        <w:jc w:val="center"/>
        <w:ind w:left="8280"/>
        <w:spacing w:after="0"/>
        <w:rPr>
          <w:sz w:val="20"/>
          <w:szCs w:val="20"/>
          <w:color w:val="auto"/>
        </w:rPr>
      </w:pPr>
      <w:r>
        <w:rPr>
          <w:rFonts w:ascii="Arial" w:cs="Arial" w:eastAsia="Arial" w:hAnsi="Arial"/>
          <w:sz w:val="14"/>
          <w:szCs w:val="14"/>
          <w:b w:val="1"/>
          <w:bCs w:val="1"/>
          <w:color w:val="auto"/>
        </w:rPr>
        <w:t>GAINS (LOSSES) RECOGNIZED IN INCOME</w:t>
      </w:r>
    </w:p>
    <w:p>
      <w:pPr>
        <w:jc w:val="center"/>
        <w:ind w:left="8240"/>
        <w:spacing w:after="0" w:line="236" w:lineRule="auto"/>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560" w:type="dxa"/>
            <w:vAlign w:val="bottom"/>
            <w:tcBorders>
              <w:top w:val="single" w:sz="8" w:color="auto"/>
            </w:tcBorders>
            <w:gridSpan w:val="7"/>
          </w:tcPr>
          <w:p>
            <w:pPr>
              <w:ind w:left="20"/>
              <w:spacing w:after="0" w:line="142" w:lineRule="exact"/>
              <w:rPr>
                <w:sz w:val="20"/>
                <w:szCs w:val="20"/>
                <w:color w:val="auto"/>
              </w:rPr>
            </w:pPr>
            <w:r>
              <w:rPr>
                <w:rFonts w:ascii="Arial" w:cs="Arial" w:eastAsia="Arial" w:hAnsi="Arial"/>
                <w:sz w:val="14"/>
                <w:szCs w:val="14"/>
                <w:b w:val="1"/>
                <w:bCs w:val="1"/>
                <w:color w:val="auto"/>
              </w:rPr>
              <w:t>March 31, 2011</w:t>
            </w:r>
          </w:p>
        </w:tc>
        <w:tc>
          <w:tcPr>
            <w:tcW w:w="4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6"/>
              </w:rPr>
              <w:t>March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Line item in statement of income:</w:t>
            </w:r>
          </w:p>
        </w:tc>
        <w:tc>
          <w:tcPr>
            <w:tcW w:w="23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Arial" w:cs="Arial" w:eastAsia="Arial" w:hAnsi="Arial"/>
                <w:sz w:val="18"/>
                <w:szCs w:val="18"/>
                <w:color w:val="auto"/>
              </w:rPr>
              <w:t>Revenue</w:t>
            </w:r>
          </w:p>
        </w:tc>
        <w:tc>
          <w:tcPr>
            <w:tcW w:w="266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340"/>
              <w:spacing w:after="0"/>
              <w:rPr>
                <w:sz w:val="20"/>
                <w:szCs w:val="20"/>
                <w:color w:val="auto"/>
              </w:rPr>
            </w:pPr>
            <w:r>
              <w:rPr>
                <w:rFonts w:ascii="Arial" w:cs="Arial" w:eastAsia="Arial" w:hAnsi="Arial"/>
                <w:sz w:val="18"/>
                <w:szCs w:val="18"/>
                <w:color w:val="auto"/>
              </w:rPr>
              <w:t>(1,747)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2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2,897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4"/>
          </w:tcPr>
          <w:p>
            <w:pPr>
              <w:jc w:val="right"/>
              <w:ind w:right="400"/>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494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Arial" w:cs="Arial" w:eastAsia="Arial" w:hAnsi="Arial"/>
                <w:sz w:val="18"/>
                <w:szCs w:val="18"/>
                <w:color w:val="auto"/>
              </w:rPr>
              <w:t>Interest and other income (expense), net</w:t>
            </w:r>
          </w:p>
        </w:tc>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4"/>
          </w:tcPr>
          <w:p>
            <w:pPr>
              <w:jc w:val="right"/>
              <w:ind w:right="340"/>
              <w:spacing w:after="0"/>
              <w:rPr>
                <w:sz w:val="20"/>
                <w:szCs w:val="20"/>
                <w:color w:val="auto"/>
              </w:rPr>
            </w:pPr>
            <w:r>
              <w:rPr>
                <w:rFonts w:ascii="Arial" w:cs="Arial" w:eastAsia="Arial" w:hAnsi="Arial"/>
                <w:sz w:val="18"/>
                <w:szCs w:val="18"/>
                <w:color w:val="auto"/>
              </w:rPr>
              <w:t>(7,519)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2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(402)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Total</w:t>
            </w:r>
          </w:p>
        </w:tc>
        <w:tc>
          <w:tcPr>
            <w:tcW w:w="23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(5,748)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b w:val="1"/>
                <w:bCs w:val="1"/>
                <w:color w:val="auto"/>
              </w:rPr>
              <w:t>7. Accounts Receivable, Net</w:t>
            </w:r>
          </w:p>
        </w:tc>
        <w:tc>
          <w:tcPr>
            <w:tcW w:w="2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0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0" w:type="dxa"/>
            <w:vAlign w:val="bottom"/>
          </w:tcPr>
          <w:p>
            <w:pPr>
              <w:spacing w:after="0"/>
              <w:rPr>
                <w:sz w:val="20"/>
                <w:szCs w:val="20"/>
                <w:color w:val="auto"/>
              </w:rPr>
            </w:pPr>
            <w:r>
              <w:rPr>
                <w:rFonts w:ascii="Arial" w:cs="Arial" w:eastAsia="Arial" w:hAnsi="Arial"/>
                <w:sz w:val="18"/>
                <w:szCs w:val="18"/>
                <w:color w:val="auto"/>
              </w:rPr>
              <w:t>Accounts receivable, net consists of the following:</w:t>
            </w:r>
          </w:p>
        </w:tc>
        <w:tc>
          <w:tcPr>
            <w:tcW w:w="2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0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0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tcPr>
          <w:p>
            <w:pPr>
              <w:jc w:val="right"/>
              <w:ind w:right="220"/>
              <w:spacing w:after="0" w:line="119" w:lineRule="exact"/>
              <w:rPr>
                <w:sz w:val="20"/>
                <w:szCs w:val="20"/>
                <w:color w:val="auto"/>
              </w:rPr>
            </w:pPr>
            <w:r>
              <w:rPr>
                <w:rFonts w:ascii="Arial" w:cs="Arial" w:eastAsia="Arial" w:hAnsi="Arial"/>
                <w:sz w:val="13"/>
                <w:szCs w:val="13"/>
                <w:b w:val="1"/>
                <w:bCs w:val="1"/>
                <w:color w:val="auto"/>
              </w:rPr>
              <w:t>March 31,</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6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2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$ 512,716</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529,182</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5"/>
          </w:tcPr>
          <w:p>
            <w:pPr>
              <w:jc w:val="right"/>
              <w:ind w:right="20"/>
              <w:spacing w:after="0"/>
              <w:rPr>
                <w:sz w:val="20"/>
                <w:szCs w:val="20"/>
                <w:color w:val="auto"/>
              </w:rPr>
            </w:pPr>
            <w:r>
              <w:rPr>
                <w:rFonts w:ascii="Arial" w:cs="Arial" w:eastAsia="Arial" w:hAnsi="Arial"/>
                <w:sz w:val="18"/>
                <w:szCs w:val="18"/>
                <w:color w:val="auto"/>
              </w:rPr>
              <w:t>73,278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62,246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2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(16,717)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(11,428)</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2"/>
              </w:rPr>
              <w:t>$ 569,277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w:t>
      </w:r>
    </w:p>
    <w:p>
      <w:pPr>
        <w:spacing w:after="0" w:line="121" w:lineRule="exact"/>
        <w:rPr>
          <w:sz w:val="20"/>
          <w:szCs w:val="20"/>
          <w:color w:val="auto"/>
        </w:rPr>
      </w:pPr>
    </w:p>
    <w:p>
      <w:pPr>
        <w:ind w:right="760" w:firstLine="225"/>
        <w:spacing w:after="0" w:line="342" w:lineRule="auto"/>
        <w:rPr>
          <w:sz w:val="20"/>
          <w:szCs w:val="20"/>
          <w:color w:val="auto"/>
        </w:rPr>
      </w:pPr>
      <w:r>
        <w:rPr>
          <w:rFonts w:ascii="Arial" w:cs="Arial" w:eastAsia="Arial" w:hAnsi="Arial"/>
          <w:sz w:val="16"/>
          <w:szCs w:val="16"/>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reconciliation from net income to comprehensive income for the following periods: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94,110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68,550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$ 167,501</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$ 156,903</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4"/>
              </w:rPr>
              <w:t>Unrealized gain (loss) on foreign currency hedging contracts, net of tax</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(762)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(7,956)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w w:val="97"/>
              </w:rPr>
              <w:t>Unrealized gain on short-term interest-bearing investments, net of tax</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2,170</w:t>
            </w: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defined benefit plan, net of tax</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96,890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69,958</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$ 172,795</w:t>
            </w:r>
          </w:p>
        </w:tc>
        <w:tc>
          <w:tcPr>
            <w:tcW w:w="6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$ 151,446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160" w:type="dxa"/>
            <w:vAlign w:val="bottom"/>
            <w:vMerge w:val="restart"/>
          </w:tcPr>
          <w:p>
            <w:pPr>
              <w:jc w:val="right"/>
              <w:ind w:right="65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3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3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provision for income taxes for the following periods consisted of:</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3"/>
          </w:tcPr>
          <w:p>
            <w:pPr>
              <w:jc w:val="center"/>
              <w:ind w:left="297"/>
              <w:spacing w:after="0"/>
              <w:rPr>
                <w:sz w:val="20"/>
                <w:szCs w:val="20"/>
                <w:color w:val="auto"/>
              </w:rPr>
            </w:pPr>
            <w:r>
              <w:rPr>
                <w:rFonts w:ascii="Arial" w:cs="Arial" w:eastAsia="Arial" w:hAnsi="Arial"/>
                <w:sz w:val="14"/>
                <w:szCs w:val="14"/>
                <w:b w:val="1"/>
                <w:bCs w:val="1"/>
                <w:color w:val="auto"/>
                <w:w w:val="92"/>
              </w:rPr>
              <w:t>Three months</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jc w:val="center"/>
              <w:ind w:left="317"/>
              <w:spacing w:after="0"/>
              <w:rPr>
                <w:sz w:val="20"/>
                <w:szCs w:val="20"/>
                <w:color w:val="auto"/>
              </w:rPr>
            </w:pPr>
            <w:r>
              <w:rPr>
                <w:rFonts w:ascii="Arial" w:cs="Arial" w:eastAsia="Arial" w:hAnsi="Arial"/>
                <w:sz w:val="14"/>
                <w:szCs w:val="14"/>
                <w:b w:val="1"/>
                <w:bCs w:val="1"/>
                <w:color w:val="auto"/>
                <w:w w:val="90"/>
              </w:rPr>
              <w:t>Six months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ended</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ended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9"/>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2011</w:t>
            </w:r>
          </w:p>
        </w:tc>
        <w:tc>
          <w:tcPr>
            <w:tcW w:w="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10,815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Deferred</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5,853</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3,616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w w:val="90"/>
              </w:rPr>
              <w:t>12,756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12,495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11,816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23,571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Six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4"/>
                <w:szCs w:val="14"/>
                <w:b w:val="1"/>
                <w:bCs w:val="1"/>
                <w:color w:val="auto"/>
              </w:rPr>
              <w:t>March 31,</w:t>
            </w:r>
          </w:p>
        </w:tc>
        <w:tc>
          <w:tcPr>
            <w:tcW w:w="5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740" w:type="dxa"/>
            <w:vAlign w:val="bottom"/>
            <w:tcBorders>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Borders>
              <w:bottom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2"/>
                <w:szCs w:val="12"/>
                <w:color w:val="auto"/>
              </w:rPr>
            </w:pPr>
          </w:p>
        </w:tc>
        <w:tc>
          <w:tcPr>
            <w:tcW w:w="860" w:type="dxa"/>
            <w:vAlign w:val="bottom"/>
            <w:tcBorders>
              <w:bottom w:val="single" w:sz="8" w:color="auto"/>
            </w:tcBorders>
            <w:gridSpan w:val="3"/>
          </w:tcPr>
          <w:p>
            <w:pPr>
              <w:jc w:val="right"/>
              <w:ind w:right="208"/>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96"/>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15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400" w:type="dxa"/>
            <w:vAlign w:val="bottom"/>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Foreign taxes</w:t>
            </w:r>
          </w:p>
        </w:tc>
        <w:tc>
          <w:tcPr>
            <w:tcW w:w="3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12</w:t>
            </w:r>
          </w:p>
        </w:tc>
        <w:tc>
          <w:tcPr>
            <w:tcW w:w="1560" w:type="dxa"/>
            <w:vAlign w:val="bottom"/>
            <w:gridSpan w:val="5"/>
          </w:tcPr>
          <w:p>
            <w:pPr>
              <w:jc w:val="right"/>
              <w:ind w:right="340"/>
              <w:spacing w:after="0"/>
              <w:rPr>
                <w:sz w:val="20"/>
                <w:szCs w:val="20"/>
                <w:color w:val="auto"/>
              </w:rPr>
            </w:pPr>
            <w:r>
              <w:rPr>
                <w:rFonts w:ascii="Arial" w:cs="Arial" w:eastAsia="Arial" w:hAnsi="Arial"/>
                <w:sz w:val="18"/>
                <w:szCs w:val="18"/>
                <w:color w:val="auto"/>
              </w:rPr>
              <w:t>15</w:t>
            </w:r>
          </w:p>
        </w:tc>
        <w:tc>
          <w:tcPr>
            <w:tcW w:w="1400" w:type="dxa"/>
            <w:vAlign w:val="bottom"/>
            <w:gridSpan w:val="4"/>
          </w:tcPr>
          <w:p>
            <w:pPr>
              <w:jc w:val="right"/>
              <w:ind w:right="248"/>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w:t>
            </w:r>
          </w:p>
        </w:tc>
        <w:tc>
          <w:tcPr>
            <w:tcW w:w="15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400" w:type="dxa"/>
            <w:vAlign w:val="bottom"/>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a Guernsey company subject to a corporate tax rate of zero percent, the Company’s overall effective tax rate is attributable to foreign taxes.</w:t>
      </w:r>
    </w:p>
    <w:p>
      <w:pPr>
        <w:spacing w:after="0" w:line="129" w:lineRule="exact"/>
        <w:rPr>
          <w:sz w:val="20"/>
          <w:szCs w:val="20"/>
          <w:color w:val="auto"/>
        </w:rPr>
      </w:pPr>
    </w:p>
    <w:p>
      <w:pPr>
        <w:ind w:right="500" w:firstLine="215"/>
        <w:spacing w:after="0" w:line="264" w:lineRule="auto"/>
        <w:rPr>
          <w:sz w:val="20"/>
          <w:szCs w:val="20"/>
          <w:color w:val="auto"/>
        </w:rPr>
      </w:pPr>
      <w:r>
        <w:rPr>
          <w:rFonts w:ascii="Arial" w:cs="Arial" w:eastAsia="Arial" w:hAnsi="Arial"/>
          <w:sz w:val="18"/>
          <w:szCs w:val="18"/>
          <w:color w:val="auto"/>
        </w:rPr>
        <w:t>As of March 31, 2011, deferred tax assets of $110,806, derived primarily from net capital and operating loss carry forwards related to some of the Company’s subsidiaries, were offset by valuation allowances related to the uncertainty of realizing tax benefit for such losses. Releases of the valuation allowances will be recognized through earnings.</w:t>
      </w:r>
    </w:p>
    <w:p>
      <w:pPr>
        <w:spacing w:after="0" w:line="73"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$124,053 as of March 31, 2011, all of which would affect the effective tax rate if realized.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March 31, 2011, the Company has accrued $15,633 in income taxes payable for interest and penalties relating to unrecognized tax benefits.</w:t>
      </w:r>
    </w:p>
    <w:p>
      <w:pPr>
        <w:spacing w:after="0" w:line="129" w:lineRule="exact"/>
        <w:rPr>
          <w:sz w:val="20"/>
          <w:szCs w:val="20"/>
          <w:color w:val="auto"/>
        </w:rPr>
      </w:pPr>
    </w:p>
    <w:p>
      <w:pPr>
        <w:ind w:right="300" w:firstLine="222"/>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2005 and onwards. Timing of the resolution of audits is highly uncertain and therefore the Company generally cannot estimate the change in unrecognized tax benefits resulting from these audits within the next 12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Numerator for basic and diluted earnings per share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94,110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68,550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167,501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156,903</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60" w:type="dxa"/>
            <w:vAlign w:val="bottom"/>
          </w:tcPr>
          <w:p>
            <w:pPr>
              <w:ind w:left="220"/>
              <w:spacing w:after="0" w:line="201" w:lineRule="exact"/>
              <w:rPr>
                <w:sz w:val="20"/>
                <w:szCs w:val="20"/>
                <w:color w:val="auto"/>
              </w:rPr>
            </w:pPr>
            <w:r>
              <w:rPr>
                <w:rFonts w:ascii="Arial" w:cs="Arial" w:eastAsia="Arial" w:hAnsi="Arial"/>
                <w:sz w:val="18"/>
                <w:szCs w:val="18"/>
                <w:color w:val="auto"/>
                <w:w w:val="90"/>
              </w:rPr>
              <w:t>Denominator for basic earnings per share — weighted average number of</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420"/>
              <w:spacing w:after="0"/>
              <w:rPr>
                <w:sz w:val="20"/>
                <w:szCs w:val="20"/>
                <w:color w:val="auto"/>
              </w:rPr>
            </w:pPr>
            <w:r>
              <w:rPr>
                <w:rFonts w:ascii="Arial" w:cs="Arial" w:eastAsia="Arial" w:hAnsi="Arial"/>
                <w:sz w:val="18"/>
                <w:szCs w:val="18"/>
                <w:color w:val="auto"/>
              </w:rPr>
              <w:t>shares outstanding</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187,788</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206,025</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189,713</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205,724</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assumed conversion of 0.50% convertible notes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5560" w:type="dxa"/>
            <w:vAlign w:val="bottom"/>
          </w:tcPr>
          <w:p>
            <w:pPr>
              <w:ind w:left="220"/>
              <w:spacing w:after="0"/>
              <w:rPr>
                <w:sz w:val="20"/>
                <w:szCs w:val="20"/>
                <w:color w:val="auto"/>
              </w:rPr>
            </w:pPr>
            <w:r>
              <w:rPr>
                <w:rFonts w:ascii="Arial" w:cs="Arial" w:eastAsia="Arial" w:hAnsi="Arial"/>
                <w:sz w:val="18"/>
                <w:szCs w:val="18"/>
                <w:color w:val="auto"/>
              </w:rPr>
              <w:t>Effect of dilutive stock options granted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1,420</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1,383</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02"/>
        </w:trPr>
        <w:tc>
          <w:tcPr>
            <w:tcW w:w="55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Denominator for diluted earnings per share — adjusted weighted average</w:t>
            </w:r>
          </w:p>
        </w:tc>
        <w:tc>
          <w:tcPr>
            <w:tcW w:w="9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and assumed conversions</w:t>
            </w:r>
          </w:p>
        </w:tc>
        <w:tc>
          <w:tcPr>
            <w:tcW w:w="9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189,232</w:t>
            </w: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207,691</w:t>
            </w:r>
          </w:p>
        </w:tc>
        <w:tc>
          <w:tcPr>
            <w:tcW w:w="6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191,120</w:t>
            </w:r>
          </w:p>
        </w:tc>
        <w:tc>
          <w:tcPr>
            <w:tcW w:w="6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207,174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ind w:left="220"/>
              <w:spacing w:after="0"/>
              <w:rPr>
                <w:sz w:val="20"/>
                <w:szCs w:val="20"/>
                <w:color w:val="auto"/>
              </w:rPr>
            </w:pPr>
            <w:r>
              <w:rPr>
                <w:rFonts w:ascii="Arial" w:cs="Arial" w:eastAsia="Arial" w:hAnsi="Arial"/>
                <w:sz w:val="18"/>
                <w:szCs w:val="18"/>
                <w:color w:val="auto"/>
              </w:rPr>
              <w:t>Basic earnings per share</w:t>
            </w:r>
          </w:p>
        </w:tc>
        <w:tc>
          <w:tcPr>
            <w:tcW w:w="10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6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earnings per share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920" w:type="dxa"/>
            <w:vAlign w:val="bottom"/>
            <w:vMerge w:val="restart"/>
          </w:tcPr>
          <w:p>
            <w:pPr>
              <w:jc w:val="right"/>
              <w:ind w:right="59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56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5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For the three and six months ended March 31, 2011, 15,753 and 15,415 shares, respectively, were attributable to antidilutive outstanding stock options. For the three and six months ended March 31, 2010, 16,304 and 16,629 shares, respectively, were attributable to antidilutive outstanding stock options. Shares attributable to antidilutive outstanding stock options were not included in the calculation of diluted earnings per share.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Repurchase of Securities</w:t>
      </w:r>
    </w:p>
    <w:p>
      <w:pPr>
        <w:spacing w:after="0" w:line="121"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In April 2010, the Company’s board of directors adopted a share repurchase plan authorizing the repurchase of up to $700,000 of the Company’s outstanding ordinary shares over the following 12 months. The authorization permitted the Company to purchase its ordinary shares in open market or privately negotiated transactions at times and prices that it considered appropriate. In the six months ended March 31, 2011, the Company repurchased approximately 9,698 ordinary shares at an average price of $28.30 per share (excluding broker and transaction fees). As of March 31, 2011, the Company had remaining authority to repurchase up to $36,503 of its outstanding ordinary shares under this plan.</w:t>
      </w:r>
    </w:p>
    <w:p>
      <w:pPr>
        <w:spacing w:after="0" w:line="64"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 February 2011, the Company’s board of directors adopted a share repurchase plan authorizing the repurchase of up to $1,000,000 of the Company’s outstanding ordinary shares over the following 24 months. The authorization permits the Company to purchase its ordinary shares in open market or privately negotiated transactions at times and prices that it considers appropriate.</w:t>
      </w:r>
    </w:p>
    <w:p>
      <w:pPr>
        <w:spacing w:after="0" w:line="73" w:lineRule="exact"/>
        <w:rPr>
          <w:sz w:val="20"/>
          <w:szCs w:val="20"/>
          <w:color w:val="auto"/>
        </w:rPr>
      </w:pPr>
    </w:p>
    <w:p>
      <w:pPr>
        <w:ind w:right="700" w:firstLine="225"/>
        <w:spacing w:after="0" w:line="277" w:lineRule="auto"/>
        <w:rPr>
          <w:sz w:val="20"/>
          <w:szCs w:val="20"/>
          <w:color w:val="auto"/>
        </w:rPr>
      </w:pPr>
      <w:r>
        <w:rPr>
          <w:rFonts w:ascii="Arial" w:cs="Arial" w:eastAsia="Arial" w:hAnsi="Arial"/>
          <w:sz w:val="18"/>
          <w:szCs w:val="18"/>
          <w:color w:val="auto"/>
        </w:rPr>
        <w:t>Subsequent to March 31, 2011, the Company completed the repurchase of the remaining authorized amount under the April 2010 plan and started executing repurchases under the new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November 2007, the Company entered into an unsecured $500,000 five-year revolving credit facility with a syndicate of banks, which is available for general corporate purposes, including acquisitions and repurchases of ordinary shares that the Company may consider from time to time. The interest rate for borrowings under the revolving credit facility is chosen at the Company’s option from several pre-defined alternatives, depends on the circumstances of any advance and is based on the Company’s credit ratings. In September 2010, the Company borrowed an aggregate of $200,000 under the facility and repaid it in October 2010. As of March 31, 2011, the Company was in compliance with the financial covenants under the revolving credit facility and had no outstanding borrowings under this facility.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and Incentive Plan</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The maximum number of ordinary shares authorized to be granted under the Plan is 55,300. Awards granted under the Plan generally vest over a period of four years and stock options have a term of ten years.</w:t>
      </w:r>
    </w:p>
    <w:p>
      <w:pPr>
        <w:spacing w:after="0" w:line="81" w:lineRule="exact"/>
        <w:rPr>
          <w:sz w:val="20"/>
          <w:szCs w:val="20"/>
          <w:color w:val="auto"/>
        </w:rPr>
      </w:pPr>
    </w:p>
    <w:p>
      <w:pPr>
        <w:ind w:right="320" w:firstLine="222"/>
        <w:spacing w:after="0" w:line="282"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six-month period ended March 31, 2011: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1"/>
              </w:rPr>
              <w:t>Weighted</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Options</w:t>
            </w:r>
          </w:p>
        </w:tc>
        <w:tc>
          <w:tcPr>
            <w:tcW w:w="38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Price</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October 1, 2010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22,198</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29.50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3,725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27.90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(1,710)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20.51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(1,509)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40.79</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29.16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March 31, 2011</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14,625</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w:t>
            </w:r>
          </w:p>
        </w:tc>
        <w:tc>
          <w:tcPr>
            <w:tcW w:w="6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summarizes information relating to awards of restricted shares, as well as changes to such awards during the six-month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3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October 1, 2010</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726</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March 31, 2011</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0" w:firstLine="215"/>
        <w:spacing w:after="0" w:line="264" w:lineRule="auto"/>
        <w:rPr>
          <w:sz w:val="20"/>
          <w:szCs w:val="20"/>
          <w:color w:val="auto"/>
        </w:rPr>
      </w:pPr>
      <w:r>
        <w:rPr>
          <w:rFonts w:ascii="Arial" w:cs="Arial" w:eastAsia="Arial" w:hAnsi="Arial"/>
          <w:sz w:val="18"/>
          <w:szCs w:val="18"/>
          <w:color w:val="auto"/>
        </w:rPr>
        <w:t>As of March 31, 2011, there was $53,761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at their fair values.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Employee equity-based compensation pre-tax expense for the three and six months ended March 31, 2011 and 2010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7"/>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4"/>
                <w:szCs w:val="14"/>
                <w:color w:val="auto"/>
              </w:rPr>
            </w:pPr>
          </w:p>
        </w:tc>
        <w:tc>
          <w:tcPr>
            <w:tcW w:w="2020" w:type="dxa"/>
            <w:vAlign w:val="bottom"/>
            <w:gridSpan w:val="6"/>
          </w:tcPr>
          <w:p>
            <w:pPr>
              <w:ind w:left="20"/>
              <w:spacing w:after="0"/>
              <w:rPr>
                <w:sz w:val="20"/>
                <w:szCs w:val="20"/>
                <w:color w:val="auto"/>
              </w:rPr>
            </w:pPr>
            <w:r>
              <w:rPr>
                <w:rFonts w:ascii="Arial" w:cs="Arial" w:eastAsia="Arial" w:hAnsi="Arial"/>
                <w:sz w:val="14"/>
                <w:szCs w:val="14"/>
                <w:b w:val="1"/>
                <w:bCs w:val="1"/>
                <w:color w:val="auto"/>
              </w:rPr>
              <w:t>Six months ended March 31,</w:t>
            </w: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6,140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9,752</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1,166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2,137</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4,747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10,850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9,682</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10,718</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18,156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21,571</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total income tax (expense) benefit recognized in the income statement for stock-based compensation (including restricted shares) for the three months ended March 31, 2011 and 2010 was $(103) and $268, respectively, and for the six months ended March 31, 2011 and 2010 was $1,002 and $1,451, respectively.</w:t>
      </w:r>
    </w:p>
    <w:p>
      <w:pPr>
        <w:spacing w:after="0" w:line="73" w:lineRule="exact"/>
        <w:rPr>
          <w:sz w:val="20"/>
          <w:szCs w:val="20"/>
          <w:color w:val="auto"/>
        </w:rPr>
      </w:pPr>
    </w:p>
    <w:p>
      <w:pPr>
        <w:ind w:right="160" w:firstLine="222"/>
        <w:spacing w:after="0" w:line="308" w:lineRule="auto"/>
        <w:rPr>
          <w:sz w:val="20"/>
          <w:szCs w:val="20"/>
          <w:color w:val="auto"/>
        </w:rPr>
      </w:pPr>
      <w:r>
        <w:rPr>
          <w:rFonts w:ascii="Arial" w:cs="Arial" w:eastAsia="Arial" w:hAnsi="Arial"/>
          <w:sz w:val="17"/>
          <w:szCs w:val="17"/>
          <w:color w:val="auto"/>
        </w:rPr>
        <w:t>The Company selected the Black-Scholes option pricing model as the most appropriate fair value method for its equity-based awards. The Black-Scholes option pricing model assumptions used are noted in the following table (all in weighted averages for options granted during the period):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60" w:type="dxa"/>
            <w:vAlign w:val="bottom"/>
            <w:gridSpan w:val="3"/>
          </w:tcPr>
          <w:p>
            <w:pPr>
              <w:jc w:val="center"/>
              <w:ind w:right="719"/>
              <w:spacing w:after="0"/>
              <w:rPr>
                <w:sz w:val="20"/>
                <w:szCs w:val="20"/>
                <w:color w:val="auto"/>
              </w:rPr>
            </w:pPr>
            <w:r>
              <w:rPr>
                <w:rFonts w:ascii="Arial" w:cs="Arial" w:eastAsia="Arial" w:hAnsi="Arial"/>
                <w:sz w:val="14"/>
                <w:szCs w:val="14"/>
                <w:b w:val="1"/>
                <w:bCs w:val="1"/>
                <w:color w:val="auto"/>
                <w:w w:val="92"/>
              </w:rPr>
              <w:t>Three months</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gridSpan w:val="3"/>
          </w:tcPr>
          <w:p>
            <w:pPr>
              <w:jc w:val="center"/>
              <w:ind w:right="779"/>
              <w:spacing w:after="0"/>
              <w:rPr>
                <w:sz w:val="20"/>
                <w:szCs w:val="20"/>
                <w:color w:val="auto"/>
              </w:rPr>
            </w:pPr>
            <w:r>
              <w:rPr>
                <w:rFonts w:ascii="Arial" w:cs="Arial" w:eastAsia="Arial" w:hAnsi="Arial"/>
                <w:sz w:val="14"/>
                <w:szCs w:val="14"/>
                <w:b w:val="1"/>
                <w:bCs w:val="1"/>
                <w:color w:val="auto"/>
                <w:w w:val="90"/>
              </w:rPr>
              <w:t>Six months</w:t>
            </w:r>
          </w:p>
        </w:tc>
      </w:tr>
      <w:tr>
        <w:trPr>
          <w:trHeight w:val="149"/>
        </w:trPr>
        <w:tc>
          <w:tcPr>
            <w:tcW w:w="5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879"/>
              <w:spacing w:after="0" w:line="149" w:lineRule="exact"/>
              <w:rPr>
                <w:sz w:val="20"/>
                <w:szCs w:val="20"/>
                <w:color w:val="auto"/>
              </w:rPr>
            </w:pPr>
            <w:r>
              <w:rPr>
                <w:rFonts w:ascii="Arial" w:cs="Arial" w:eastAsia="Arial" w:hAnsi="Arial"/>
                <w:sz w:val="14"/>
                <w:szCs w:val="14"/>
                <w:b w:val="1"/>
                <w:bCs w:val="1"/>
                <w:color w:val="auto"/>
                <w:w w:val="92"/>
              </w:rPr>
              <w:t>ended</w:t>
            </w: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899"/>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71"/>
        </w:trPr>
        <w:tc>
          <w:tcPr>
            <w:tcW w:w="59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719"/>
              <w:spacing w:after="0"/>
              <w:rPr>
                <w:sz w:val="20"/>
                <w:szCs w:val="20"/>
                <w:color w:val="auto"/>
              </w:rPr>
            </w:pPr>
            <w:r>
              <w:rPr>
                <w:rFonts w:ascii="Arial" w:cs="Arial" w:eastAsia="Arial" w:hAnsi="Arial"/>
                <w:sz w:val="14"/>
                <w:szCs w:val="14"/>
                <w:b w:val="1"/>
                <w:bCs w:val="1"/>
                <w:color w:val="auto"/>
                <w:w w:val="95"/>
              </w:rPr>
              <w:t>March 31,</w:t>
            </w:r>
          </w:p>
        </w:tc>
        <w:tc>
          <w:tcPr>
            <w:tcW w:w="5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779"/>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5960" w:type="dxa"/>
            <w:vAlign w:val="bottom"/>
          </w:tcPr>
          <w:p>
            <w:pPr>
              <w:spacing w:after="0"/>
              <w:rPr>
                <w:sz w:val="12"/>
                <w:szCs w:val="12"/>
                <w:color w:val="auto"/>
              </w:rPr>
            </w:pPr>
          </w:p>
        </w:tc>
        <w:tc>
          <w:tcPr>
            <w:tcW w:w="8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8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2010</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6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2.09%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2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2.00%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Expected life of stock options (2)</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4.50</w:t>
            </w:r>
          </w:p>
        </w:tc>
        <w:tc>
          <w:tcPr>
            <w:tcW w:w="1660" w:type="dxa"/>
            <w:vAlign w:val="bottom"/>
            <w:gridSpan w:val="3"/>
          </w:tcPr>
          <w:p>
            <w:pPr>
              <w:jc w:val="right"/>
              <w:ind w:right="239"/>
              <w:spacing w:after="0"/>
              <w:rPr>
                <w:sz w:val="20"/>
                <w:szCs w:val="20"/>
                <w:color w:val="auto"/>
              </w:rPr>
            </w:pPr>
            <w:r>
              <w:rPr>
                <w:rFonts w:ascii="Arial" w:cs="Arial" w:eastAsia="Arial" w:hAnsi="Arial"/>
                <w:sz w:val="18"/>
                <w:szCs w:val="18"/>
                <w:color w:val="auto"/>
              </w:rPr>
              <w:t>4.41</w:t>
            </w:r>
          </w:p>
        </w:tc>
        <w:tc>
          <w:tcPr>
            <w:tcW w:w="1380" w:type="dxa"/>
            <w:vAlign w:val="bottom"/>
            <w:gridSpan w:val="2"/>
          </w:tcPr>
          <w:p>
            <w:pPr>
              <w:jc w:val="right"/>
              <w:ind w:right="119"/>
              <w:spacing w:after="0"/>
              <w:rPr>
                <w:sz w:val="20"/>
                <w:szCs w:val="20"/>
                <w:color w:val="auto"/>
              </w:rPr>
            </w:pPr>
            <w:r>
              <w:rPr>
                <w:rFonts w:ascii="Arial" w:cs="Arial" w:eastAsia="Arial" w:hAnsi="Arial"/>
                <w:sz w:val="18"/>
                <w:szCs w:val="18"/>
                <w:color w:val="auto"/>
              </w:rPr>
              <w:t>4.50</w:t>
            </w:r>
          </w:p>
        </w:tc>
        <w:tc>
          <w:tcPr>
            <w:tcW w:w="1620" w:type="dxa"/>
            <w:vAlign w:val="bottom"/>
            <w:gridSpan w:val="3"/>
          </w:tcPr>
          <w:p>
            <w:pPr>
              <w:jc w:val="right"/>
              <w:ind w:right="239"/>
              <w:spacing w:after="0"/>
              <w:rPr>
                <w:sz w:val="20"/>
                <w:szCs w:val="20"/>
                <w:color w:val="auto"/>
              </w:rPr>
            </w:pPr>
            <w:r>
              <w:rPr>
                <w:rFonts w:ascii="Arial" w:cs="Arial" w:eastAsia="Arial" w:hAnsi="Arial"/>
                <w:sz w:val="18"/>
                <w:szCs w:val="18"/>
                <w:color w:val="auto"/>
              </w:rPr>
              <w:t>4.31</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(3)</w:t>
            </w: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0.29</w:t>
            </w:r>
          </w:p>
        </w:tc>
        <w:tc>
          <w:tcPr>
            <w:tcW w:w="1660" w:type="dxa"/>
            <w:vAlign w:val="bottom"/>
            <w:gridSpan w:val="3"/>
            <w:shd w:val="clear" w:color="auto" w:fill="CCEEFF"/>
          </w:tcPr>
          <w:p>
            <w:pPr>
              <w:jc w:val="right"/>
              <w:ind w:right="239"/>
              <w:spacing w:after="0"/>
              <w:rPr>
                <w:sz w:val="20"/>
                <w:szCs w:val="20"/>
                <w:color w:val="auto"/>
              </w:rPr>
            </w:pPr>
            <w:r>
              <w:rPr>
                <w:rFonts w:ascii="Arial" w:cs="Arial" w:eastAsia="Arial" w:hAnsi="Arial"/>
                <w:sz w:val="18"/>
                <w:szCs w:val="18"/>
                <w:color w:val="auto"/>
              </w:rPr>
              <w:t>0.30</w:t>
            </w:r>
          </w:p>
        </w:tc>
        <w:tc>
          <w:tcPr>
            <w:tcW w:w="138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0.31</w:t>
            </w:r>
          </w:p>
        </w:tc>
        <w:tc>
          <w:tcPr>
            <w:tcW w:w="1620" w:type="dxa"/>
            <w:vAlign w:val="bottom"/>
            <w:gridSpan w:val="3"/>
            <w:shd w:val="clear" w:color="auto" w:fill="CCEEFF"/>
          </w:tcPr>
          <w:p>
            <w:pPr>
              <w:jc w:val="right"/>
              <w:ind w:right="239"/>
              <w:spacing w:after="0"/>
              <w:rPr>
                <w:sz w:val="20"/>
                <w:szCs w:val="20"/>
                <w:color w:val="auto"/>
              </w:rPr>
            </w:pPr>
            <w:r>
              <w:rPr>
                <w:rFonts w:ascii="Arial" w:cs="Arial" w:eastAsia="Arial" w:hAnsi="Arial"/>
                <w:sz w:val="18"/>
                <w:szCs w:val="18"/>
                <w:color w:val="auto"/>
              </w:rPr>
              <w:t>0.32</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Expected dividend yield (4)</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8"/>
                <w:szCs w:val="18"/>
                <w:color w:val="auto"/>
              </w:rPr>
              <w:t>None</w:t>
            </w:r>
          </w:p>
        </w:tc>
        <w:tc>
          <w:tcPr>
            <w:tcW w:w="52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8"/>
                <w:szCs w:val="18"/>
                <w:color w:val="auto"/>
              </w:rPr>
              <w:t>None</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$7.96</w:t>
            </w:r>
          </w:p>
        </w:tc>
        <w:tc>
          <w:tcPr>
            <w:tcW w:w="1660" w:type="dxa"/>
            <w:vAlign w:val="bottom"/>
            <w:gridSpan w:val="3"/>
            <w:shd w:val="clear" w:color="auto" w:fill="CCEEFF"/>
          </w:tcPr>
          <w:p>
            <w:pPr>
              <w:jc w:val="right"/>
              <w:ind w:right="239"/>
              <w:spacing w:after="0"/>
              <w:rPr>
                <w:sz w:val="20"/>
                <w:szCs w:val="20"/>
                <w:color w:val="auto"/>
              </w:rPr>
            </w:pPr>
            <w:r>
              <w:rPr>
                <w:rFonts w:ascii="Arial" w:cs="Arial" w:eastAsia="Arial" w:hAnsi="Arial"/>
                <w:sz w:val="18"/>
                <w:szCs w:val="18"/>
                <w:color w:val="auto"/>
              </w:rPr>
              <w:t>$7.76</w:t>
            </w:r>
          </w:p>
        </w:tc>
        <w:tc>
          <w:tcPr>
            <w:tcW w:w="138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$7.77</w:t>
            </w:r>
          </w:p>
        </w:tc>
        <w:tc>
          <w:tcPr>
            <w:tcW w:w="1620" w:type="dxa"/>
            <w:vAlign w:val="bottom"/>
            <w:gridSpan w:val="3"/>
            <w:shd w:val="clear" w:color="auto" w:fill="CCEEFF"/>
          </w:tcPr>
          <w:p>
            <w:pPr>
              <w:jc w:val="right"/>
              <w:ind w:right="239"/>
              <w:spacing w:after="0"/>
              <w:rPr>
                <w:sz w:val="20"/>
                <w:szCs w:val="20"/>
                <w:color w:val="auto"/>
              </w:rPr>
            </w:pPr>
            <w:r>
              <w:rPr>
                <w:rFonts w:ascii="Arial" w:cs="Arial" w:eastAsia="Arial" w:hAnsi="Arial"/>
                <w:sz w:val="18"/>
                <w:szCs w:val="18"/>
                <w:color w:val="auto"/>
              </w:rPr>
              <w:t>$7.62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w:t>
      </w:r>
      <w:r>
        <w:rPr>
          <w:rFonts w:ascii="Arial" w:cs="Arial" w:eastAsia="Arial" w:hAnsi="Arial"/>
          <w:sz w:val="18"/>
          <w:szCs w:val="18"/>
          <w:b w:val="1"/>
          <w:bCs w:val="1"/>
          <w:color w:val="auto"/>
        </w:rPr>
        <w:t>‘</w:t>
      </w:r>
      <w:r>
        <w:rPr>
          <w:rFonts w:ascii="Arial" w:cs="Arial" w:eastAsia="Arial" w:hAnsi="Arial"/>
          <w:sz w:val="18"/>
          <w:szCs w:val="18"/>
          <w:color w:val="auto"/>
        </w:rPr>
        <w:t>s employee stock options.</w:t>
      </w:r>
    </w:p>
    <w:p>
      <w:pPr>
        <w:spacing w:after="0" w:line="8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76"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volatility is based on a combination of implied volatility of the Company’s traded options and historical stock price volatility (“blended volatility”).</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Equity-based compensation recognized is reduced for estimated forfeitures and revised, if necessary, in subsequent periods if actual forfeitures differ from those estimates.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73"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Company generally offers its products with a limited warranty for a period of 90 days.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the six months ended March 31, 2011 and 2010.</w:t>
      </w:r>
    </w:p>
    <w:p>
      <w:pPr>
        <w:spacing w:after="0" w:line="79" w:lineRule="exact"/>
        <w:rPr>
          <w:sz w:val="20"/>
          <w:szCs w:val="20"/>
          <w:color w:val="auto"/>
        </w:rPr>
      </w:pPr>
    </w:p>
    <w:p>
      <w:pPr>
        <w:ind w:right="320" w:firstLine="222"/>
        <w:spacing w:after="0" w:line="264" w:lineRule="auto"/>
        <w:rPr>
          <w:sz w:val="20"/>
          <w:szCs w:val="20"/>
          <w:color w:val="auto"/>
        </w:rPr>
      </w:pPr>
      <w:r>
        <w:rPr>
          <w:rFonts w:ascii="Arial" w:cs="Arial" w:eastAsia="Arial" w:hAnsi="Arial"/>
          <w:sz w:val="18"/>
          <w:szCs w:val="18"/>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in its consolidated financial statements.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60" w:firstLine="222"/>
        <w:spacing w:after="0" w:line="290"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58"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2010, filed on December 7, 2010 with the U.S.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firstLine="215"/>
        <w:spacing w:after="0" w:line="276" w:lineRule="auto"/>
        <w:rPr>
          <w:sz w:val="20"/>
          <w:szCs w:val="20"/>
          <w:color w:val="auto"/>
        </w:rPr>
      </w:pPr>
      <w:r>
        <w:rPr>
          <w:rFonts w:ascii="Arial" w:cs="Arial" w:eastAsia="Arial" w:hAnsi="Arial"/>
          <w:sz w:val="17"/>
          <w:szCs w:val="17"/>
          <w:color w:val="auto"/>
        </w:rPr>
        <w:t>Amdocs is a leading provider of software and services for communications, media and entertainment industry service providers. Although our market focus has traditionally been primarily on Tier-1 and Tier-2 service providers in developed markets, we have also focused in the last several years on Tier-3 and Tier-4 service providers in developed markets, and on providers in emerging markets. Regardless of whether service providers are bringing their first offerings to market, scaling for growth, consolidating systems or transforming the way they do business, we believe that service providers seek to differentiate their offerings by delivering a customer experience that is simple, personalized and valuable at every point of service.</w:t>
      </w:r>
    </w:p>
    <w:p>
      <w:pPr>
        <w:spacing w:after="0" w:line="64" w:lineRule="exact"/>
        <w:rPr>
          <w:sz w:val="20"/>
          <w:szCs w:val="20"/>
          <w:color w:val="auto"/>
        </w:rPr>
      </w:pPr>
    </w:p>
    <w:p>
      <w:pPr>
        <w:ind w:right="440" w:firstLine="222"/>
        <w:spacing w:after="0" w:line="279" w:lineRule="auto"/>
        <w:rPr>
          <w:sz w:val="20"/>
          <w:szCs w:val="20"/>
          <w:color w:val="auto"/>
        </w:rPr>
      </w:pPr>
      <w:r>
        <w:rPr>
          <w:rFonts w:ascii="Arial" w:cs="Arial" w:eastAsia="Arial" w:hAnsi="Arial"/>
          <w:sz w:val="17"/>
          <w:szCs w:val="17"/>
          <w:color w:val="auto"/>
        </w:rPr>
        <w:t>We develop, implement and manage software and services associated with business support systems (BSS) and operational support systems (OSS) to enable service providers to introduce new products and business models more quickly, understand their customers more deeply, process orders more efficiently, bill more accurately and service their end customers more effectively. We refer to these systems collectively as customer experience systems because of the crucial impact that these systems have on the service providers’ end-user experience.</w:t>
      </w:r>
    </w:p>
    <w:p>
      <w:pPr>
        <w:spacing w:after="0" w:line="63"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In a global communications industry impacted by unprecedented growth in data demand, increasing number of connected devices and improvement in machine-to-machine (M2M) technologies, consumers expect immediate and constant connectivity to personalized services, information and applications. We refer to these developments as the evolution to the “connected world.” We seek to address these market forces through a strategy of innovation from the network and business support systems to the device and end user. Our goal is to supply cost-effective, scalable software products and services that provide functionality and flexibility to service providers as they—and their markets—grow and change.</w:t>
      </w:r>
    </w:p>
    <w:p>
      <w:pPr>
        <w:spacing w:after="0" w:line="64"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We also offer advertising and media services for directory publishers which are comprised of a comprehensive set of products and services designed to enable local search and directory publishers to manage the entire media selling, fulfillment, consumer experience and financial processes across online, print and mobile media.</w:t>
      </w:r>
    </w:p>
    <w:p>
      <w:pPr>
        <w:spacing w:after="0" w:line="73" w:lineRule="exact"/>
        <w:rPr>
          <w:sz w:val="20"/>
          <w:szCs w:val="20"/>
          <w:color w:val="auto"/>
        </w:rPr>
      </w:pPr>
    </w:p>
    <w:p>
      <w:pPr>
        <w:ind w:right="280" w:firstLine="222"/>
        <w:spacing w:after="0" w:line="257" w:lineRule="auto"/>
        <w:rPr>
          <w:sz w:val="20"/>
          <w:szCs w:val="20"/>
          <w:color w:val="auto"/>
        </w:rPr>
      </w:pPr>
      <w:r>
        <w:rPr>
          <w:rFonts w:ascii="Arial" w:cs="Arial" w:eastAsia="Arial" w:hAnsi="Arial"/>
          <w:sz w:val="18"/>
          <w:szCs w:val="18"/>
          <w:color w:val="auto"/>
        </w:rPr>
        <w:t>We conduct our business globally, and as a result we are subject to the effects of global economic conditions and, in particular, market conditions in the communications, media and entertainment industry. In the six months ended March 31, 2011, customers in North America accounted for 74.4% of our revenue, while customers in Europe and the rest of the world accounted for 12.5% and 13.1%, respectively. Customers in emerging markets accounted for 7.7% of our revenue in the six months ended March 31, 2011, We maintain development facilities in Brazil, Cyprus, India, Ireland, Israel and the United States.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derive our revenue principally from:</w:t>
      </w:r>
    </w:p>
    <w:p>
      <w:pPr>
        <w:spacing w:after="0" w:line="117" w:lineRule="exact"/>
        <w:rPr>
          <w:sz w:val="20"/>
          <w:szCs w:val="20"/>
          <w:color w:val="auto"/>
        </w:rPr>
      </w:pPr>
    </w:p>
    <w:p>
      <w:pPr>
        <w:jc w:val="center"/>
        <w:ind w:left="5620" w:right="120" w:hanging="5396"/>
        <w:spacing w:after="0" w:line="496" w:lineRule="auto"/>
        <w:tabs>
          <w:tab w:leader="none" w:pos="666"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managed services in our domain expertise and other related services, and</w:t>
      </w:r>
    </w:p>
    <w:p>
      <w:pPr>
        <w:spacing w:after="0" w:line="130"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62" w:lineRule="exact"/>
        <w:rPr>
          <w:sz w:val="20"/>
          <w:szCs w:val="20"/>
          <w:color w:val="auto"/>
        </w:rPr>
      </w:pPr>
    </w:p>
    <w:p>
      <w:pPr>
        <w:ind w:right="80" w:firstLine="225"/>
        <w:spacing w:after="0" w:line="269" w:lineRule="auto"/>
        <w:rPr>
          <w:sz w:val="20"/>
          <w:szCs w:val="20"/>
          <w:color w:val="auto"/>
        </w:rPr>
      </w:pPr>
      <w:r>
        <w:rPr>
          <w:rFonts w:ascii="Arial" w:cs="Arial" w:eastAsia="Arial" w:hAnsi="Arial"/>
          <w:sz w:val="17"/>
          <w:szCs w:val="17"/>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or volume of data processed,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72"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62" w:lineRule="exact"/>
        <w:rPr>
          <w:sz w:val="20"/>
          <w:szCs w:val="20"/>
          <w:color w:val="auto"/>
        </w:rPr>
      </w:pPr>
    </w:p>
    <w:p>
      <w:pPr>
        <w:ind w:right="140" w:firstLine="215"/>
        <w:spacing w:after="0" w:line="257" w:lineRule="auto"/>
        <w:rPr>
          <w:sz w:val="20"/>
          <w:szCs w:val="20"/>
          <w:color w:val="auto"/>
        </w:rPr>
      </w:pPr>
      <w:r>
        <w:rPr>
          <w:rFonts w:ascii="Arial" w:cs="Arial" w:eastAsia="Arial" w:hAnsi="Arial"/>
          <w:sz w:val="18"/>
          <w:szCs w:val="18"/>
          <w:color w:val="auto"/>
        </w:rPr>
        <w:t>A significant portion of our revenue is recognized over the course of long-term implementation and integration projects under the percentage of completion method of accounting. When total cost estimates exceed revenues in a fixed-price arrangement, the estimated losses are recognized immediately based upon the cost applicable to the project. The percentage of completion method requires the exercise of judgment on a quarterly basis, such as with respect to estimations of progress-to-completion, contract revenue, loss contracts and contract costs. Progress in completing such projects may significantly affect our annual and quarterly operating results.</w:t>
      </w:r>
    </w:p>
    <w:p>
      <w:pPr>
        <w:spacing w:after="0" w:line="80"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Revenue from managed services arrangements is included in both license and service revenue and includes comprehensive offerings of software and related services related to the managed services operations, such as IT and infrastructure management, application management and ongoing support, systems modernization and consolidation and business process operations support. Revenue generated in connection with managed services arrangements is a significant part of our business generating substantial long-term revenue streams and cash flow. Revenue from managed arrangements accounted for approximately $382.6 million and $753.8 million in the three and six months ended March 31, 2011, respectively and $353.3 million and $681.2 million in the three and six months ended March 31, 2010, respectively. Revenue from managed services arrangements may fluctuate quarter to quarter as a result of discretionary spending decisions by our customers, such as additional software development. In the initial period of our managed services projects, we generally invest in modernization and consolidation of the customer’s systems. Managed services engagements can be less profitable in their early stages, however, margins tend to improve over time, especially in the initial period of an engagement, as we derive benefit from the operational efficiencies and from changes in the geographical mix of our resources.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In January 2010, the Financial Accounting Standards Board, or FASB, issued guidance to amend the disclosure requirements of fair value measurements. The guidance requires the disclosure on the roll forward activities for assets and liabilities measured using significant unobservable inputs (Level 3 fair value measurements), and will become effective for us beginning October 1, 2011. The adoption of this new guidance will not have a material impact on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21"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In June 2009, the FASB issued authoritative guidance on the consolidation of variable interest entities, which was effective for us beginning October 1, 2010. The new guidance requires revised evaluations of whether entities represent variable interest entities, ongoing assessments of control over such entities, and additional disclosures for variable interests. The adoption of this new guidance did not have a material impact on our financial statements.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660" w:firstLine="222"/>
        <w:spacing w:after="0" w:line="277" w:lineRule="auto"/>
        <w:rPr>
          <w:sz w:val="20"/>
          <w:szCs w:val="20"/>
          <w:color w:val="auto"/>
        </w:rPr>
      </w:pPr>
      <w:r>
        <w:rPr>
          <w:rFonts w:ascii="Arial" w:cs="Arial" w:eastAsia="Arial" w:hAnsi="Arial"/>
          <w:sz w:val="18"/>
          <w:szCs w:val="18"/>
          <w:color w:val="auto"/>
        </w:rPr>
        <w:t>The following table sets forth for the three and six months ended March 31, 2011 and 2010 certain items in our consolidated statements of income reflected as a percentage of total revenue: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w w:val="92"/>
              </w:rPr>
              <w:t>Three months</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Six months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ended</w:t>
            </w: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2"/>
                <w:szCs w:val="12"/>
                <w:color w:val="auto"/>
              </w:rPr>
            </w:pPr>
          </w:p>
        </w:tc>
        <w:tc>
          <w:tcPr>
            <w:tcW w:w="6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2"/>
                <w:szCs w:val="12"/>
                <w:color w:val="auto"/>
              </w:rPr>
            </w:pPr>
          </w:p>
        </w:tc>
        <w:tc>
          <w:tcPr>
            <w:tcW w:w="6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License</w:t>
            </w:r>
          </w:p>
        </w:tc>
        <w:tc>
          <w:tcPr>
            <w:tcW w:w="2920" w:type="dxa"/>
            <w:vAlign w:val="bottom"/>
            <w:gridSpan w:val="3"/>
          </w:tcPr>
          <w:p>
            <w:pPr>
              <w:jc w:val="right"/>
              <w:ind w:right="508"/>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3.5%</w:t>
            </w: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3.7%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2920" w:type="dxa"/>
            <w:vAlign w:val="bottom"/>
            <w:gridSpan w:val="3"/>
            <w:shd w:val="clear" w:color="auto" w:fill="CCEEFF"/>
          </w:tcPr>
          <w:p>
            <w:pPr>
              <w:jc w:val="right"/>
              <w:ind w:right="668"/>
              <w:spacing w:after="0"/>
              <w:rPr>
                <w:sz w:val="20"/>
                <w:szCs w:val="20"/>
                <w:color w:val="auto"/>
              </w:rPr>
            </w:pPr>
            <w:r>
              <w:rPr>
                <w:rFonts w:ascii="Arial" w:cs="Arial" w:eastAsia="Arial" w:hAnsi="Arial"/>
                <w:sz w:val="18"/>
                <w:szCs w:val="18"/>
                <w:color w:val="auto"/>
              </w:rPr>
              <w:t>96.4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96.5</w:t>
            </w:r>
          </w:p>
        </w:tc>
        <w:tc>
          <w:tcPr>
            <w:tcW w:w="1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96.3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7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7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7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2920" w:type="dxa"/>
            <w:vAlign w:val="bottom"/>
            <w:gridSpan w:val="3"/>
          </w:tcPr>
          <w:p>
            <w:pPr>
              <w:jc w:val="right"/>
              <w:ind w:right="668"/>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740" w:type="dxa"/>
            <w:vAlign w:val="bottom"/>
          </w:tcPr>
          <w:p>
            <w:pPr>
              <w:spacing w:after="0"/>
              <w:rPr>
                <w:sz w:val="18"/>
                <w:szCs w:val="18"/>
                <w:color w:val="auto"/>
              </w:rPr>
            </w:pPr>
          </w:p>
        </w:tc>
        <w:tc>
          <w:tcPr>
            <w:tcW w:w="1400" w:type="dxa"/>
            <w:vAlign w:val="bottom"/>
            <w:gridSpan w:val="2"/>
          </w:tcPr>
          <w:p>
            <w:pPr>
              <w:jc w:val="right"/>
              <w:ind w:right="648"/>
              <w:spacing w:after="0"/>
              <w:rPr>
                <w:sz w:val="20"/>
                <w:szCs w:val="20"/>
                <w:color w:val="auto"/>
              </w:rPr>
            </w:pPr>
            <w:r>
              <w:rPr>
                <w:rFonts w:ascii="Arial" w:cs="Arial" w:eastAsia="Arial" w:hAnsi="Arial"/>
                <w:sz w:val="18"/>
                <w:szCs w:val="18"/>
                <w:color w:val="auto"/>
              </w:rPr>
              <w:t>0.1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2920" w:type="dxa"/>
            <w:vAlign w:val="bottom"/>
            <w:gridSpan w:val="3"/>
            <w:shd w:val="clear" w:color="auto" w:fill="CCEEFF"/>
          </w:tcPr>
          <w:p>
            <w:pPr>
              <w:jc w:val="right"/>
              <w:ind w:right="668"/>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63.9</w:t>
            </w:r>
          </w:p>
        </w:tc>
        <w:tc>
          <w:tcPr>
            <w:tcW w:w="1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65.3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920" w:type="dxa"/>
            <w:vAlign w:val="bottom"/>
            <w:gridSpan w:val="3"/>
          </w:tcPr>
          <w:p>
            <w:pPr>
              <w:jc w:val="right"/>
              <w:ind w:right="668"/>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740" w:type="dxa"/>
            <w:vAlign w:val="bottom"/>
          </w:tcPr>
          <w:p>
            <w:pPr>
              <w:spacing w:after="0"/>
              <w:rPr>
                <w:sz w:val="18"/>
                <w:szCs w:val="18"/>
                <w:color w:val="auto"/>
              </w:rPr>
            </w:pPr>
          </w:p>
        </w:tc>
        <w:tc>
          <w:tcPr>
            <w:tcW w:w="1400" w:type="dxa"/>
            <w:vAlign w:val="bottom"/>
            <w:gridSpan w:val="2"/>
          </w:tcPr>
          <w:p>
            <w:pPr>
              <w:jc w:val="right"/>
              <w:ind w:right="648"/>
              <w:spacing w:after="0"/>
              <w:rPr>
                <w:sz w:val="20"/>
                <w:szCs w:val="20"/>
                <w:color w:val="auto"/>
              </w:rPr>
            </w:pPr>
            <w:r>
              <w:rPr>
                <w:rFonts w:ascii="Arial" w:cs="Arial" w:eastAsia="Arial" w:hAnsi="Arial"/>
                <w:sz w:val="18"/>
                <w:szCs w:val="18"/>
                <w:color w:val="auto"/>
              </w:rPr>
              <w:t>6.9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920" w:type="dxa"/>
            <w:vAlign w:val="bottom"/>
            <w:gridSpan w:val="3"/>
            <w:shd w:val="clear" w:color="auto" w:fill="CCEEFF"/>
          </w:tcPr>
          <w:p>
            <w:pPr>
              <w:jc w:val="right"/>
              <w:ind w:right="668"/>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12.4</w:t>
            </w:r>
          </w:p>
        </w:tc>
        <w:tc>
          <w:tcPr>
            <w:tcW w:w="1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13.0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1500" w:type="dxa"/>
            <w:vAlign w:val="bottom"/>
          </w:tcPr>
          <w:p>
            <w:pPr>
              <w:spacing w:after="0"/>
              <w:rPr>
                <w:sz w:val="18"/>
                <w:szCs w:val="18"/>
                <w:color w:val="auto"/>
              </w:rPr>
            </w:pPr>
          </w:p>
        </w:tc>
        <w:tc>
          <w:tcPr>
            <w:tcW w:w="1420" w:type="dxa"/>
            <w:vAlign w:val="bottom"/>
            <w:gridSpan w:val="2"/>
          </w:tcPr>
          <w:p>
            <w:pPr>
              <w:jc w:val="right"/>
              <w:ind w:right="668"/>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740" w:type="dxa"/>
            <w:vAlign w:val="bottom"/>
          </w:tcPr>
          <w:p>
            <w:pPr>
              <w:spacing w:after="0"/>
              <w:rPr>
                <w:sz w:val="18"/>
                <w:szCs w:val="18"/>
                <w:color w:val="auto"/>
              </w:rPr>
            </w:pPr>
          </w:p>
        </w:tc>
        <w:tc>
          <w:tcPr>
            <w:tcW w:w="1400" w:type="dxa"/>
            <w:vAlign w:val="bottom"/>
            <w:gridSpan w:val="2"/>
          </w:tcPr>
          <w:p>
            <w:pPr>
              <w:jc w:val="right"/>
              <w:ind w:right="648"/>
              <w:spacing w:after="0"/>
              <w:rPr>
                <w:sz w:val="20"/>
                <w:szCs w:val="20"/>
                <w:color w:val="auto"/>
              </w:rPr>
            </w:pPr>
            <w:r>
              <w:rPr>
                <w:rFonts w:ascii="Arial" w:cs="Arial" w:eastAsia="Arial" w:hAnsi="Arial"/>
                <w:sz w:val="18"/>
                <w:szCs w:val="18"/>
                <w:color w:val="auto"/>
              </w:rPr>
              <w:t>2.3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86.1</w:t>
            </w:r>
          </w:p>
        </w:tc>
        <w:tc>
          <w:tcPr>
            <w:tcW w:w="1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87.6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15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7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7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 (expense), net</w:t>
            </w:r>
          </w:p>
        </w:tc>
        <w:tc>
          <w:tcPr>
            <w:tcW w:w="2920" w:type="dxa"/>
            <w:vAlign w:val="bottom"/>
            <w:gridSpan w:val="3"/>
            <w:shd w:val="clear" w:color="auto" w:fill="CCEEFF"/>
          </w:tcPr>
          <w:p>
            <w:pPr>
              <w:jc w:val="right"/>
              <w:ind w:right="668"/>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w:t>
            </w: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(0.2)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15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7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7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15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1.5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200"/>
              <w:spacing w:after="0"/>
              <w:rPr>
                <w:sz w:val="20"/>
                <w:szCs w:val="20"/>
                <w:color w:val="auto"/>
              </w:rPr>
            </w:pPr>
            <w:r>
              <w:rPr>
                <w:rFonts w:ascii="Arial" w:cs="Arial" w:eastAsia="Arial" w:hAnsi="Arial"/>
                <w:sz w:val="18"/>
                <w:szCs w:val="18"/>
                <w:color w:val="auto"/>
              </w:rPr>
              <w:t>Net income</w:t>
            </w:r>
          </w:p>
        </w:tc>
        <w:tc>
          <w:tcPr>
            <w:tcW w:w="15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1420" w:type="dxa"/>
            <w:vAlign w:val="bottom"/>
            <w:gridSpan w:val="2"/>
          </w:tcPr>
          <w:p>
            <w:pPr>
              <w:jc w:val="right"/>
              <w:ind w:right="508"/>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9.2%</w:t>
            </w: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10.7%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00" w:type="dxa"/>
            <w:vAlign w:val="bottom"/>
            <w:vMerge w:val="restart"/>
          </w:tcPr>
          <w:p>
            <w:pPr>
              <w:jc w:val="right"/>
              <w:ind w:right="470"/>
              <w:spacing w:after="0"/>
              <w:rPr>
                <w:sz w:val="20"/>
                <w:szCs w:val="20"/>
                <w:color w:val="auto"/>
              </w:rPr>
            </w:pPr>
            <w:r>
              <w:rPr>
                <w:rFonts w:ascii="Arial" w:cs="Arial" w:eastAsia="Arial" w:hAnsi="Arial"/>
                <w:sz w:val="18"/>
                <w:szCs w:val="18"/>
                <w:color w:val="auto"/>
              </w:rPr>
              <w:t>21</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March 31, 2011 and 2010</w:t>
      </w:r>
    </w:p>
    <w:p>
      <w:pPr>
        <w:spacing w:after="0" w:line="121"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six months ended March 31, 2011 compared to the six months ended March 31, 2010. Following the table is a discussion and analysis of our business and results of operations for such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ind w:left="520"/>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89"/>
              </w:rPr>
              <w:t>Increase (Decrease)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4"/>
                <w:szCs w:val="14"/>
                <w:b w:val="1"/>
                <w:bCs w:val="1"/>
                <w:color w:val="auto"/>
                <w:w w:val="89"/>
              </w:rPr>
              <w:t>March 31,</w:t>
            </w:r>
          </w:p>
        </w:tc>
        <w:tc>
          <w:tcPr>
            <w:tcW w:w="7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79"/>
              </w:rPr>
              <w:t>thousands)</w:t>
            </w:r>
          </w:p>
        </w:tc>
        <w:tc>
          <w:tcPr>
            <w:tcW w:w="100" w:type="dxa"/>
            <w:vAlign w:val="bottom"/>
          </w:tcPr>
          <w:p>
            <w:pPr>
              <w:spacing w:after="0"/>
              <w:rPr>
                <w:sz w:val="12"/>
                <w:szCs w:val="12"/>
                <w:color w:val="auto"/>
              </w:rPr>
            </w:pPr>
          </w:p>
        </w:tc>
        <w:tc>
          <w:tcPr>
            <w:tcW w:w="15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tcBorders>
              <w:bottom w:val="single" w:sz="8" w:color="auto"/>
            </w:tcBorders>
            <w:gridSpan w:val="2"/>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58,601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50,099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8,502</w:t>
            </w:r>
          </w:p>
        </w:tc>
        <w:tc>
          <w:tcPr>
            <w:tcW w:w="2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1,505,515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1,418,681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86,834</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1,564,116</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1,468,780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95,336</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898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1,187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(289)</w:t>
            </w: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1,021,376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937,655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83,721</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108,528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101,296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7,232</w:t>
            </w:r>
          </w:p>
        </w:tc>
        <w:tc>
          <w:tcPr>
            <w:tcW w:w="2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203,421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183,608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19,813</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35,753</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42,758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(7,005)</w:t>
            </w: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1,369,976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1,266,504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103,472</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194,140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202,276</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(8,136)</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23,476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(20,408)</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(86.9)</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191,072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178,800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12,272</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23,571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21,897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1,674</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167,501</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156,903</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10,598</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Total revenue increased by $95.3 million, or 6.5%, to $1,564.1 million in the six months ended March 31, 2011, from $1,468.8 million in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2010. The increase in revenue was primarily attributable to revenue related to managed services arrangements and to a lesser extent to revenue related to implementation and integration projects.</w:t>
      </w:r>
    </w:p>
    <w:p>
      <w:pPr>
        <w:spacing w:after="0" w:line="73" w:lineRule="exact"/>
        <w:rPr>
          <w:sz w:val="20"/>
          <w:szCs w:val="20"/>
          <w:color w:val="auto"/>
        </w:rPr>
      </w:pPr>
    </w:p>
    <w:p>
      <w:pPr>
        <w:ind w:right="480" w:firstLine="225"/>
        <w:spacing w:after="0" w:line="308" w:lineRule="auto"/>
        <w:rPr>
          <w:sz w:val="20"/>
          <w:szCs w:val="20"/>
          <w:color w:val="auto"/>
        </w:rPr>
      </w:pPr>
      <w:r>
        <w:rPr>
          <w:rFonts w:ascii="Arial" w:cs="Arial" w:eastAsia="Arial" w:hAnsi="Arial"/>
          <w:sz w:val="17"/>
          <w:szCs w:val="17"/>
          <w:color w:val="auto"/>
        </w:rPr>
        <w:t>License revenue in the six months ended March 31, 2011 increased by $8.5 million, or 17.0%, to $58.6 million, from $50.1 million in the six months ended March 31, 2010. The increase in license revenue was primarily attributable to new implementation and integration projects.</w:t>
      </w:r>
    </w:p>
    <w:p>
      <w:pPr>
        <w:spacing w:after="0" w:line="38"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License and service revenue attributable to the sale of customer experience systems increased by $95.2 million, or 7.0%, to $1,462.6 million in the six months ended March 31, 2011, from $1,367.4 million, in the six months ended March 31, 2010. The increase in revenue was primarily attributable to revenue related to managed services arrangements, and to a lesser extent to revenue related to implementation and integration projects. License and service revenue resulting from the sale of customer experience systems represented 93.5% and 93.1% of our total revenue in the six months ended March 31, 2011 and 2010, respectively.</w:t>
      </w:r>
    </w:p>
    <w:p>
      <w:pPr>
        <w:spacing w:after="0" w:line="80" w:lineRule="exact"/>
        <w:rPr>
          <w:sz w:val="20"/>
          <w:szCs w:val="20"/>
          <w:color w:val="auto"/>
        </w:rPr>
      </w:pPr>
    </w:p>
    <w:p>
      <w:pPr>
        <w:jc w:val="both"/>
        <w:ind w:right="300" w:firstLine="225"/>
        <w:spacing w:after="0" w:line="264" w:lineRule="auto"/>
        <w:rPr>
          <w:sz w:val="20"/>
          <w:szCs w:val="20"/>
          <w:color w:val="auto"/>
        </w:rPr>
      </w:pPr>
      <w:r>
        <w:rPr>
          <w:rFonts w:ascii="Arial" w:cs="Arial" w:eastAsia="Arial" w:hAnsi="Arial"/>
          <w:sz w:val="18"/>
          <w:szCs w:val="18"/>
          <w:color w:val="auto"/>
        </w:rPr>
        <w:t>License and service revenue attributable to the sale of directory systems increased by $0.1 million, or 0.1%, to $101.5 million in the six months ended March 31, 2011, from $101.4 million in the six months ended March 31, 2010. License and service revenue from the sale of directory systems represented 6.5% and 6.9% of our total revenue in the six months ended March 31, 2011 and 2010, respectively.</w:t>
      </w:r>
    </w:p>
    <w:p>
      <w:pPr>
        <w:spacing w:after="0" w:line="73" w:lineRule="exact"/>
        <w:rPr>
          <w:sz w:val="20"/>
          <w:szCs w:val="20"/>
          <w:color w:val="auto"/>
        </w:rPr>
      </w:pPr>
    </w:p>
    <w:p>
      <w:pPr>
        <w:ind w:right="180" w:firstLine="225"/>
        <w:spacing w:after="0" w:line="255" w:lineRule="auto"/>
        <w:rPr>
          <w:sz w:val="20"/>
          <w:szCs w:val="20"/>
          <w:color w:val="auto"/>
        </w:rPr>
      </w:pPr>
      <w:r>
        <w:rPr>
          <w:rFonts w:ascii="Arial" w:cs="Arial" w:eastAsia="Arial" w:hAnsi="Arial"/>
          <w:sz w:val="18"/>
          <w:szCs w:val="18"/>
          <w:color w:val="auto"/>
        </w:rPr>
        <w:t>In the six months ended March 31, 2011, revenue from customers in North America, Europe and the rest of the world accounted for 74.4%, 12.5% and 13.1%, respectively, of total revenue compared to 76.2%, 12.4% and 11.4%, respectively, in the six months ended March 31, 2010. The increase in total revenue in the six months ended March 31, 2011 was primarily attributable to revenue from customers in North America, mainly from managed services arrangements, and to revenue from customers in the rest of the world of which a significant portion was from emerging markets. Our revenue growth rate in the rest of the world was greater than the growth rate we experienced in North America which resulted in a decrease in revenue from customers in North America as a percentage of total revenue.</w:t>
      </w:r>
    </w:p>
    <w:p>
      <w:pPr>
        <w:spacing w:after="0" w:line="85"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b w:val="1"/>
          <w:bCs w:val="1"/>
          <w:i w:val="1"/>
          <w:iCs w:val="1"/>
          <w:color w:val="auto"/>
        </w:rPr>
        <w:t xml:space="preserve">Cost of License and Service. </w:t>
      </w:r>
      <w:r>
        <w:rPr>
          <w:rFonts w:ascii="Arial" w:cs="Arial" w:eastAsia="Arial" w:hAnsi="Arial"/>
          <w:sz w:val="18"/>
          <w:szCs w:val="18"/>
          <w:color w:val="auto"/>
        </w:rPr>
        <w:t>Cost of license includes fee and royalty payments to software suppliers. Cost of service consists primarily of costs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providing services to customers, including compensation expense and costs of third-party products. The increase in cost of license and service in the six months ended March 31, 2011 was $83.4 million, or 8.9%. As a percentage of revenue, cost of license and service was 65.4% in the six months ended March 31, 2011, compared to 63.9% in the six months ended March 31, 2010. The increase in our cost of license and service as a percentage of revenue was primarily attributable to investment in internal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training and knowledge building programs for our employees, as well as several key customer implementations that required incremental spending.</w:t>
      </w:r>
    </w:p>
    <w:p>
      <w:pPr>
        <w:spacing w:after="0" w:line="129"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Research and development expense is primarily comprised of compensation expense. Research and development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by $7.2 million, or 7.1%, to $108.5 million in the six months ended March 31, 2011, from $101.3 million in the six months ended March 31, 2010. The increase in research and development expense is primarily attributable to research and development expense related to immaterial acquisitions during fiscal 2010. Research and development expense as a percentage of revenue was 6.9% in the six months ended March 31, 2011 and 2010.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w:t>
      </w:r>
    </w:p>
    <w:p>
      <w:pPr>
        <w:spacing w:after="0" w:line="70" w:lineRule="exact"/>
        <w:rPr>
          <w:sz w:val="20"/>
          <w:szCs w:val="20"/>
          <w:color w:val="auto"/>
        </w:rPr>
      </w:pPr>
    </w:p>
    <w:p>
      <w:pPr>
        <w:ind w:right="420" w:firstLine="225"/>
        <w:spacing w:after="0" w:line="302"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Selling, general and administrative expense increased by $19.8 million, or 10.8%, to $203.4 million in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March 31, 2011, from $183.6 million in the six months ended March 31, 2010. Selling, general and administrative expense is primarily comprised of compensation expense. The increase in selling, general and administrative expense was primarily attributable to increased selling efforts, a significant portion of which were in emerging markets and in Europe, as well as to an increase in accounts receivable allowances.</w:t>
      </w:r>
    </w:p>
    <w:p>
      <w:pPr>
        <w:spacing w:after="0" w:line="46"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b w:val="1"/>
          <w:bCs w:val="1"/>
          <w:i w:val="1"/>
          <w:iCs w:val="1"/>
          <w:color w:val="auto"/>
        </w:rPr>
        <w:t>Amortization of Purchased Intangible Assets and Other</w:t>
      </w:r>
      <w:r>
        <w:rPr>
          <w:rFonts w:ascii="Arial" w:cs="Arial" w:eastAsia="Arial" w:hAnsi="Arial"/>
          <w:sz w:val="18"/>
          <w:szCs w:val="18"/>
          <w:color w:val="auto"/>
        </w:rPr>
        <w:t>. Amortization of purchased intangible assets and other in the six months ended March 31,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by $7.0 million to $35.8 million from $42.8 million in the six months ended March 31, 2010. The decrease in amortization of purchased intangible assets and other was primarily due to purchased intangible assets that were fully amortized in prior periods, as well as to the timing of amortization charges resulting from the use of accelerated amortization methods for certain intangible assets purchased in prior periods, partially offset by amortization of intangible assets related to small acquisitions in fiscal 2010.</w:t>
      </w:r>
    </w:p>
    <w:p>
      <w:pPr>
        <w:spacing w:after="0" w:line="80"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decreased by $8.1 million, or 4.0%, to $194.1 million, or 12.4% of revenue, in the six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from $202.3 million, or 13.8% of revenue, in the six months ended March 31, 2010. The decrease in operating income as a percentage of revenue was primarily attributable to the increase of cost of service and selling, general and administrative expense, which was higher than the increase in revenue, partially offset by the decrease in amortization of purchased intangible assets and other.</w:t>
      </w:r>
    </w:p>
    <w:p>
      <w:pPr>
        <w:spacing w:after="0" w:line="79"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b w:val="1"/>
          <w:bCs w:val="1"/>
          <w:i w:val="1"/>
          <w:iCs w:val="1"/>
          <w:color w:val="auto"/>
        </w:rPr>
        <w:t xml:space="preserve">Interest and Other Expense, Net. </w:t>
      </w:r>
      <w:r>
        <w:rPr>
          <w:rFonts w:ascii="Arial" w:cs="Arial" w:eastAsia="Arial" w:hAnsi="Arial"/>
          <w:sz w:val="18"/>
          <w:szCs w:val="18"/>
          <w:color w:val="auto"/>
        </w:rPr>
        <w:t>Interest and other expense, net decreased by $20.4 million to $3.1 million in the six months ended March 31, 2011,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$23.5 million in the six months ended March 31, 2010. The decrease was primarily attributable to an impairment charge in the prior period in connection with the disposition of a majority interest in a Chinese subsidiary in 2010.</w:t>
      </w:r>
    </w:p>
    <w:p>
      <w:pPr>
        <w:spacing w:after="0" w:line="73"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six months ended March 31, 2011 were $23.6 million on pretax income of $191.1 million, resulting in an effective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of 12.3%, compared to 12.2% in the six months ended March 31, 2010. Our effective tax rate may fluctuate between quarters as a result of discrete items that may affect a specific quarter.</w:t>
      </w:r>
    </w:p>
    <w:p>
      <w:pPr>
        <w:spacing w:after="0" w:line="73"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color w:val="auto"/>
        </w:rPr>
        <w:t>. Net income was $167.5 million in the six months ended March 31, 2011, compared to $156.9 million in the six months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2010. The increase in net income was attributable mainly to the decrease in interest and other expense, net, partially offset by decrease in operating income.</w:t>
      </w:r>
    </w:p>
    <w:p>
      <w:pPr>
        <w:spacing w:after="0" w:line="16"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increased by $0.12, or 15.8%, to $0.88 in the six months ended March 31, 2011, from $0.76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six months ended March 31, 2010. The increase in diluted earnings per share resulted primarily from the decrease in diluted weighted average numbers of shares outstanding as a result of repurchase of our ordinary shares, as well as the increase in net income. Please see Note 10 to our unaudited consolidated financial statements.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2011 and 2010</w:t>
      </w:r>
    </w:p>
    <w:p>
      <w:pPr>
        <w:spacing w:after="0" w:line="121" w:lineRule="exact"/>
        <w:rPr>
          <w:sz w:val="20"/>
          <w:szCs w:val="20"/>
          <w:color w:val="auto"/>
        </w:rPr>
      </w:pPr>
    </w:p>
    <w:p>
      <w:pPr>
        <w:ind w:right="600" w:firstLine="222"/>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three months ended March 31, 2011 compared to the three months ended March 31, 2010. Following the table is a discussion and analysis of our business and results of operations for such periods.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2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45"/>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6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License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28,695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25,949</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2,746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760,240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718,020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7"/>
              </w:rPr>
              <w:t>42,220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788,935</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743,969</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44,966</w:t>
            </w:r>
          </w:p>
        </w:tc>
        <w:tc>
          <w:tcPr>
            <w:tcW w:w="6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745</w:t>
            </w:r>
          </w:p>
        </w:tc>
        <w:tc>
          <w:tcPr>
            <w:tcW w:w="16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(547)</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513,238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475,440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7"/>
              </w:rPr>
              <w:t>37,798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53,536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51,190</w:t>
            </w:r>
          </w:p>
        </w:tc>
        <w:tc>
          <w:tcPr>
            <w:tcW w:w="16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2,346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99,064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92,028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7,036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16,343</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21,439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4"/>
              </w:rPr>
              <w:t>(5,096)</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682,379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640,842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7"/>
              </w:rPr>
              <w:t>41,537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106,556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103,127</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3,429</w:t>
            </w:r>
          </w:p>
        </w:tc>
        <w:tc>
          <w:tcPr>
            <w:tcW w:w="6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(22,761)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7"/>
              </w:rPr>
              <w:t>22,810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106,605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80,366</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26,239</w:t>
            </w:r>
          </w:p>
        </w:tc>
        <w:tc>
          <w:tcPr>
            <w:tcW w:w="6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12,495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94,110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68,550</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25,560</w:t>
            </w:r>
          </w:p>
        </w:tc>
        <w:tc>
          <w:tcPr>
            <w:tcW w:w="6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Total revenue increased by $45.0 million, or 6.0%, to $788.9 million in the three months ended March 31, 2011, from $744.0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2010. The increase in revenue was primarily attributable to revenue related to managed services arrangements and to a lesser extent to revenue related to implementation and integration projects.</w:t>
      </w:r>
    </w:p>
    <w:p>
      <w:pPr>
        <w:spacing w:after="0" w:line="73"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License revenue increased by $2.7 million, or 10.6%, to $28.7 million in the three months ended March 31, 2011, from $25.9 million in the three months ended March 31, 2010.</w:t>
      </w:r>
    </w:p>
    <w:p>
      <w:pPr>
        <w:spacing w:after="0" w:line="62" w:lineRule="exact"/>
        <w:rPr>
          <w:sz w:val="20"/>
          <w:szCs w:val="20"/>
          <w:color w:val="auto"/>
        </w:rPr>
      </w:pPr>
    </w:p>
    <w:p>
      <w:pPr>
        <w:ind w:right="180" w:firstLine="225"/>
        <w:spacing w:after="0" w:line="302" w:lineRule="auto"/>
        <w:rPr>
          <w:sz w:val="20"/>
          <w:szCs w:val="20"/>
          <w:color w:val="auto"/>
        </w:rPr>
      </w:pPr>
      <w:r>
        <w:rPr>
          <w:rFonts w:ascii="Arial" w:cs="Arial" w:eastAsia="Arial" w:hAnsi="Arial"/>
          <w:sz w:val="16"/>
          <w:szCs w:val="16"/>
          <w:color w:val="auto"/>
        </w:rPr>
        <w:t>License and service revenue attributable to the sale of customer experience systems was $737.2 million in the three months ended March 31, 2011, an increase of $48.3 million, or 7.0%, over the three months ended March 31, 2010. The increase was primarily attributable to revenue related to managed service arrangements and to a lesser extent to revenue related to implementation and integration projects. License and service revenue resulted from the sale of customer experience systems represented 93.4% and 92.6% of our total revenue in the three months ended March 31, 2011 and 2010, respectively.</w:t>
      </w:r>
    </w:p>
    <w:p>
      <w:pPr>
        <w:spacing w:after="0" w:line="46"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License and service revenue from the sale of directory systems was $51.7 million in the three months ended March 31, 2011, a decrease of $3.3 million, or 6.0%, as compared to the three months ended March 31, 2010. The decrease was primarily attributable to a decrease in revenue from existing customers. License and service revenue from the sale of directory systems represented 6.6% and 7.4% of our total revenue in the three months ended March 31, 2011 and 2010, respectively.</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three months ended March 31, 2011, revenue from customers in North America, Europe and the rest of the world accounted for 75.9%, 12.3% and</w:t>
      </w:r>
    </w:p>
    <w:p>
      <w:pPr>
        <w:spacing w:after="0" w:line="4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11.8%, respectively, of total revenue compared to 76.9%, 12.4% and 10.7%, respectively, in the three months ended March 31, 2010. The increase in total revenue in the three months ended March 31, 2011 was primarily attributable to revenue from customers in North America and in the rest of the world, of which a significant portion was from emerging markets. Our revenue growth rate in the rest of the world was greater than the growth rate we experienced in North America, which resulted in a decrease in revenue from customers in North America as a percentage of total revenue.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b w:val="1"/>
          <w:bCs w:val="1"/>
          <w:i w:val="1"/>
          <w:iCs w:val="1"/>
          <w:color w:val="auto"/>
        </w:rPr>
        <w:t>Cost of License and Service</w:t>
      </w:r>
      <w:r>
        <w:rPr>
          <w:rFonts w:ascii="Arial" w:cs="Arial" w:eastAsia="Arial" w:hAnsi="Arial"/>
          <w:sz w:val="18"/>
          <w:szCs w:val="18"/>
          <w:color w:val="auto"/>
        </w:rPr>
        <w:t>. Cost of license includes fee and royalty payments to software suppliers. Cost of service consists primarily of costs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providing services to customers, including compensation expense and costs of third-party products. The increase in cost of license and service in the three months ended March 31, 2011 was $37.3 million, or 7.8%. As a percentage of revenue, cost of license and service was 65.1% in the three months ended March 31, 2011, compared to 64.0% in the three months ended March 31, 2010. The increase in our cost of license and service as a percentage of revenue was primarily attributable to investment in internal training and knowledge building programs for our employees, as well as several key customer implementations that required incremental spending.</w:t>
      </w:r>
    </w:p>
    <w:p>
      <w:pPr>
        <w:spacing w:after="0" w:line="85"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color w:val="auto"/>
        </w:rPr>
        <w:t>. Research and development expense is primarily comprised of compensation expense. Research and development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$2.3 million, or 4.6%, in the three months ended March 31, 2011 to $53.5 million from $51.2 million in the three months ended March 31, 2010. Research and development expense decreased as a percentage of revenue from 6.9% in the three months ended March 31, 2010 to 6.8% in the three months ended March 31, 2011.</w:t>
      </w:r>
    </w:p>
    <w:p>
      <w:pPr>
        <w:spacing w:after="0" w:line="79"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increased by $7.0 million, or 7.6%, to $99.1 million in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2011, from $92.0 million in the three months ended March 31, 2010. Selling, general and administrative expense is primarily comprised of compensation expense. The increase in selling, general and administrative expense was primarily attributable to an increase in accounts receivable allowances.</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b w:val="1"/>
          <w:bCs w:val="1"/>
          <w:i w:val="1"/>
          <w:iCs w:val="1"/>
          <w:color w:val="auto"/>
        </w:rPr>
        <w:t>Amortization of Purchased Intangible Assets and Other</w:t>
      </w:r>
      <w:r>
        <w:rPr>
          <w:rFonts w:ascii="Arial" w:cs="Arial" w:eastAsia="Arial" w:hAnsi="Arial"/>
          <w:sz w:val="18"/>
          <w:szCs w:val="18"/>
          <w:color w:val="auto"/>
        </w:rPr>
        <w:t>. Amortization of purchased intangible assets and other in the three months ended March 31,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by $5.1 million to $16.3 million, from $21.4 million in the three months ended March 31, 2010. The decrease in amortization of purchased intangible assets and other was primarily due to purchased intangible assets that were fully amortized in prior periods, as well as to the timing of amortization charges resulting from the use of accelerated amortization methods for certain intangible assets purchased in prior periods, partially offset by amortization of intangible assets related to small acquisitions in fiscal 2010.</w:t>
      </w:r>
    </w:p>
    <w:p>
      <w:pPr>
        <w:spacing w:after="0" w:line="80"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b w:val="1"/>
          <w:bCs w:val="1"/>
          <w:i w:val="1"/>
          <w:iCs w:val="1"/>
          <w:color w:val="auto"/>
        </w:rPr>
        <w:t xml:space="preserve">Operating Income. </w:t>
      </w:r>
      <w:r>
        <w:rPr>
          <w:rFonts w:ascii="Arial" w:cs="Arial" w:eastAsia="Arial" w:hAnsi="Arial"/>
          <w:sz w:val="16"/>
          <w:szCs w:val="16"/>
          <w:color w:val="auto"/>
        </w:rPr>
        <w:t>Operating income increased by $3.4 million, or 3.3%, in the three months ended March 31, 2011, to $106.6 million, or 13.5%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from $103.1 million, or 13.9% of revenue, in the three months ended March 31, 2010. The decrease in operating income as a percentage of revenue was primarily attributable to the increase of cost of service which was partially offset by the decrease in amortization of purchased intangible assets and other.</w:t>
      </w:r>
    </w:p>
    <w:p>
      <w:pPr>
        <w:spacing w:after="0" w:line="39" w:lineRule="exact"/>
        <w:rPr>
          <w:sz w:val="20"/>
          <w:szCs w:val="20"/>
          <w:color w:val="auto"/>
        </w:rPr>
      </w:pPr>
    </w:p>
    <w:p>
      <w:pPr>
        <w:jc w:val="both"/>
        <w:ind w:right="60" w:firstLine="225"/>
        <w:spacing w:after="0" w:line="312" w:lineRule="auto"/>
        <w:rPr>
          <w:sz w:val="20"/>
          <w:szCs w:val="20"/>
          <w:color w:val="auto"/>
        </w:rPr>
      </w:pPr>
      <w:r>
        <w:rPr>
          <w:rFonts w:ascii="Arial" w:cs="Arial" w:eastAsia="Arial" w:hAnsi="Arial"/>
          <w:sz w:val="16"/>
          <w:szCs w:val="16"/>
          <w:b w:val="1"/>
          <w:bCs w:val="1"/>
          <w:i w:val="1"/>
          <w:iCs w:val="1"/>
          <w:color w:val="auto"/>
        </w:rPr>
        <w:t xml:space="preserve">Interest and other income (Expense), Net. </w:t>
      </w:r>
      <w:r>
        <w:rPr>
          <w:rFonts w:ascii="Arial" w:cs="Arial" w:eastAsia="Arial" w:hAnsi="Arial"/>
          <w:sz w:val="16"/>
          <w:szCs w:val="16"/>
          <w:color w:val="auto"/>
        </w:rPr>
        <w:t>Interest and other income (expense), net increased by $22.8 million in the three months ended March 31,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flat income from expense of $22.8 million in the three months ended March 31, 2010. The increase in interest and other income (expense), net, is primarily attributable to an impairment charge in the prior period in connection with the disposition of a majority interest in a Chinese subsidiary in 2010.</w:t>
      </w:r>
    </w:p>
    <w:p>
      <w:pPr>
        <w:spacing w:after="0" w:line="39"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three months ended March 31, 2011 were $12.5 million on pretax income of $106.6 million, resulting in an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rate of 11.7%, compared to 14.7% in the three months ended March 31, 2010. The decrease in our effective tax rate was primarily attributable to a prior year impairment charge in connection with the disposition of a majority interest in a Chinese subsidiary. Our effective tax rate may fluctuate between quarters as a result of discrete items that may affect a specific quarter.</w:t>
      </w:r>
    </w:p>
    <w:p>
      <w:pPr>
        <w:spacing w:after="0" w:line="79"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$25.6 million, or 37.3%, in the three months ended March 31, 2011 to $94.1 million from $68.6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2010. The increase in net income was attributable mainly to the increase in interest and other income (expense), net as well as to the increase in operating income.</w:t>
      </w:r>
    </w:p>
    <w:p>
      <w:pPr>
        <w:spacing w:after="0" w:line="73" w:lineRule="exact"/>
        <w:rPr>
          <w:sz w:val="20"/>
          <w:szCs w:val="20"/>
          <w:color w:val="auto"/>
        </w:rPr>
      </w:pPr>
    </w:p>
    <w:p>
      <w:pPr>
        <w:jc w:val="both"/>
        <w:ind w:right="100" w:firstLine="225"/>
        <w:spacing w:after="0" w:line="312" w:lineRule="auto"/>
        <w:rPr>
          <w:sz w:val="20"/>
          <w:szCs w:val="20"/>
          <w:color w:val="auto"/>
        </w:rPr>
      </w:pPr>
      <w:r>
        <w:rPr>
          <w:rFonts w:ascii="Arial" w:cs="Arial" w:eastAsia="Arial" w:hAnsi="Arial"/>
          <w:sz w:val="16"/>
          <w:szCs w:val="16"/>
          <w:b w:val="1"/>
          <w:bCs w:val="1"/>
          <w:i w:val="1"/>
          <w:iCs w:val="1"/>
          <w:color w:val="auto"/>
        </w:rPr>
        <w:t xml:space="preserve">Diluted Earnings Per Share. </w:t>
      </w:r>
      <w:r>
        <w:rPr>
          <w:rFonts w:ascii="Arial" w:cs="Arial" w:eastAsia="Arial" w:hAnsi="Arial"/>
          <w:sz w:val="16"/>
          <w:szCs w:val="16"/>
          <w:color w:val="auto"/>
        </w:rPr>
        <w:t>Diluted earnings per share increased by $0.17, or 51.5% to $0.50 in the three months ended March 31, 2011, from $0.33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March 31, 2010. The increase in diluted earnings per share resulted primarily from the decrease in diluted weighted average numbers of shares outstanding, as well as to the increase in net income. Please see Note 10 to our unaudited consolidated financial statements.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Cash, cash equivalents and short-term interest-bearing investments totaled $1.16 billion as of March 31, 2011, compared to $1.43 billion as of September 30, 2010. The decrease in the six months ended March 31, 2011 was mainly attributable to $274.7 million used to repurchase our ordinary shares pursuant to our share repurchase program, $200.0 million in payments under financing arrangements, and $55.5 million for capital expenditures, net, partially offset by $237.8 million in positive cash flow from operations. Net cash provided by operating activities amounted to $237.8 million and $358.1 million for the six months ended March 31, 2011 and 2010, respectively.</w:t>
      </w:r>
    </w:p>
    <w:p>
      <w:pPr>
        <w:spacing w:after="0" w:line="80"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Our policy is to retain substantial cash balances in order to support our growth. We believe that our current cash balances, cash generated from operations and our current lines of credit will provide sufficient resources to meet our operational needs for at least the next fiscal year.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Our interest-bearing investments are classified as available-for-sale securities. Unrealized gains or losses are reported as a separate component of accumulated other comprehensive income, net of tax. Such interest-bearing investments consist primarily of money market funds, U.S. government treasuries, U.S. agency securities, government guaranteed debt and corporate bonds. We believe we have conservative investment policy guidelines. Our interest-bearing investments are stated at fair value. Our interest-bearing investments are priced by pricing vendors and are classified as Level 1 or Level 2 investments, since these vendors either provide a quoted market price in an active market or use observable inputs. During the three and six months ended March 31, 2011 and 2010, we recognized an immaterial credit loss. As of March 31, 2011, unrealized losses of $0.7 million related to securities for which credit losses were recognized and that are considered other-than-temporarily impaired securities, were included in accumulated other comprehensive income. Please see Notes 4 and 5 to the unaudited consolidated financial statements.</w:t>
      </w:r>
    </w:p>
    <w:p>
      <w:pPr>
        <w:spacing w:after="0" w:line="71"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In November 2007, we entered into an unsecured $500.0 million five-year revolving credit facility with a syndicate of banks, which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on our credit rating. In September 2010, we borrowed an aggregate of $200.0 million under the facility and repaid it in October 2010. As of March 31, 2011, we were in compliance with the financial covenants under the revolving credit facility and had no outstanding borrowings under this facility.</w:t>
      </w:r>
    </w:p>
    <w:p>
      <w:pPr>
        <w:spacing w:after="0" w:line="50" w:lineRule="exact"/>
        <w:rPr>
          <w:sz w:val="20"/>
          <w:szCs w:val="20"/>
          <w:color w:val="auto"/>
        </w:rPr>
      </w:pPr>
    </w:p>
    <w:p>
      <w:pPr>
        <w:ind w:right="40" w:firstLine="215"/>
        <w:spacing w:after="0" w:line="342" w:lineRule="auto"/>
        <w:rPr>
          <w:sz w:val="20"/>
          <w:szCs w:val="20"/>
          <w:color w:val="auto"/>
        </w:rPr>
      </w:pPr>
      <w:r>
        <w:rPr>
          <w:rFonts w:ascii="Arial" w:cs="Arial" w:eastAsia="Arial" w:hAnsi="Arial"/>
          <w:sz w:val="16"/>
          <w:szCs w:val="16"/>
          <w:color w:val="auto"/>
        </w:rPr>
        <w:t>As of March 31, 2011, we had outstanding letters of credit and bank guarantees from various banks totaling $53.6 million. As of March 31, 2011, we had outstanding obligations of $0.6 million in connection with leasing arrangements and $1.0 million principal amount of convertible notes remained outstanding.</w:t>
      </w:r>
    </w:p>
    <w:p>
      <w:pPr>
        <w:spacing w:after="0" w:line="16"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We have contractual obligations for our non-cancelable operating leases, purchase obligations, pension funding and convertible notes summarized in the tabular disclosure of contractual obligations set forth in our Annual Report on Form 20-F for the fiscal year ended September 30, 2010, filed on December 7, 2010 with the SEC. Since September 30, 2010, there have been no material changes in our contractual obligations other than in the ordinary course of our business.</w:t>
      </w:r>
    </w:p>
    <w:p>
      <w:pPr>
        <w:spacing w:after="0" w:line="79"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Our capital expenditures were approximately $55.5 million in the six months ended March 31, 2011. Approximately 85% of these expenditures consisted of purchases of computer equipment, and the remainder attributable mainly to leasehold improvements. The capital expenditures in the six months ended March 31, 2011 were mainly attributable to investments in our operating facilities and our development centers around the world. Our policy is to fund our capital expenditures principally from operating cash flows and we do not anticipate any changes to this policy in the foreseeable future.</w:t>
      </w:r>
    </w:p>
    <w:p>
      <w:pPr>
        <w:spacing w:after="0" w:line="46"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 April 2010, our board of directors adopted a share repurchase plan authorizing the repurchase of up to $700.0 million of our outstanding ordinary shares over the following 12 months. The authorization permitted us to purchase our ordinary shares in open market or privately negotiated transactions at times and prices that we considered appropriate. In the six months ended March 31, 2011, we repurchased approximately 9.7 million ordinary shares at an average price of $28.30 per share (excluding broker and transaction fees). As of March 31, 2011, we had remaining authority to repurchase up to $36.5 million of our outstanding ordinary shares under this plan.</w:t>
      </w:r>
    </w:p>
    <w:p>
      <w:pPr>
        <w:spacing w:after="0" w:line="8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 February 2011, our board of directors adopted a share repurchase plan authorizing the repurchase of up to $1.0 billion of our outstanding ordinary shares over the following 24 months. The authorization permits us to purchase our ordinary shares in open market or privately negotiated transactions at times and prices we consider appropriate.</w:t>
      </w:r>
    </w:p>
    <w:p>
      <w:pPr>
        <w:spacing w:after="0" w:line="73" w:lineRule="exact"/>
        <w:rPr>
          <w:sz w:val="20"/>
          <w:szCs w:val="20"/>
          <w:color w:val="auto"/>
        </w:rPr>
      </w:pPr>
    </w:p>
    <w:p>
      <w:pPr>
        <w:ind w:right="700" w:firstLine="225"/>
        <w:spacing w:after="0" w:line="277" w:lineRule="auto"/>
        <w:rPr>
          <w:sz w:val="20"/>
          <w:szCs w:val="20"/>
          <w:color w:val="auto"/>
        </w:rPr>
      </w:pPr>
      <w:r>
        <w:rPr>
          <w:rFonts w:ascii="Arial" w:cs="Arial" w:eastAsia="Arial" w:hAnsi="Arial"/>
          <w:sz w:val="18"/>
          <w:szCs w:val="18"/>
          <w:color w:val="auto"/>
        </w:rPr>
        <w:t>Subsequent to March 31, 2011, we completed the repurchase of the remaining authorized amount under the April 2010 plan and started executing repurchases under the new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w:t>
      </w:r>
    </w:p>
    <w:p>
      <w:pPr>
        <w:spacing w:after="0" w:line="7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During the six months ended March 31, 2011 and 2010, approximately 70% to 80% of our revenue and approximately 50% to 60% of our operating expenses were in U.S. dollars or linked to the U.S. dollar. If more customers will seek contracts in currencies other than the U.S. dollar and as our operational activities outside of the United States may increase, the percentage of our revenue and operating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41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quarter ended March 31, 2011 of equity securities that are registered by us pursuant to Section 12 of the Exchange Act: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8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(or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w w:val="89"/>
              </w:rPr>
              <w:t>(b)</w:t>
            </w:r>
          </w:p>
        </w:tc>
        <w:tc>
          <w:tcPr>
            <w:tcW w:w="16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2"/>
                <w:szCs w:val="12"/>
                <w:color w:val="auto"/>
              </w:rPr>
            </w:pPr>
          </w:p>
        </w:tc>
        <w:tc>
          <w:tcPr>
            <w:tcW w:w="130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2"/>
                <w:szCs w:val="12"/>
                <w:color w:val="auto"/>
              </w:rPr>
            </w:pPr>
          </w:p>
        </w:tc>
        <w:tc>
          <w:tcPr>
            <w:tcW w:w="15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Average Price</w:t>
            </w:r>
          </w:p>
        </w:tc>
        <w:tc>
          <w:tcPr>
            <w:tcW w:w="16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Purchased</w:t>
            </w:r>
          </w:p>
        </w:tc>
        <w:tc>
          <w:tcPr>
            <w:tcW w:w="1780" w:type="dxa"/>
            <w:vAlign w:val="bottom"/>
            <w:gridSpan w:val="4"/>
          </w:tcPr>
          <w:p>
            <w:pPr>
              <w:ind w:left="280"/>
              <w:spacing w:after="0"/>
              <w:rPr>
                <w:sz w:val="20"/>
                <w:szCs w:val="20"/>
                <w:color w:val="auto"/>
              </w:rPr>
            </w:pPr>
            <w:r>
              <w:rPr>
                <w:rFonts w:ascii="Arial" w:cs="Arial" w:eastAsia="Arial" w:hAnsi="Arial"/>
                <w:sz w:val="14"/>
                <w:szCs w:val="14"/>
                <w:b w:val="1"/>
                <w:bCs w:val="1"/>
                <w:color w:val="auto"/>
              </w:rPr>
              <w:t>Paid per Share</w:t>
            </w:r>
          </w:p>
        </w:tc>
        <w:tc>
          <w:tcPr>
            <w:tcW w:w="16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or Programs(1)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01/01/11-01/31/11</w:t>
            </w:r>
          </w:p>
        </w:tc>
        <w:tc>
          <w:tcPr>
            <w:tcW w:w="4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7"/>
              </w:rPr>
              <w:t>1,621,724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5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1,621,724</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152,198,297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02/01/11-02/28/11</w:t>
            </w:r>
          </w:p>
        </w:tc>
        <w:tc>
          <w:tcPr>
            <w:tcW w:w="1480" w:type="dxa"/>
            <w:vAlign w:val="bottom"/>
            <w:gridSpan w:val="3"/>
          </w:tcPr>
          <w:p>
            <w:pPr>
              <w:ind w:left="740"/>
              <w:spacing w:after="0"/>
              <w:rPr>
                <w:sz w:val="20"/>
                <w:szCs w:val="20"/>
                <w:color w:val="auto"/>
              </w:rPr>
            </w:pPr>
            <w:r>
              <w:rPr>
                <w:rFonts w:ascii="Arial" w:cs="Arial" w:eastAsia="Arial" w:hAnsi="Arial"/>
                <w:sz w:val="18"/>
                <w:szCs w:val="18"/>
                <w:color w:val="auto"/>
                <w:w w:val="89"/>
              </w:rPr>
              <w:t>1,764,402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29.43</w:t>
            </w:r>
          </w:p>
        </w:tc>
        <w:tc>
          <w:tcPr>
            <w:tcW w:w="1100" w:type="dxa"/>
            <w:vAlign w:val="bottom"/>
          </w:tcPr>
          <w:p>
            <w:pPr>
              <w:jc w:val="right"/>
              <w:spacing w:after="0"/>
              <w:rPr>
                <w:sz w:val="20"/>
                <w:szCs w:val="20"/>
                <w:color w:val="auto"/>
              </w:rPr>
            </w:pPr>
            <w:r>
              <w:rPr>
                <w:rFonts w:ascii="Arial" w:cs="Arial" w:eastAsia="Arial" w:hAnsi="Arial"/>
                <w:sz w:val="18"/>
                <w:szCs w:val="18"/>
                <w:color w:val="auto"/>
              </w:rPr>
              <w:t>1,764,402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1,100,278,602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03/01/11-03/31/11</w:t>
            </w:r>
          </w:p>
        </w:tc>
        <w:tc>
          <w:tcPr>
            <w:tcW w:w="14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w w:val="89"/>
              </w:rPr>
              <w:t>2,179,520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29.26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2,179,520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1,036,503,245</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10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7"/>
              </w:rPr>
              <w:t>5,565,646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28.95</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5,565,646</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1,036,503,245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 w:hanging="452"/>
        <w:spacing w:after="0" w:line="293"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April 2010, our board of directors adopted a share repurchase plan authorizing the repurchase of up to $700.0 million of our outstanding ordinary shares over the following 12 months. The authorization permitted us to purchase our ordinary shares in open market or privately negotiated transactions at times and prices that we considered appropriate. In February 2011, our board of directors adopted a share repurchase plan authorizing the repurchase of up to $1.0 billion of our outstanding ordinary shares over the following 24 months. The authorization permits us to purchase our ordinary shares in open market or privately negotiated transactions at times and prices we consider appropriate. Subsequent to March 31, 2011, we completed the repurchase of the remaining authorized amount under the April 2010 plan and started executing repurchases under the new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Reports on Form 6-K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furnished or filed the following reports on Form 6-K during the three months ended March 31, 2011:</w:t>
      </w:r>
    </w:p>
    <w:p>
      <w:pPr>
        <w:spacing w:after="0" w:line="117" w:lineRule="exact"/>
        <w:rPr>
          <w:sz w:val="20"/>
          <w:szCs w:val="20"/>
          <w:color w:val="auto"/>
        </w:rPr>
      </w:pPr>
    </w:p>
    <w:p>
      <w:pPr>
        <w:ind w:left="500" w:hanging="264"/>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6-K dated January 25, 2011</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6-K dated February 8, 2011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 Authorized U.S. Representative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2011</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sectPr>
      <w:pgSz w:w="11900" w:h="16838" w:orient="portrait"/>
      <w:cols w:equalWidth="0" w:num="1">
        <w:col w:w="10520"/>
      </w:cols>
      <w:pgMar w:left="240" w:top="419"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2019-12-10T18:00:02Z</dcterms:created>
  <dcterms:modified xsi:type="dcterms:W3CDTF">2019-12-10T18:00:02Z</dcterms:modified>
</cp:coreProperties>
</file>