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6-K/A</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NO. 1 TO</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REPORT OF FOREIGN PRIVATE ISSUER</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RULE 13A-16 OR 15D-16 OF</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Month of April, 2000</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Tower Hill House Le Bordage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Inc.</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3" w:lineRule="exact"/>
        <w:rPr>
          <w:sz w:val="24"/>
          <w:szCs w:val="24"/>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of Form 20-F or Form 40-F.)</w:t>
      </w:r>
    </w:p>
    <w:p>
      <w:pPr>
        <w:sectPr>
          <w:pgSz w:w="11900" w:h="16838" w:orient="portrait"/>
          <w:cols w:equalWidth="0" w:num="1">
            <w:col w:w="10239"/>
          </w:cols>
          <w:pgMar w:left="220" w:top="230" w:right="1440" w:bottom="1440" w:gutter="0" w:footer="0" w:header="0"/>
        </w:sectPr>
      </w:pPr>
    </w:p>
    <w:p>
      <w:pPr>
        <w:spacing w:after="0" w:line="16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FORM 20 F</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 F</w:t>
      </w:r>
    </w:p>
    <w:p>
      <w:pPr>
        <w:spacing w:after="0" w:line="7" w:lineRule="exact"/>
        <w:rPr>
          <w:sz w:val="24"/>
          <w:szCs w:val="24"/>
          <w:color w:val="auto"/>
        </w:rPr>
      </w:pPr>
    </w:p>
    <w:p>
      <w:pPr>
        <w:sectPr>
          <w:pgSz w:w="11900" w:h="16838" w:orient="portrait"/>
          <w:cols w:equalWidth="0" w:num="3">
            <w:col w:w="2240" w:space="360"/>
            <w:col w:w="1260" w:space="720"/>
            <w:col w:w="5659"/>
          </w:cols>
          <w:pgMar w:left="220" w:top="230"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880" w:space="720"/>
            <w:col w:w="4639"/>
          </w:cols>
          <w:pgMar w:left="220" w:top="230" w:right="1440" w:bottom="1440" w:gutter="0" w:footer="0" w:header="0"/>
          <w:type w:val="continuous"/>
        </w:sectPr>
      </w:pPr>
    </w:p>
    <w:p>
      <w:pPr>
        <w:spacing w:after="0" w:line="138" w:lineRule="exact"/>
        <w:rPr>
          <w:sz w:val="24"/>
          <w:szCs w:val="24"/>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230" w:right="1440" w:bottom="1440" w:gutter="0" w:footer="0" w:header="0"/>
          <w:type w:val="continuous"/>
        </w:sectPr>
      </w:pPr>
    </w:p>
    <w:p>
      <w:pPr>
        <w:spacing w:after="0" w:line="162"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4979"/>
        <w:spacing w:after="0"/>
        <w:rPr>
          <w:sz w:val="20"/>
          <w:szCs w:val="20"/>
          <w:color w:val="auto"/>
        </w:rPr>
      </w:pPr>
      <w:r>
        <w:rPr>
          <w:rFonts w:ascii="Courier New" w:cs="Courier New" w:eastAsia="Courier New" w:hAnsi="Courier New"/>
          <w:sz w:val="14"/>
          <w:szCs w:val="14"/>
          <w:color w:val="auto"/>
        </w:rPr>
        <w:t>X</w:t>
      </w:r>
    </w:p>
    <w:p>
      <w:pPr>
        <w:spacing w:after="0" w:line="7" w:lineRule="exact"/>
        <w:rPr>
          <w:sz w:val="24"/>
          <w:szCs w:val="24"/>
          <w:color w:val="auto"/>
        </w:rPr>
      </w:pPr>
    </w:p>
    <w:p>
      <w:pPr>
        <w:jc w:val="center"/>
        <w:ind w:right="4979"/>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4">
            <w:col w:w="1740" w:space="80"/>
            <w:col w:w="2040" w:space="720"/>
            <w:col w:w="160" w:space="100"/>
            <w:col w:w="539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This Amendment No. 1 to Form 6-K is being filed in order to include:</w:t>
      </w:r>
    </w:p>
    <w:p>
      <w:pPr>
        <w:spacing w:after="0" w:line="338" w:lineRule="exact"/>
        <w:rPr>
          <w:sz w:val="20"/>
          <w:szCs w:val="20"/>
          <w:color w:val="auto"/>
        </w:rPr>
      </w:pPr>
    </w:p>
    <w:p>
      <w:pPr>
        <w:ind w:left="1220" w:right="3339" w:hanging="609"/>
        <w:spacing w:after="0" w:line="251"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pro forma condensed combined balance sheet as of March 31, 2000 and the unaudited pro forma condensed combined statements of operations for the twelve months ended September 30, 1999 and the six months ended March 31, 2000, in each case reflecting the acquisition by Amdocs Limited ("Amdocs") of Solect Technology Group Inc., a New Brunswick corporation ("Solect"), which closed on April 5, 2000.</w:t>
      </w:r>
    </w:p>
    <w:p>
      <w:pPr>
        <w:spacing w:after="0" w:line="164" w:lineRule="exact"/>
        <w:rPr>
          <w:rFonts w:ascii="Courier New" w:cs="Courier New" w:eastAsia="Courier New" w:hAnsi="Courier New"/>
          <w:sz w:val="14"/>
          <w:szCs w:val="14"/>
          <w:color w:val="auto"/>
        </w:rPr>
      </w:pPr>
    </w:p>
    <w:p>
      <w:pPr>
        <w:ind w:left="1220" w:right="3419" w:hanging="609"/>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of Solect for the fiscal year ended July 31, 1999 and for the six months ended January 31, 1999 and 2000</w:t>
      </w:r>
    </w:p>
    <w:p>
      <w:pPr>
        <w:spacing w:after="0" w:line="160" w:lineRule="exact"/>
        <w:rPr>
          <w:sz w:val="20"/>
          <w:szCs w:val="20"/>
          <w:color w:val="auto"/>
        </w:rPr>
      </w:pPr>
    </w:p>
    <w:p>
      <w:pPr>
        <w:ind w:right="3679" w:firstLine="603"/>
        <w:spacing w:after="0" w:line="255" w:lineRule="auto"/>
        <w:rPr>
          <w:sz w:val="20"/>
          <w:szCs w:val="20"/>
          <w:color w:val="auto"/>
        </w:rPr>
      </w:pPr>
      <w:r>
        <w:rPr>
          <w:rFonts w:ascii="Courier New" w:cs="Courier New" w:eastAsia="Courier New" w:hAnsi="Courier New"/>
          <w:sz w:val="14"/>
          <w:szCs w:val="14"/>
          <w:color w:val="auto"/>
        </w:rPr>
        <w:t>Item 7 of the Report on Form 6-K of Amdocs filed on April 11, 2000 is amended and restated to read in its entirety as set forth below.</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73" w:lineRule="exact"/>
        <w:rPr>
          <w:sz w:val="20"/>
          <w:szCs w:val="20"/>
          <w:color w:val="auto"/>
        </w:rPr>
      </w:pPr>
    </w:p>
    <w:p>
      <w:pPr>
        <w:ind w:left="620" w:hanging="612"/>
        <w:spacing w:after="0"/>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unaudited pro forma condensed combined balance sheet as of March 31, 2000 and the unaudited pro forma condensed combined statements of operations for the twelve months ended September 30, 1999 and the six months ended March 31, 2000 are set forth below.</w:t>
      </w:r>
    </w:p>
    <w:p>
      <w:pPr>
        <w:spacing w:after="0" w:line="328" w:lineRule="exact"/>
        <w:rPr>
          <w:sz w:val="20"/>
          <w:szCs w:val="20"/>
          <w:color w:val="auto"/>
        </w:rPr>
      </w:pPr>
    </w:p>
    <w:p>
      <w:pPr>
        <w:ind w:left="620" w:hanging="612"/>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Business Acquired.</w:t>
      </w:r>
    </w:p>
    <w:p>
      <w:pPr>
        <w:spacing w:after="0" w:line="173" w:lineRule="exact"/>
        <w:rPr>
          <w:sz w:val="20"/>
          <w:szCs w:val="20"/>
          <w:color w:val="auto"/>
        </w:rPr>
      </w:pPr>
    </w:p>
    <w:p>
      <w:pPr>
        <w:ind w:right="3679" w:firstLine="603"/>
        <w:spacing w:after="0" w:line="252" w:lineRule="auto"/>
        <w:rPr>
          <w:sz w:val="20"/>
          <w:szCs w:val="20"/>
          <w:color w:val="auto"/>
        </w:rPr>
      </w:pPr>
      <w:r>
        <w:rPr>
          <w:rFonts w:ascii="Courier New" w:cs="Courier New" w:eastAsia="Courier New" w:hAnsi="Courier New"/>
          <w:sz w:val="14"/>
          <w:szCs w:val="14"/>
          <w:color w:val="auto"/>
        </w:rPr>
        <w:t>The financial statements of Solect for the fiscal year ended July 31, 1999 and for the six months ended January 31, 1999 and 2000 are set forth below.</w:t>
      </w:r>
    </w:p>
    <w:p>
      <w:pPr>
        <w:sectPr>
          <w:pgSz w:w="11900" w:h="16838" w:orient="portrait"/>
          <w:cols w:equalWidth="0" w:num="1">
            <w:col w:w="10239"/>
          </w:cols>
          <w:pgMar w:left="220" w:top="28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497"/>
        </w:trPr>
        <w:tc>
          <w:tcPr>
            <w:tcW w:w="6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3860" w:type="dxa"/>
            <w:vAlign w:val="bottom"/>
          </w:tcPr>
          <w:p>
            <w:pPr>
              <w:spacing w:after="0"/>
              <w:rPr>
                <w:sz w:val="24"/>
                <w:szCs w:val="24"/>
                <w:color w:val="auto"/>
              </w:rPr>
            </w:pPr>
          </w:p>
        </w:tc>
      </w:tr>
      <w:tr>
        <w:trPr>
          <w:trHeight w:val="663"/>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EXHIBIT NO.</w:t>
            </w:r>
          </w:p>
        </w:tc>
        <w:tc>
          <w:tcPr>
            <w:tcW w:w="3860" w:type="dxa"/>
            <w:vAlign w:val="bottom"/>
          </w:tcPr>
          <w:p>
            <w:pPr>
              <w:ind w:left="3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6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1120" w:type="dxa"/>
            <w:vAlign w:val="bottom"/>
          </w:tcPr>
          <w:p>
            <w:pPr>
              <w:spacing w:after="0"/>
              <w:rPr>
                <w:sz w:val="24"/>
                <w:szCs w:val="24"/>
                <w:color w:val="auto"/>
              </w:rPr>
            </w:pPr>
          </w:p>
        </w:tc>
        <w:tc>
          <w:tcPr>
            <w:tcW w:w="3860" w:type="dxa"/>
            <w:vAlign w:val="bottom"/>
          </w:tcPr>
          <w:p>
            <w:pPr>
              <w:ind w:left="34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1120" w:type="dxa"/>
            <w:vAlign w:val="bottom"/>
          </w:tcPr>
          <w:p>
            <w:pPr>
              <w:spacing w:after="0"/>
              <w:rPr>
                <w:sz w:val="24"/>
                <w:szCs w:val="24"/>
                <w:color w:val="auto"/>
              </w:rPr>
            </w:pPr>
          </w:p>
        </w:tc>
        <w:tc>
          <w:tcPr>
            <w:tcW w:w="3860" w:type="dxa"/>
            <w:vAlign w:val="bottom"/>
          </w:tcPr>
          <w:p>
            <w:pPr>
              <w:ind w:left="340"/>
              <w:spacing w:after="0"/>
              <w:rPr>
                <w:sz w:val="20"/>
                <w:szCs w:val="20"/>
                <w:color w:val="auto"/>
              </w:rPr>
            </w:pPr>
            <w:r>
              <w:rPr>
                <w:rFonts w:ascii="Courier New" w:cs="Courier New" w:eastAsia="Courier New" w:hAnsi="Courier New"/>
                <w:sz w:val="14"/>
                <w:szCs w:val="14"/>
                <w:color w:val="auto"/>
              </w:rPr>
              <w:t>Amdocs Press Release dated April 6, 2000.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unaudited pro forma condensed combined balance sheet as of March 31, 2000 gives effect to the acquisition of Solect Technology Group Inc. ("Solect") which closed on April 5, 2000 (the "Acquisition") as if it had occurred on that date. The unaudited pro forma condensed combined statements of operations for the twelve months ended September 30, 1999 and the six months ended March 31, 2000, gives effect to the Acquisition as if it had occurred on October 1, 1998.</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unaudited pro forma condensed combined balance sheet is based upon, and should be read in conjunction with, our historical unaudited financial statements as of March 31, 2000, and the historical unaudited financial statements of Solect as of January 31, 2000. The unaudited pro forma condensed combined statements of operations is based upon, and should be read in conjunction with, our historical audited and unaudited financial statements for the year and six months ended September 30, 1999 and March 31, 2000, respectively, and the historical audited financial statements of Solect for the year ended July 31, 1999 (together with the unaudited reconciliation to U.S. GAAP), and the historical unaudited financial statements of Solect for the six months ended January 31, 2000 (together with the unaudited reconciliation to U.S. GAAP.</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connection with the Acquisition, we have converted approximately 24.2 million ordinary shares of Solect and approximately 2.9 million options to purchase ordinary shares of Solect into the right to receive approximately 13.8 million ordinary shares and approximately 1.7 million options of Amdocs. The estimated total purchase price for Solect, based on an Amdocs share price of $69.875, including estimated transaction costs equals approximately $1,088 million. We will account for the Acquisition under the purchase method of accounting. The estimated total purchase price will be allocated to Solects' tangible assets and liabilities based on their respective estimated fair values on the date the transaction was consummated, April 5, 2000. We will allocate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will be recognized for the difference between the book and tax basis of certain intangible assets.</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believe that the fair value of the tangible net assets is not materially different from their historical book value. The allocation of the excess purchase price over net tangible assets has been determined based on a preliminary independent evaluation available at the date of the preparation of the unaudited pro forma condensed combined financial statements. A final determination of purchase accounting adjustments will be made following the completion of the independent evaluation to determine the fair value of certain of Solect's assets and liabilities, including intangible assets and its impact on deferred taxes.</w:t>
      </w:r>
    </w:p>
    <w:p>
      <w:pPr>
        <w:spacing w:after="0" w:line="329"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following unaudited pro forma condensed combined financial statements and notes thereto contain forward-looking statements that involve risks and uncertainties.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pro forma financial results are not intended to be a projection of future results and are not necessarily indicative of the results that would have occurred if the business combination had been in effect on the dates presented.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6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UNAUDITED PRO FORMA CONDENSED COMBINED BALANCE SHEET AS OF MARCH 31, 2000</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40" w:type="dxa"/>
            <w:vAlign w:val="bottom"/>
          </w:tcPr>
          <w:p>
            <w:pPr>
              <w:ind w:left="2500"/>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(in U.S. dollars, unless otherwise stated)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4140" w:type="dxa"/>
            <w:vAlign w:val="bottom"/>
          </w:tcPr>
          <w:p>
            <w:pPr>
              <w:spacing w:after="0"/>
              <w:rPr>
                <w:sz w:val="24"/>
                <w:szCs w:val="24"/>
                <w:color w:val="auto"/>
              </w:rPr>
            </w:pPr>
          </w:p>
        </w:tc>
        <w:tc>
          <w:tcPr>
            <w:tcW w:w="1300" w:type="dxa"/>
            <w:vAlign w:val="bottom"/>
          </w:tcPr>
          <w:p>
            <w:pPr>
              <w:jc w:val="right"/>
              <w:ind w:right="374"/>
              <w:spacing w:after="0"/>
              <w:rPr>
                <w:sz w:val="20"/>
                <w:szCs w:val="20"/>
                <w:color w:val="auto"/>
              </w:rPr>
            </w:pPr>
            <w:r>
              <w:rPr>
                <w:rFonts w:ascii="Courier New" w:cs="Courier New" w:eastAsia="Courier New" w:hAnsi="Courier New"/>
                <w:sz w:val="14"/>
                <w:szCs w:val="14"/>
                <w:color w:val="auto"/>
              </w:rPr>
              <w:t>AMDOCS</w:t>
            </w:r>
          </w:p>
        </w:tc>
        <w:tc>
          <w:tcPr>
            <w:tcW w:w="12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SOLECT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PRO FORMA</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14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Courier New" w:cs="Courier New" w:eastAsia="Courier New" w:hAnsi="Courier New"/>
                <w:sz w:val="14"/>
                <w:szCs w:val="14"/>
                <w:color w:val="auto"/>
              </w:rPr>
              <w:t>HISTORICAL</w:t>
            </w:r>
          </w:p>
        </w:tc>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ADJUSTMENTS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COMBINED</w:t>
            </w:r>
          </w:p>
        </w:tc>
      </w:tr>
      <w:tr>
        <w:trPr>
          <w:trHeight w:val="166"/>
        </w:trPr>
        <w:tc>
          <w:tcPr>
            <w:tcW w:w="41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cash equivalents and short term</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interest bearing investments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$ 242,551</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36,788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(2,054)</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13,319</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290,604</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226,539</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7,554</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234,093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28,570</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28,570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30,351</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1,216</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31,567</w:t>
            </w:r>
          </w:p>
        </w:tc>
      </w:tr>
      <w:tr>
        <w:trPr>
          <w:trHeight w:val="166"/>
        </w:trPr>
        <w:tc>
          <w:tcPr>
            <w:tcW w:w="41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528,011</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45,558</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11,265</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584,834</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Fixed assets, net</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99,204</w:t>
            </w:r>
          </w:p>
        </w:tc>
        <w:tc>
          <w:tcPr>
            <w:tcW w:w="1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2,871</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102,075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 net</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110,858</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976,518</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18,272</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3,286</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1,211</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1,110,145</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12,360</w:t>
            </w:r>
          </w:p>
        </w:tc>
        <w:tc>
          <w:tcPr>
            <w:tcW w:w="1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(9,108)</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3,252</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32,411</w:t>
            </w:r>
          </w:p>
        </w:tc>
        <w:tc>
          <w:tcPr>
            <w:tcW w:w="1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2,133</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(2,133)</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32,411</w:t>
            </w:r>
          </w:p>
        </w:tc>
      </w:tr>
      <w:tr>
        <w:trPr>
          <w:trHeight w:val="166"/>
        </w:trPr>
        <w:tc>
          <w:tcPr>
            <w:tcW w:w="41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$ 782,844</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50,562</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$ 999,311</w:t>
            </w: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$ 1,832,717</w:t>
            </w:r>
          </w:p>
        </w:tc>
      </w:tr>
      <w:tr>
        <w:trPr>
          <w:trHeight w:val="166"/>
        </w:trPr>
        <w:tc>
          <w:tcPr>
            <w:tcW w:w="4140" w:type="dxa"/>
            <w:vAlign w:val="bottom"/>
          </w:tcPr>
          <w:p>
            <w:pPr>
              <w:spacing w:after="0"/>
              <w:rPr>
                <w:sz w:val="14"/>
                <w:szCs w:val="14"/>
                <w:color w:val="auto"/>
              </w:rPr>
            </w:pPr>
          </w:p>
        </w:tc>
        <w:tc>
          <w:tcPr>
            <w:tcW w:w="33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 (DEFICIT)</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Accounts payable and accruals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$ 136,009</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7,651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153,660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Short-term financing arrangements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23,154</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23,218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114,682</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4,058</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118,740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income taxes and income taxes payable</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53,184</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53,268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611</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r>
      <w:tr>
        <w:trPr>
          <w:trHeight w:val="166"/>
        </w:trPr>
        <w:tc>
          <w:tcPr>
            <w:tcW w:w="41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327,029</w:t>
            </w:r>
          </w:p>
        </w:tc>
        <w:tc>
          <w:tcPr>
            <w:tcW w:w="1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12,468</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349,497</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63,852</w:t>
            </w:r>
          </w:p>
        </w:tc>
        <w:tc>
          <w:tcPr>
            <w:tcW w:w="1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53,989</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(53,741)</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64,100</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Shareholders' equity (deficit)</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391,963</w:t>
            </w:r>
          </w:p>
        </w:tc>
        <w:tc>
          <w:tcPr>
            <w:tcW w:w="12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(15,895)</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15,895</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 (4)</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1,077,711</w:t>
            </w:r>
          </w:p>
        </w:tc>
        <w:tc>
          <w:tcPr>
            <w:tcW w:w="8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 (7)</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(50,554)</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1,419,120</w:t>
            </w:r>
          </w:p>
        </w:tc>
      </w:tr>
      <w:tr>
        <w:trPr>
          <w:trHeight w:val="166"/>
        </w:trPr>
        <w:tc>
          <w:tcPr>
            <w:tcW w:w="41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(deficit)</w:t>
            </w:r>
          </w:p>
        </w:tc>
        <w:tc>
          <w:tcPr>
            <w:tcW w:w="130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$ 782,844</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50,562</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$ 999,311</w:t>
            </w: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$ 1,832,717</w:t>
            </w:r>
          </w:p>
        </w:tc>
      </w:tr>
      <w:tr>
        <w:trPr>
          <w:trHeight w:val="166"/>
        </w:trPr>
        <w:tc>
          <w:tcPr>
            <w:tcW w:w="4140" w:type="dxa"/>
            <w:vAlign w:val="bottom"/>
          </w:tcPr>
          <w:p>
            <w:pPr>
              <w:spacing w:after="0"/>
              <w:rPr>
                <w:sz w:val="14"/>
                <w:szCs w:val="14"/>
                <w:color w:val="auto"/>
              </w:rPr>
            </w:pPr>
          </w:p>
        </w:tc>
        <w:tc>
          <w:tcPr>
            <w:tcW w:w="33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See notes to Unaudited Pro Forma Condensed Combined Financial Statements for discussion of adjustments.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28"/>
        </w:trPr>
        <w:tc>
          <w:tcPr>
            <w:tcW w:w="7460" w:type="dxa"/>
            <w:vAlign w:val="bottom"/>
            <w:gridSpan w:val="7"/>
          </w:tcPr>
          <w:p>
            <w:pPr>
              <w:ind w:left="100"/>
              <w:spacing w:after="0"/>
              <w:rPr>
                <w:sz w:val="20"/>
                <w:szCs w:val="20"/>
                <w:color w:val="auto"/>
              </w:rPr>
            </w:pPr>
            <w:r>
              <w:rPr>
                <w:rFonts w:ascii="Courier New" w:cs="Courier New" w:eastAsia="Courier New" w:hAnsi="Courier New"/>
                <w:sz w:val="14"/>
                <w:szCs w:val="14"/>
                <w:color w:val="auto"/>
              </w:rPr>
              <w:t>UNAUDITED PRO FORMA CONDENSED COMBINED STATEMENTS OF OPERATIONS FOR THE TWELVE</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3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MONTHS ENDED SEPTEMBER 30, 1999</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3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(in thousands, except per share data)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 U.S. dollars, unless otherwise stated)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3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AMDOCS</w:t>
            </w:r>
          </w:p>
        </w:tc>
        <w:tc>
          <w:tcPr>
            <w:tcW w:w="22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SOLECT</w:t>
            </w:r>
          </w:p>
        </w:tc>
        <w:tc>
          <w:tcPr>
            <w:tcW w:w="1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c>
          <w:tcPr>
            <w:tcW w:w="10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92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HISTORICAL</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ADJUSTMENTS</w:t>
            </w:r>
          </w:p>
        </w:tc>
        <w:tc>
          <w:tcPr>
            <w:tcW w:w="10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92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$ 626,855</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9,647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636,502</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Cost of revenue</w:t>
            </w:r>
          </w:p>
        </w:tc>
        <w:tc>
          <w:tcPr>
            <w:tcW w:w="56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363,324</w:t>
            </w:r>
          </w:p>
        </w:tc>
        <w:tc>
          <w:tcPr>
            <w:tcW w:w="2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6,262</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9,136</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spacing w:after="0"/>
              <w:rPr>
                <w:sz w:val="24"/>
                <w:szCs w:val="24"/>
                <w:color w:val="auto"/>
              </w:rPr>
            </w:pPr>
          </w:p>
        </w:tc>
      </w:tr>
      <w:tr>
        <w:trPr>
          <w:trHeight w:val="166"/>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1,095</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379,817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40,874</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4,891</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45,765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75,659</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8,278</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195,304</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w:t>
            </w:r>
          </w:p>
        </w:tc>
        <w:tc>
          <w:tcPr>
            <w:tcW w:w="94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279,645</w:t>
            </w:r>
          </w:p>
        </w:tc>
      </w:tr>
      <w:tr>
        <w:trPr>
          <w:trHeight w:val="166"/>
        </w:trPr>
        <w:tc>
          <w:tcPr>
            <w:tcW w:w="392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479,857</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19,431</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205,938</w:t>
            </w: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705,227</w:t>
            </w:r>
          </w:p>
        </w:tc>
      </w:tr>
      <w:tr>
        <w:trPr>
          <w:trHeight w:val="166"/>
        </w:trPr>
        <w:tc>
          <w:tcPr>
            <w:tcW w:w="392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146,998</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(9,784)</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(205,938)</w:t>
            </w: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(68,725)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income (expenses), net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(6,223)</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942</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(6,031)</w:t>
            </w:r>
          </w:p>
        </w:tc>
      </w:tr>
      <w:tr>
        <w:trPr>
          <w:trHeight w:val="166"/>
        </w:trPr>
        <w:tc>
          <w:tcPr>
            <w:tcW w:w="392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140,775</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(10,534)</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(204,997)</w:t>
            </w: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(74,756)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42,232</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260" w:type="dxa"/>
            <w:vAlign w:val="bottom"/>
          </w:tcPr>
          <w:p>
            <w:pPr>
              <w:spacing w:after="0"/>
              <w:rPr>
                <w:sz w:val="14"/>
                <w:szCs w:val="14"/>
                <w:color w:val="auto"/>
              </w:rPr>
            </w:pPr>
          </w:p>
        </w:tc>
        <w:tc>
          <w:tcPr>
            <w:tcW w:w="19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(3,036) (11)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39,247</w:t>
            </w:r>
          </w:p>
        </w:tc>
      </w:tr>
      <w:tr>
        <w:trPr>
          <w:trHeight w:val="166"/>
        </w:trPr>
        <w:tc>
          <w:tcPr>
            <w:tcW w:w="392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98,543</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(201,961)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(114,003)</w:t>
            </w:r>
          </w:p>
        </w:tc>
      </w:tr>
      <w:tr>
        <w:trPr>
          <w:trHeight w:val="166"/>
        </w:trPr>
        <w:tc>
          <w:tcPr>
            <w:tcW w:w="3920" w:type="dxa"/>
            <w:vAlign w:val="bottom"/>
          </w:tcPr>
          <w:p>
            <w:pPr>
              <w:spacing w:after="0"/>
              <w:rPr>
                <w:sz w:val="14"/>
                <w:szCs w:val="14"/>
                <w:color w:val="auto"/>
              </w:rPr>
            </w:pPr>
          </w:p>
        </w:tc>
        <w:tc>
          <w:tcPr>
            <w:tcW w:w="3540" w:type="dxa"/>
            <w:vAlign w:val="bottom"/>
            <w:gridSpan w:val="6"/>
          </w:tcPr>
          <w:p>
            <w:pPr>
              <w:ind w:left="400"/>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0.50</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(0.54)</w:t>
            </w:r>
          </w:p>
        </w:tc>
      </w:tr>
      <w:tr>
        <w:trPr>
          <w:trHeight w:val="166"/>
        </w:trPr>
        <w:tc>
          <w:tcPr>
            <w:tcW w:w="392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0.49</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(0.54)</w:t>
            </w:r>
          </w:p>
        </w:tc>
      </w:tr>
      <w:tr>
        <w:trPr>
          <w:trHeight w:val="166"/>
        </w:trPr>
        <w:tc>
          <w:tcPr>
            <w:tcW w:w="392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197,436</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211,282</w:t>
            </w:r>
          </w:p>
        </w:tc>
      </w:tr>
      <w:tr>
        <w:trPr>
          <w:trHeight w:val="166"/>
        </w:trPr>
        <w:tc>
          <w:tcPr>
            <w:tcW w:w="392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5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200,262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211,282</w:t>
            </w:r>
          </w:p>
        </w:tc>
      </w:tr>
      <w:tr>
        <w:trPr>
          <w:trHeight w:val="166"/>
        </w:trPr>
        <w:tc>
          <w:tcPr>
            <w:tcW w:w="392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See notes to Unaudited Pro Forma Condensed Combined Financial Statements for discussion of adjustments.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97"/>
        </w:trPr>
        <w:tc>
          <w:tcPr>
            <w:tcW w:w="746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UNAUDITED PRO FORMA CONDENSED COMBINED STATEMENTS OF OPERATIONS FOR THE SIX</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340" w:type="dxa"/>
            <w:vAlign w:val="bottom"/>
            <w:gridSpan w:val="3"/>
          </w:tcPr>
          <w:p>
            <w:pPr>
              <w:jc w:val="right"/>
              <w:ind w:right="688"/>
              <w:spacing w:after="0"/>
              <w:rPr>
                <w:sz w:val="20"/>
                <w:szCs w:val="20"/>
                <w:color w:val="auto"/>
              </w:rPr>
            </w:pPr>
            <w:r>
              <w:rPr>
                <w:rFonts w:ascii="Courier New" w:cs="Courier New" w:eastAsia="Courier New" w:hAnsi="Courier New"/>
                <w:sz w:val="14"/>
                <w:szCs w:val="14"/>
                <w:color w:val="auto"/>
              </w:rPr>
              <w:t>MONTHS ENDED MARCH 31, 2000</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3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(in thousands, except per share data)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 U.S. dollars, unless otherwise stated)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AMDOCS</w:t>
            </w:r>
          </w:p>
        </w:tc>
        <w:tc>
          <w:tcPr>
            <w:tcW w:w="22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SOLECT</w:t>
            </w:r>
          </w:p>
        </w:tc>
        <w:tc>
          <w:tcPr>
            <w:tcW w:w="1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c>
          <w:tcPr>
            <w:tcW w:w="10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HISTORICAL</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ADJUSTMENTS</w:t>
            </w:r>
          </w:p>
        </w:tc>
        <w:tc>
          <w:tcPr>
            <w:tcW w:w="10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$ 506,251</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517,425</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Cost of revenue</w:t>
            </w:r>
          </w:p>
        </w:tc>
        <w:tc>
          <w:tcPr>
            <w:tcW w:w="42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298,554</w:t>
            </w:r>
          </w:p>
        </w:tc>
        <w:tc>
          <w:tcPr>
            <w:tcW w:w="2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6,607</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4,568</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spacing w:after="0"/>
              <w:rPr>
                <w:sz w:val="24"/>
                <w:szCs w:val="24"/>
                <w:color w:val="auto"/>
              </w:rPr>
            </w:pPr>
          </w:p>
        </w:tc>
      </w:tr>
      <w:tr>
        <w:trPr>
          <w:trHeight w:val="166"/>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548</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310,277</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32,683</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36,099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62,163</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6,308</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97,652</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w:t>
            </w:r>
          </w:p>
        </w:tc>
        <w:tc>
          <w:tcPr>
            <w:tcW w:w="9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166,325</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 expenses</w:t>
            </w:r>
          </w:p>
        </w:tc>
        <w:tc>
          <w:tcPr>
            <w:tcW w:w="42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19,876</w:t>
            </w:r>
          </w:p>
        </w:tc>
        <w:tc>
          <w:tcPr>
            <w:tcW w:w="2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19,876</w:t>
            </w:r>
          </w:p>
        </w:tc>
      </w:tr>
      <w:tr>
        <w:trPr>
          <w:trHeight w:val="331"/>
        </w:trPr>
        <w:tc>
          <w:tcPr>
            <w:tcW w:w="406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413,276</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16,331</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102,970</w:t>
            </w: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532,577</w:t>
            </w: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92,975</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(5,157)</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(102,970)</w:t>
            </w: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(15,152)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 income (expenses), net</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2,663</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704</w:t>
            </w: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2,570</w:t>
            </w: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95,638</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(5,954)</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(102,266)</w:t>
            </w: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(12,582)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35,494</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14"/>
                <w:szCs w:val="14"/>
                <w:color w:val="auto"/>
              </w:rPr>
            </w:pPr>
          </w:p>
        </w:tc>
        <w:tc>
          <w:tcPr>
            <w:tcW w:w="19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(1,518) (11)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34,013</w:t>
            </w: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60,144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(100,748)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(46,595)</w:t>
            </w:r>
          </w:p>
        </w:tc>
      </w:tr>
      <w:tr>
        <w:trPr>
          <w:trHeight w:val="166"/>
        </w:trPr>
        <w:tc>
          <w:tcPr>
            <w:tcW w:w="4060" w:type="dxa"/>
            <w:vAlign w:val="bottom"/>
          </w:tcPr>
          <w:p>
            <w:pPr>
              <w:spacing w:after="0"/>
              <w:rPr>
                <w:sz w:val="14"/>
                <w:szCs w:val="14"/>
                <w:color w:val="auto"/>
              </w:rPr>
            </w:pPr>
          </w:p>
        </w:tc>
        <w:tc>
          <w:tcPr>
            <w:tcW w:w="34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0.30</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0.29</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203,465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217,311</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207,904</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217,311</w:t>
            </w:r>
          </w:p>
        </w:tc>
      </w:tr>
      <w:tr>
        <w:trPr>
          <w:trHeight w:val="166"/>
        </w:trPr>
        <w:tc>
          <w:tcPr>
            <w:tcW w:w="4060" w:type="dxa"/>
            <w:vAlign w:val="bottom"/>
          </w:tcPr>
          <w:p>
            <w:pPr>
              <w:spacing w:after="0"/>
              <w:rPr>
                <w:sz w:val="14"/>
                <w:szCs w:val="14"/>
                <w:color w:val="auto"/>
              </w:rPr>
            </w:pP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See notes to Unaudited Pro Forma Condensed Combined Financial Statements for discussion of adjustments.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97"/>
        </w:trPr>
        <w:tc>
          <w:tcPr>
            <w:tcW w:w="260" w:type="dxa"/>
            <w:vAlign w:val="bottom"/>
          </w:tcPr>
          <w:p>
            <w:pPr>
              <w:spacing w:after="0"/>
              <w:rPr>
                <w:sz w:val="24"/>
                <w:szCs w:val="24"/>
                <w:color w:val="auto"/>
              </w:rPr>
            </w:pPr>
          </w:p>
        </w:tc>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6460" w:type="dxa"/>
            <w:vAlign w:val="bottom"/>
          </w:tcPr>
          <w:p>
            <w:pPr>
              <w:ind w:left="1300"/>
              <w:spacing w:after="0"/>
              <w:rPr>
                <w:sz w:val="20"/>
                <w:szCs w:val="20"/>
                <w:color w:val="auto"/>
              </w:rPr>
            </w:pPr>
            <w:r>
              <w:rPr>
                <w:rFonts w:ascii="Courier New" w:cs="Courier New" w:eastAsia="Courier New" w:hAnsi="Courier New"/>
                <w:sz w:val="14"/>
                <w:szCs w:val="14"/>
                <w:color w:val="auto"/>
              </w:rPr>
              <w:t>(in thousands, except per share data)</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460" w:type="dxa"/>
            <w:vAlign w:val="bottom"/>
          </w:tcPr>
          <w:p>
            <w:pPr>
              <w:ind w:left="1380"/>
              <w:spacing w:after="0"/>
              <w:rPr>
                <w:sz w:val="20"/>
                <w:szCs w:val="20"/>
                <w:color w:val="auto"/>
              </w:rPr>
            </w:pPr>
            <w:r>
              <w:rPr>
                <w:rFonts w:ascii="Courier New" w:cs="Courier New" w:eastAsia="Courier New" w:hAnsi="Courier New"/>
                <w:sz w:val="14"/>
                <w:szCs w:val="14"/>
                <w:color w:val="auto"/>
              </w:rPr>
              <w:t>(in U.S. dollars, unless otherwise stated)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w:t>
            </w:r>
          </w:p>
        </w:tc>
        <w:tc>
          <w:tcPr>
            <w:tcW w:w="6460" w:type="dxa"/>
            <w:vAlign w:val="bottom"/>
          </w:tcPr>
          <w:p>
            <w:pPr>
              <w:ind w:left="360"/>
              <w:spacing w:after="0"/>
              <w:rPr>
                <w:sz w:val="20"/>
                <w:szCs w:val="20"/>
                <w:color w:val="auto"/>
              </w:rPr>
            </w:pPr>
            <w:r>
              <w:rPr>
                <w:rFonts w:ascii="Courier New" w:cs="Courier New" w:eastAsia="Courier New" w:hAnsi="Courier New"/>
                <w:sz w:val="14"/>
                <w:szCs w:val="14"/>
                <w:color w:val="auto"/>
              </w:rPr>
              <w:t>Reflects the allocation of purchase price as follows: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13,846 ordinary shares valued at $69.875 per share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967,510</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Fair value of stock options to be granted to Solect employees in</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460" w:type="dxa"/>
            <w:vAlign w:val="bottom"/>
          </w:tcPr>
          <w:p>
            <w:pPr>
              <w:ind w:left="600"/>
              <w:spacing w:after="0"/>
              <w:rPr>
                <w:sz w:val="20"/>
                <w:szCs w:val="20"/>
                <w:color w:val="auto"/>
              </w:rPr>
            </w:pPr>
            <w:r>
              <w:rPr>
                <w:rFonts w:ascii="Courier New" w:cs="Courier New" w:eastAsia="Courier New" w:hAnsi="Courier New"/>
                <w:sz w:val="14"/>
                <w:szCs w:val="14"/>
                <w:color w:val="auto"/>
              </w:rPr>
              <w:t>exchange for Solect vested stock options</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44,727</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Fair value of stock options to be granted to Solect employees in</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460" w:type="dxa"/>
            <w:vAlign w:val="bottom"/>
          </w:tcPr>
          <w:p>
            <w:pPr>
              <w:ind w:left="600"/>
              <w:spacing w:after="0"/>
              <w:rPr>
                <w:sz w:val="20"/>
                <w:szCs w:val="20"/>
                <w:color w:val="auto"/>
              </w:rPr>
            </w:pPr>
            <w:r>
              <w:rPr>
                <w:rFonts w:ascii="Courier New" w:cs="Courier New" w:eastAsia="Courier New" w:hAnsi="Courier New"/>
                <w:sz w:val="14"/>
                <w:szCs w:val="14"/>
                <w:color w:val="auto"/>
              </w:rPr>
              <w:t>exchange for Solect unvested stock options</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65,474</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Estimated transaction costs</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6460" w:type="dxa"/>
            <w:vAlign w:val="bottom"/>
          </w:tcPr>
          <w:p>
            <w:pPr>
              <w:ind w:left="4580"/>
              <w:spacing w:after="0"/>
              <w:rPr>
                <w:sz w:val="20"/>
                <w:szCs w:val="20"/>
                <w:color w:val="auto"/>
              </w:rPr>
            </w:pPr>
            <w:r>
              <w:rPr>
                <w:rFonts w:ascii="Courier New" w:cs="Courier New" w:eastAsia="Courier New" w:hAnsi="Courier New"/>
                <w:sz w:val="14"/>
                <w:szCs w:val="14"/>
                <w:color w:val="auto"/>
              </w:rPr>
              <w:t>Total purchase price</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$1,087,711</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6720" w:type="dxa"/>
            <w:vAlign w:val="bottom"/>
            <w:gridSpan w:val="2"/>
          </w:tcPr>
          <w:p>
            <w:pPr>
              <w:spacing w:after="0"/>
              <w:rPr>
                <w:sz w:val="20"/>
                <w:szCs w:val="20"/>
                <w:color w:val="auto"/>
              </w:rPr>
            </w:pPr>
            <w:r>
              <w:rPr>
                <w:rFonts w:ascii="Courier New" w:cs="Courier New" w:eastAsia="Courier New" w:hAnsi="Courier New"/>
                <w:sz w:val="14"/>
                <w:szCs w:val="14"/>
                <w:color w:val="auto"/>
              </w:rPr>
              <w:t>Allocation of purchase price: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260" w:type="dxa"/>
            <w:vAlign w:val="bottom"/>
          </w:tcPr>
          <w:p>
            <w:pPr>
              <w:spacing w:after="0"/>
              <w:rPr>
                <w:sz w:val="24"/>
                <w:szCs w:val="2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Tangible assets acquired</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59,694</w:t>
            </w:r>
          </w:p>
        </w:tc>
      </w:tr>
      <w:tr>
        <w:trPr>
          <w:trHeight w:val="331"/>
        </w:trPr>
        <w:tc>
          <w:tcPr>
            <w:tcW w:w="260" w:type="dxa"/>
            <w:vAlign w:val="bottom"/>
          </w:tcPr>
          <w:p>
            <w:pPr>
              <w:spacing w:after="0"/>
              <w:rPr>
                <w:sz w:val="24"/>
                <w:szCs w:val="2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Liabilities assumed</w:t>
            </w:r>
          </w:p>
        </w:tc>
        <w:tc>
          <w:tcPr>
            <w:tcW w:w="3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12,716</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Net tangible assets</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46,978</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In process research and development (*)</w:t>
            </w:r>
          </w:p>
        </w:tc>
        <w:tc>
          <w:tcPr>
            <w:tcW w:w="3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50,554</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Core technology</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18,272</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Workforce in place</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3,286</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Customer base</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1,211</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value of certain assets and their tax basis</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(9,108)</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Net identifiable intangible assets</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64,215</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Goodwill</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976,518</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$1,087,711</w:t>
            </w:r>
          </w:p>
        </w:tc>
      </w:tr>
      <w:tr>
        <w:trPr>
          <w:trHeight w:val="166"/>
        </w:trPr>
        <w:tc>
          <w:tcPr>
            <w:tcW w:w="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419" w:firstLine="8"/>
        <w:spacing w:after="0" w:line="255"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allocated to in-process research and development of $50,554 will be charged to expense immediately upon the completion of the transaction.</w:t>
      </w:r>
    </w:p>
    <w:p>
      <w:pPr>
        <w:spacing w:after="0" w:line="160" w:lineRule="exact"/>
        <w:rPr>
          <w:sz w:val="20"/>
          <w:szCs w:val="20"/>
          <w:color w:val="auto"/>
        </w:rPr>
      </w:pPr>
    </w:p>
    <w:p>
      <w:pPr>
        <w:ind w:left="620" w:right="3419" w:hanging="612"/>
        <w:spacing w:after="0" w:line="252"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estimated transaction costs. In addition, subsequent to January 31, 2000 Solect incurred approximately $12,000 of transaction costs, which were expensed when incurred. Such costs will result in an increase to the estimated goodwill stated above.</w:t>
      </w:r>
    </w:p>
    <w:p>
      <w:pPr>
        <w:spacing w:after="0" w:line="162" w:lineRule="exact"/>
        <w:rPr>
          <w:rFonts w:ascii="Courier New" w:cs="Courier New" w:eastAsia="Courier New" w:hAnsi="Courier New"/>
          <w:sz w:val="14"/>
          <w:szCs w:val="14"/>
          <w:color w:val="auto"/>
        </w:rPr>
      </w:pPr>
    </w:p>
    <w:p>
      <w:pPr>
        <w:ind w:left="620" w:right="3339" w:hanging="612"/>
        <w:spacing w:after="0" w:line="255"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Solect's historical accumulated shareholders' deficit.</w:t>
      </w:r>
    </w:p>
    <w:p>
      <w:pPr>
        <w:spacing w:after="0" w:line="159" w:lineRule="exact"/>
        <w:rPr>
          <w:rFonts w:ascii="Courier New" w:cs="Courier New" w:eastAsia="Courier New" w:hAnsi="Courier New"/>
          <w:sz w:val="14"/>
          <w:szCs w:val="14"/>
          <w:color w:val="auto"/>
        </w:rPr>
      </w:pPr>
    </w:p>
    <w:p>
      <w:pPr>
        <w:ind w:left="620" w:right="3419" w:hanging="612"/>
        <w:spacing w:after="0" w:line="252"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Amdocs Ordinary Shares and the recording of the value of stock options to be granted to Solect's employees in exchange for Solect's stock options.</w:t>
      </w:r>
    </w:p>
    <w:p>
      <w:pPr>
        <w:spacing w:after="0" w:line="16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 the write-off of in process research and development.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 w:name="page9"/>
    <w:bookmarkEnd w:id="8"/>
    <w:p>
      <w:pPr>
        <w:ind w:left="252"/>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left="612" w:right="3360" w:hanging="612"/>
        <w:spacing w:after="0" w:line="251" w:lineRule="auto"/>
        <w:tabs>
          <w:tab w:leader="none" w:pos="61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conversion of Solect's debentures to common stock prior to the "closing". The accrued interest payable with respect to the debentures has been adjusted in the accompanying pro forma. Additionally, the pro forma reflects the decrease in interest expenses related to the debentures.</w:t>
      </w:r>
    </w:p>
    <w:p>
      <w:pPr>
        <w:spacing w:after="0" w:line="164" w:lineRule="exact"/>
        <w:rPr>
          <w:rFonts w:ascii="Courier New" w:cs="Courier New" w:eastAsia="Courier New" w:hAnsi="Courier New"/>
          <w:sz w:val="14"/>
          <w:szCs w:val="14"/>
          <w:color w:val="auto"/>
        </w:rPr>
      </w:pPr>
    </w:p>
    <w:p>
      <w:pPr>
        <w:ind w:left="612" w:right="3540" w:hanging="612"/>
        <w:spacing w:after="0" w:line="252" w:lineRule="auto"/>
        <w:tabs>
          <w:tab w:leader="none" w:pos="61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conversion of Solect warrants to common stock prior to the "closing". The total proceeds from the conversion of $13,319 has been debited to Cash and cash equivalents.</w:t>
      </w:r>
    </w:p>
    <w:p>
      <w:pPr>
        <w:spacing w:after="0" w:line="162" w:lineRule="exact"/>
        <w:rPr>
          <w:rFonts w:ascii="Courier New" w:cs="Courier New" w:eastAsia="Courier New" w:hAnsi="Courier New"/>
          <w:sz w:val="14"/>
          <w:szCs w:val="14"/>
          <w:color w:val="auto"/>
        </w:rPr>
      </w:pPr>
    </w:p>
    <w:p>
      <w:pPr>
        <w:ind w:left="612" w:hanging="612"/>
        <w:spacing w:after="0"/>
        <w:tabs>
          <w:tab w:leader="none" w:pos="61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amortization of goodwill resulting from the acquisition:</w:t>
      </w:r>
    </w:p>
    <w:p>
      <w:pPr>
        <w:sectPr>
          <w:pgSz w:w="11900" w:h="16838" w:orient="portrait"/>
          <w:cols w:equalWidth="0" w:num="1">
            <w:col w:w="10252"/>
          </w:cols>
          <w:pgMar w:left="228" w:top="285" w:right="14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TWELVE MONTHS ENDED</w:t>
      </w:r>
    </w:p>
    <w:p>
      <w:pPr>
        <w:spacing w:after="0" w:line="7"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SEPTEMBER 30, 1999</w:t>
      </w:r>
    </w:p>
    <w:p>
      <w:pPr>
        <w:spacing w:after="0" w:line="7"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4"/>
          <w:szCs w:val="14"/>
          <w:color w:val="auto"/>
        </w:rPr>
        <w:t>SIX MONTHS ENDED MARCH 31, 2000 ----------------</w:t>
      </w:r>
    </w:p>
    <w:p>
      <w:pPr>
        <w:spacing w:after="0" w:line="163" w:lineRule="exact"/>
        <w:rPr>
          <w:sz w:val="20"/>
          <w:szCs w:val="20"/>
          <w:color w:val="auto"/>
        </w:rPr>
      </w:pPr>
    </w:p>
    <w:p>
      <w:pPr>
        <w:sectPr>
          <w:pgSz w:w="11900" w:h="16838" w:orient="portrait"/>
          <w:cols w:equalWidth="0" w:num="2">
            <w:col w:w="8532" w:space="340"/>
            <w:col w:w="1380"/>
          </w:cols>
          <w:pgMar w:left="228" w:top="285" w:right="1419" w:bottom="1440" w:gutter="0" w:footer="0" w:header="0"/>
          <w:type w:val="continuous"/>
        </w:sectPr>
      </w:pPr>
    </w:p>
    <w:p>
      <w:pPr>
        <w:ind w:left="612"/>
        <w:spacing w:after="0"/>
        <w:rPr>
          <w:sz w:val="20"/>
          <w:szCs w:val="20"/>
          <w:color w:val="auto"/>
        </w:rPr>
      </w:pPr>
      <w:r>
        <w:rPr>
          <w:rFonts w:ascii="Courier New" w:cs="Courier New" w:eastAsia="Courier New" w:hAnsi="Courier New"/>
          <w:sz w:val="14"/>
          <w:szCs w:val="14"/>
          <w:color w:val="auto"/>
        </w:rPr>
        <w:t>Amortization expense relating to goodwill of $976,518 over 5 years</w:t>
      </w:r>
    </w:p>
    <w:p>
      <w:pPr>
        <w:spacing w:after="0" w:line="20" w:lineRule="exact"/>
        <w:rPr>
          <w:sz w:val="20"/>
          <w:szCs w:val="20"/>
          <w:color w:val="auto"/>
        </w:rPr>
      </w:pPr>
      <w:r>
        <w:rPr>
          <w:sz w:val="20"/>
          <w:szCs w:val="20"/>
          <w:color w:val="auto"/>
        </w:rPr>
        <w:br w:type="column"/>
      </w:r>
    </w:p>
    <w:p>
      <w:pPr>
        <w:jc w:val="center"/>
        <w:ind w:right="320"/>
        <w:spacing w:after="0"/>
        <w:tabs>
          <w:tab w:leader="none" w:pos="160" w:val="left"/>
        </w:tabs>
        <w:rPr>
          <w:sz w:val="20"/>
          <w:szCs w:val="20"/>
          <w:color w:val="auto"/>
        </w:rPr>
      </w:pPr>
      <w:r>
        <w:rPr>
          <w:rFonts w:ascii="Courier New" w:cs="Courier New" w:eastAsia="Courier New" w:hAnsi="Courier New"/>
          <w:sz w:val="14"/>
          <w:szCs w:val="14"/>
          <w:color w:val="auto"/>
        </w:rPr>
        <w:t>$</w:t>
        <w:tab/>
        <w:t>195,304</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97,652</w:t>
      </w:r>
    </w:p>
    <w:p>
      <w:pPr>
        <w:spacing w:after="0" w:line="200" w:lineRule="exact"/>
        <w:rPr>
          <w:sz w:val="20"/>
          <w:szCs w:val="20"/>
          <w:color w:val="auto"/>
        </w:rPr>
      </w:pPr>
    </w:p>
    <w:p>
      <w:pPr>
        <w:sectPr>
          <w:pgSz w:w="11900" w:h="16838" w:orient="portrait"/>
          <w:cols w:equalWidth="0" w:num="3">
            <w:col w:w="6512" w:space="720"/>
            <w:col w:w="1180" w:space="720"/>
            <w:col w:w="1120"/>
          </w:cols>
          <w:pgMar w:left="228" w:top="285" w:right="1419" w:bottom="1440" w:gutter="0" w:footer="0" w:header="0"/>
          <w:type w:val="continuous"/>
        </w:sectPr>
      </w:pPr>
    </w:p>
    <w:p>
      <w:pPr>
        <w:spacing w:after="0" w:line="138" w:lineRule="exact"/>
        <w:rPr>
          <w:sz w:val="20"/>
          <w:szCs w:val="20"/>
          <w:color w:val="auto"/>
        </w:rPr>
      </w:pPr>
    </w:p>
    <w:p>
      <w:pPr>
        <w:ind w:left="612" w:right="3360" w:hanging="612"/>
        <w:spacing w:after="0" w:line="255" w:lineRule="auto"/>
        <w:tabs>
          <w:tab w:leader="none" w:pos="6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amortization of the Core Technology resulting from the valuation at the time of the Acquisition:</w:t>
      </w:r>
    </w:p>
    <w:p>
      <w:pPr>
        <w:sectPr>
          <w:pgSz w:w="11900" w:h="16838" w:orient="portrait"/>
          <w:cols w:equalWidth="0" w:num="1">
            <w:col w:w="10252"/>
          </w:cols>
          <w:pgMar w:left="228" w:top="285" w:right="141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TWELVE MONTHS ENDED</w:t>
      </w:r>
    </w:p>
    <w:p>
      <w:pPr>
        <w:spacing w:after="0" w:line="7"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SEPTEMBER 30, 1999</w:t>
      </w:r>
    </w:p>
    <w:p>
      <w:pPr>
        <w:spacing w:after="0" w:line="7"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4"/>
          <w:szCs w:val="14"/>
          <w:color w:val="auto"/>
        </w:rPr>
        <w:t>SIX MONTHS ENDED MARCH 31, 2000 ----------------</w:t>
      </w:r>
    </w:p>
    <w:p>
      <w:pPr>
        <w:spacing w:after="0" w:line="163" w:lineRule="exact"/>
        <w:rPr>
          <w:sz w:val="20"/>
          <w:szCs w:val="20"/>
          <w:color w:val="auto"/>
        </w:rPr>
      </w:pPr>
    </w:p>
    <w:p>
      <w:pPr>
        <w:sectPr>
          <w:pgSz w:w="11900" w:h="16838" w:orient="portrait"/>
          <w:cols w:equalWidth="0" w:num="2">
            <w:col w:w="8532" w:space="340"/>
            <w:col w:w="1380"/>
          </w:cols>
          <w:pgMar w:left="228" w:top="285" w:right="1419" w:bottom="1440" w:gutter="0" w:footer="0" w:header="0"/>
          <w:type w:val="continuous"/>
        </w:sectPr>
      </w:pPr>
    </w:p>
    <w:p>
      <w:pPr>
        <w:ind w:left="612"/>
        <w:spacing w:after="0"/>
        <w:rPr>
          <w:sz w:val="20"/>
          <w:szCs w:val="20"/>
          <w:color w:val="auto"/>
        </w:rPr>
      </w:pPr>
      <w:r>
        <w:rPr>
          <w:rFonts w:ascii="Courier New" w:cs="Courier New" w:eastAsia="Courier New" w:hAnsi="Courier New"/>
          <w:sz w:val="14"/>
          <w:szCs w:val="14"/>
          <w:color w:val="auto"/>
        </w:rPr>
        <w:t>Amortization expense relating to Core Technology of $18,272 over</w:t>
      </w:r>
    </w:p>
    <w:p>
      <w:pPr>
        <w:sectPr>
          <w:pgSz w:w="11900" w:h="16838" w:orient="portrait"/>
          <w:cols w:equalWidth="0" w:num="1">
            <w:col w:w="10252"/>
          </w:cols>
          <w:pgMar w:left="228" w:top="285" w:right="1419" w:bottom="1440" w:gutter="0" w:footer="0" w:header="0"/>
          <w:type w:val="continuous"/>
        </w:sectPr>
      </w:pPr>
    </w:p>
    <w:p>
      <w:pPr>
        <w:spacing w:after="0" w:line="7" w:lineRule="exact"/>
        <w:rPr>
          <w:sz w:val="20"/>
          <w:szCs w:val="20"/>
          <w:color w:val="auto"/>
        </w:rPr>
      </w:pPr>
    </w:p>
    <w:p>
      <w:pPr>
        <w:ind w:left="612"/>
        <w:spacing w:after="0"/>
        <w:rPr>
          <w:sz w:val="20"/>
          <w:szCs w:val="20"/>
          <w:color w:val="auto"/>
        </w:rPr>
      </w:pPr>
      <w:r>
        <w:rPr>
          <w:rFonts w:ascii="Courier New" w:cs="Courier New" w:eastAsia="Courier New" w:hAnsi="Courier New"/>
          <w:sz w:val="14"/>
          <w:szCs w:val="14"/>
          <w:color w:val="auto"/>
        </w:rPr>
        <w:t>2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9,136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4,568</w:t>
      </w:r>
    </w:p>
    <w:p>
      <w:pPr>
        <w:spacing w:after="0" w:line="200" w:lineRule="exact"/>
        <w:rPr>
          <w:sz w:val="20"/>
          <w:szCs w:val="20"/>
          <w:color w:val="auto"/>
        </w:rPr>
      </w:pPr>
    </w:p>
    <w:p>
      <w:pPr>
        <w:sectPr>
          <w:pgSz w:w="11900" w:h="16838" w:orient="portrait"/>
          <w:cols w:equalWidth="0" w:num="5">
            <w:col w:w="6512" w:space="720"/>
            <w:col w:w="80" w:space="360"/>
            <w:col w:w="740" w:space="720"/>
            <w:col w:w="80" w:space="340"/>
            <w:col w:w="700"/>
          </w:cols>
          <w:pgMar w:left="228" w:top="285" w:right="1419" w:bottom="1440" w:gutter="0" w:footer="0" w:header="0"/>
          <w:type w:val="continuous"/>
        </w:sectPr>
      </w:pPr>
    </w:p>
    <w:p>
      <w:pPr>
        <w:spacing w:after="0" w:line="138" w:lineRule="exact"/>
        <w:rPr>
          <w:sz w:val="20"/>
          <w:szCs w:val="20"/>
          <w:color w:val="auto"/>
        </w:rPr>
      </w:pPr>
    </w:p>
    <w:p>
      <w:pPr>
        <w:ind w:left="612" w:right="3540" w:hanging="612"/>
        <w:spacing w:after="0" w:line="255" w:lineRule="auto"/>
        <w:tabs>
          <w:tab w:leader="none" w:pos="61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amortization of the workforce-in-place and customers base, as follows:</w:t>
      </w:r>
    </w:p>
    <w:p>
      <w:pPr>
        <w:sectPr>
          <w:pgSz w:w="11900" w:h="16838" w:orient="portrait"/>
          <w:cols w:equalWidth="0" w:num="1">
            <w:col w:w="10252"/>
          </w:cols>
          <w:pgMar w:left="228" w:top="285" w:right="141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TWELVE MONTHS ENDED</w:t>
      </w:r>
    </w:p>
    <w:p>
      <w:pPr>
        <w:spacing w:after="0" w:line="7"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SEPTEMBER 30, 1999</w:t>
      </w:r>
    </w:p>
    <w:p>
      <w:pPr>
        <w:spacing w:after="0" w:line="7" w:lineRule="exact"/>
        <w:rPr>
          <w:sz w:val="20"/>
          <w:szCs w:val="20"/>
          <w:color w:val="auto"/>
        </w:rPr>
      </w:pPr>
    </w:p>
    <w:p>
      <w:pPr>
        <w:ind w:left="6892"/>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4"/>
          <w:szCs w:val="14"/>
          <w:color w:val="auto"/>
        </w:rPr>
        <w:t>SIX MONTHS ENDED MARCH 31, 2000 ----------------</w:t>
      </w:r>
    </w:p>
    <w:p>
      <w:pPr>
        <w:spacing w:after="0" w:line="163" w:lineRule="exact"/>
        <w:rPr>
          <w:sz w:val="20"/>
          <w:szCs w:val="20"/>
          <w:color w:val="auto"/>
        </w:rPr>
      </w:pPr>
    </w:p>
    <w:p>
      <w:pPr>
        <w:sectPr>
          <w:pgSz w:w="11900" w:h="16838" w:orient="portrait"/>
          <w:cols w:equalWidth="0" w:num="2">
            <w:col w:w="8532" w:space="340"/>
            <w:col w:w="1380"/>
          </w:cols>
          <w:pgMar w:left="228" w:top="285" w:right="1419" w:bottom="1440" w:gutter="0" w:footer="0" w:header="0"/>
          <w:type w:val="continuous"/>
        </w:sectPr>
      </w:pPr>
    </w:p>
    <w:p>
      <w:pPr>
        <w:ind w:left="612"/>
        <w:spacing w:after="0"/>
        <w:rPr>
          <w:sz w:val="20"/>
          <w:szCs w:val="20"/>
          <w:color w:val="auto"/>
        </w:rPr>
      </w:pPr>
      <w:r>
        <w:rPr>
          <w:rFonts w:ascii="Courier New" w:cs="Courier New" w:eastAsia="Courier New" w:hAnsi="Courier New"/>
          <w:sz w:val="14"/>
          <w:szCs w:val="14"/>
          <w:color w:val="auto"/>
        </w:rPr>
        <w:t>Amortization expense relating to workforce-in-place of $3,286 over</w:t>
      </w:r>
    </w:p>
    <w:p>
      <w:pPr>
        <w:sectPr>
          <w:pgSz w:w="11900" w:h="16838" w:orient="portrait"/>
          <w:cols w:equalWidth="0" w:num="1">
            <w:col w:w="10252"/>
          </w:cols>
          <w:pgMar w:left="228" w:top="285" w:right="1419" w:bottom="1440" w:gutter="0" w:footer="0" w:header="0"/>
          <w:type w:val="continuous"/>
        </w:sectPr>
      </w:pPr>
    </w:p>
    <w:p>
      <w:pPr>
        <w:spacing w:after="0" w:line="7" w:lineRule="exact"/>
        <w:rPr>
          <w:sz w:val="20"/>
          <w:szCs w:val="20"/>
          <w:color w:val="auto"/>
        </w:rPr>
      </w:pPr>
    </w:p>
    <w:p>
      <w:pPr>
        <w:ind w:left="612"/>
        <w:spacing w:after="0"/>
        <w:rPr>
          <w:sz w:val="20"/>
          <w:szCs w:val="20"/>
          <w:color w:val="auto"/>
        </w:rPr>
      </w:pPr>
      <w:r>
        <w:rPr>
          <w:rFonts w:ascii="Courier New" w:cs="Courier New" w:eastAsia="Courier New" w:hAnsi="Courier New"/>
          <w:sz w:val="14"/>
          <w:szCs w:val="14"/>
          <w:color w:val="auto"/>
        </w:rPr>
        <w:t>3 years</w:t>
      </w:r>
    </w:p>
    <w:p>
      <w:pPr>
        <w:spacing w:after="0" w:line="7" w:lineRule="exact"/>
        <w:rPr>
          <w:sz w:val="20"/>
          <w:szCs w:val="20"/>
          <w:color w:val="auto"/>
        </w:rPr>
      </w:pPr>
    </w:p>
    <w:p>
      <w:pPr>
        <w:ind w:left="612"/>
        <w:spacing w:after="0"/>
        <w:rPr>
          <w:sz w:val="20"/>
          <w:szCs w:val="20"/>
          <w:color w:val="auto"/>
        </w:rPr>
      </w:pPr>
      <w:r>
        <w:rPr>
          <w:rFonts w:ascii="Courier New" w:cs="Courier New" w:eastAsia="Courier New" w:hAnsi="Courier New"/>
          <w:sz w:val="14"/>
          <w:szCs w:val="14"/>
          <w:color w:val="auto"/>
        </w:rPr>
        <w:t>Amortization expense relating to customer base of $1,211 over 3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320"/>
        <w:spacing w:after="0"/>
        <w:rPr>
          <w:sz w:val="20"/>
          <w:szCs w:val="20"/>
          <w:color w:val="auto"/>
        </w:rPr>
      </w:pPr>
      <w:r>
        <w:rPr>
          <w:rFonts w:ascii="Courier New" w:cs="Courier New" w:eastAsia="Courier New" w:hAnsi="Courier New"/>
          <w:sz w:val="14"/>
          <w:szCs w:val="14"/>
          <w:color w:val="auto"/>
        </w:rPr>
        <w:t>1,095</w:t>
      </w:r>
    </w:p>
    <w:p>
      <w:pPr>
        <w:spacing w:after="0" w:line="7"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404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w:t>
      </w:r>
    </w:p>
    <w:p>
      <w:pPr>
        <w:spacing w:after="0" w:line="200" w:lineRule="exact"/>
        <w:rPr>
          <w:sz w:val="20"/>
          <w:szCs w:val="20"/>
          <w:color w:val="auto"/>
        </w:rPr>
      </w:pPr>
    </w:p>
    <w:p>
      <w:pPr>
        <w:sectPr>
          <w:pgSz w:w="11900" w:h="16838" w:orient="portrait"/>
          <w:cols w:equalWidth="0" w:num="5">
            <w:col w:w="6552" w:space="680"/>
            <w:col w:w="80" w:space="360"/>
            <w:col w:w="740" w:space="720"/>
            <w:col w:w="80" w:space="520"/>
            <w:col w:w="520"/>
          </w:cols>
          <w:pgMar w:left="228" w:top="285" w:right="1419" w:bottom="1440" w:gutter="0" w:footer="0" w:header="0"/>
          <w:type w:val="continuous"/>
        </w:sectPr>
      </w:pPr>
    </w:p>
    <w:p>
      <w:pPr>
        <w:spacing w:after="0" w:line="138" w:lineRule="exact"/>
        <w:rPr>
          <w:sz w:val="20"/>
          <w:szCs w:val="20"/>
          <w:color w:val="auto"/>
        </w:rPr>
      </w:pPr>
    </w:p>
    <w:p>
      <w:pPr>
        <w:ind w:left="612" w:right="3360" w:hanging="612"/>
        <w:spacing w:after="0" w:line="252" w:lineRule="auto"/>
        <w:tabs>
          <w:tab w:leader="none" w:pos="61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taxes resulting from the differences between the values assigned to core technology, workforce-in-place and customer base and their respective tax basis.</w:t>
      </w:r>
    </w:p>
    <w:p>
      <w:pPr>
        <w:spacing w:after="0" w:line="162" w:lineRule="exact"/>
        <w:rPr>
          <w:rFonts w:ascii="Courier New" w:cs="Courier New" w:eastAsia="Courier New" w:hAnsi="Courier New"/>
          <w:sz w:val="14"/>
          <w:szCs w:val="14"/>
          <w:color w:val="auto"/>
        </w:rPr>
      </w:pPr>
    </w:p>
    <w:p>
      <w:pPr>
        <w:ind w:left="612" w:right="3440" w:hanging="612"/>
        <w:spacing w:after="0" w:line="255" w:lineRule="auto"/>
        <w:tabs>
          <w:tab w:leader="none" w:pos="61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shares used in the diluted loss per share calculation does not include any stock options due to their antidilutive effect.</w:t>
      </w: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52"/>
          </w:cols>
          <w:pgMar w:left="228" w:top="285" w:right="1419"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ind w:left="2240"/>
              <w:spacing w:after="0"/>
              <w:rPr>
                <w:sz w:val="20"/>
                <w:szCs w:val="20"/>
                <w:color w:val="auto"/>
              </w:rPr>
            </w:pPr>
            <w:r>
              <w:rPr>
                <w:rFonts w:ascii="Courier New" w:cs="Courier New" w:eastAsia="Courier New" w:hAnsi="Courier New"/>
                <w:sz w:val="14"/>
                <w:szCs w:val="14"/>
                <w:color w:val="auto"/>
              </w:rPr>
              <w:t>INDEX</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TO FINANCIAL STATEMENTS</w:t>
            </w:r>
          </w:p>
        </w:tc>
        <w:tc>
          <w:tcPr>
            <w:tcW w:w="260" w:type="dxa"/>
            <w:vAlign w:val="bottom"/>
          </w:tcPr>
          <w:p>
            <w:pPr>
              <w:spacing w:after="0"/>
              <w:rPr>
                <w:sz w:val="14"/>
                <w:szCs w:val="14"/>
                <w:color w:val="auto"/>
              </w:rPr>
            </w:pPr>
          </w:p>
        </w:tc>
      </w:tr>
      <w:tr>
        <w:trPr>
          <w:trHeight w:val="331"/>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Audited Consolidated Financial Statements</w:t>
            </w:r>
          </w:p>
        </w:tc>
        <w:tc>
          <w:tcPr>
            <w:tcW w:w="260" w:type="dxa"/>
            <w:vAlign w:val="bottom"/>
          </w:tcPr>
          <w:p>
            <w:pPr>
              <w:spacing w:after="0"/>
              <w:rPr>
                <w:sz w:val="24"/>
                <w:szCs w:val="24"/>
                <w:color w:val="auto"/>
              </w:rPr>
            </w:pP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Auditors' Report.........................................................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 as at July 31, 1998 and 1999..................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Loss and Deficit</w:t>
            </w:r>
          </w:p>
        </w:tc>
        <w:tc>
          <w:tcPr>
            <w:tcW w:w="26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for the years ended July 31,</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1998 and 1999............................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Flows</w:t>
            </w:r>
          </w:p>
        </w:tc>
        <w:tc>
          <w:tcPr>
            <w:tcW w:w="26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for the years ended July 31,</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1998 and 1999............................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Statements...............................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Unaudited Consolidated Financial Statements</w:t>
            </w:r>
          </w:p>
        </w:tc>
        <w:tc>
          <w:tcPr>
            <w:tcW w:w="260" w:type="dxa"/>
            <w:vAlign w:val="bottom"/>
          </w:tcPr>
          <w:p>
            <w:pPr>
              <w:spacing w:after="0"/>
              <w:rPr>
                <w:sz w:val="24"/>
                <w:szCs w:val="24"/>
                <w:color w:val="auto"/>
              </w:rPr>
            </w:pP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 as at January 31, 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Consolidated Statements of Loss</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and Deficit</w:t>
            </w:r>
          </w:p>
        </w:tc>
        <w:tc>
          <w:tcPr>
            <w:tcW w:w="260" w:type="dxa"/>
            <w:vAlign w:val="bottom"/>
          </w:tcPr>
          <w:p>
            <w:pPr>
              <w:spacing w:after="0"/>
              <w:rPr>
                <w:sz w:val="14"/>
                <w:szCs w:val="14"/>
                <w:color w:val="auto"/>
              </w:rPr>
            </w:pPr>
          </w:p>
        </w:tc>
      </w:tr>
      <w:tr>
        <w:trPr>
          <w:trHeight w:val="166"/>
        </w:trPr>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the six months ended January 31, 1999 and 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Flows</w:t>
            </w:r>
          </w:p>
        </w:tc>
        <w:tc>
          <w:tcPr>
            <w:tcW w:w="260" w:type="dxa"/>
            <w:vAlign w:val="bottom"/>
          </w:tcPr>
          <w:p>
            <w:pPr>
              <w:spacing w:after="0"/>
              <w:rPr>
                <w:sz w:val="14"/>
                <w:szCs w:val="14"/>
                <w:color w:val="auto"/>
              </w:rPr>
            </w:pPr>
          </w:p>
        </w:tc>
      </w:tr>
      <w:tr>
        <w:trPr>
          <w:trHeight w:val="166"/>
        </w:trPr>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the six months ended January 31, 1999 and 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Statements...............................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497"/>
        </w:trPr>
        <w:tc>
          <w:tcPr>
            <w:tcW w:w="2760" w:type="dxa"/>
            <w:vAlign w:val="bottom"/>
          </w:tcPr>
          <w:p>
            <w:pPr>
              <w:spacing w:after="0"/>
              <w:rPr>
                <w:sz w:val="24"/>
                <w:szCs w:val="24"/>
                <w:color w:val="auto"/>
              </w:rPr>
            </w:pPr>
          </w:p>
        </w:tc>
        <w:tc>
          <w:tcPr>
            <w:tcW w:w="3620" w:type="dxa"/>
            <w:vAlign w:val="bottom"/>
          </w:tcPr>
          <w:p>
            <w:pPr>
              <w:ind w:left="600"/>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AUDITORS' 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consolidated balance sheet of SOLECT TECHNOLOGY GROUP INC. as at July 31, 1998 and 1999 and the consolidated statements of loss and deficit and cash flows for the years then ended.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Canada.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our opinion, these consolidated financial statements present fairly, in all material respects, the financial position of the Company as at July 31, 1998 and 1999 and the results of its operations and its cash flows for the years then ended in accordance with accounting principles generally accepted in Canada.</w:t>
      </w:r>
    </w:p>
    <w:p>
      <w:pPr>
        <w:spacing w:after="0" w:line="165"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Canadian generally accepted accounting principles differ in some respects from those applicable in the United States of America (Note 13). We have not audited the reconciliation to U.S. generally accepted accounting principles and do not express an opinion thereon.</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Chartered Accountants</w:t>
      </w:r>
    </w:p>
    <w:p>
      <w:pPr>
        <w:spacing w:after="0" w:line="200" w:lineRule="exact"/>
        <w:rPr>
          <w:sz w:val="20"/>
          <w:szCs w:val="20"/>
          <w:color w:val="auto"/>
        </w:rPr>
      </w:pPr>
    </w:p>
    <w:p>
      <w:pPr>
        <w:sectPr>
          <w:pgSz w:w="11900" w:h="16838" w:orient="portrait"/>
          <w:cols w:equalWidth="0" w:num="2">
            <w:col w:w="4200" w:space="720"/>
            <w:col w:w="5319"/>
          </w:cols>
          <w:pgMar w:left="220" w:top="285"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at July 31</w:t>
      </w:r>
    </w:p>
    <w:p>
      <w:pPr>
        <w:spacing w:after="0" w:line="173" w:lineRule="exact"/>
        <w:rPr>
          <w:sz w:val="20"/>
          <w:szCs w:val="20"/>
          <w:color w:val="auto"/>
        </w:rPr>
      </w:pPr>
    </w:p>
    <w:p>
      <w:pPr>
        <w:ind w:left="4840"/>
        <w:spacing w:after="0"/>
        <w:tabs>
          <w:tab w:leader="none" w:pos="62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5000"/>
        <w:spacing w:after="0"/>
        <w:tabs>
          <w:tab w:leader="none" w:pos="6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9,347,005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4,103,181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Account receivable, net of allowance for</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doubtful accounts [note 8]</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7,583,586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3,838,459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Prepaid expenses and other</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381,431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64,763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Investment tax credits refundable</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1,217,240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1,679,053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taxes recoverable</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8,448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Due from shareholder [note 3]</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6020" w:val="left"/>
        </w:tabs>
        <w:rPr>
          <w:sz w:val="20"/>
          <w:szCs w:val="20"/>
          <w:color w:val="auto"/>
        </w:rPr>
      </w:pPr>
      <w:r>
        <w:rPr>
          <w:rFonts w:ascii="Courier New" w:cs="Courier New" w:eastAsia="Courier New" w:hAnsi="Courier New"/>
          <w:sz w:val="14"/>
          <w:szCs w:val="14"/>
          <w:color w:val="auto"/>
        </w:rPr>
        <w:t>TOTAL CURRENT ASSETS</w:t>
      </w:r>
      <w:r>
        <w:rPr>
          <w:sz w:val="20"/>
          <w:szCs w:val="20"/>
          <w:color w:val="auto"/>
        </w:rPr>
        <w:tab/>
      </w:r>
      <w:r>
        <w:rPr>
          <w:rFonts w:ascii="Courier New" w:cs="Courier New" w:eastAsia="Courier New" w:hAnsi="Courier New"/>
          <w:sz w:val="14"/>
          <w:szCs w:val="14"/>
          <w:color w:val="auto"/>
        </w:rPr>
        <w:t>18,530,216</w:t>
      </w:r>
      <w:r>
        <w:rPr>
          <w:sz w:val="20"/>
          <w:szCs w:val="20"/>
          <w:color w:val="auto"/>
        </w:rPr>
        <w:tab/>
      </w:r>
      <w:r>
        <w:rPr>
          <w:rFonts w:ascii="Courier New" w:cs="Courier New" w:eastAsia="Courier New" w:hAnsi="Courier New"/>
          <w:sz w:val="14"/>
          <w:szCs w:val="14"/>
          <w:color w:val="auto"/>
        </w:rPr>
        <w:t>9,697,445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640" w:val="left"/>
          <w:tab w:leader="none" w:pos="6020" w:val="left"/>
        </w:tabs>
        <w:rPr>
          <w:sz w:val="20"/>
          <w:szCs w:val="20"/>
          <w:color w:val="auto"/>
        </w:rPr>
      </w:pPr>
      <w:r>
        <w:rPr>
          <w:rFonts w:ascii="Courier New" w:cs="Courier New" w:eastAsia="Courier New" w:hAnsi="Courier New"/>
          <w:sz w:val="14"/>
          <w:szCs w:val="14"/>
          <w:color w:val="auto"/>
        </w:rPr>
        <w:t>Property, plant and equipment, net [note 4]</w:t>
      </w:r>
      <w:r>
        <w:rPr>
          <w:sz w:val="20"/>
          <w:szCs w:val="20"/>
          <w:color w:val="auto"/>
        </w:rPr>
        <w:tab/>
      </w:r>
      <w:r>
        <w:rPr>
          <w:rFonts w:ascii="Courier New" w:cs="Courier New" w:eastAsia="Courier New" w:hAnsi="Courier New"/>
          <w:sz w:val="14"/>
          <w:szCs w:val="14"/>
          <w:color w:val="auto"/>
        </w:rPr>
        <w:t>2,913,099</w:t>
      </w:r>
      <w:r>
        <w:rPr>
          <w:sz w:val="20"/>
          <w:szCs w:val="20"/>
          <w:color w:val="auto"/>
        </w:rPr>
        <w:tab/>
      </w:r>
      <w:r>
        <w:rPr>
          <w:rFonts w:ascii="Courier New" w:cs="Courier New" w:eastAsia="Courier New" w:hAnsi="Courier New"/>
          <w:sz w:val="14"/>
          <w:szCs w:val="14"/>
          <w:color w:val="auto"/>
        </w:rPr>
        <w:t>1,277,897</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21,443,31510,975,342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 (DEFICIENCY)</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liabilites [note 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3,758,827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1,743,525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66,552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3,005,963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454,124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Due to shareholders and related parties [note 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768,076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172,479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Current portion of obligation under</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capital leases [note 11]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88,690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22,282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CURRENT LIABILITES</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7,688,108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2,392,410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Convertible debt</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[note 6]</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27,642,579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7,000,000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Obligation under</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capital leases [note 11]</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43,329</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Unamortized tenant inducements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309,906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285,174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LIABILITES</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35,790,620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9,720,913</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(deficiency)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Share capital [note 7]</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3,058,415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3,002,220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Deficit</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(17,405,720)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(1,747,791)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 w:leader="none" w:pos="6020" w:val="left"/>
        </w:tabs>
        <w:rPr>
          <w:sz w:val="20"/>
          <w:szCs w:val="20"/>
          <w:color w:val="auto"/>
        </w:rPr>
      </w:pPr>
      <w:r>
        <w:rPr>
          <w:rFonts w:ascii="Courier New" w:cs="Courier New" w:eastAsia="Courier New" w:hAnsi="Courier New"/>
          <w:sz w:val="14"/>
          <w:szCs w:val="14"/>
          <w:color w:val="auto"/>
        </w:rPr>
        <w:t>TOTAL SHAREHOLDERS' EQUITY (DEFICIENCY)</w:t>
      </w:r>
      <w:r>
        <w:rPr>
          <w:sz w:val="20"/>
          <w:szCs w:val="20"/>
          <w:color w:val="auto"/>
        </w:rPr>
        <w:tab/>
      </w:r>
      <w:r>
        <w:rPr>
          <w:rFonts w:ascii="Courier New" w:cs="Courier New" w:eastAsia="Courier New" w:hAnsi="Courier New"/>
          <w:sz w:val="14"/>
          <w:szCs w:val="14"/>
          <w:color w:val="auto"/>
        </w:rPr>
        <w:t>(14,347,305)</w:t>
      </w:r>
      <w:r>
        <w:rPr>
          <w:sz w:val="20"/>
          <w:szCs w:val="20"/>
          <w:color w:val="auto"/>
        </w:rPr>
        <w:tab/>
      </w:r>
      <w:r>
        <w:rPr>
          <w:rFonts w:ascii="Courier New" w:cs="Courier New" w:eastAsia="Courier New" w:hAnsi="Courier New"/>
          <w:sz w:val="14"/>
          <w:szCs w:val="14"/>
          <w:color w:val="auto"/>
        </w:rPr>
        <w:t>1,254,429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580"/>
        <w:spacing w:after="0"/>
        <w:tabs>
          <w:tab w:leader="none" w:pos="5940" w:val="left"/>
        </w:tabs>
        <w:rPr>
          <w:sz w:val="20"/>
          <w:szCs w:val="20"/>
          <w:color w:val="auto"/>
        </w:rPr>
      </w:pPr>
      <w:r>
        <w:rPr>
          <w:rFonts w:ascii="Courier New" w:cs="Courier New" w:eastAsia="Courier New" w:hAnsi="Courier New"/>
          <w:sz w:val="14"/>
          <w:szCs w:val="14"/>
          <w:color w:val="auto"/>
        </w:rPr>
        <w:t>21,443,315</w:t>
      </w:r>
      <w:r>
        <w:rPr>
          <w:sz w:val="20"/>
          <w:szCs w:val="20"/>
          <w:color w:val="auto"/>
        </w:rPr>
        <w:tab/>
      </w:r>
      <w:r>
        <w:rPr>
          <w:rFonts w:ascii="Courier New" w:cs="Courier New" w:eastAsia="Courier New" w:hAnsi="Courier New"/>
          <w:sz w:val="14"/>
          <w:szCs w:val="14"/>
          <w:color w:val="auto"/>
        </w:rPr>
        <w:t>10,975,342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 OF LOSS AND DEFICIT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w:t>
      </w:r>
    </w:p>
    <w:p>
      <w:pPr>
        <w:spacing w:after="0" w:line="173" w:lineRule="exact"/>
        <w:rPr>
          <w:sz w:val="20"/>
          <w:szCs w:val="20"/>
          <w:color w:val="auto"/>
        </w:rPr>
      </w:pPr>
    </w:p>
    <w:p>
      <w:pPr>
        <w:ind w:left="5100"/>
        <w:spacing w:after="0"/>
        <w:tabs>
          <w:tab w:leader="none" w:pos="63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5180"/>
        <w:spacing w:after="0"/>
        <w:tabs>
          <w:tab w:leader="none" w:pos="6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Services</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11,189,220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9,240,503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Software licenses</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2,554,463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1,848,196</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Support</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739,497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86,410</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14,483,18011,175,109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Cost of revenues [note 3]</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9,411,618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5,624,799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5,071,562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5,550,310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6,669,366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2,497,329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Research and development, net [note 9]</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7,346,302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1,725,481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General and administrative [note 3]</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5,514,290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3,416,672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840"/>
        <w:spacing w:after="0"/>
        <w:tabs>
          <w:tab w:leader="none" w:pos="6200" w:val="left"/>
        </w:tabs>
        <w:rPr>
          <w:sz w:val="20"/>
          <w:szCs w:val="20"/>
          <w:color w:val="auto"/>
        </w:rPr>
      </w:pPr>
      <w:r>
        <w:rPr>
          <w:rFonts w:ascii="Courier New" w:cs="Courier New" w:eastAsia="Courier New" w:hAnsi="Courier New"/>
          <w:sz w:val="14"/>
          <w:szCs w:val="14"/>
          <w:color w:val="auto"/>
        </w:rPr>
        <w:t>19,529,958</w:t>
      </w:r>
      <w:r>
        <w:rPr>
          <w:sz w:val="20"/>
          <w:szCs w:val="20"/>
          <w:color w:val="auto"/>
        </w:rPr>
        <w:tab/>
      </w:r>
      <w:r>
        <w:rPr>
          <w:rFonts w:ascii="Courier New" w:cs="Courier New" w:eastAsia="Courier New" w:hAnsi="Courier New"/>
          <w:sz w:val="14"/>
          <w:szCs w:val="14"/>
          <w:color w:val="auto"/>
        </w:rPr>
        <w:t>7,639,482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Loss before interest and income taxes</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(14,458,396)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(2,089,172)</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Short-term interest expense (income)</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(287,278)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44,511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Long-term interest expense</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1,411,811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Loss before income taxes</w:t>
            </w:r>
          </w:p>
        </w:tc>
        <w:tc>
          <w:tcPr>
            <w:tcW w:w="2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(15,582,929)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(2,133,683)</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for (recovery of) income taxes [note 10]</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(8,448)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(71,307)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180"/>
        <w:spacing w:after="0"/>
        <w:tabs>
          <w:tab w:leader="none" w:pos="6360" w:val="left"/>
        </w:tabs>
        <w:rPr>
          <w:sz w:val="20"/>
          <w:szCs w:val="20"/>
          <w:color w:val="auto"/>
        </w:rPr>
      </w:pPr>
      <w:r>
        <w:rPr>
          <w:rFonts w:ascii="Courier New" w:cs="Courier New" w:eastAsia="Courier New" w:hAnsi="Courier New"/>
          <w:sz w:val="14"/>
          <w:szCs w:val="14"/>
          <w:color w:val="auto"/>
        </w:rPr>
        <w:t>75,000</w:t>
      </w:r>
      <w:r>
        <w:rPr>
          <w:sz w:val="20"/>
          <w:szCs w:val="20"/>
          <w:color w:val="auto"/>
        </w:rPr>
        <w:tab/>
      </w:r>
      <w:r>
        <w:rPr>
          <w:rFonts w:ascii="Courier New" w:cs="Courier New" w:eastAsia="Courier New" w:hAnsi="Courier New"/>
          <w:sz w:val="14"/>
          <w:szCs w:val="14"/>
          <w:color w:val="auto"/>
        </w:rPr>
        <w:t>(79,755)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NET LOSS FOR THE YEAR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(15,657,929)</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(2,053,928)</w:t>
            </w:r>
          </w:p>
        </w:tc>
      </w:tr>
      <w:tr>
        <w:trPr>
          <w:trHeight w:val="331"/>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Retained</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earnings (deficit), beginning of year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(1,747,791)</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306,137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DEFICIT,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(17,405,720)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(1,747,791)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w:t>
      </w:r>
    </w:p>
    <w:p>
      <w:pPr>
        <w:spacing w:after="0" w:line="338" w:lineRule="exact"/>
        <w:rPr>
          <w:sz w:val="20"/>
          <w:szCs w:val="20"/>
          <w:color w:val="auto"/>
        </w:rPr>
      </w:pPr>
    </w:p>
    <w:p>
      <w:pPr>
        <w:jc w:val="center"/>
        <w:ind w:left="3700"/>
        <w:spacing w:after="0"/>
        <w:tabs>
          <w:tab w:leader="none" w:pos="10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jc w:val="center"/>
        <w:ind w:left="3800"/>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loss for the year</w:t>
            </w:r>
          </w:p>
        </w:tc>
        <w:tc>
          <w:tcPr>
            <w:tcW w:w="2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(15,657,929)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(2,053,928)</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Add (deduct) non-cash items</w:t>
            </w:r>
          </w:p>
        </w:tc>
        <w:tc>
          <w:tcPr>
            <w:tcW w:w="2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Deferred income taxes</w:t>
            </w:r>
          </w:p>
        </w:tc>
        <w:tc>
          <w:tcPr>
            <w:tcW w:w="27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(71,307)</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27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714,932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507,300</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27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1,411,811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tenant inducements</w:t>
            </w:r>
          </w:p>
        </w:tc>
        <w:tc>
          <w:tcPr>
            <w:tcW w:w="2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(87,008)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(23,960)</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Tenant inducements</w:t>
            </w:r>
          </w:p>
        </w:tc>
        <w:tc>
          <w:tcPr>
            <w:tcW w:w="27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111,740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Loss on disposal of assets</w:t>
            </w:r>
          </w:p>
        </w:tc>
        <w:tc>
          <w:tcPr>
            <w:tcW w:w="27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30,212</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(13,506,454)(1,611,683)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Net change in non-cash</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working capital balances</w:t>
            </w:r>
          </w:p>
        </w:tc>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related to operations</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[note 12]</w:t>
            </w:r>
          </w:p>
        </w:tc>
        <w:tc>
          <w:tcPr>
            <w:tcW w:w="2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1,042,159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(1,106,799)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CASH USED IN OPERATING ACTIVITIES</w:t>
            </w:r>
          </w:p>
        </w:tc>
        <w:tc>
          <w:tcPr>
            <w:tcW w:w="2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(12,464,295)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(2,718,482)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Purchases of property,</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plant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equipment</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(2,125,480)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(448,302)</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Proceeds from disposal</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of assets</w:t>
            </w:r>
          </w:p>
        </w:tc>
        <w:tc>
          <w:tcPr>
            <w:tcW w:w="2120" w:type="dxa"/>
            <w:vAlign w:val="bottom"/>
          </w:tcPr>
          <w:p>
            <w:pPr>
              <w:spacing w:after="0"/>
              <w:rPr>
                <w:sz w:val="14"/>
                <w:szCs w:val="14"/>
                <w:color w:val="auto"/>
              </w:rPr>
            </w:pPr>
          </w:p>
        </w:tc>
        <w:tc>
          <w:tcPr>
            <w:tcW w:w="2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USED IN INVESTING ACTIVITIES</w:t>
            </w:r>
          </w:p>
        </w:tc>
        <w:tc>
          <w:tcPr>
            <w:tcW w:w="2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(2,125,480)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(423,942)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FINANCING ACTIVITIES</w:t>
            </w:r>
          </w:p>
        </w:tc>
        <w:tc>
          <w:tcPr>
            <w:tcW w:w="3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 issued</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for cash</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56,195</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155,600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Due to/from</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shareholders and related parties</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598,184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(33,900)</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Repayment of capital</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leases</w:t>
            </w:r>
          </w:p>
        </w:tc>
        <w:tc>
          <w:tcPr>
            <w:tcW w:w="2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(51,548)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(41,201)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debt issued</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19,230,768</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PROVIDED BY FINANCING ACTIVITIES</w:t>
            </w:r>
          </w:p>
        </w:tc>
        <w:tc>
          <w:tcPr>
            <w:tcW w:w="2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19,833,599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7,080,499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5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gridSpan w:val="6"/>
          </w:tcPr>
          <w:p>
            <w:pPr>
              <w:spacing w:after="0"/>
              <w:rPr>
                <w:sz w:val="20"/>
                <w:szCs w:val="20"/>
                <w:color w:val="auto"/>
              </w:rPr>
            </w:pPr>
            <w:r>
              <w:rPr>
                <w:rFonts w:ascii="Courier New" w:cs="Courier New" w:eastAsia="Courier New" w:hAnsi="Courier New"/>
                <w:sz w:val="14"/>
                <w:szCs w:val="14"/>
                <w:color w:val="auto"/>
              </w:rPr>
              <w:t>Net increase in cash and cash equivalents during the year</w:t>
            </w:r>
          </w:p>
        </w:tc>
        <w:tc>
          <w:tcPr>
            <w:tcW w:w="1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5,243,824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3,938,075</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4,103,181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165,106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5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9,347,005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4,103,181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INCOME TAXES PAID</w:t>
      </w:r>
    </w:p>
    <w:p>
      <w:pPr>
        <w:spacing w:after="0" w:line="7" w:lineRule="exact"/>
        <w:rPr>
          <w:sz w:val="20"/>
          <w:szCs w:val="20"/>
          <w:color w:val="auto"/>
        </w:rPr>
      </w:pPr>
    </w:p>
    <w:p>
      <w:pPr>
        <w:spacing w:after="0"/>
        <w:tabs>
          <w:tab w:leader="none" w:pos="6540" w:val="left"/>
          <w:tab w:leader="none" w:pos="7820" w:val="left"/>
        </w:tabs>
        <w:rPr>
          <w:sz w:val="20"/>
          <w:szCs w:val="20"/>
          <w:color w:val="auto"/>
        </w:rPr>
      </w:pP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48,300</w:t>
      </w:r>
      <w:r>
        <w:rPr>
          <w:sz w:val="20"/>
          <w:szCs w:val="20"/>
          <w:color w:val="auto"/>
        </w:rPr>
        <w:tab/>
      </w:r>
      <w:r>
        <w:rPr>
          <w:rFonts w:ascii="Courier New" w:cs="Courier New" w:eastAsia="Courier New" w:hAnsi="Courier New"/>
          <w:sz w:val="14"/>
          <w:szCs w:val="14"/>
          <w:color w:val="auto"/>
        </w:rPr>
        <w:t>44,713</w:t>
      </w:r>
    </w:p>
    <w:p>
      <w:pPr>
        <w:spacing w:after="0" w:line="7" w:lineRule="exact"/>
        <w:rPr>
          <w:sz w:val="20"/>
          <w:szCs w:val="20"/>
          <w:color w:val="auto"/>
        </w:rPr>
      </w:pPr>
    </w:p>
    <w:p>
      <w:pPr>
        <w:spacing w:after="0"/>
        <w:tabs>
          <w:tab w:leader="none" w:pos="6880" w:val="left"/>
          <w:tab w:leader="none" w:pos="8180" w:val="left"/>
        </w:tabs>
        <w:rPr>
          <w:sz w:val="20"/>
          <w:szCs w:val="20"/>
          <w:color w:val="auto"/>
        </w:rPr>
      </w:pPr>
      <w:r>
        <w:rPr>
          <w:rFonts w:ascii="Courier New" w:cs="Courier New" w:eastAsia="Courier New" w:hAnsi="Courier New"/>
          <w:sz w:val="14"/>
          <w:szCs w:val="14"/>
          <w:color w:val="auto"/>
        </w:rPr>
        <w:t>Income taxes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DESCRIPTION OF THE BUSINESS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Solect Technology Group Inc. [the "Company"] is in the business of development, sale and support of internet protocol billing software used by internet service providers. The Company was incorporated June 24, 1993 under the Ontario Business Corporations Act.</w:t>
      </w:r>
    </w:p>
    <w:p>
      <w:pPr>
        <w:spacing w:after="0" w:line="162" w:lineRule="exact"/>
        <w:rPr>
          <w:sz w:val="20"/>
          <w:szCs w:val="20"/>
          <w:color w:val="auto"/>
        </w:rPr>
      </w:pPr>
    </w:p>
    <w:p>
      <w:pPr>
        <w:ind w:right="6359" w:firstLine="8"/>
        <w:spacing w:after="0" w:line="501" w:lineRule="auto"/>
        <w:tabs>
          <w:tab w:leader="none" w:pos="25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PRINCIPLES OF CONSOLIDATION</w:t>
      </w:r>
    </w:p>
    <w:p>
      <w:pPr>
        <w:ind w:right="3419"/>
        <w:spacing w:after="0" w:line="251" w:lineRule="auto"/>
        <w:rPr>
          <w:sz w:val="20"/>
          <w:szCs w:val="20"/>
          <w:color w:val="auto"/>
        </w:rPr>
      </w:pPr>
      <w:r>
        <w:rPr>
          <w:rFonts w:ascii="Courier New" w:cs="Courier New" w:eastAsia="Courier New" w:hAnsi="Courier New"/>
          <w:sz w:val="14"/>
          <w:szCs w:val="14"/>
          <w:color w:val="auto"/>
        </w:rPr>
        <w:t>These consolidated financial statements have been prepared in accordance with accounting principles generally accepted in Canada and are stated in Canadian dollars. These consolidated financial statements include the accounts of all subsidiary companies from the dates of their incorporation. All material intercompany accounts and transactions have been eliminated upon consolidation.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subsidiary companies 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(H.K.)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(U.K.)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(USA)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Cash equivalents comprise only highly liquid investments with original maturities of less than ninety days.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TAX CREDITS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claims research and development deductions and related investment tax credits for income tax purposes based on management's interpretation of the applicable legislation under the Income Tax Act (Canada). These claims are subject to a technical and expenditure review by Revenue Canada. Investment tax credits are recognized as a reduction of research and development expenses or a reduction of the related asset, provided the Company has reasonable assurance that the tax credits will be realized. In the opinion of management, the treatment of research and development claims as reflected in these consolidated financial statements is appropriate.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are recorded at cost net of investment tax</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credits. Depreciation and amortization are calculated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using the following annual</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rates and bases:</w:t>
            </w:r>
          </w:p>
        </w:tc>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40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20% declining balance</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Computer equipment and software</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Straight-line over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3 years</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Software licenses</w:t>
            </w:r>
          </w:p>
        </w:tc>
        <w:tc>
          <w:tcPr>
            <w:tcW w:w="40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Shorter of the life of the license and 33.3%</w:t>
            </w:r>
          </w:p>
        </w:tc>
      </w:tr>
      <w:tr>
        <w:trPr>
          <w:trHeight w:val="166"/>
        </w:trPr>
        <w:tc>
          <w:tcPr>
            <w:tcW w:w="28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straight-line</w:t>
            </w:r>
          </w:p>
        </w:tc>
        <w:tc>
          <w:tcPr>
            <w:tcW w:w="228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Straight-line over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term of lease</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 follows the tax allocation method of providing for income taxes. Under this method, the tax effect of timing differences between reported and taxable income are recognized in the accounts as deferred income taxes.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 INDUCEMENTS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Tenant inducements are applied to reduce rent expense on a straight-line basis over the respective term of the lease.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generates revenue from licensing the rights to use its software products to commercial users and sublicense fees from resellers. Revenues from both software license arrangements and reseller arrangements are recognized upon delivery of the software to the end-user. If significant installation or other post-delivery obligations exist, revenues are deferred until the respective obligations have been satisfied.</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also generates service revenues from the sale of post-contract support to its customers and the sale of consulting services. Revenues from post-contract customer support services are deferred at the time of license revenue recognition and are recognized ratably over the term of the support period, which is typically one year. Revenues from consulting services are recognized in the period in which the service is performed using the percentage of completion method. Revisions to cost and profit estimates made during the course of work are reflected in the period in which the change becomes known. Provision is made in full for any anticipated loss in the period that the estimate of total costs on a contract indicates a loss.</w:t>
      </w:r>
    </w:p>
    <w:p>
      <w:pPr>
        <w:spacing w:after="0" w:line="163"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Cost of revenues consists of costs to distribute the software, costs of sublicenses, costs of the media on which it is delivered, and the cost of consulting and support personnel salaries and related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COSTS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Research costs are expensed in the year incurred. Development costs are expensed in the year incurred unless the development project meets generally accepted accounting criteria for deferral and amortization. No development costs have been capitalized to date.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financial statements of the Company's foreign subsidiaries, all of which are operationally dependent upon the Company, are translated using the temporal method. Under this method, revenues and expenses are translated at the rates of exchange prevailing on the transaction dates. Monetary assets and liabilities that are denominated in foreign currencies are translated at exchange rates prevailing at the consolidated balance sheet date. Non-monetary assets and liabilities are translated at historical exchange rates. Exchange gains or losses on translation are included in net loss for the year. The exchange rates in effect between U.S. dollars and Canadian dollars was 1.5119 and 1.5067 at July 31, 1998 and 1999,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no pension or other post-retirement benefits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ACCOUNTING ESTIMATES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preparation of consolidated financial statements in conformity with generally accepted accounting principles requires management to make estimates and assumptions that affect the reported amount of assets and liabilities, the disclosure of contingent assets and liabilities at the date of the consolidated financial statements, and the reported amount of revenues and expenses during the reporting periods presented. Actual results could differ from those estimates.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RELATED PARTY TRANSACTIONS</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As at July 31, 1999, the Company has outstanding account balances with shareholders and related parties as follows:</w:t>
      </w:r>
    </w:p>
    <w:p>
      <w:pPr>
        <w:spacing w:after="0" w:line="200" w:lineRule="exact"/>
        <w:rPr>
          <w:sz w:val="20"/>
          <w:szCs w:val="20"/>
          <w:color w:val="auto"/>
        </w:rPr>
      </w:pPr>
    </w:p>
    <w:p>
      <w:pPr>
        <w:spacing w:after="0" w:line="291" w:lineRule="exact"/>
        <w:rPr>
          <w:sz w:val="20"/>
          <w:szCs w:val="20"/>
          <w:color w:val="auto"/>
        </w:rPr>
      </w:pPr>
    </w:p>
    <w:p>
      <w:pPr>
        <w:ind w:left="4660"/>
        <w:spacing w:after="0"/>
        <w:tabs>
          <w:tab w:leader="none" w:pos="56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474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Due to shareholders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(47,285)</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(47,400)</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Due to related parties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(720,791)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(125,079)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DUE TO SHAREHOLDERS AND RELATED PARTIES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(768,076)</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(172,479)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DUE FROM SHAREHOLDER</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due to/from shareholders and related parties are non-interest bearing.</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Of the amounts due to shareholders, $47,285 are for loans made to the Company in prior periods.</w:t>
      </w:r>
    </w:p>
    <w:p>
      <w:pPr>
        <w:spacing w:after="0" w:line="160"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During the year, the Company paid $242,177 [1998 - $226,334] to another shareholder in consideration of management and consulting fees, which are reported as a general and administrative expense.</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Included in accounts payable and accrued liabilities are subcontracting, consulting and other fees totaling $1,068,499 which are owing to a convertible debtholder and the company controlled by this convertible debtholder. These services were provided under normal business and payment terms.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balance due to related parties includes $569,705 for software licensing that was acquired by the Company from the company controlled by this convertible debtholder. In addition, the company controlled by this convertible debtholder has entered into an agreement with the Company to receive sales commission from the Company for selling software based on a set percentage. These amounts are payable to a convertible debtholder [note 6] and a company controlled by this convertible debtholder. During the year, the Company paid $194,390 to the convertible debtholder, and $1,021,810 to the company controlled by this convertible debtholder. The amounts are reported as a cost of revenues.</w:t>
      </w:r>
    </w:p>
    <w:p>
      <w:pPr>
        <w:spacing w:after="0" w:line="16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Of the amounts due to related parties, $113,550 are for loans made to the Company in prior periods.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PROPERTY, PLANT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consist of the following:</w:t>
      </w:r>
    </w:p>
    <w:p>
      <w:pPr>
        <w:spacing w:after="0" w:line="200" w:lineRule="exact"/>
        <w:rPr>
          <w:sz w:val="20"/>
          <w:szCs w:val="20"/>
          <w:color w:val="auto"/>
        </w:rPr>
      </w:pPr>
    </w:p>
    <w:p>
      <w:pPr>
        <w:spacing w:after="0" w:line="30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1999</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ind w:left="4840"/>
        <w:spacing w:after="0"/>
        <w:tabs>
          <w:tab w:leader="none" w:pos="6540" w:val="left"/>
        </w:tabs>
        <w:rPr>
          <w:sz w:val="20"/>
          <w:szCs w:val="20"/>
          <w:color w:val="auto"/>
        </w:rPr>
      </w:pPr>
      <w:r>
        <w:rPr>
          <w:rFonts w:ascii="Courier New" w:cs="Courier New" w:eastAsia="Courier New" w:hAnsi="Courier New"/>
          <w:sz w:val="14"/>
          <w:szCs w:val="14"/>
          <w:color w:val="auto"/>
        </w:rPr>
        <w:t>DEPRECIATION</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ind w:left="5260"/>
        <w:spacing w:after="0"/>
        <w:tabs>
          <w:tab w:leader="none" w:pos="644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BOOK</w:t>
      </w:r>
    </w:p>
    <w:p>
      <w:pPr>
        <w:spacing w:after="0" w:line="7" w:lineRule="exact"/>
        <w:rPr>
          <w:sz w:val="20"/>
          <w:szCs w:val="20"/>
          <w:color w:val="auto"/>
        </w:rPr>
      </w:pPr>
    </w:p>
    <w:p>
      <w:pPr>
        <w:ind w:left="3540"/>
        <w:spacing w:after="0"/>
        <w:tabs>
          <w:tab w:leader="none" w:pos="4820" w:val="left"/>
          <w:tab w:leader="none" w:pos="644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AMORTIZATION</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ind w:left="3620"/>
        <w:spacing w:after="0"/>
        <w:tabs>
          <w:tab w:leader="none" w:pos="5320" w:val="left"/>
          <w:tab w:leader="none" w:pos="66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Furniture and equipment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682,776</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198,699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484,077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Computer</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equipment and software</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1,670,819</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778,873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891,946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Software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licenses</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1,237,944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283,616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954,328</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Leasehold improvements</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493,302</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161,482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331,820</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Assets under capital lease</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302,128</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51,200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250,928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460"/>
        <w:spacing w:after="0"/>
        <w:tabs>
          <w:tab w:leader="none" w:pos="4820" w:val="left"/>
          <w:tab w:leader="none" w:pos="6200" w:val="left"/>
        </w:tabs>
        <w:rPr>
          <w:sz w:val="20"/>
          <w:szCs w:val="20"/>
          <w:color w:val="auto"/>
        </w:rPr>
      </w:pPr>
      <w:r>
        <w:rPr>
          <w:rFonts w:ascii="Courier New" w:cs="Courier New" w:eastAsia="Courier New" w:hAnsi="Courier New"/>
          <w:sz w:val="14"/>
          <w:szCs w:val="14"/>
          <w:color w:val="auto"/>
        </w:rPr>
        <w:t>4,386,969</w:t>
      </w:r>
      <w:r>
        <w:rPr>
          <w:sz w:val="20"/>
          <w:szCs w:val="20"/>
          <w:color w:val="auto"/>
        </w:rPr>
        <w:tab/>
      </w:r>
      <w:r>
        <w:rPr>
          <w:rFonts w:ascii="Courier New" w:cs="Courier New" w:eastAsia="Courier New" w:hAnsi="Courier New"/>
          <w:sz w:val="14"/>
          <w:szCs w:val="14"/>
          <w:color w:val="auto"/>
        </w:rPr>
        <w:t>1,473,870</w:t>
      </w:r>
      <w:r>
        <w:rPr>
          <w:sz w:val="20"/>
          <w:szCs w:val="20"/>
          <w:color w:val="auto"/>
        </w:rPr>
        <w:tab/>
      </w:r>
      <w:r>
        <w:rPr>
          <w:rFonts w:ascii="Courier New" w:cs="Courier New" w:eastAsia="Courier New" w:hAnsi="Courier New"/>
          <w:sz w:val="14"/>
          <w:szCs w:val="14"/>
          <w:color w:val="auto"/>
        </w:rPr>
        <w:t>2,913,099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spacing w:after="0"/>
              <w:rPr>
                <w:sz w:val="14"/>
                <w:szCs w:val="14"/>
                <w:color w:val="auto"/>
              </w:rPr>
            </w:pPr>
          </w:p>
        </w:tc>
      </w:tr>
      <w:tr>
        <w:trPr>
          <w:trHeight w:val="166"/>
        </w:trPr>
        <w:tc>
          <w:tcPr>
            <w:tcW w:w="3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ACCUMULATED</w:t>
            </w:r>
          </w:p>
        </w:tc>
        <w:tc>
          <w:tcPr>
            <w:tcW w:w="11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DEPRECIATION</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NET</w:t>
            </w:r>
          </w:p>
        </w:tc>
      </w:tr>
      <w:tr>
        <w:trPr>
          <w:trHeight w:val="166"/>
        </w:trPr>
        <w:tc>
          <w:tcPr>
            <w:tcW w:w="860" w:type="dxa"/>
            <w:vAlign w:val="bottom"/>
          </w:tcPr>
          <w:p>
            <w:pPr>
              <w:spacing w:after="0"/>
              <w:rPr>
                <w:sz w:val="14"/>
                <w:szCs w:val="14"/>
                <w:color w:val="auto"/>
              </w:rPr>
            </w:pP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AND</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BOOK</w:t>
            </w:r>
          </w:p>
        </w:tc>
      </w:tr>
      <w:tr>
        <w:trPr>
          <w:trHeight w:val="166"/>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AMORTIZATION</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Furniture and equipment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426,622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108,552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318,070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Computer</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equipment and software</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787,720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419,997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367,723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Software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licenses</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314,639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163,371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151,268</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Leasehold improvements</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430,380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54,436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375,944</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Assets under capital lease</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77,474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64,892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460"/>
        <w:spacing w:after="0"/>
        <w:tabs>
          <w:tab w:leader="none" w:pos="4900" w:val="left"/>
          <w:tab w:leader="none" w:pos="6200" w:val="left"/>
        </w:tabs>
        <w:rPr>
          <w:sz w:val="20"/>
          <w:szCs w:val="20"/>
          <w:color w:val="auto"/>
        </w:rPr>
      </w:pPr>
      <w:r>
        <w:rPr>
          <w:rFonts w:ascii="Courier New" w:cs="Courier New" w:eastAsia="Courier New" w:hAnsi="Courier New"/>
          <w:sz w:val="14"/>
          <w:szCs w:val="14"/>
          <w:color w:val="auto"/>
        </w:rPr>
        <w:t>2,036,835</w:t>
      </w:r>
      <w:r>
        <w:rPr>
          <w:sz w:val="20"/>
          <w:szCs w:val="20"/>
          <w:color w:val="auto"/>
        </w:rPr>
        <w:tab/>
      </w:r>
      <w:r>
        <w:rPr>
          <w:rFonts w:ascii="Courier New" w:cs="Courier New" w:eastAsia="Courier New" w:hAnsi="Courier New"/>
          <w:sz w:val="14"/>
          <w:szCs w:val="14"/>
          <w:color w:val="auto"/>
        </w:rPr>
        <w:t>758,938</w:t>
      </w:r>
      <w:r>
        <w:rPr>
          <w:sz w:val="20"/>
          <w:szCs w:val="20"/>
          <w:color w:val="auto"/>
        </w:rPr>
        <w:tab/>
      </w:r>
      <w:r>
        <w:rPr>
          <w:rFonts w:ascii="Courier New" w:cs="Courier New" w:eastAsia="Courier New" w:hAnsi="Courier New"/>
          <w:sz w:val="14"/>
          <w:szCs w:val="14"/>
          <w:color w:val="auto"/>
        </w:rPr>
        <w:t>1,277,897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CREDIT FACILITIES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a demand operating line of credit, foreign exchange facilities, and a lease line of credit in Canadian dollars or U.S. equivalent dollars, in the amounts of $1,500,000, $250,000 and $300,000, respectively. All of the assets of the Company have been pledged as collateral. As at July 31, 1999, all of the credit facilities are available.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CONVERTIBLE DEBT</w:t>
      </w:r>
    </w:p>
    <w:p>
      <w:pPr>
        <w:spacing w:after="0" w:line="200" w:lineRule="exact"/>
        <w:rPr>
          <w:sz w:val="20"/>
          <w:szCs w:val="20"/>
          <w:color w:val="auto"/>
        </w:rPr>
      </w:pPr>
    </w:p>
    <w:p>
      <w:pPr>
        <w:spacing w:after="0" w:line="304" w:lineRule="exact"/>
        <w:rPr>
          <w:sz w:val="20"/>
          <w:szCs w:val="20"/>
          <w:color w:val="auto"/>
        </w:rPr>
      </w:pPr>
    </w:p>
    <w:p>
      <w:pPr>
        <w:ind w:left="5000"/>
        <w:spacing w:after="0"/>
        <w:tabs>
          <w:tab w:leader="none" w:pos="63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518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debenture, maturing</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January 19, 2004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20,077,976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note, maturing July</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28, 2010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7,564,603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7,000,000</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27,642,5797,000,000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January 19, 1999, the Company entered into a convertible debenture and warrant agreement for proceeds in the amount of $19,230,769 plus accumulated interest of $847,207. The convertible debenture accrues interest at a rate of 8% per annum, compounding annually, with principal and interest payable at the earliest of maturity, the closing of a liquidity event, or conversion, with a maturity date of January 19, 2004. The debt is initially convertible into 5,001,500 common shares, subject to adjustment. The warrants can be exercised to purchase up to 2,500,750 common shares, are exercisable at an initial price of $5.768 per share, and expire five years from their date of issuance. Additionally, on January 19, 1999, and under the same terms as the aforementioned warrants, 200,000 warrants were granted to a subsidiary of the convertible debenture holder.</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Effective July 28, 1998, the Company entered into a convertible notes and warrant agreement for proceeds in the amount of $7,000,000 plus accumulated interest of $564,604. The convertible notes accrue interest at a rate of 8% per annum, compounding annually, with principal and interest payable at the earliest of maturity or conversion with a maturity date of July 28, 2010. The debt is initially convertible into 1,820,546 common shares. The warrants can be exercised to purchase up to 650,200 common shares, are exercisable at a price equal to $5.768 per share, and expire five years from their date of issuance. If the notes are converted in connection with a public offering of the Company's securities or certain other events, or at any time after five years from the date of issuance, additional shares will be issued equal to the principal of the notes divided by the fair market value of one common share on the date of conversion. If the Company has not completed a public offering of its securities or certain other specified events have not occurred within five years from the date of issue, the holders of the notes have an option, at any time thereafter, to sell such notes back to the Company for an amount equal to $7,000,000 plus accrued and unpaid interest, and the fair market value of the shares into which the notes are then convertible.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ind w:right="8859" w:firstLine="8"/>
        <w:spacing w:after="0" w:line="501" w:lineRule="auto"/>
        <w:tabs>
          <w:tab w:leader="none" w:pos="25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CAPITAL AUTHORIZED</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Unlimited common shares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to issued share capital are as follows: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COMMON SHARES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TO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6360" w:space="720"/>
            <w:col w:w="3159"/>
          </w:cols>
          <w:pgMar w:left="220" w:top="285" w:right="1440" w:bottom="1440" w:gutter="0" w:footer="0" w:header="0"/>
          <w:type w:val="continuous"/>
        </w:sectPr>
      </w:pPr>
    </w:p>
    <w:p>
      <w:pPr>
        <w:ind w:left="4140"/>
        <w:spacing w:after="0"/>
        <w:tabs>
          <w:tab w:leader="none" w:pos="5840" w:val="left"/>
          <w:tab w:leader="none" w:pos="6800" w:val="left"/>
          <w:tab w:leader="none" w:pos="8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Issued and outstanding,</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July</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31, 1997</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985,845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2,846,620</w:t>
            </w:r>
          </w:p>
        </w:tc>
      </w:tr>
      <w:tr>
        <w:trPr>
          <w:trHeight w:val="331"/>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Amalgamation of Class A</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shares into one class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shares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985,845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2,846,620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(985,845)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(2,846,620)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10 for 1</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share split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8,872,605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shares for</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cash</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155,600</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shares for</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employment services</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282,500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Issued and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outstanding July 31, 1998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10,240,950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3,002,220</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Issue of shares for cash</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192,907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56,195</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ISSUED AND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OUTSTANDING, JULY 31, 1999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10,433,857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3,058,415</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July 23, 1998, the Articles of Incorporation were amended to amalgamate the five classes of shares [Class A through Class E] into one class of common shares with equal rights. Each share of the former classes is equal to one share of the amalgamated common share class. Subsequently on July 23, 1998, a 10 for 1 common share split occurred.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incentive stock option plans for its directors, officers, and employees [the "Plans"]. Options granted under the Plans are generally exercisable in equal proportions during the years following the first, second, third and fourth anniversary of the date of the grant. Options granted under the Plans prior to July 23, 1999 are generally exercisable in equal proportions during the years following the first, second and third anniversary of the date of grant. When exercised, each option allows the holder to purchase one common share. All options expire ten years from the date of the grant or upon cessation of employment with the Company. Strike prices for the options outstanding at July 31, 1999 range from a nominal amount to $1.95. The weighted average of the exercise price of the options outstanding is $1.33 at year end.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 at July 31, 1999, the Company has 1,788,743 common shares allocated for issuance to employees under the Plans. Changes in stock options issued under the Plans during the year are as follows:</w:t>
      </w:r>
    </w:p>
    <w:p>
      <w:pPr>
        <w:spacing w:after="0" w:line="200" w:lineRule="exact"/>
        <w:rPr>
          <w:sz w:val="20"/>
          <w:szCs w:val="20"/>
          <w:color w:val="auto"/>
        </w:rPr>
      </w:pPr>
    </w:p>
    <w:p>
      <w:pPr>
        <w:spacing w:after="0" w:line="294"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OPTIONS OUTSTANDING AT JULY 31, 1998</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866,250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Issued during the year</w:t>
            </w:r>
          </w:p>
        </w:tc>
        <w:tc>
          <w:tcPr>
            <w:tcW w:w="2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849,200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Exercised during the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(158,980)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Expired or cancelled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during the year</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(165,000)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OPTIONS OUTSTANDING AT JULY 31, 1999</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1,391,470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Accordingly, the total number of common shares reserved for issuance pursuant to the exercise of stock options is 397,273 at July 31, 1999.</w:t>
      </w:r>
    </w:p>
    <w:p>
      <w:pPr>
        <w:spacing w:after="0" w:line="16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As at July 31, 1999, the Company has warrants outstanding to purchase common shares to convertible debtholders and related parties [note 6]. Changes in warrants issued during the year are as follows:</w:t>
      </w:r>
    </w:p>
    <w:p>
      <w:pPr>
        <w:spacing w:after="0" w:line="200" w:lineRule="exact"/>
        <w:rPr>
          <w:sz w:val="20"/>
          <w:szCs w:val="20"/>
          <w:color w:val="auto"/>
        </w:rPr>
      </w:pPr>
    </w:p>
    <w:p>
      <w:pPr>
        <w:spacing w:after="0" w:line="294"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800" w:val="left"/>
        </w:tabs>
        <w:rPr>
          <w:sz w:val="20"/>
          <w:szCs w:val="20"/>
          <w:color w:val="auto"/>
        </w:rPr>
      </w:pPr>
      <w:r>
        <w:rPr>
          <w:rFonts w:ascii="Courier New" w:cs="Courier New" w:eastAsia="Courier New" w:hAnsi="Courier New"/>
          <w:sz w:val="14"/>
          <w:szCs w:val="14"/>
          <w:color w:val="auto"/>
        </w:rPr>
        <w:t>WARRANTS OUTSTANDING AT JULY 31, 1997</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Warrants issued during the year</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650,200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exercised during the year</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expired during the year</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WARRANTS OUTSTANDING AT JULY 31, 1998</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650,200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Warrants issued during the year</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2,700,750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exercised during the year</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expired during the year</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WARRANTS OUTSTANDING AT JULY 31, 1999</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3,350,950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338" w:lineRule="exact"/>
        <w:rPr>
          <w:sz w:val="20"/>
          <w:szCs w:val="20"/>
          <w:color w:val="auto"/>
        </w:rPr>
      </w:pPr>
    </w:p>
    <w:p>
      <w:pPr>
        <w:ind w:left="360" w:hanging="352"/>
        <w:spacing w:after="0"/>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AND SALES TO MAJOR CUSTOMERS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value of all financial instruments approximates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EXCHANGE RISK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maintains its accounts in Canadian dollars. However, a portion of its operations are located in other foreign jurisdictions, and its products are priced in foreign currencies. Therefore, the Company is subject to foreign currency fluctuations, which may from time to time affect its profitability and cash flow.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RISK</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Three customers accounted for 50% of the Company's accounts receivable balance at July 31, 1999 [1998 - two customers accounted for 17%]. The Company believes there is minimal risk associated with the collection of these amounts, as such balances are receivable from large well established telecommunications companies. The balance of accounts receivable is widely distributed among other customers.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TO MAJOR CUSTOMERS</w:t>
      </w:r>
    </w:p>
    <w:p>
      <w:pPr>
        <w:spacing w:after="0" w:line="173"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Approximately 29% of the Company's sales [1998 - two customers accounted for 45%] were made to one customer. This customer accounted for 24% of the Company's accounts receivable balance at year end [1998 - two customers accounted for 17%].</w:t>
      </w:r>
    </w:p>
    <w:p>
      <w:pPr>
        <w:spacing w:after="0" w:line="327" w:lineRule="exact"/>
        <w:rPr>
          <w:sz w:val="20"/>
          <w:szCs w:val="20"/>
          <w:color w:val="auto"/>
        </w:rPr>
      </w:pPr>
    </w:p>
    <w:p>
      <w:pPr>
        <w:ind w:left="360" w:hanging="352"/>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TAX CREDITS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Refundable investment tax credits of $169,643 [1998 - $1,104,514] related to scientific research and development activities have been applied to reduce research and development expenditures.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investment tax credits available of approximately $1,200,000 as at July 31, 1999 [1998 - $165,500] to reduce future years' income taxes. These investment tax credits will begin to expire in 2006. The benefit of these investment tax credits has not been reflected in the consolidated financial statements.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10.</w:t>
        <w:tab/>
        <w:t>INCOME TAXES</w:t>
      </w:r>
    </w:p>
    <w:p>
      <w:pPr>
        <w:spacing w:after="0" w:line="200" w:lineRule="exact"/>
        <w:rPr>
          <w:sz w:val="20"/>
          <w:szCs w:val="20"/>
          <w:color w:val="auto"/>
        </w:rPr>
      </w:pPr>
    </w:p>
    <w:p>
      <w:pPr>
        <w:spacing w:after="0" w:line="304" w:lineRule="exact"/>
        <w:rPr>
          <w:sz w:val="20"/>
          <w:szCs w:val="20"/>
          <w:color w:val="auto"/>
        </w:rPr>
      </w:pPr>
    </w:p>
    <w:p>
      <w:pPr>
        <w:ind w:left="5960"/>
        <w:spacing w:after="0"/>
        <w:tabs>
          <w:tab w:leader="none" w:pos="73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6040"/>
        <w:spacing w:after="0"/>
        <w:tabs>
          <w:tab w:leader="none" w:pos="7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34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(8,448)</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Deferred</w:t>
            </w:r>
          </w:p>
        </w:tc>
        <w:tc>
          <w:tcPr>
            <w:tcW w:w="34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(71,307)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(79,755)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Combined basic Canadian federal and provincial income</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tax rate at 44.62%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(6,632,000)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(952,000)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tax losses not recognized</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5,153,000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321,000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Tax benefits of research and development expenditures</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not recognized</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1,502,000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735,000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Increase (decrease) in income taxes from</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Permanent differences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Ontario superallowance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(315,000)</w:t>
            </w:r>
          </w:p>
        </w:tc>
      </w:tr>
      <w:tr>
        <w:trPr>
          <w:trHeight w:val="166"/>
        </w:trPr>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Other timing differences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306,000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106,245</w:t>
            </w:r>
          </w:p>
        </w:tc>
      </w:tr>
      <w:tr>
        <w:trPr>
          <w:trHeight w:val="166"/>
        </w:trPr>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Effect of tax rates on operations in foreign jurisdictions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75,000(79,755)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at July 31, 1999, the Company has available for tax purposes, Federal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Ontario research and development expenditures of approximately $5,400,000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$6,500,000 respectively [1998 - $1,750,000 and $2,850,000], which may be carried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indefinitely to reduce future years' taxable income. The Company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available for tax purposes, Federal and Ontario tax loss carryforwards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$10,400,000 and $14,000,000 respectively [1998 - nil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$1,550,000] which begin to expire in 2005.</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Realization of these potential income tax benefits is dependent upon future profitability and, accordingly, no portion of such benefits has been recorded in the accounts.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 AND OBLIGATION UNDER CAPITAL LEASES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is committed under long-term leases for office space and computer equipment. The future minimum annual lease payments required under the operating leases are approximately as follows:</w:t>
      </w:r>
    </w:p>
    <w:p>
      <w:pPr>
        <w:spacing w:after="0" w:line="200" w:lineRule="exact"/>
        <w:rPr>
          <w:sz w:val="20"/>
          <w:szCs w:val="20"/>
          <w:color w:val="auto"/>
        </w:rPr>
      </w:pPr>
    </w:p>
    <w:p>
      <w:pPr>
        <w:spacing w:after="0" w:line="29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2000</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1,318,559</w:t>
            </w:r>
          </w:p>
        </w:tc>
      </w:tr>
      <w:tr>
        <w:trPr>
          <w:trHeight w:val="166"/>
        </w:trPr>
        <w:tc>
          <w:tcPr>
            <w:tcW w:w="32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2001</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925,271</w:t>
            </w:r>
          </w:p>
        </w:tc>
      </w:tr>
      <w:tr>
        <w:trPr>
          <w:trHeight w:val="166"/>
        </w:trPr>
        <w:tc>
          <w:tcPr>
            <w:tcW w:w="32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2002</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521,603</w:t>
            </w:r>
          </w:p>
        </w:tc>
      </w:tr>
      <w:tr>
        <w:trPr>
          <w:trHeight w:val="166"/>
        </w:trPr>
        <w:tc>
          <w:tcPr>
            <w:tcW w:w="32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2003</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25,657</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2,791,090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Under the operating leases for office space, the Company is also required to pay for operating expenses. These amounts vary from year to year dependent upon usage and are, therefore, not included in the future minimum annual lease payments shown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future minimum annual lease payments under capital leases are as follows:</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62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111,753</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362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102,184</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362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62,668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and thereafter</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637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277,242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38,525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obligation under capital leases</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238,717</w:t>
            </w:r>
          </w:p>
        </w:tc>
      </w:tr>
      <w:tr>
        <w:trPr>
          <w:trHeight w:val="166"/>
        </w:trPr>
        <w:tc>
          <w:tcPr>
            <w:tcW w:w="5000" w:type="dxa"/>
            <w:vAlign w:val="bottom"/>
            <w:gridSpan w:val="4"/>
          </w:tcPr>
          <w:p>
            <w:pPr>
              <w:spacing w:after="0"/>
              <w:rPr>
                <w:sz w:val="20"/>
                <w:szCs w:val="20"/>
                <w:color w:val="auto"/>
              </w:rPr>
            </w:pPr>
            <w:r>
              <w:rPr>
                <w:rFonts w:ascii="Courier New" w:cs="Courier New" w:eastAsia="Courier New" w:hAnsi="Courier New"/>
                <w:sz w:val="14"/>
                <w:szCs w:val="14"/>
                <w:color w:val="auto"/>
              </w:rPr>
              <w:t>Less current portion</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88,690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OBLIGATION</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CONSOLIDATED STATEMENT OF CASH FLOWS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net change in non-cash working capital balances related to operations consists of the following:</w:t>
      </w:r>
    </w:p>
    <w:p>
      <w:pPr>
        <w:spacing w:after="0" w:line="200" w:lineRule="exact"/>
        <w:rPr>
          <w:sz w:val="20"/>
          <w:szCs w:val="20"/>
          <w:color w:val="auto"/>
        </w:rPr>
      </w:pPr>
    </w:p>
    <w:p>
      <w:pPr>
        <w:spacing w:after="0" w:line="291" w:lineRule="exact"/>
        <w:rPr>
          <w:sz w:val="20"/>
          <w:szCs w:val="20"/>
          <w:color w:val="auto"/>
        </w:rPr>
      </w:pPr>
    </w:p>
    <w:p>
      <w:pPr>
        <w:ind w:left="6040"/>
        <w:spacing w:after="0"/>
        <w:tabs>
          <w:tab w:leader="none" w:pos="74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6220"/>
        <w:spacing w:after="0"/>
        <w:tabs>
          <w:tab w:leader="none" w:pos="7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net of allowance for doubtful accounts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(3,745,127)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(1,603,340)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Prepaid expenses and</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(316,668)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(18,957)</w:t>
            </w: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Investment tax credits refundable</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461,813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(864,773)</w:t>
            </w: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recoverable/payable</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(8,448)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Accounts payable and</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accrued liabilities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2,015,302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1,110,115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35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2,551,839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278,604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0"/>
        <w:spacing w:after="0"/>
        <w:tabs>
          <w:tab w:leader="none" w:pos="6880" w:val="left"/>
        </w:tabs>
        <w:rPr>
          <w:sz w:val="20"/>
          <w:szCs w:val="20"/>
          <w:color w:val="auto"/>
        </w:rPr>
      </w:pPr>
      <w:r>
        <w:rPr>
          <w:rFonts w:ascii="Courier New" w:cs="Courier New" w:eastAsia="Courier New" w:hAnsi="Courier New"/>
          <w:sz w:val="14"/>
          <w:szCs w:val="14"/>
          <w:color w:val="auto"/>
        </w:rPr>
        <w:t>1,042,159</w:t>
      </w:r>
      <w:r>
        <w:rPr>
          <w:sz w:val="20"/>
          <w:szCs w:val="20"/>
          <w:color w:val="auto"/>
        </w:rPr>
        <w:tab/>
      </w:r>
      <w:r>
        <w:rPr>
          <w:rFonts w:ascii="Courier New" w:cs="Courier New" w:eastAsia="Courier New" w:hAnsi="Courier New"/>
          <w:sz w:val="14"/>
          <w:szCs w:val="14"/>
          <w:color w:val="auto"/>
        </w:rPr>
        <w:t>(1,106,799)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NON-CASH FINANCING AND INVESTING ACTIVITIES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During the year, property, plant and equipment were acquired at an aggregate cost of $224,654, of which the entire amount was financed by means of capital leases.</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During the year, the Company accrued interest on convertible debt, however, no cash was paid.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UNITED STATES ACCOUNTING PRINCIPLES (UNAUDITED)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These financial statements have been prepared in accordance with Canadian generally accepted accounting principles ("Canadian GAAP"), which conform, as applied by the Company, in all material respects with those in the United States ("U.S. GAAP") except with respect to the following adjustments (where appropriate, adjustments are net of related income tax effects):</w:t>
      </w:r>
    </w:p>
    <w:p>
      <w:pPr>
        <w:spacing w:after="0" w:line="165" w:lineRule="exact"/>
        <w:rPr>
          <w:sz w:val="20"/>
          <w:szCs w:val="20"/>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stock compensation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Canadian GAAP, there is no requirement to record compensation expense on the issue of stock options to employees, consultants or directors. Under U.S. GAAP APB No. 25, compensation expense equal to the difference between the market price of the stock and the exercise price of the option is recorded as an expense over the period of the vesting of the option. For the years ended July 31, 1999 and 1998, compensation expense in the amount of $289,164 and $280,326 would be recorded respectively, with a corresponding increase to additional paid in capital. The compensation expense for fiscal years prior to 1998 would result in a decrease in retained earnings of $278,819, an increase in deferred compensation expense of $372,369 and an increase in additional paid in capital of $651,188.</w:t>
      </w:r>
    </w:p>
    <w:p>
      <w:pPr>
        <w:spacing w:after="0" w:line="329" w:lineRule="exact"/>
        <w:rPr>
          <w:sz w:val="20"/>
          <w:szCs w:val="20"/>
          <w:color w:val="auto"/>
        </w:rPr>
      </w:pPr>
    </w:p>
    <w:p>
      <w:pPr>
        <w:ind w:right="3599" w:firstLine="8"/>
        <w:spacing w:after="0" w:line="255" w:lineRule="auto"/>
        <w:tabs>
          <w:tab w:leader="none" w:pos="43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reconciles net loss for the years in accordance with U.S. GAAP:</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80"/>
        <w:spacing w:after="0"/>
        <w:tabs>
          <w:tab w:leader="none" w:pos="58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474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loss conformance with Canadian GAAP</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(15,657,929)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(2,053,928)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Amortization of deferred stock compensation</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(289,164)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(280,326)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loss in conformance with U.S. GAAP</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(15,947,093)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(2,334,254)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599" w:hanging="432"/>
        <w:spacing w:after="0" w:line="252"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reflects the items in the consolidated balance sheet that would be affected had the financial statements been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80"/>
        <w:spacing w:after="0"/>
        <w:tabs>
          <w:tab w:leader="none" w:pos="58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474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Deferred stock compensation</w:t>
            </w:r>
          </w:p>
        </w:tc>
        <w:tc>
          <w:tcPr>
            <w:tcW w:w="2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(410,644)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(685,109)</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Deficit</w:t>
            </w:r>
          </w:p>
        </w:tc>
        <w:tc>
          <w:tcPr>
            <w:tcW w:w="2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(18,254,029)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(2,306,936)</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Additional paid in capital</w:t>
            </w:r>
          </w:p>
        </w:tc>
        <w:tc>
          <w:tcPr>
            <w:tcW w:w="2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1,258,953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1,244,254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COMPARATIVE FIGURES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year ended July 31, 1999, certain income statement items were reclassified in order to provide greater comparability with similar companies in the same industry. These reclassifications included allocating more of general and administrative expenses to cost of revenues. These reclassifications have been made retroactively to comparable periods.</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Company adopted CICA Handbook Section 1540, Cash Flow Statements for the year ended July 31, 1999. The provisions were applied retroactively with restatement of prior period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1999</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consolidated financial statements. Under Section 1540, non-cash investing and financing activities are excluded from the consolidated statement of cash flows and are disclosed in a note to the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UNCERTAINTY DUE TO THE YEAR 2000 ISSUE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Year 2000 Issue arises because many computerized systems use two digits rather than four to identify a year. Date-sensitive systems may recognize the year 2000 as 1900 or some other date, resulting in errors when information using year 2000 dates is processed. In addition, similar problems may arise in some systems which use certain dates in 1999 to represent something other than a date. The effects of the Year 2000 Issue may be experienced before, on, or after January 1, 2000, and, if not addressed, the impact on operations and financial reporting may range from minor errors to significant systems failure which could affect an entity's ability to conduct normal business operations. It is not possible to be certain that all aspects of the Year 2000 Issue affecting the Company, including those related to the efforts of customers, suppliers, or other third parties, will be fully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4"/>
          <w:szCs w:val="14"/>
          <w:color w:val="auto"/>
        </w:rPr>
        <w:t>CONSOLIDATED BALANCE SHEET (UNAUDITED)</w:t>
      </w:r>
    </w:p>
    <w:p>
      <w:pPr>
        <w:spacing w:after="0" w:line="7"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900" w:type="dxa"/>
        <w:tblCellMar>
          <w:top w:w="0" w:type="dxa"/>
          <w:left w:w="0" w:type="dxa"/>
          <w:bottom w:w="0" w:type="dxa"/>
          <w:right w:w="0" w:type="dxa"/>
        </w:tblCellMar>
      </w:tblPr>
      <w:tr>
        <w:trPr>
          <w:trHeight w:val="162"/>
        </w:trPr>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As at January 31,</w:t>
            </w:r>
          </w:p>
        </w:tc>
        <w:tc>
          <w:tcPr>
            <w:tcW w:w="20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As at July 31,</w:t>
            </w:r>
          </w:p>
        </w:tc>
      </w:tr>
      <w:tr>
        <w:trPr>
          <w:trHeight w:val="166"/>
        </w:trPr>
        <w:tc>
          <w:tcPr>
            <w:tcW w:w="22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2000</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2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5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5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w:t>
            </w:r>
          </w:p>
        </w:tc>
        <w:tc>
          <w:tcPr>
            <w:tcW w:w="3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53,386,616</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9,347,005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net of allowance for</w:t>
            </w: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doubtful accounts</w:t>
            </w:r>
          </w:p>
        </w:tc>
        <w:tc>
          <w:tcPr>
            <w:tcW w:w="3560" w:type="dxa"/>
            <w:vAlign w:val="bottom"/>
          </w:tcPr>
          <w:p>
            <w:pPr>
              <w:spacing w:after="0"/>
              <w:rPr>
                <w:sz w:val="14"/>
                <w:szCs w:val="14"/>
                <w:color w:val="auto"/>
              </w:rPr>
            </w:pPr>
          </w:p>
        </w:tc>
        <w:tc>
          <w:tcPr>
            <w:tcW w:w="3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10,962,206</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7,583,586</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Prepaid expenses and</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3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546,311</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381,431</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Investment tax credits refundable</w:t>
            </w:r>
          </w:p>
        </w:tc>
        <w:tc>
          <w:tcPr>
            <w:tcW w:w="3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1,217,243</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1,217,240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recoverable</w:t>
            </w:r>
          </w:p>
        </w:tc>
        <w:tc>
          <w:tcPr>
            <w:tcW w:w="376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Due from shareholder</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[note 2]</w:t>
            </w:r>
          </w:p>
        </w:tc>
        <w:tc>
          <w:tcPr>
            <w:tcW w:w="37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964</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954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6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66,113,340</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18,530,216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9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4,166,617</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2,913,099</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Deferred financing charges [note 5]</w:t>
            </w:r>
          </w:p>
        </w:tc>
        <w:tc>
          <w:tcPr>
            <w:tcW w:w="39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3,095,812</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9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73,375,769</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21,443,315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 (DEFICIENCY)</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33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11,103,209</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3,758,827</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33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121,552</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66,552</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33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5,889,271</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3,005,963</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Due to shareholders and related parties [note 2]</w:t>
            </w:r>
          </w:p>
        </w:tc>
        <w:tc>
          <w:tcPr>
            <w:tcW w:w="33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886,434</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768,076</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Current portion of obligation under capital leases</w:t>
            </w:r>
          </w:p>
        </w:tc>
        <w:tc>
          <w:tcPr>
            <w:tcW w:w="33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93,947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88,690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44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18,094,413</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7,688,108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Convertible debt</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[note 5]</w:t>
            </w:r>
          </w:p>
        </w:tc>
        <w:tc>
          <w:tcPr>
            <w:tcW w:w="41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77,988,637</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27,642,579</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Deferred exchange gain</w:t>
            </w:r>
          </w:p>
        </w:tc>
        <w:tc>
          <w:tcPr>
            <w:tcW w:w="41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538,588</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Obligation under</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capital leases</w:t>
            </w:r>
          </w:p>
        </w:tc>
        <w:tc>
          <w:tcPr>
            <w:tcW w:w="41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101,705</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150,027</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Unamortized tenant inducements</w:t>
            </w:r>
          </w:p>
        </w:tc>
        <w:tc>
          <w:tcPr>
            <w:tcW w:w="41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258,066</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309,906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96,981,409</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35,790,620</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(DEFICIENCY)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Share capital</w:t>
            </w:r>
          </w:p>
        </w:tc>
        <w:tc>
          <w:tcPr>
            <w:tcW w:w="49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3,065,614</w:t>
            </w:r>
          </w:p>
        </w:tc>
        <w:tc>
          <w:tcPr>
            <w:tcW w:w="19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3,058,415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Deficit</w:t>
            </w:r>
          </w:p>
        </w:tc>
        <w:tc>
          <w:tcPr>
            <w:tcW w:w="49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(26,671,254)</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(17,405,720)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SHAREHOLDERS' EQUITY (DEFICIENCY)</w:t>
            </w:r>
          </w:p>
        </w:tc>
        <w:tc>
          <w:tcPr>
            <w:tcW w:w="38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(23,605,640)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(14,347,305)</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73,375,76921,443,315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540"/>
          </w:cols>
          <w:pgMar w:left="220" w:top="285" w:right="139"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CONSOLIDATED STATEMENT OF LOSS AND DEFICIT (UNAUDITED)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ended 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760"/>
        <w:spacing w:after="0"/>
        <w:tabs>
          <w:tab w:leader="none" w:pos="104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7940"/>
        <w:spacing w:after="0"/>
        <w:tabs>
          <w:tab w:leader="none" w:pos="10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8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Services</w:t>
            </w:r>
          </w:p>
        </w:tc>
        <w:tc>
          <w:tcPr>
            <w:tcW w:w="48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10,805,297</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3,733,252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Software licenses</w:t>
            </w:r>
          </w:p>
        </w:tc>
        <w:tc>
          <w:tcPr>
            <w:tcW w:w="48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5,100,285</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976,840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Support</w:t>
            </w:r>
          </w:p>
        </w:tc>
        <w:tc>
          <w:tcPr>
            <w:tcW w:w="48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535,695</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283,884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16,441,277</w:t>
            </w:r>
          </w:p>
        </w:tc>
        <w:tc>
          <w:tcPr>
            <w:tcW w:w="22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4,993,976</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Cost of revenues</w:t>
            </w:r>
          </w:p>
        </w:tc>
        <w:tc>
          <w:tcPr>
            <w:tcW w:w="48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9,724,025</w:t>
            </w:r>
          </w:p>
        </w:tc>
        <w:tc>
          <w:tcPr>
            <w:tcW w:w="22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3,854,113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48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6,717,252</w:t>
            </w:r>
          </w:p>
        </w:tc>
        <w:tc>
          <w:tcPr>
            <w:tcW w:w="22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1,139,863</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42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4,872,878</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2,977,761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Research and development, net</w:t>
            </w:r>
          </w:p>
        </w:tc>
        <w:tc>
          <w:tcPr>
            <w:tcW w:w="42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5,031,266</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2,681,723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42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4,852,400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2,365,511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500"/>
        <w:spacing w:after="0"/>
        <w:tabs>
          <w:tab w:leader="none" w:pos="10240" w:val="left"/>
        </w:tabs>
        <w:rPr>
          <w:sz w:val="20"/>
          <w:szCs w:val="20"/>
          <w:color w:val="auto"/>
        </w:rPr>
      </w:pPr>
      <w:r>
        <w:rPr>
          <w:rFonts w:ascii="Courier New" w:cs="Courier New" w:eastAsia="Courier New" w:hAnsi="Courier New"/>
          <w:sz w:val="14"/>
          <w:szCs w:val="14"/>
          <w:color w:val="auto"/>
        </w:rPr>
        <w:t>14,756,544</w:t>
      </w:r>
      <w:r>
        <w:rPr>
          <w:sz w:val="20"/>
          <w:szCs w:val="20"/>
          <w:color w:val="auto"/>
        </w:rPr>
        <w:tab/>
      </w:r>
      <w:r>
        <w:rPr>
          <w:rFonts w:ascii="Courier New" w:cs="Courier New" w:eastAsia="Courier New" w:hAnsi="Courier New"/>
          <w:sz w:val="14"/>
          <w:szCs w:val="14"/>
          <w:color w:val="auto"/>
        </w:rPr>
        <w:t>8,024,995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Loss before interest and income taxes</w:t>
            </w:r>
          </w:p>
        </w:tc>
        <w:tc>
          <w:tcPr>
            <w:tcW w:w="39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(8,039,292)</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(6,885,132)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1,171,242</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333,760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Loss before income taxes</w:t>
            </w:r>
          </w:p>
        </w:tc>
        <w:tc>
          <w:tcPr>
            <w:tcW w:w="44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(9,210,534)</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(7,218,892)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44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55,000</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NET LOSS FOR THE PERIOD</w:t>
            </w:r>
          </w:p>
        </w:tc>
        <w:tc>
          <w:tcPr>
            <w:tcW w:w="38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(9,265,534)</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(7,218,892)</w:t>
            </w:r>
          </w:p>
        </w:tc>
      </w:tr>
      <w:tr>
        <w:trPr>
          <w:trHeight w:val="331"/>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Retained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deficit, beginning of the period</w:t>
            </w:r>
          </w:p>
        </w:tc>
        <w:tc>
          <w:tcPr>
            <w:tcW w:w="38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(17,405,720)</w:t>
            </w:r>
          </w:p>
        </w:tc>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(1,747,791)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DEFICIT,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END OF THE PERIOD</w:t>
            </w:r>
          </w:p>
        </w:tc>
        <w:tc>
          <w:tcPr>
            <w:tcW w:w="38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(26,671,254)</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(8,966,683)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540"/>
          </w:cols>
          <w:pgMar w:left="220" w:top="285" w:right="139"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CONSOLIDATED STATEMENT OF CASH FLOWS (UNAUDITED)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ended January 31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680"/>
        <w:spacing w:after="0"/>
        <w:tabs>
          <w:tab w:leader="none" w:pos="103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7840"/>
        <w:spacing w:after="0"/>
        <w:tabs>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loss for the period</w:t>
            </w:r>
          </w:p>
        </w:tc>
        <w:tc>
          <w:tcPr>
            <w:tcW w:w="28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(9,265,534)</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(7,218,892)</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Add (deduct) non-cash items</w:t>
            </w:r>
          </w:p>
        </w:tc>
        <w:tc>
          <w:tcPr>
            <w:tcW w:w="2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651,261</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290,808</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deferred financing charges</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49,596</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1,568,461</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371,204</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deferred foreign exchange gain</w:t>
            </w:r>
          </w:p>
        </w:tc>
        <w:tc>
          <w:tcPr>
            <w:tcW w:w="28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(9,286)</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Foreign exchange loss on cash and cash equivalents held in</w:t>
            </w:r>
          </w:p>
        </w:tc>
        <w:tc>
          <w:tcPr>
            <w:tcW w:w="2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foreign currencies</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548,040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Tenant inducements</w:t>
            </w:r>
          </w:p>
        </w:tc>
        <w:tc>
          <w:tcPr>
            <w:tcW w:w="28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(51,840)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76,572</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(6,509,302)</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(6,480,308)</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Net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non-cash working capital balances</w:t>
            </w:r>
          </w:p>
        </w:tc>
        <w:tc>
          <w:tcPr>
            <w:tcW w:w="34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related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6,739,187</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895,936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CASH PROVIDED BY (USED IN) OPERATING ACTIVITIES</w:t>
            </w:r>
          </w:p>
        </w:tc>
        <w:tc>
          <w:tcPr>
            <w:tcW w:w="33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229,885</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(5,584,372)</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Purchases of property, plant and equipment</w:t>
            </w:r>
          </w:p>
        </w:tc>
        <w:tc>
          <w:tcPr>
            <w:tcW w:w="38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(1,904,779)</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(704,292)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CASH USED IN INVESTING ACTIVITIES</w:t>
            </w:r>
          </w:p>
        </w:tc>
        <w:tc>
          <w:tcPr>
            <w:tcW w:w="4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(1,904,779)</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(704,292)</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 issued</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for cash</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7,199</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40,694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Due to/from</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shareholders and related parties</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118,348</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(7,715)</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Repayment of capital</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leases</w:t>
            </w:r>
          </w:p>
        </w:tc>
        <w:tc>
          <w:tcPr>
            <w:tcW w:w="3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(43,065)</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(6,459)</w:t>
            </w:r>
          </w:p>
        </w:tc>
      </w:tr>
      <w:tr>
        <w:trPr>
          <w:trHeight w:val="166"/>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Deferred financing charges</w:t>
            </w:r>
          </w:p>
        </w:tc>
        <w:tc>
          <w:tcPr>
            <w:tcW w:w="3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(3,145,408)</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debt issued</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49,325,471</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19,230,768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PROVIDED BY FINANCING ACTIVITIES</w:t>
            </w:r>
          </w:p>
        </w:tc>
        <w:tc>
          <w:tcPr>
            <w:tcW w:w="38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46,262,545</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19,257,288</w:t>
            </w:r>
          </w:p>
        </w:tc>
      </w:tr>
    </w:tbl>
    <w:p>
      <w:pPr>
        <w:spacing w:after="0" w:line="4"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 exchange loss on cash and cash equivalents held in</w:t>
      </w:r>
    </w:p>
    <w:p>
      <w:pPr>
        <w:spacing w:after="0" w:line="7" w:lineRule="exact"/>
        <w:rPr>
          <w:sz w:val="20"/>
          <w:szCs w:val="20"/>
          <w:color w:val="auto"/>
        </w:rPr>
      </w:pPr>
    </w:p>
    <w:p>
      <w:pPr>
        <w:ind w:left="780"/>
        <w:spacing w:after="0"/>
        <w:tabs>
          <w:tab w:leader="none" w:pos="7560" w:val="left"/>
          <w:tab w:leader="none" w:pos="10840" w:val="left"/>
        </w:tabs>
        <w:rPr>
          <w:sz w:val="20"/>
          <w:szCs w:val="20"/>
          <w:color w:val="auto"/>
        </w:rPr>
      </w:pPr>
      <w:r>
        <w:rPr>
          <w:rFonts w:ascii="Courier New" w:cs="Courier New" w:eastAsia="Courier New" w:hAnsi="Courier New"/>
          <w:sz w:val="14"/>
          <w:szCs w:val="14"/>
          <w:color w:val="auto"/>
        </w:rPr>
        <w:t>foreign currencies</w:t>
      </w:r>
      <w:r>
        <w:rPr>
          <w:sz w:val="20"/>
          <w:szCs w:val="20"/>
          <w:color w:val="auto"/>
        </w:rPr>
        <w:tab/>
      </w:r>
      <w:r>
        <w:rPr>
          <w:rFonts w:ascii="Courier New" w:cs="Courier New" w:eastAsia="Courier New" w:hAnsi="Courier New"/>
          <w:sz w:val="14"/>
          <w:szCs w:val="14"/>
          <w:color w:val="auto"/>
        </w:rPr>
        <w:t>(548,040)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gridSpan w:val="6"/>
          </w:tcPr>
          <w:p>
            <w:pPr>
              <w:spacing w:after="0"/>
              <w:rPr>
                <w:sz w:val="20"/>
                <w:szCs w:val="20"/>
                <w:color w:val="auto"/>
              </w:rPr>
            </w:pPr>
            <w:r>
              <w:rPr>
                <w:rFonts w:ascii="Courier New" w:cs="Courier New" w:eastAsia="Courier New" w:hAnsi="Courier New"/>
                <w:sz w:val="14"/>
                <w:szCs w:val="14"/>
                <w:color w:val="auto"/>
              </w:rPr>
              <w:t>NET INCREASE IN CASH AND CASH EQUIVALENTS DURING THE PERIOD</w:t>
            </w:r>
          </w:p>
        </w:tc>
        <w:tc>
          <w:tcPr>
            <w:tcW w:w="29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44,039,611</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12,968,624</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beginning of the period</w:t>
            </w:r>
          </w:p>
        </w:tc>
        <w:tc>
          <w:tcPr>
            <w:tcW w:w="29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9,347,005</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4,103,181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END OF THE PERIOD</w:t>
            </w:r>
          </w:p>
        </w:tc>
        <w:tc>
          <w:tcPr>
            <w:tcW w:w="29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53,386,616</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17,071,805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540"/>
          </w:cols>
          <w:pgMar w:left="220" w:top="285" w:right="13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(UNAUDITED)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BASIS OF PRESENTATION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Solect Technology Group Inc. [the "Company"] is in the business of development, sale and support of internet protocol billing software used by internet service providers. The Company was incorporated June 24, 1993 under the Ontario Business Corporations Act.</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These unaudited consolidated financial statements have been prepared in accordance with accounting principles generally accepted in Canada and are stated in Canadian dollars. These unaudited consolidated financial statements include the accounts of all subsidiary companies from the dates of their incorporation. All material intercompany accounts and transactions have been eliminated upon consolidation.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year. These statements,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July 31, 1999 set forth in this filing.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RELATED PARTY TRANSACTIONS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Company has outstanding account balances with shareholders and related parties as follows:</w:t>
      </w:r>
    </w:p>
    <w:p>
      <w:pPr>
        <w:spacing w:after="0" w:line="200" w:lineRule="exact"/>
        <w:rPr>
          <w:sz w:val="20"/>
          <w:szCs w:val="20"/>
          <w:color w:val="auto"/>
        </w:rPr>
      </w:pPr>
    </w:p>
    <w:p>
      <w:pPr>
        <w:spacing w:after="0" w:line="291" w:lineRule="exact"/>
        <w:rPr>
          <w:sz w:val="20"/>
          <w:szCs w:val="20"/>
          <w:color w:val="auto"/>
        </w:rPr>
      </w:pPr>
    </w:p>
    <w:tbl>
      <w:tblPr>
        <w:tblLayout w:type="fixed"/>
        <w:tblInd w:w="4060" w:type="dxa"/>
        <w:tblCellMar>
          <w:top w:w="0" w:type="dxa"/>
          <w:left w:w="0" w:type="dxa"/>
          <w:bottom w:w="0" w:type="dxa"/>
          <w:right w:w="0" w:type="dxa"/>
        </w:tblCellMar>
      </w:tblPr>
      <w:tr>
        <w:trPr>
          <w:trHeight w:val="162"/>
        </w:trPr>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AS AT JANUARY 31,</w:t>
            </w:r>
          </w:p>
        </w:tc>
        <w:tc>
          <w:tcPr>
            <w:tcW w:w="13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AS AT JULY 31,</w:t>
            </w:r>
          </w:p>
        </w:tc>
      </w:tr>
      <w:tr>
        <w:trPr>
          <w:trHeight w:val="166"/>
        </w:trPr>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Due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shareholders</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(47,285)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(47,285)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Due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related parties</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(839,149)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(720,791)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 w:leader="none" w:pos="6100" w:val="left"/>
        </w:tabs>
        <w:rPr>
          <w:sz w:val="20"/>
          <w:szCs w:val="20"/>
          <w:color w:val="auto"/>
        </w:rPr>
      </w:pPr>
      <w:r>
        <w:rPr>
          <w:rFonts w:ascii="Courier New" w:cs="Courier New" w:eastAsia="Courier New" w:hAnsi="Courier New"/>
          <w:sz w:val="14"/>
          <w:szCs w:val="14"/>
          <w:color w:val="auto"/>
        </w:rPr>
        <w:t>DUE TO SHAREHOLDERS AND RELATED PARTIES</w:t>
      </w:r>
      <w:r>
        <w:rPr>
          <w:sz w:val="20"/>
          <w:szCs w:val="20"/>
          <w:color w:val="auto"/>
        </w:rPr>
        <w:tab/>
      </w:r>
      <w:r>
        <w:rPr>
          <w:rFonts w:ascii="Courier New" w:cs="Courier New" w:eastAsia="Courier New" w:hAnsi="Courier New"/>
          <w:sz w:val="14"/>
          <w:szCs w:val="14"/>
          <w:color w:val="auto"/>
        </w:rPr>
        <w:t>(886,434)</w:t>
      </w:r>
      <w:r>
        <w:rPr>
          <w:sz w:val="20"/>
          <w:szCs w:val="20"/>
          <w:color w:val="auto"/>
        </w:rPr>
        <w:tab/>
      </w:r>
      <w:r>
        <w:rPr>
          <w:rFonts w:ascii="Courier New" w:cs="Courier New" w:eastAsia="Courier New" w:hAnsi="Courier New"/>
          <w:sz w:val="14"/>
          <w:szCs w:val="14"/>
          <w:color w:val="auto"/>
        </w:rPr>
        <w:t>(768,076)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6540" w:val="left"/>
        </w:tabs>
        <w:rPr>
          <w:sz w:val="20"/>
          <w:szCs w:val="20"/>
          <w:color w:val="auto"/>
        </w:rPr>
      </w:pPr>
      <w:r>
        <w:rPr>
          <w:rFonts w:ascii="Courier New" w:cs="Courier New" w:eastAsia="Courier New" w:hAnsi="Courier New"/>
          <w:sz w:val="14"/>
          <w:szCs w:val="14"/>
          <w:color w:val="auto"/>
        </w:rPr>
        <w:t>DUE FROM SHAREHOLDER</w:t>
      </w:r>
      <w:r>
        <w:rPr>
          <w:sz w:val="20"/>
          <w:szCs w:val="20"/>
          <w:color w:val="auto"/>
        </w:rPr>
        <w:tab/>
      </w:r>
      <w:r>
        <w:rPr>
          <w:rFonts w:ascii="Courier New" w:cs="Courier New" w:eastAsia="Courier New" w:hAnsi="Courier New"/>
          <w:sz w:val="14"/>
          <w:szCs w:val="14"/>
          <w:color w:val="auto"/>
        </w:rPr>
        <w:t>964</w:t>
      </w:r>
      <w:r>
        <w:rPr>
          <w:sz w:val="20"/>
          <w:szCs w:val="20"/>
          <w:color w:val="auto"/>
        </w:rPr>
        <w:tab/>
      </w:r>
      <w:r>
        <w:rPr>
          <w:rFonts w:ascii="Courier New" w:cs="Courier New" w:eastAsia="Courier New" w:hAnsi="Courier New"/>
          <w:sz w:val="14"/>
          <w:szCs w:val="14"/>
          <w:color w:val="auto"/>
        </w:rPr>
        <w:t>954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due to/from shareholders and related parties are non-interest bearing.</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Of the amounts due to shareholders, $47,285 are for loans made to the Company in prior periods.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(UNAUDITED)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2000</w:t>
      </w:r>
    </w:p>
    <w:p>
      <w:pPr>
        <w:spacing w:after="0" w:line="338"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During the period, the Company paid $113,167 [1999 - $113,167] to another shareholder in consideration of management and consulting fees, which are reported as a general and administrative expense.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Included in accounts payable and accrued liabilities are subcontracting, consulting and other fees totaling $2,272,895 which are owed to a convertible debtholder and the company controlled by this convertible debtholder. These services were provided under normal business and payment terms. Also, included in accrued liabilities is financing fees payable to a convertible debtholder in the amount of $3,072,097.</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balance due to related parties includes $725,600 for software licensing that was acquired by the Company from the company controlled by this convertible debtholder. In addition, the company controlled by this convertible debtholder has entered into an agreement with the Company to receive sales commission from the Company for selling software based on a set percentage. These amounts are payable to a convertible debtholder and a company controlled by this convertible debtholder. During the period, the Company paid $1,664,535 to the convertible debtholder, and $342,063 to the company controlled by this convertible debtholder. The amounts are reported as a cost of revenues.</w:t>
      </w:r>
    </w:p>
    <w:p>
      <w:pPr>
        <w:spacing w:after="0" w:line="16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Of the amounts due to related parties, $113,549 are for loans made to the Company in prior periods.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INCOME TAXES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(UNAUDITED)</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at July 31, 1999 the Company has available for tax purposes, Federal and Ontario research and development expenditures of approximately $5,400,000 and $6,500,000 respectively, which may be carried forward indefinitely to reduce future years' taxable income. The Company also has available for tax purposes, Federal and Ontario tax loss carryforwards of approximately $10,400,000 and $14,000,000 respectively which begin to expire in 2005. These amounts do not reflect the impact of the Company's net loss of $9,265,534 during the six months ended January 31, 2000.</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Realization of these potential income tax benefits is dependent upon future profitability and, accordingly, no portion of such benefits has been recorded in the accounts.</w:t>
      </w:r>
    </w:p>
    <w:p>
      <w:pPr>
        <w:spacing w:after="0" w:line="329" w:lineRule="exact"/>
        <w:rPr>
          <w:sz w:val="20"/>
          <w:szCs w:val="20"/>
          <w:color w:val="auto"/>
        </w:rPr>
      </w:pPr>
    </w:p>
    <w:p>
      <w:pPr>
        <w:ind w:left="780" w:hanging="772"/>
        <w:spacing w:after="0"/>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ACCOUNTING PRINCIPLES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These financial statements have been prepared in accordance with Canadian generally accepted accounting principles ("Canadian GAAP"), which conform in all material respects with those in the United States ("U.S. GAAP") except with respect to the following adjustments (where appropriate, adjustments are net of related income tax effects):</w:t>
      </w:r>
    </w:p>
    <w:p>
      <w:pPr>
        <w:spacing w:after="0" w:line="165" w:lineRule="exact"/>
        <w:rPr>
          <w:sz w:val="20"/>
          <w:szCs w:val="20"/>
          <w:color w:val="auto"/>
        </w:rPr>
      </w:pPr>
    </w:p>
    <w:p>
      <w:pPr>
        <w:ind w:left="780" w:hanging="772"/>
        <w:spacing w:after="0"/>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stock compensation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Canadian GAAP, there is no requirement to record compensation expense on the issue of stock options to employees, consultants or directors. Under U.S. GAAP APB No. 25, compensation expense equal to the difference between the market price of the stock and the exercise price of the option is recorded as an expense over the period of the vesting of the option. For the six months ended January 31, 2000 and 1999, compensation expense in the amount of $97,990 and $144,582 would be recorded respectively, with a corresponding increase to additional paid in capital. The compensation expense for fiscal years prior to 1999 would result in a decrease in retained earnings of $559,147, an increase in deferred compensation expense of $685,109 and an increase in additional paid in capital of $1,244,254.</w:t>
      </w:r>
    </w:p>
    <w:p>
      <w:pPr>
        <w:spacing w:after="0" w:line="329" w:lineRule="exact"/>
        <w:rPr>
          <w:sz w:val="20"/>
          <w:szCs w:val="20"/>
          <w:color w:val="auto"/>
        </w:rPr>
      </w:pPr>
    </w:p>
    <w:p>
      <w:pPr>
        <w:ind w:left="780" w:hanging="772"/>
        <w:spacing w:after="0"/>
        <w:tabs>
          <w:tab w:leader="none" w:pos="7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foreign exchange gains on long term debt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Canadian GAAP, exchange gains and losses relating to the translation of foreign currency denominated monetary items that have a fixed or ascertainable life extending beyond the end of the following fiscal year should be deferred and amortized over the remaining life of the monetary item. Under U.S. GAAP FAS 52, exchange gains and losses should be included in the determination of net income for the period in which the exchange rate changes. For the six months ended January 31, 2000 a foreign exchange gain of $538,588 (1999 - nil) would be recorded. The company did not have a similar foreign exchange gains and losses for periods prior to fiscal 1999.</w:t>
      </w:r>
    </w:p>
    <w:p>
      <w:pPr>
        <w:spacing w:after="0" w:line="164" w:lineRule="exact"/>
        <w:rPr>
          <w:sz w:val="20"/>
          <w:szCs w:val="20"/>
          <w:color w:val="auto"/>
        </w:rPr>
      </w:pPr>
    </w:p>
    <w:p>
      <w:pPr>
        <w:ind w:left="780" w:right="3679" w:hanging="772"/>
        <w:spacing w:after="0" w:line="255" w:lineRule="auto"/>
        <w:tabs>
          <w:tab w:leader="none" w:pos="7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reconciles net loss for the years in accordance with U.S. GAAP:</w:t>
      </w:r>
    </w:p>
    <w:p>
      <w:pPr>
        <w:spacing w:after="0" w:line="200" w:lineRule="exact"/>
        <w:rPr>
          <w:sz w:val="20"/>
          <w:szCs w:val="20"/>
          <w:color w:val="auto"/>
        </w:rPr>
      </w:pPr>
    </w:p>
    <w:p>
      <w:pPr>
        <w:spacing w:after="0" w:line="291" w:lineRule="exact"/>
        <w:rPr>
          <w:sz w:val="20"/>
          <w:szCs w:val="20"/>
          <w:color w:val="auto"/>
        </w:rPr>
      </w:pPr>
    </w:p>
    <w:p>
      <w:pPr>
        <w:ind w:left="4580"/>
        <w:spacing w:after="0"/>
        <w:tabs>
          <w:tab w:leader="none" w:pos="59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466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conformance with Canadian GAAP</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(9,265,534)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(7,218,892)</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Adjustments</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Stock option based compensation expense</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(97,990)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(144,582)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Exchange</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gain on long-term debt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538,588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loss in conformance with U.S. GAAP</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(8,824,936)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(7,363,474)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TECHNOLOGY GROUP INC.</w:t>
      </w: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(UNAUDITED)</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 Canadian dollars, unless otherwise stated)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2000</w:t>
      </w:r>
    </w:p>
    <w:p>
      <w:pPr>
        <w:spacing w:after="0" w:line="338" w:lineRule="exact"/>
        <w:rPr>
          <w:sz w:val="20"/>
          <w:szCs w:val="20"/>
          <w:color w:val="auto"/>
        </w:rPr>
      </w:pPr>
    </w:p>
    <w:p>
      <w:pPr>
        <w:ind w:left="440" w:right="3599" w:hanging="432"/>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reflects the items in the consolidated balance sheet that would be affected had the financial statements been prepared in accordance with U.S. GAAP:</w:t>
      </w:r>
    </w:p>
    <w:p>
      <w:pPr>
        <w:spacing w:after="0" w:line="200" w:lineRule="exact"/>
        <w:rPr>
          <w:sz w:val="20"/>
          <w:szCs w:val="20"/>
          <w:color w:val="auto"/>
        </w:rPr>
      </w:pPr>
    </w:p>
    <w:p>
      <w:pPr>
        <w:spacing w:after="0" w:line="294" w:lineRule="exact"/>
        <w:rPr>
          <w:sz w:val="20"/>
          <w:szCs w:val="20"/>
          <w:color w:val="auto"/>
        </w:rPr>
      </w:pPr>
    </w:p>
    <w:p>
      <w:pPr>
        <w:ind w:left="3540"/>
        <w:spacing w:after="0"/>
        <w:tabs>
          <w:tab w:leader="none" w:pos="5160" w:val="left"/>
        </w:tabs>
        <w:rPr>
          <w:sz w:val="20"/>
          <w:szCs w:val="20"/>
          <w:color w:val="auto"/>
        </w:rPr>
      </w:pPr>
      <w:r>
        <w:rPr>
          <w:rFonts w:ascii="Courier New" w:cs="Courier New" w:eastAsia="Courier New" w:hAnsi="Courier New"/>
          <w:sz w:val="14"/>
          <w:szCs w:val="14"/>
          <w:color w:val="auto"/>
        </w:rPr>
        <w:t>AS AT JANUARY 31,</w:t>
        <w:tab/>
        <w:t>AS AT JULY 31,</w:t>
      </w:r>
    </w:p>
    <w:p>
      <w:pPr>
        <w:spacing w:after="0" w:line="7" w:lineRule="exact"/>
        <w:rPr>
          <w:sz w:val="20"/>
          <w:szCs w:val="20"/>
          <w:color w:val="auto"/>
        </w:rPr>
      </w:pPr>
    </w:p>
    <w:p>
      <w:pPr>
        <w:ind w:left="3980"/>
        <w:spacing w:after="0"/>
        <w:tabs>
          <w:tab w:leader="none" w:pos="55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414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Deferred exchange gain</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Deferred stock compensation</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(309,787)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(410,644)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Deficit</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(27,078,966)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(18,254,029)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Additional paid in capital</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1,256,086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1,258,953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exchange rates in effect between U.S. Dollars and Canadian Dollars was 1.5063 and 1.4512 at July 31, 1999 and January 31, 2000,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CONVERTIBLE DEBT</w:t>
      </w:r>
    </w:p>
    <w:p>
      <w:pPr>
        <w:spacing w:after="0" w:line="200" w:lineRule="exact"/>
        <w:rPr>
          <w:sz w:val="20"/>
          <w:szCs w:val="20"/>
          <w:color w:val="auto"/>
        </w:rPr>
      </w:pPr>
    </w:p>
    <w:p>
      <w:pPr>
        <w:spacing w:after="0" w:line="304" w:lineRule="exact"/>
        <w:rPr>
          <w:sz w:val="20"/>
          <w:szCs w:val="20"/>
          <w:color w:val="auto"/>
        </w:rPr>
      </w:pPr>
    </w:p>
    <w:tbl>
      <w:tblPr>
        <w:tblLayout w:type="fixed"/>
        <w:tblInd w:w="3980" w:type="dxa"/>
        <w:tblCellMar>
          <w:top w:w="0" w:type="dxa"/>
          <w:left w:w="0" w:type="dxa"/>
          <w:bottom w:w="0" w:type="dxa"/>
          <w:right w:w="0" w:type="dxa"/>
        </w:tblCellMar>
      </w:tblPr>
      <w:tr>
        <w:trPr>
          <w:trHeight w:val="162"/>
        </w:trPr>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 AT JANUARY 31,</w:t>
            </w:r>
          </w:p>
        </w:tc>
        <w:tc>
          <w:tcPr>
            <w:tcW w:w="13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AS AT JULY 31,</w:t>
            </w:r>
          </w:p>
        </w:tc>
      </w:tr>
      <w:tr>
        <w:trPr>
          <w:trHeight w:val="166"/>
        </w:trPr>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convertible debenture, maturing</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December 16,</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2800" w:type="dxa"/>
            <w:vAlign w:val="bottom"/>
          </w:tcPr>
          <w:p>
            <w:pPr>
              <w:jc w:val="right"/>
              <w:ind w:right="2388"/>
              <w:spacing w:after="0"/>
              <w:rPr>
                <w:sz w:val="20"/>
                <w:szCs w:val="20"/>
                <w:color w:val="auto"/>
              </w:rPr>
            </w:pPr>
            <w:r>
              <w:rPr>
                <w:rFonts w:ascii="Courier New" w:cs="Courier New" w:eastAsia="Courier New" w:hAnsi="Courier New"/>
                <w:sz w:val="14"/>
                <w:szCs w:val="14"/>
                <w:color w:val="auto"/>
                <w:w w:val="95"/>
              </w:rPr>
              <w:t>2004</w:t>
            </w:r>
          </w:p>
        </w:tc>
        <w:tc>
          <w:tcPr>
            <w:tcW w:w="124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49,258,691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convertible debenture, maturing</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January 19,</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2800" w:type="dxa"/>
            <w:vAlign w:val="bottom"/>
          </w:tcPr>
          <w:p>
            <w:pPr>
              <w:jc w:val="right"/>
              <w:ind w:right="2388"/>
              <w:spacing w:after="0"/>
              <w:rPr>
                <w:sz w:val="20"/>
                <w:szCs w:val="20"/>
                <w:color w:val="auto"/>
              </w:rPr>
            </w:pPr>
            <w:r>
              <w:rPr>
                <w:rFonts w:ascii="Courier New" w:cs="Courier New" w:eastAsia="Courier New" w:hAnsi="Courier New"/>
                <w:sz w:val="14"/>
                <w:szCs w:val="14"/>
                <w:color w:val="auto"/>
                <w:w w:val="95"/>
              </w:rPr>
              <w:t>2004</w:t>
            </w:r>
          </w:p>
        </w:tc>
        <w:tc>
          <w:tcPr>
            <w:tcW w:w="124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20,860,273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20,077,976</w:t>
            </w:r>
          </w:p>
        </w:tc>
      </w:tr>
      <w:tr>
        <w:trPr>
          <w:trHeight w:val="166"/>
        </w:trPr>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convertible note, maturing July</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28, 2010</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7,869,673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7,564,603</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77,988,63727,642,579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December 17, 1999, the Company entered into a convertible debenture agreement for proceeds in the amount of $US 33,611,905. The convertible debenture accrues interest at a rate of 8% per annum, compounding annually, with principal and interest payable at the earliest of maturity, the closing of a liquidity event, or conversion, with a maturity date of December 16, 2004. The debt is initially convertible into 2,922,776 common shares, subject to adjustment.</w:t>
      </w:r>
    </w:p>
    <w:p>
      <w:pPr>
        <w:spacing w:after="0" w:line="330" w:lineRule="exact"/>
        <w:rPr>
          <w:sz w:val="20"/>
          <w:szCs w:val="20"/>
          <w:color w:val="auto"/>
        </w:rPr>
      </w:pPr>
    </w:p>
    <w:p>
      <w:pPr>
        <w:ind w:left="360" w:hanging="352"/>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On April 5, 2000, the Company was acquired by Amdocs Limited ("Amdocs"), in a stock-for-stock transaction. The total purchase price was approximately $1,100,000 ($US), based on a per share price of $69.875 ($US) for Amdocs' ordinary shares.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AMDOCS LIMITED</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8, 2000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THOMAS G.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Treasurer and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Authorized U.S. Representative</w:t>
      </w:r>
    </w:p>
    <w:p>
      <w:pPr>
        <w:spacing w:after="0" w:line="200"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62"/>
        </w:trPr>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4000" w:type="dxa"/>
            <w:vAlign w:val="bottom"/>
          </w:tcPr>
          <w:p>
            <w:pPr>
              <w:spacing w:after="0"/>
              <w:rPr>
                <w:sz w:val="14"/>
                <w:szCs w:val="14"/>
                <w:color w:val="auto"/>
              </w:rPr>
            </w:pPr>
          </w:p>
        </w:tc>
      </w:tr>
      <w:tr>
        <w:trPr>
          <w:trHeight w:val="497"/>
        </w:trPr>
        <w:tc>
          <w:tcPr>
            <w:tcW w:w="1600" w:type="dxa"/>
            <w:vAlign w:val="bottom"/>
          </w:tcPr>
          <w:p>
            <w:pPr>
              <w:spacing w:after="0"/>
              <w:rPr>
                <w:sz w:val="24"/>
                <w:szCs w:val="24"/>
                <w:color w:val="auto"/>
              </w:rPr>
            </w:pPr>
          </w:p>
        </w:tc>
        <w:tc>
          <w:tcPr>
            <w:tcW w:w="4000" w:type="dxa"/>
            <w:vAlign w:val="bottom"/>
          </w:tcPr>
          <w:p>
            <w:pPr>
              <w:ind w:left="1340"/>
              <w:spacing w:after="0"/>
              <w:rPr>
                <w:sz w:val="20"/>
                <w:szCs w:val="20"/>
                <w:color w:val="auto"/>
              </w:rPr>
            </w:pPr>
            <w:r>
              <w:rPr>
                <w:rFonts w:ascii="Courier New" w:cs="Courier New" w:eastAsia="Courier New" w:hAnsi="Courier New"/>
                <w:sz w:val="14"/>
                <w:szCs w:val="14"/>
                <w:color w:val="auto"/>
              </w:rPr>
              <w:t>EXHIBIT INDEX</w:t>
            </w:r>
          </w:p>
        </w:tc>
      </w:tr>
      <w:tr>
        <w:trPr>
          <w:trHeight w:val="663"/>
        </w:trPr>
        <w:tc>
          <w:tcPr>
            <w:tcW w:w="160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4000" w:type="dxa"/>
            <w:vAlign w:val="bottom"/>
          </w:tcPr>
          <w:p>
            <w:pPr>
              <w:ind w:left="4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4000" w:type="dxa"/>
            <w:vAlign w:val="bottom"/>
          </w:tcPr>
          <w:p>
            <w:pPr>
              <w:ind w:left="48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4000" w:type="dxa"/>
            <w:vAlign w:val="bottom"/>
          </w:tcPr>
          <w:p>
            <w:pPr>
              <w:ind w:left="480"/>
              <w:spacing w:after="0"/>
              <w:rPr>
                <w:sz w:val="20"/>
                <w:szCs w:val="20"/>
                <w:color w:val="auto"/>
              </w:rPr>
            </w:pPr>
            <w:r>
              <w:rPr>
                <w:rFonts w:ascii="Courier New" w:cs="Courier New" w:eastAsia="Courier New" w:hAnsi="Courier New"/>
                <w:sz w:val="14"/>
                <w:szCs w:val="14"/>
                <w:color w:val="auto"/>
              </w:rPr>
              <w:t>Amdocs Press Release dated April 6, 2000.</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following Registration Statements of Amdocs Limited of our report dated October 15, 1999, related to the consolidated financial statements of Solect Technology Group Inc. included in Amendment No. 1 to the Report of Foreign Private Issuer on Form 6-K/A of Amdocs Limited filed with the Securities Exchange Commission on June 8, 2000: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Commission File No.</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Description of Filing</w:t>
            </w:r>
          </w:p>
        </w:tc>
      </w:tr>
      <w:tr>
        <w:trPr>
          <w:trHeight w:val="166"/>
        </w:trPr>
        <w:tc>
          <w:tcPr>
            <w:tcW w:w="28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Form S-8</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No. 333-91847</w:t>
            </w:r>
          </w:p>
        </w:tc>
        <w:tc>
          <w:tcPr>
            <w:tcW w:w="11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ITDS 1996,</w:t>
            </w:r>
          </w:p>
        </w:tc>
        <w:tc>
          <w:tcPr>
            <w:tcW w:w="2920" w:type="dxa"/>
            <w:vAlign w:val="bottom"/>
          </w:tcPr>
          <w:p>
            <w:pPr>
              <w:ind w:left="80"/>
              <w:spacing w:after="0"/>
              <w:rPr>
                <w:sz w:val="20"/>
                <w:szCs w:val="20"/>
                <w:color w:val="auto"/>
              </w:rPr>
            </w:pPr>
            <w:r>
              <w:rPr>
                <w:rFonts w:ascii="Courier New" w:cs="Courier New" w:eastAsia="Courier New" w:hAnsi="Courier New"/>
                <w:sz w:val="14"/>
                <w:szCs w:val="14"/>
                <w:color w:val="auto"/>
              </w:rPr>
              <w:t>1997, 1998, and 1999 Stock</w:t>
            </w:r>
          </w:p>
        </w:tc>
      </w:tr>
      <w:tr>
        <w:trPr>
          <w:trHeight w:val="166"/>
        </w:trPr>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Incentive</w:t>
            </w:r>
          </w:p>
        </w:tc>
        <w:tc>
          <w:tcPr>
            <w:tcW w:w="2920" w:type="dxa"/>
            <w:vAlign w:val="bottom"/>
          </w:tcPr>
          <w:p>
            <w:pPr>
              <w:ind w:left="8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Form S-8</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No. 333-92705</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2920" w:type="dxa"/>
            <w:vAlign w:val="bottom"/>
          </w:tcPr>
          <w:p>
            <w:pPr>
              <w:ind w:left="80"/>
              <w:spacing w:after="0"/>
              <w:rPr>
                <w:sz w:val="20"/>
                <w:szCs w:val="20"/>
                <w:color w:val="auto"/>
              </w:rPr>
            </w:pPr>
            <w:r>
              <w:rPr>
                <w:rFonts w:ascii="Courier New" w:cs="Courier New" w:eastAsia="Courier New" w:hAnsi="Courier New"/>
                <w:sz w:val="14"/>
                <w:szCs w:val="14"/>
                <w:color w:val="auto"/>
              </w:rPr>
              <w:t>Option Incentive Plan</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Form S-8</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No. 333-31506</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2920" w:type="dxa"/>
            <w:vAlign w:val="bottom"/>
          </w:tcPr>
          <w:p>
            <w:pPr>
              <w:ind w:left="80"/>
              <w:spacing w:after="0"/>
              <w:rPr>
                <w:sz w:val="20"/>
                <w:szCs w:val="20"/>
                <w:color w:val="auto"/>
              </w:rPr>
            </w:pPr>
            <w:r>
              <w:rPr>
                <w:rFonts w:ascii="Courier New" w:cs="Courier New" w:eastAsia="Courier New" w:hAnsi="Courier New"/>
                <w:sz w:val="14"/>
                <w:szCs w:val="14"/>
                <w:color w:val="auto"/>
              </w:rPr>
              <w:t>Option Incentive Plan, As Amended</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Form S-8</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No. 333-34104</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2920" w:type="dxa"/>
            <w:vAlign w:val="bottom"/>
          </w:tcPr>
          <w:p>
            <w:pPr>
              <w:ind w:left="80"/>
              <w:spacing w:after="0"/>
              <w:rPr>
                <w:sz w:val="20"/>
                <w:szCs w:val="20"/>
                <w:color w:val="auto"/>
              </w:rPr>
            </w:pPr>
            <w:r>
              <w:rPr>
                <w:rFonts w:ascii="Courier New" w:cs="Courier New" w:eastAsia="Courier New" w:hAnsi="Courier New"/>
                <w:sz w:val="14"/>
                <w:szCs w:val="14"/>
                <w:color w:val="auto"/>
              </w:rPr>
              <w:t>Option Plan of Solect Technology</w:t>
            </w:r>
          </w:p>
        </w:tc>
      </w:tr>
      <w:tr>
        <w:trPr>
          <w:trHeight w:val="166"/>
        </w:trPr>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10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Group Inc.</w:t>
            </w:r>
          </w:p>
        </w:tc>
      </w:tr>
    </w:tbl>
    <w:p>
      <w:pPr>
        <w:spacing w:after="0" w:line="200" w:lineRule="exact"/>
        <w:rPr>
          <w:sz w:val="20"/>
          <w:szCs w:val="20"/>
          <w:color w:val="auto"/>
        </w:rPr>
      </w:pPr>
    </w:p>
    <w:p>
      <w:pPr>
        <w:spacing w:after="0" w:line="3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 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8, 2000</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Letter"/>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decimal"/>
      <w:start w:val="9"/>
    </w:lvl>
  </w:abstractNum>
  <w:abstractNum w:abstractNumId="7">
    <w:nsid w:val="6763845E"/>
    <w:multiLevelType w:val="hybridMultilevel"/>
    <w:lvl w:ilvl="0">
      <w:lvlJc w:val="left"/>
      <w:lvlText w:val="(%1)"/>
      <w:numFmt w:val="decimal"/>
      <w:start w:val="10"/>
    </w:lvl>
  </w:abstractNum>
  <w:abstractNum w:abstractNumId="8">
    <w:nsid w:val="75A2A8D4"/>
    <w:multiLevelType w:val="hybridMultilevel"/>
    <w:lvl w:ilvl="0">
      <w:lvlJc w:val="left"/>
      <w:lvlText w:val="(%1)"/>
      <w:numFmt w:val="decimal"/>
      <w:start w:val="1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7"/>
    </w:lvl>
  </w:abstractNum>
  <w:abstractNum w:abstractNumId="17">
    <w:nsid w:val="836C40E"/>
    <w:multiLevelType w:val="hybridMultilevel"/>
    <w:lvl w:ilvl="0">
      <w:lvlJc w:val="left"/>
      <w:lvlText w:val="%1."/>
      <w:numFmt w:val="decimal"/>
      <w:start w:val="8"/>
    </w:lvl>
  </w:abstractNum>
  <w:abstractNum w:abstractNumId="18">
    <w:nsid w:val="2901D82"/>
    <w:multiLevelType w:val="hybridMultilevel"/>
    <w:lvl w:ilvl="0">
      <w:lvlJc w:val="left"/>
      <w:lvlText w:val="%1."/>
      <w:numFmt w:val="decimal"/>
      <w:start w:val="9"/>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2"/>
    </w:lvl>
  </w:abstractNum>
  <w:abstractNum w:abstractNumId="24">
    <w:nsid w:val="6CEAF087"/>
    <w:multiLevelType w:val="hybridMultilevel"/>
    <w:lvl w:ilvl="0">
      <w:lvlJc w:val="left"/>
      <w:lvlText w:val="(%1)"/>
      <w:numFmt w:val="lowerLetter"/>
      <w:start w:val="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4"/>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lowerLetter"/>
      <w:start w:val="4"/>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6"/>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2019-12-14T20:11:00Z</dcterms:created>
  <dcterms:modified xsi:type="dcterms:W3CDTF">2019-12-14T20:11:00Z</dcterms:modified>
</cp:coreProperties>
</file>