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Quarter Ended June 30, 2011</w:t>
      </w:r>
    </w:p>
    <w:p>
      <w:pPr>
        <w:spacing w:after="0" w:line="11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Suite 5, Tower Hill House Le Bordage</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St. Peter Port, Island of Guernsey, GY1 3QT</w:t>
      </w:r>
    </w:p>
    <w:p>
      <w:pPr>
        <w:spacing w:after="0" w:line="211"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91" w:lineRule="exact"/>
        <w:rPr>
          <w:sz w:val="24"/>
          <w:szCs w:val="24"/>
          <w:color w:val="auto"/>
        </w:rPr>
      </w:pPr>
    </w:p>
    <w:p>
      <w:pPr>
        <w:ind w:left="454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70" w:lineRule="exact"/>
        <w:rPr>
          <w:sz w:val="24"/>
          <w:szCs w:val="24"/>
          <w:color w:val="auto"/>
        </w:rPr>
      </w:pPr>
    </w:p>
    <w:p>
      <w:pPr>
        <w:ind w:left="5140"/>
        <w:spacing w:after="0" w:line="207" w:lineRule="exact"/>
        <w:tabs>
          <w:tab w:leader="none" w:pos="58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522" w:right="10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8540" w:type="dxa"/>
            <w:vAlign w:val="bottom"/>
          </w:tcPr>
          <w:p>
            <w:pPr>
              <w:jc w:val="center"/>
              <w:ind w:left="1330"/>
              <w:spacing w:after="0"/>
              <w:rPr>
                <w:sz w:val="20"/>
                <w:szCs w:val="20"/>
                <w:color w:val="auto"/>
              </w:rPr>
            </w:pPr>
            <w:r>
              <w:rPr>
                <w:rFonts w:ascii="Arial" w:cs="Arial" w:eastAsia="Arial" w:hAnsi="Arial"/>
                <w:sz w:val="18"/>
                <w:szCs w:val="18"/>
                <w:color w:val="auto"/>
              </w:rPr>
              <w:t>AMDOCS LIMITED</w:t>
            </w:r>
          </w:p>
        </w:tc>
        <w:tc>
          <w:tcPr>
            <w:tcW w:w="2040" w:type="dxa"/>
            <w:vAlign w:val="bottom"/>
          </w:tcPr>
          <w:p>
            <w:pPr>
              <w:spacing w:after="0"/>
              <w:rPr>
                <w:sz w:val="20"/>
                <w:szCs w:val="20"/>
                <w:color w:val="auto"/>
              </w:rPr>
            </w:pPr>
          </w:p>
        </w:tc>
      </w:tr>
      <w:tr>
        <w:trPr>
          <w:trHeight w:val="324"/>
        </w:trPr>
        <w:tc>
          <w:tcPr>
            <w:tcW w:w="740" w:type="dxa"/>
            <w:vAlign w:val="bottom"/>
          </w:tcPr>
          <w:p>
            <w:pPr>
              <w:spacing w:after="0"/>
              <w:rPr>
                <w:sz w:val="24"/>
                <w:szCs w:val="24"/>
                <w:color w:val="auto"/>
              </w:rPr>
            </w:pPr>
          </w:p>
        </w:tc>
        <w:tc>
          <w:tcPr>
            <w:tcW w:w="8540" w:type="dxa"/>
            <w:vAlign w:val="bottom"/>
          </w:tcPr>
          <w:p>
            <w:pPr>
              <w:jc w:val="center"/>
              <w:ind w:left="1330"/>
              <w:spacing w:after="0"/>
              <w:rPr>
                <w:sz w:val="20"/>
                <w:szCs w:val="20"/>
                <w:color w:val="auto"/>
              </w:rPr>
            </w:pPr>
            <w:r>
              <w:rPr>
                <w:rFonts w:ascii="Arial" w:cs="Arial" w:eastAsia="Arial" w:hAnsi="Arial"/>
                <w:sz w:val="18"/>
                <w:szCs w:val="18"/>
                <w:color w:val="auto"/>
                <w:w w:val="97"/>
              </w:rPr>
              <w:t>FORM 6-K</w:t>
            </w:r>
          </w:p>
        </w:tc>
        <w:tc>
          <w:tcPr>
            <w:tcW w:w="204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8540" w:type="dxa"/>
            <w:vAlign w:val="bottom"/>
          </w:tcPr>
          <w:p>
            <w:pPr>
              <w:jc w:val="center"/>
              <w:ind w:left="1330"/>
              <w:spacing w:after="0"/>
              <w:rPr>
                <w:sz w:val="20"/>
                <w:szCs w:val="20"/>
                <w:color w:val="auto"/>
              </w:rPr>
            </w:pPr>
            <w:r>
              <w:rPr>
                <w:rFonts w:ascii="Arial" w:cs="Arial" w:eastAsia="Arial" w:hAnsi="Arial"/>
                <w:sz w:val="18"/>
                <w:szCs w:val="18"/>
                <w:color w:val="auto"/>
                <w:w w:val="92"/>
              </w:rPr>
              <w:t>REPORT OF FOREIGN PRIVATE ISSUER</w:t>
            </w:r>
          </w:p>
        </w:tc>
        <w:tc>
          <w:tcPr>
            <w:tcW w:w="204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8540" w:type="dxa"/>
            <w:vAlign w:val="bottom"/>
          </w:tcPr>
          <w:p>
            <w:pPr>
              <w:jc w:val="center"/>
              <w:ind w:left="1330"/>
              <w:spacing w:after="0"/>
              <w:rPr>
                <w:sz w:val="20"/>
                <w:szCs w:val="20"/>
                <w:color w:val="auto"/>
              </w:rPr>
            </w:pPr>
            <w:r>
              <w:rPr>
                <w:rFonts w:ascii="Arial" w:cs="Arial" w:eastAsia="Arial" w:hAnsi="Arial"/>
                <w:sz w:val="18"/>
                <w:szCs w:val="18"/>
                <w:color w:val="auto"/>
                <w:w w:val="93"/>
              </w:rPr>
              <w:t>FOR THE QUARTER ENDED JUNE 30, 2011</w:t>
            </w:r>
          </w:p>
        </w:tc>
        <w:tc>
          <w:tcPr>
            <w:tcW w:w="204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8540" w:type="dxa"/>
            <w:vAlign w:val="bottom"/>
          </w:tcPr>
          <w:p>
            <w:pPr>
              <w:jc w:val="center"/>
              <w:ind w:left="1330"/>
              <w:spacing w:after="0"/>
              <w:rPr>
                <w:sz w:val="20"/>
                <w:szCs w:val="20"/>
                <w:color w:val="auto"/>
              </w:rPr>
            </w:pPr>
            <w:r>
              <w:rPr>
                <w:rFonts w:ascii="Arial" w:cs="Arial" w:eastAsia="Arial" w:hAnsi="Arial"/>
                <w:sz w:val="18"/>
                <w:szCs w:val="18"/>
                <w:color w:val="auto"/>
              </w:rPr>
              <w:t>INDEX</w:t>
            </w:r>
          </w:p>
        </w:tc>
        <w:tc>
          <w:tcPr>
            <w:tcW w:w="2040" w:type="dxa"/>
            <w:vAlign w:val="bottom"/>
          </w:tcPr>
          <w:p>
            <w:pPr>
              <w:spacing w:after="0"/>
              <w:rPr>
                <w:sz w:val="24"/>
                <w:szCs w:val="24"/>
                <w:color w:val="auto"/>
              </w:rPr>
            </w:pPr>
          </w:p>
        </w:tc>
      </w:tr>
      <w:tr>
        <w:trPr>
          <w:trHeight w:val="418"/>
        </w:trPr>
        <w:tc>
          <w:tcPr>
            <w:tcW w:w="9280" w:type="dxa"/>
            <w:vAlign w:val="bottom"/>
            <w:gridSpan w:val="2"/>
          </w:tcPr>
          <w:p>
            <w:pPr>
              <w:spacing w:after="0"/>
              <w:rPr>
                <w:sz w:val="20"/>
                <w:szCs w:val="20"/>
                <w:color w:val="auto"/>
              </w:rPr>
            </w:pPr>
            <w:r>
              <w:rPr>
                <w:rFonts w:ascii="Arial" w:cs="Arial" w:eastAsia="Arial" w:hAnsi="Arial"/>
                <w:sz w:val="18"/>
                <w:szCs w:val="18"/>
                <w:color w:val="auto"/>
              </w:rPr>
              <w:t>PART I FINANCIAL INFORMATION</w:t>
            </w:r>
          </w:p>
        </w:tc>
        <w:tc>
          <w:tcPr>
            <w:tcW w:w="2040" w:type="dxa"/>
            <w:vAlign w:val="bottom"/>
          </w:tcPr>
          <w:p>
            <w:pPr>
              <w:spacing w:after="0"/>
              <w:rPr>
                <w:sz w:val="24"/>
                <w:szCs w:val="24"/>
                <w:color w:val="auto"/>
              </w:rPr>
            </w:pPr>
          </w:p>
        </w:tc>
      </w:tr>
      <w:tr>
        <w:trPr>
          <w:trHeight w:val="216"/>
        </w:trPr>
        <w:tc>
          <w:tcPr>
            <w:tcW w:w="740" w:type="dxa"/>
            <w:vAlign w:val="bottom"/>
          </w:tcPr>
          <w:p>
            <w:pPr>
              <w:ind w:left="220"/>
              <w:spacing w:after="0"/>
              <w:rPr>
                <w:sz w:val="20"/>
                <w:szCs w:val="20"/>
                <w:color w:val="auto"/>
              </w:rPr>
            </w:pPr>
            <w:r>
              <w:rPr>
                <w:rFonts w:ascii="Arial" w:cs="Arial" w:eastAsia="Arial" w:hAnsi="Arial"/>
                <w:sz w:val="18"/>
                <w:szCs w:val="18"/>
                <w:color w:val="auto"/>
                <w:w w:val="90"/>
              </w:rPr>
              <w:t>Item 1.</w:t>
            </w:r>
          </w:p>
        </w:tc>
        <w:tc>
          <w:tcPr>
            <w:tcW w:w="854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2040" w:type="dxa"/>
            <w:vAlign w:val="bottom"/>
          </w:tcPr>
          <w:p>
            <w:pPr>
              <w:spacing w:after="0"/>
              <w:rPr>
                <w:sz w:val="18"/>
                <w:szCs w:val="18"/>
                <w:color w:val="auto"/>
              </w:rPr>
            </w:pPr>
          </w:p>
        </w:tc>
      </w:tr>
      <w:tr>
        <w:trPr>
          <w:trHeight w:val="216"/>
        </w:trPr>
        <w:tc>
          <w:tcPr>
            <w:tcW w:w="9280" w:type="dxa"/>
            <w:vAlign w:val="bottom"/>
            <w:gridSpan w:val="2"/>
          </w:tcPr>
          <w:p>
            <w:pPr>
              <w:ind w:left="420"/>
              <w:spacing w:after="0"/>
              <w:rPr>
                <w:sz w:val="20"/>
                <w:szCs w:val="20"/>
                <w:color w:val="auto"/>
              </w:rPr>
            </w:pPr>
            <w:r>
              <w:rPr>
                <w:rFonts w:ascii="Arial" w:cs="Arial" w:eastAsia="Arial" w:hAnsi="Arial"/>
                <w:sz w:val="18"/>
                <w:szCs w:val="18"/>
                <w:color w:val="auto"/>
              </w:rPr>
              <w:t>Unaudited Consolidated Financial Statements</w:t>
            </w:r>
          </w:p>
        </w:tc>
        <w:tc>
          <w:tcPr>
            <w:tcW w:w="2040" w:type="dxa"/>
            <w:vAlign w:val="bottom"/>
          </w:tcPr>
          <w:p>
            <w:pPr>
              <w:spacing w:after="0"/>
              <w:rPr>
                <w:sz w:val="18"/>
                <w:szCs w:val="18"/>
                <w:color w:val="auto"/>
              </w:rPr>
            </w:pPr>
          </w:p>
        </w:tc>
      </w:tr>
      <w:tr>
        <w:trPr>
          <w:trHeight w:val="216"/>
        </w:trPr>
        <w:tc>
          <w:tcPr>
            <w:tcW w:w="9280" w:type="dxa"/>
            <w:vAlign w:val="bottom"/>
            <w:gridSpan w:val="2"/>
          </w:tcPr>
          <w:p>
            <w:pPr>
              <w:ind w:left="620"/>
              <w:spacing w:after="0"/>
              <w:rPr>
                <w:sz w:val="20"/>
                <w:szCs w:val="20"/>
                <w:color w:val="auto"/>
              </w:rPr>
            </w:pPr>
            <w:r>
              <w:rPr>
                <w:rFonts w:ascii="Arial" w:cs="Arial" w:eastAsia="Arial" w:hAnsi="Arial"/>
                <w:sz w:val="18"/>
                <w:szCs w:val="18"/>
                <w:color w:val="auto"/>
              </w:rPr>
              <w:t>Consolidated Balance Sheets</w:t>
            </w:r>
          </w:p>
        </w:tc>
        <w:tc>
          <w:tcPr>
            <w:tcW w:w="2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280" w:type="dxa"/>
            <w:vAlign w:val="bottom"/>
            <w:gridSpan w:val="2"/>
          </w:tcPr>
          <w:p>
            <w:pPr>
              <w:ind w:left="620"/>
              <w:spacing w:after="0"/>
              <w:rPr>
                <w:sz w:val="20"/>
                <w:szCs w:val="20"/>
                <w:color w:val="auto"/>
              </w:rPr>
            </w:pPr>
            <w:r>
              <w:rPr>
                <w:rFonts w:ascii="Arial" w:cs="Arial" w:eastAsia="Arial" w:hAnsi="Arial"/>
                <w:sz w:val="18"/>
                <w:szCs w:val="18"/>
                <w:color w:val="auto"/>
              </w:rPr>
              <w:t>Consolidated Statements of Income</w:t>
            </w:r>
          </w:p>
        </w:tc>
        <w:tc>
          <w:tcPr>
            <w:tcW w:w="2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280" w:type="dxa"/>
            <w:vAlign w:val="bottom"/>
            <w:gridSpan w:val="2"/>
          </w:tcPr>
          <w:p>
            <w:pPr>
              <w:ind w:left="620"/>
              <w:spacing w:after="0"/>
              <w:rPr>
                <w:sz w:val="20"/>
                <w:szCs w:val="20"/>
                <w:color w:val="auto"/>
              </w:rPr>
            </w:pPr>
            <w:r>
              <w:rPr>
                <w:rFonts w:ascii="Arial" w:cs="Arial" w:eastAsia="Arial" w:hAnsi="Arial"/>
                <w:sz w:val="18"/>
                <w:szCs w:val="18"/>
                <w:color w:val="auto"/>
              </w:rPr>
              <w:t>Consolidated Statement of Changes in Shareholders’ Equity</w:t>
            </w:r>
          </w:p>
        </w:tc>
        <w:tc>
          <w:tcPr>
            <w:tcW w:w="2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280" w:type="dxa"/>
            <w:vAlign w:val="bottom"/>
            <w:gridSpan w:val="2"/>
          </w:tcPr>
          <w:p>
            <w:pPr>
              <w:ind w:left="620"/>
              <w:spacing w:after="0"/>
              <w:rPr>
                <w:sz w:val="20"/>
                <w:szCs w:val="20"/>
                <w:color w:val="auto"/>
              </w:rPr>
            </w:pPr>
            <w:r>
              <w:rPr>
                <w:rFonts w:ascii="Arial" w:cs="Arial" w:eastAsia="Arial" w:hAnsi="Arial"/>
                <w:sz w:val="18"/>
                <w:szCs w:val="18"/>
                <w:color w:val="auto"/>
              </w:rPr>
              <w:t>Consolidated Statements of Cash Flows</w:t>
            </w:r>
          </w:p>
        </w:tc>
        <w:tc>
          <w:tcPr>
            <w:tcW w:w="2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280" w:type="dxa"/>
            <w:vAlign w:val="bottom"/>
            <w:gridSpan w:val="2"/>
          </w:tcPr>
          <w:p>
            <w:pPr>
              <w:ind w:left="620"/>
              <w:spacing w:after="0"/>
              <w:rPr>
                <w:sz w:val="20"/>
                <w:szCs w:val="20"/>
                <w:color w:val="auto"/>
              </w:rPr>
            </w:pPr>
            <w:r>
              <w:rPr>
                <w:rFonts w:ascii="Arial" w:cs="Arial" w:eastAsia="Arial" w:hAnsi="Arial"/>
                <w:sz w:val="18"/>
                <w:szCs w:val="18"/>
                <w:color w:val="auto"/>
              </w:rPr>
              <w:t>Notes to Unaudited Consolidated Financial Statements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40" w:type="dxa"/>
            <w:vAlign w:val="bottom"/>
          </w:tcPr>
          <w:p>
            <w:pPr>
              <w:ind w:left="220"/>
              <w:spacing w:after="0"/>
              <w:rPr>
                <w:sz w:val="20"/>
                <w:szCs w:val="20"/>
                <w:color w:val="auto"/>
              </w:rPr>
            </w:pPr>
            <w:r>
              <w:rPr>
                <w:rFonts w:ascii="Arial" w:cs="Arial" w:eastAsia="Arial" w:hAnsi="Arial"/>
                <w:sz w:val="18"/>
                <w:szCs w:val="18"/>
                <w:color w:val="auto"/>
                <w:w w:val="90"/>
              </w:rPr>
              <w:t>Item 2.</w:t>
            </w:r>
          </w:p>
        </w:tc>
        <w:tc>
          <w:tcPr>
            <w:tcW w:w="8540" w:type="dxa"/>
            <w:vAlign w:val="bottom"/>
          </w:tcPr>
          <w:p>
            <w:pPr>
              <w:ind w:left="20"/>
              <w:spacing w:after="0"/>
              <w:rPr>
                <w:sz w:val="20"/>
                <w:szCs w:val="20"/>
                <w:color w:val="auto"/>
              </w:rPr>
            </w:pPr>
            <w:r>
              <w:rPr>
                <w:rFonts w:ascii="Arial" w:cs="Arial" w:eastAsia="Arial" w:hAnsi="Arial"/>
                <w:sz w:val="18"/>
                <w:szCs w:val="18"/>
                <w:color w:val="auto"/>
              </w:rPr>
              <w:t>Operating and Financial Review and Prospects</w:t>
            </w:r>
          </w:p>
        </w:tc>
        <w:tc>
          <w:tcPr>
            <w:tcW w:w="2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PART II OTHER INFORMATION</w:t>
            </w: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40" w:type="dxa"/>
            <w:vAlign w:val="bottom"/>
          </w:tcPr>
          <w:p>
            <w:pPr>
              <w:ind w:left="220"/>
              <w:spacing w:after="0"/>
              <w:rPr>
                <w:sz w:val="20"/>
                <w:szCs w:val="20"/>
                <w:color w:val="auto"/>
              </w:rPr>
            </w:pPr>
            <w:r>
              <w:rPr>
                <w:rFonts w:ascii="Arial" w:cs="Arial" w:eastAsia="Arial" w:hAnsi="Arial"/>
                <w:sz w:val="18"/>
                <w:szCs w:val="18"/>
                <w:color w:val="auto"/>
                <w:w w:val="90"/>
              </w:rPr>
              <w:t>Item 1.</w:t>
            </w:r>
          </w:p>
        </w:tc>
        <w:tc>
          <w:tcPr>
            <w:tcW w:w="8540" w:type="dxa"/>
            <w:vAlign w:val="bottom"/>
          </w:tcPr>
          <w:p>
            <w:pPr>
              <w:ind w:left="20"/>
              <w:spacing w:after="0"/>
              <w:rPr>
                <w:sz w:val="20"/>
                <w:szCs w:val="20"/>
                <w:color w:val="auto"/>
              </w:rPr>
            </w:pPr>
            <w:r>
              <w:rPr>
                <w:rFonts w:ascii="Arial" w:cs="Arial" w:eastAsia="Arial" w:hAnsi="Arial"/>
                <w:sz w:val="18"/>
                <w:szCs w:val="18"/>
                <w:color w:val="auto"/>
              </w:rPr>
              <w:t>Changes in Securities, Use of Proceeds and Issuer Purchases of Equity Securities</w:t>
            </w: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40" w:type="dxa"/>
            <w:vAlign w:val="bottom"/>
          </w:tcPr>
          <w:p>
            <w:pPr>
              <w:ind w:left="220"/>
              <w:spacing w:after="0"/>
              <w:rPr>
                <w:sz w:val="20"/>
                <w:szCs w:val="20"/>
                <w:color w:val="auto"/>
              </w:rPr>
            </w:pPr>
            <w:r>
              <w:rPr>
                <w:rFonts w:ascii="Arial" w:cs="Arial" w:eastAsia="Arial" w:hAnsi="Arial"/>
                <w:sz w:val="18"/>
                <w:szCs w:val="18"/>
                <w:color w:val="auto"/>
                <w:w w:val="90"/>
              </w:rPr>
              <w:t>Item 2.</w:t>
            </w:r>
          </w:p>
        </w:tc>
        <w:tc>
          <w:tcPr>
            <w:tcW w:w="8540" w:type="dxa"/>
            <w:vAlign w:val="bottom"/>
          </w:tcPr>
          <w:p>
            <w:pPr>
              <w:ind w:left="20"/>
              <w:spacing w:after="0"/>
              <w:rPr>
                <w:sz w:val="20"/>
                <w:szCs w:val="20"/>
                <w:color w:val="auto"/>
              </w:rPr>
            </w:pPr>
            <w:r>
              <w:rPr>
                <w:rFonts w:ascii="Arial" w:cs="Arial" w:eastAsia="Arial" w:hAnsi="Arial"/>
                <w:sz w:val="18"/>
                <w:szCs w:val="18"/>
                <w:color w:val="auto"/>
              </w:rPr>
              <w:t>Reports on Form 6-K</w:t>
            </w: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8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June 30,</w:t>
            </w:r>
          </w:p>
        </w:tc>
        <w:tc>
          <w:tcPr>
            <w:tcW w:w="520" w:type="dxa"/>
            <w:vAlign w:val="bottom"/>
          </w:tcPr>
          <w:p>
            <w:pPr>
              <w:spacing w:after="0"/>
              <w:rPr>
                <w:sz w:val="10"/>
                <w:szCs w:val="10"/>
                <w:color w:val="auto"/>
              </w:rPr>
            </w:pPr>
          </w:p>
        </w:tc>
        <w:tc>
          <w:tcPr>
            <w:tcW w:w="9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805,172</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1,036,195</w:t>
            </w: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Short-term interest-bearing 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328,672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397,104</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589,103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580,000</w:t>
            </w: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Deferred income taxes and taxes receivable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121,802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126,083</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112,417</w:t>
            </w:r>
          </w:p>
        </w:tc>
      </w:tr>
      <w:tr>
        <w:trPr>
          <w:trHeight w:val="223"/>
        </w:trPr>
        <w:tc>
          <w:tcPr>
            <w:tcW w:w="20" w:type="dxa"/>
            <w:vAlign w:val="bottom"/>
          </w:tcPr>
          <w:p>
            <w:pPr>
              <w:spacing w:after="0"/>
              <w:rPr>
                <w:sz w:val="19"/>
                <w:szCs w:val="19"/>
                <w:color w:val="auto"/>
              </w:rPr>
            </w:pPr>
          </w:p>
        </w:tc>
        <w:tc>
          <w:tcPr>
            <w:tcW w:w="8480" w:type="dxa"/>
            <w:vAlign w:val="bottom"/>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1,970,905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2,251,799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Equipment and leasehold improvements,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243,572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258,273</w:t>
            </w: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114,303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132,403</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1,637,416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1,637,416</w:t>
            </w: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166,760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218,762</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372,391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321,951</w:t>
            </w:r>
          </w:p>
        </w:tc>
      </w:tr>
      <w:tr>
        <w:trPr>
          <w:trHeight w:val="223"/>
        </w:trPr>
        <w:tc>
          <w:tcPr>
            <w:tcW w:w="20" w:type="dxa"/>
            <w:vAlign w:val="bottom"/>
          </w:tcPr>
          <w:p>
            <w:pPr>
              <w:spacing w:after="0"/>
              <w:rPr>
                <w:sz w:val="19"/>
                <w:szCs w:val="19"/>
                <w:color w:val="auto"/>
              </w:rPr>
            </w:pPr>
          </w:p>
        </w:tc>
        <w:tc>
          <w:tcPr>
            <w:tcW w:w="8480" w:type="dxa"/>
            <w:vAlign w:val="bottom"/>
          </w:tcPr>
          <w:p>
            <w:pPr>
              <w:ind w:left="40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4,505,347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4,820,604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162,078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168,321</w:t>
            </w: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208,732</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250,455</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personnel costs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191,427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202,773</w:t>
            </w: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Short-term financing arrangements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181,237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184,481</w:t>
            </w:r>
          </w:p>
        </w:tc>
      </w:tr>
      <w:tr>
        <w:trPr>
          <w:trHeight w:val="223"/>
        </w:trPr>
        <w:tc>
          <w:tcPr>
            <w:tcW w:w="20" w:type="dxa"/>
            <w:vAlign w:val="bottom"/>
          </w:tcPr>
          <w:p>
            <w:pPr>
              <w:spacing w:after="0"/>
              <w:rPr>
                <w:sz w:val="19"/>
                <w:szCs w:val="19"/>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Deferred income taxes and taxes payable</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760,784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1,024,147</w:t>
            </w: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Deferred income taxes and taxes payable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297,148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293,723</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307,141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273,354</w:t>
            </w:r>
          </w:p>
        </w:tc>
      </w:tr>
      <w:tr>
        <w:trPr>
          <w:trHeight w:val="230"/>
        </w:trPr>
        <w:tc>
          <w:tcPr>
            <w:tcW w:w="20" w:type="dxa"/>
            <w:vAlign w:val="bottom"/>
          </w:tcPr>
          <w:p>
            <w:pPr>
              <w:spacing w:after="0"/>
              <w:rPr>
                <w:sz w:val="20"/>
                <w:szCs w:val="20"/>
                <w:color w:val="auto"/>
              </w:rPr>
            </w:pPr>
          </w:p>
        </w:tc>
        <w:tc>
          <w:tcPr>
            <w:tcW w:w="8480" w:type="dxa"/>
            <w:vAlign w:val="bottom"/>
          </w:tcPr>
          <w:p>
            <w:pPr>
              <w:ind w:left="40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1,365,073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1,591,224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4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Ordinary Shares — Authorized 700,000 shares; £0.01 par value; 246,992 and 244,131 issued and 180,905 and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193,049 outstanding, respectively</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3,956</w:t>
            </w: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2,478,741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2,402,163</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66,087 and 51,082 ordinary shares, respectively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(1,740,931)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(1,309,161)</w:t>
            </w:r>
          </w:p>
        </w:tc>
      </w:tr>
      <w:tr>
        <w:trPr>
          <w:trHeight w:val="216"/>
        </w:trPr>
        <w:tc>
          <w:tcPr>
            <w:tcW w:w="20" w:type="dxa"/>
            <w:vAlign w:val="bottom"/>
          </w:tcPr>
          <w:p>
            <w:pPr>
              <w:spacing w:after="0"/>
              <w:rPr>
                <w:sz w:val="18"/>
                <w:szCs w:val="18"/>
                <w:color w:val="auto"/>
              </w:rPr>
            </w:pPr>
          </w:p>
        </w:tc>
        <w:tc>
          <w:tcPr>
            <w:tcW w:w="848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8,706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1,952</w:t>
            </w: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2,389,756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2,130,470</w:t>
            </w:r>
          </w:p>
        </w:tc>
      </w:tr>
      <w:tr>
        <w:trPr>
          <w:trHeight w:val="230"/>
        </w:trPr>
        <w:tc>
          <w:tcPr>
            <w:tcW w:w="20" w:type="dxa"/>
            <w:vAlign w:val="bottom"/>
          </w:tcPr>
          <w:p>
            <w:pPr>
              <w:spacing w:after="0"/>
              <w:rPr>
                <w:sz w:val="20"/>
                <w:szCs w:val="20"/>
                <w:color w:val="auto"/>
              </w:rPr>
            </w:pPr>
          </w:p>
        </w:tc>
        <w:tc>
          <w:tcPr>
            <w:tcW w:w="8480" w:type="dxa"/>
            <w:vAlign w:val="bottom"/>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3,140,274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3,229,380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4,505,347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4,820,604</w:t>
            </w: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6"/>
          </w:tcPr>
          <w:p>
            <w:pPr>
              <w:ind w:lef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License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29,093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25,592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87,694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772,316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727,657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2,277,831</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2,146,338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801,409</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753,249</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2,365,525</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2,222,029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1,528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521,113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480,074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1,542,489</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1,417,729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54,414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52,253</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162,942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153,549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102,315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93,446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305,736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21,748</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53,018</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695,737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647,980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2,065,713</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1,914,484</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105,672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105,269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299,812</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27,244</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105,488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101,501</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296,560</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13,703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9,236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37,274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31,133</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91,785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92,265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259,286</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183,273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203,786</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187,566</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184,682</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205,471</w:t>
            </w: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188,973</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and share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Additional</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300" w:type="dxa"/>
            <w:vAlign w:val="bottom"/>
            <w:gridSpan w:val="7"/>
            <w:vMerge w:val="restart"/>
          </w:tcPr>
          <w:p>
            <w:pPr>
              <w:ind w:left="400"/>
              <w:spacing w:after="0"/>
              <w:rPr>
                <w:sz w:val="20"/>
                <w:szCs w:val="20"/>
                <w:color w:val="auto"/>
              </w:rPr>
            </w:pPr>
            <w:r>
              <w:rPr>
                <w:rFonts w:ascii="Arial" w:cs="Arial" w:eastAsia="Arial" w:hAnsi="Arial"/>
                <w:sz w:val="14"/>
                <w:szCs w:val="14"/>
                <w:b w:val="1"/>
                <w:bCs w:val="1"/>
                <w:color w:val="auto"/>
              </w:rPr>
              <w:t>Ordinary Shares</w:t>
            </w:r>
          </w:p>
        </w:tc>
        <w:tc>
          <w:tcPr>
            <w:tcW w:w="132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2300" w:type="dxa"/>
            <w:vAlign w:val="bottom"/>
            <w:gridSpan w:val="7"/>
            <w:vMerge w:val="continue"/>
          </w:tcPr>
          <w:p>
            <w:pPr>
              <w:spacing w:after="0"/>
              <w:rPr>
                <w:sz w:val="13"/>
                <w:szCs w:val="13"/>
                <w:color w:val="auto"/>
              </w:rPr>
            </w:pPr>
          </w:p>
        </w:tc>
        <w:tc>
          <w:tcPr>
            <w:tcW w:w="132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rPr>
              <w:t>Paid-in</w:t>
            </w:r>
          </w:p>
        </w:tc>
        <w:tc>
          <w:tcPr>
            <w:tcW w:w="138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Treasury</w:t>
            </w:r>
          </w:p>
        </w:tc>
        <w:tc>
          <w:tcPr>
            <w:tcW w:w="122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3"/>
                <w:szCs w:val="13"/>
                <w:color w:val="auto"/>
              </w:rPr>
            </w:pPr>
          </w:p>
        </w:tc>
        <w:tc>
          <w:tcPr>
            <w:tcW w:w="132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Retained</w:t>
            </w:r>
          </w:p>
        </w:tc>
        <w:tc>
          <w:tcPr>
            <w:tcW w:w="9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Shareholders’</w:t>
            </w: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98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2"/>
                <w:szCs w:val="12"/>
                <w:color w:val="auto"/>
              </w:rPr>
            </w:pPr>
          </w:p>
        </w:tc>
        <w:tc>
          <w:tcPr>
            <w:tcW w:w="132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Capital</w:t>
            </w:r>
          </w:p>
        </w:tc>
        <w:tc>
          <w:tcPr>
            <w:tcW w:w="1380" w:type="dxa"/>
            <w:vAlign w:val="bottom"/>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Stock</w:t>
            </w:r>
          </w:p>
        </w:tc>
        <w:tc>
          <w:tcPr>
            <w:tcW w:w="122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200" w:type="dxa"/>
            <w:vAlign w:val="bottom"/>
          </w:tcPr>
          <w:p>
            <w:pPr>
              <w:spacing w:after="0"/>
              <w:rPr>
                <w:sz w:val="12"/>
                <w:szCs w:val="12"/>
                <w:color w:val="auto"/>
              </w:rPr>
            </w:pPr>
          </w:p>
        </w:tc>
        <w:tc>
          <w:tcPr>
            <w:tcW w:w="132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Earnings</w:t>
            </w:r>
          </w:p>
        </w:tc>
        <w:tc>
          <w:tcPr>
            <w:tcW w:w="9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1"/>
        </w:trPr>
        <w:tc>
          <w:tcPr>
            <w:tcW w:w="2700" w:type="dxa"/>
            <w:vAlign w:val="bottom"/>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Balance as of September 30,</w:t>
            </w:r>
          </w:p>
        </w:tc>
        <w:tc>
          <w:tcPr>
            <w:tcW w:w="72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2010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193,049</w:t>
            </w:r>
          </w:p>
        </w:tc>
        <w:tc>
          <w:tcPr>
            <w:tcW w:w="2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3,956</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$ 2,402,163</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 (1,309,161)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1,952</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$ 2,130,470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$ 3,229,380</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Comprehensive income: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259,286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259,286</w:t>
            </w:r>
          </w:p>
        </w:tc>
        <w:tc>
          <w:tcPr>
            <w:tcW w:w="0" w:type="dxa"/>
            <w:vAlign w:val="bottom"/>
          </w:tcPr>
          <w:p>
            <w:pPr>
              <w:spacing w:after="0"/>
              <w:rPr>
                <w:sz w:val="1"/>
                <w:szCs w:val="1"/>
                <w:color w:val="auto"/>
              </w:rPr>
            </w:pPr>
          </w:p>
        </w:tc>
      </w:tr>
      <w:tr>
        <w:trPr>
          <w:trHeight w:val="202"/>
        </w:trPr>
        <w:tc>
          <w:tcPr>
            <w:tcW w:w="2700" w:type="dxa"/>
            <w:vAlign w:val="bottom"/>
          </w:tcPr>
          <w:p>
            <w:pPr>
              <w:ind w:left="220"/>
              <w:spacing w:after="0" w:line="201" w:lineRule="exact"/>
              <w:rPr>
                <w:sz w:val="20"/>
                <w:szCs w:val="20"/>
                <w:color w:val="auto"/>
              </w:rPr>
            </w:pPr>
            <w:r>
              <w:rPr>
                <w:rFonts w:ascii="Arial" w:cs="Arial" w:eastAsia="Arial" w:hAnsi="Arial"/>
                <w:sz w:val="18"/>
                <w:szCs w:val="18"/>
                <w:color w:val="auto"/>
              </w:rPr>
              <w:t>Unrealized gain on foreign</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420"/>
              <w:spacing w:after="0"/>
              <w:rPr>
                <w:sz w:val="20"/>
                <w:szCs w:val="20"/>
                <w:color w:val="auto"/>
              </w:rPr>
            </w:pPr>
            <w:r>
              <w:rPr>
                <w:rFonts w:ascii="Arial" w:cs="Arial" w:eastAsia="Arial" w:hAnsi="Arial"/>
                <w:sz w:val="18"/>
                <w:szCs w:val="18"/>
                <w:color w:val="auto"/>
              </w:rPr>
              <w:t>currency hedging</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420"/>
              <w:spacing w:after="0"/>
              <w:rPr>
                <w:sz w:val="20"/>
                <w:szCs w:val="20"/>
                <w:color w:val="auto"/>
              </w:rPr>
            </w:pPr>
            <w:r>
              <w:rPr>
                <w:rFonts w:ascii="Arial" w:cs="Arial" w:eastAsia="Arial" w:hAnsi="Arial"/>
                <w:sz w:val="18"/>
                <w:szCs w:val="18"/>
                <w:color w:val="auto"/>
              </w:rPr>
              <w:t>contracts, net of $1,111</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420"/>
              <w:spacing w:after="0"/>
              <w:rPr>
                <w:sz w:val="20"/>
                <w:szCs w:val="20"/>
                <w:color w:val="auto"/>
              </w:rPr>
            </w:pPr>
            <w:r>
              <w:rPr>
                <w:rFonts w:ascii="Arial" w:cs="Arial" w:eastAsia="Arial" w:hAnsi="Arial"/>
                <w:sz w:val="18"/>
                <w:szCs w:val="18"/>
                <w:color w:val="auto"/>
              </w:rPr>
              <w:t>tax</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6,853</w:t>
            </w:r>
          </w:p>
        </w:tc>
        <w:tc>
          <w:tcPr>
            <w:tcW w:w="20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Unrealized loss on short-term</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net of ($4)</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2"/>
        </w:trPr>
        <w:tc>
          <w:tcPr>
            <w:tcW w:w="2700" w:type="dxa"/>
            <w:vAlign w:val="bottom"/>
          </w:tcPr>
          <w:p>
            <w:pPr>
              <w:ind w:left="220"/>
              <w:spacing w:after="0" w:line="201" w:lineRule="exact"/>
              <w:rPr>
                <w:sz w:val="20"/>
                <w:szCs w:val="20"/>
                <w:color w:val="auto"/>
              </w:rPr>
            </w:pPr>
            <w:r>
              <w:rPr>
                <w:rFonts w:ascii="Arial" w:cs="Arial" w:eastAsia="Arial" w:hAnsi="Arial"/>
                <w:sz w:val="18"/>
                <w:szCs w:val="18"/>
                <w:color w:val="auto"/>
              </w:rPr>
              <w:t>Unrealized gain on defined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420"/>
              <w:spacing w:after="0"/>
              <w:rPr>
                <w:sz w:val="20"/>
                <w:szCs w:val="20"/>
                <w:color w:val="auto"/>
              </w:rPr>
            </w:pPr>
            <w:r>
              <w:rPr>
                <w:rFonts w:ascii="Arial" w:cs="Arial" w:eastAsia="Arial" w:hAnsi="Arial"/>
                <w:sz w:val="18"/>
                <w:szCs w:val="18"/>
                <w:color w:val="auto"/>
              </w:rPr>
              <w:t>benefit plan, net of $3 tax</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266,040</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8"/>
                <w:szCs w:val="18"/>
                <w:color w:val="auto"/>
              </w:rPr>
              <w:t>Employee stock options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2,305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37</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49,650</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49,687</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(15,005)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(431,770)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(431,770)</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Issuance of restricted stock, net</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20"/>
              <w:spacing w:after="0"/>
              <w:rPr>
                <w:sz w:val="20"/>
                <w:szCs w:val="20"/>
                <w:color w:val="auto"/>
              </w:rPr>
            </w:pPr>
            <w:r>
              <w:rPr>
                <w:rFonts w:ascii="Arial" w:cs="Arial" w:eastAsia="Arial" w:hAnsi="Arial"/>
                <w:sz w:val="18"/>
                <w:szCs w:val="18"/>
                <w:color w:val="auto"/>
              </w:rPr>
              <w:t>of forfeitures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Equity-based compensation</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related to employees</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26,928</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26,928</w:t>
            </w:r>
          </w:p>
        </w:tc>
        <w:tc>
          <w:tcPr>
            <w:tcW w:w="0" w:type="dxa"/>
            <w:vAlign w:val="bottom"/>
          </w:tcPr>
          <w:p>
            <w:pPr>
              <w:spacing w:after="0"/>
              <w:rPr>
                <w:sz w:val="1"/>
                <w:szCs w:val="1"/>
                <w:color w:val="auto"/>
              </w:rPr>
            </w:pPr>
          </w:p>
        </w:tc>
      </w:tr>
      <w:tr>
        <w:trPr>
          <w:trHeight w:val="223"/>
        </w:trPr>
        <w:tc>
          <w:tcPr>
            <w:tcW w:w="2700" w:type="dxa"/>
            <w:vAlign w:val="bottom"/>
          </w:tcPr>
          <w:p>
            <w:pPr>
              <w:spacing w:after="0"/>
              <w:rPr>
                <w:sz w:val="20"/>
                <w:szCs w:val="20"/>
                <w:color w:val="auto"/>
              </w:rPr>
            </w:pPr>
            <w:r>
              <w:rPr>
                <w:rFonts w:ascii="Arial" w:cs="Arial" w:eastAsia="Arial" w:hAnsi="Arial"/>
                <w:sz w:val="18"/>
                <w:szCs w:val="18"/>
                <w:b w:val="1"/>
                <w:bCs w:val="1"/>
                <w:color w:val="auto"/>
              </w:rPr>
              <w:t>Balance as of June 30, 2011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180,905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4,002</w:t>
            </w:r>
          </w:p>
        </w:tc>
        <w:tc>
          <w:tcPr>
            <w:tcW w:w="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$ 2,478,741</w:t>
            </w:r>
          </w:p>
        </w:tc>
        <w:tc>
          <w:tcPr>
            <w:tcW w:w="4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(1,740,931</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$ 2,389,756</w:t>
            </w:r>
          </w:p>
        </w:tc>
        <w:tc>
          <w:tcPr>
            <w:tcW w:w="4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$ 3,140,274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June 30, 2011 and September 30, 2010, accumulated other comprehensive income is comprised of unrealized gain on derivatives, net of tax, of $12,855 and $6,002, respectively, unrealized loss on short-term interest-bearing investments, net of tax, of $(1,377) and $(1,267), respectively, and unrealized loss on defined benefit plan, net of tax, of $(2,772) and $(2,783), respectively.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202"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Nine months ended</w:t>
      </w:r>
    </w:p>
    <w:p>
      <w:pPr>
        <w:jc w:val="center"/>
        <w:ind w:left="882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259,286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249,168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138,219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divestiture of a subsidiary</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Equity-based compensation expense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26,928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(gain) from short-term interest-bearing investments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(6,373)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(33,747)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(48,957)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Income taxes payable, net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12,711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23,797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387,851</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537,560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(80,048)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(59,504)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506,986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1,070,065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(440,083)</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(1,239,792)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divestiture of a subsidiary</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(22,907)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(36,052)</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(408,391)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(431,770)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49,696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 short-term financing arrangements and other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(582,822)</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(231,023)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1,036,195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805,172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671,154</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10,975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AMDOCS LIMITED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 and share amounts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0" w:firstLine="215"/>
        <w:spacing w:after="0" w:line="276" w:lineRule="auto"/>
        <w:rPr>
          <w:sz w:val="20"/>
          <w:szCs w:val="20"/>
          <w:color w:val="auto"/>
        </w:rPr>
      </w:pPr>
      <w:r>
        <w:rPr>
          <w:rFonts w:ascii="Arial" w:cs="Arial" w:eastAsia="Arial" w:hAnsi="Arial"/>
          <w:sz w:val="17"/>
          <w:szCs w:val="17"/>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including revenue management, customer management, service and resource management, service delivery, portfolio enablers, consulting, system integration, managed services and product support, primarily to leading wireless, wireline, cable and satellite service providers throughout the world. Amdocs also offers a full range of directory sales and publishing systems.</w:t>
      </w:r>
    </w:p>
    <w:p>
      <w:pPr>
        <w:spacing w:after="0" w:line="64"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production and operating facilities are located in Brazil, Canada, Cyprus, India, Ireland, Israel, and the United States.</w:t>
      </w:r>
    </w:p>
    <w:p>
      <w:pPr>
        <w:spacing w:after="0" w:line="73"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unaudited consolidated financial statements of the Company have been prepared in accordance with U.S. generally accepted accounting principles, or GAAP. In the opinion of the Company’s management, all adjustments considered necessary for a fair presentation of the unaudited interim consolidated financial statements have been included herein and are of a normal recurring nature.</w:t>
      </w:r>
    </w:p>
    <w:p>
      <w:pPr>
        <w:spacing w:after="0" w:line="73"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73"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2010, set forth in the Company’s Annual Report on Form 20-F filed on December 7, 2010 with the U.S. Securities and Exchange Commission, or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immaterial amounts in prior year financial statements have been reclassified to conform to the current year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In June 2011, the Financial Accounting Standards Board, or FASB, issued guidance to require an entity to present the total of comprehensive income, the components of net income, and the components of other comprehensive income either in a single continuous statement of comprehensive income or in two separate but consecutive statements. The guidance eliminates the option to present the components of other comprehensive income as part of the statement of equity, and will become effective for the Company beginning January 1, 2012.</w:t>
      </w:r>
    </w:p>
    <w:p>
      <w:pPr>
        <w:spacing w:after="0" w:line="63"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In May 2011, the FASB issued guidance to provide a consistent definition of fair value and ensure that the fair value measurement and disclosure requirements are similar between U.S. GAAP and International Financial Reporting Standards. The guidance changes certain fair value measurement principles and enhances the disclosure requirements particularly for Level 3 fair value measurements, and will become effective for the Company beginning January 1, 2012. The adoption of this new guidance will not have a material impact on the Company’s financial statements.</w:t>
      </w:r>
    </w:p>
    <w:p>
      <w:pPr>
        <w:spacing w:after="0" w:line="63" w:lineRule="exact"/>
        <w:rPr>
          <w:sz w:val="20"/>
          <w:szCs w:val="20"/>
          <w:color w:val="auto"/>
        </w:rPr>
      </w:pPr>
    </w:p>
    <w:p>
      <w:pPr>
        <w:jc w:val="both"/>
        <w:ind w:right="60" w:firstLine="225"/>
        <w:spacing w:after="0" w:line="312" w:lineRule="auto"/>
        <w:rPr>
          <w:sz w:val="20"/>
          <w:szCs w:val="20"/>
          <w:color w:val="auto"/>
        </w:rPr>
      </w:pPr>
      <w:r>
        <w:rPr>
          <w:rFonts w:ascii="Arial" w:cs="Arial" w:eastAsia="Arial" w:hAnsi="Arial"/>
          <w:sz w:val="16"/>
          <w:szCs w:val="16"/>
          <w:color w:val="auto"/>
        </w:rPr>
        <w:t>In January 2010, the FASB issued guidance to amend the disclosure requirements of fair value measurements. The guidance requires the disclosure on the roll forward activities for assets and liabilities measured using significant unobservable inputs (Level 3 fair value measurements), and will become effective for the Company beginning October 1, 2011. The adoption of this new guidance will not have a material impact on the Company’s financial statements.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Adoption of New Accounting Standards</w:t>
      </w:r>
    </w:p>
    <w:p>
      <w:pPr>
        <w:spacing w:after="0" w:line="121"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In June 2009, the FASB issued authoritative guidance on the consolidation of variable interest entities, which was effective for the Company beginning October 1, 2010. The new guidance requires revised evaluations of whether entities represent variable interest entities, ongoing assessments of control over such entities, and additional disclosures for variable interests. The adoption of this new guidance did not have a material impact on the Company’s financial statements.</w:t>
      </w:r>
    </w:p>
    <w:p>
      <w:pPr>
        <w:spacing w:after="0" w:line="1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931"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jc w:val="both"/>
        <w:ind w:right="180" w:firstLine="222"/>
        <w:spacing w:after="0" w:line="279" w:lineRule="auto"/>
        <w:rPr>
          <w:sz w:val="20"/>
          <w:szCs w:val="20"/>
          <w:color w:val="auto"/>
        </w:rPr>
      </w:pPr>
      <w:r>
        <w:rPr>
          <w:rFonts w:ascii="Arial" w:cs="Arial" w:eastAsia="Arial" w:hAnsi="Arial"/>
          <w:sz w:val="17"/>
          <w:szCs w:val="17"/>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63" w:lineRule="exact"/>
        <w:rPr>
          <w:sz w:val="20"/>
          <w:szCs w:val="20"/>
          <w:color w:val="auto"/>
        </w:rPr>
      </w:pPr>
    </w:p>
    <w:p>
      <w:pPr>
        <w:ind w:right="440" w:firstLine="222"/>
        <w:spacing w:after="0" w:line="264"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73" w:lineRule="exact"/>
        <w:rPr>
          <w:sz w:val="20"/>
          <w:szCs w:val="20"/>
          <w:color w:val="auto"/>
        </w:rPr>
      </w:pPr>
    </w:p>
    <w:p>
      <w:pPr>
        <w:jc w:val="center"/>
        <w:ind w:right="5220"/>
        <w:spacing w:after="0"/>
        <w:rPr>
          <w:sz w:val="20"/>
          <w:szCs w:val="20"/>
          <w:color w:val="auto"/>
        </w:rPr>
      </w:pPr>
      <w:r>
        <w:rPr>
          <w:rFonts w:ascii="Arial" w:cs="Arial" w:eastAsia="Arial" w:hAnsi="Arial"/>
          <w:sz w:val="17"/>
          <w:szCs w:val="17"/>
          <w:color w:val="auto"/>
        </w:rPr>
        <w:t>The three levels of inputs that may be used to measure fair value are as follows: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1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Level 2: Observable inputs other than quoted prices included in Level 1, such as quoted prices for similar assets or liabilities in active 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 Unobservable inputs that are supported by little or no market activity and that are significant to the fair value of the assets or liabilities.</w:t>
      </w:r>
    </w:p>
    <w:p>
      <w:pPr>
        <w:spacing w:after="0" w:line="12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June 30, 2011 and September 30, 2010: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June 30, 2011</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660"/>
              <w:spacing w:after="0" w:line="142" w:lineRule="exact"/>
              <w:rPr>
                <w:sz w:val="20"/>
                <w:szCs w:val="20"/>
                <w:color w:val="auto"/>
              </w:rPr>
            </w:pPr>
            <w:r>
              <w:rPr>
                <w:rFonts w:ascii="Arial" w:cs="Arial" w:eastAsia="Arial" w:hAnsi="Arial"/>
                <w:sz w:val="14"/>
                <w:szCs w:val="14"/>
                <w:b w:val="1"/>
                <w:bCs w:val="1"/>
                <w:color w:val="auto"/>
                <w:w w:val="92"/>
              </w:rPr>
              <w:t>Level 2</w:t>
            </w:r>
          </w:p>
        </w:tc>
        <w:tc>
          <w:tcPr>
            <w:tcW w:w="120" w:type="dxa"/>
            <w:vAlign w:val="bottom"/>
          </w:tcPr>
          <w:p>
            <w:pPr>
              <w:spacing w:after="0"/>
              <w:rPr>
                <w:sz w:val="12"/>
                <w:szCs w:val="12"/>
                <w:color w:val="auto"/>
              </w:rPr>
            </w:pPr>
          </w:p>
        </w:tc>
        <w:tc>
          <w:tcPr>
            <w:tcW w:w="72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4040" w:type="dxa"/>
            <w:vAlign w:val="bottom"/>
            <w:gridSpan w:val="5"/>
          </w:tcPr>
          <w:p>
            <w:pPr>
              <w:jc w:val="right"/>
              <w:ind w:right="80"/>
              <w:spacing w:after="0"/>
              <w:rPr>
                <w:sz w:val="20"/>
                <w:szCs w:val="20"/>
                <w:color w:val="auto"/>
              </w:rPr>
            </w:pPr>
            <w:r>
              <w:rPr>
                <w:rFonts w:ascii="Arial" w:cs="Arial" w:eastAsia="Arial" w:hAnsi="Arial"/>
                <w:sz w:val="18"/>
                <w:szCs w:val="18"/>
                <w:color w:val="auto"/>
              </w:rPr>
              <w:t>$ 483,622</w:t>
            </w:r>
          </w:p>
        </w:tc>
        <w:tc>
          <w:tcPr>
            <w:tcW w:w="700" w:type="dxa"/>
            <w:vAlign w:val="bottom"/>
            <w:gridSpan w:val="3"/>
          </w:tcPr>
          <w:p>
            <w:pPr>
              <w:ind w:left="60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$ 483,622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40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122,338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U.S. agencies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50,954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50,954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guaranteed debt</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65,176</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66,166</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66,166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Supranational and sovereign debt</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9,821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color w:val="auto"/>
              </w:rPr>
              <w:t>4,819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7,693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3260" w:type="dxa"/>
            <w:vAlign w:val="bottom"/>
            <w:gridSpan w:val="2"/>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10,090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8,301</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40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616,050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9"/>
              </w:rPr>
              <w:t>212,930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828,980</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18,180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$ 616,050</w:t>
            </w:r>
          </w:p>
        </w:tc>
        <w:tc>
          <w:tcPr>
            <w:tcW w:w="1840" w:type="dxa"/>
            <w:vAlign w:val="bottom"/>
            <w:gridSpan w:val="6"/>
            <w:shd w:val="clear" w:color="auto" w:fill="CCEEFF"/>
          </w:tcPr>
          <w:p>
            <w:pPr>
              <w:jc w:val="right"/>
              <w:ind w:right="540"/>
              <w:spacing w:after="0"/>
              <w:rPr>
                <w:sz w:val="20"/>
                <w:szCs w:val="20"/>
                <w:color w:val="auto"/>
              </w:rPr>
            </w:pPr>
            <w:r>
              <w:rPr>
                <w:rFonts w:ascii="Arial" w:cs="Arial" w:eastAsia="Arial" w:hAnsi="Arial"/>
                <w:sz w:val="18"/>
                <w:szCs w:val="18"/>
                <w:color w:val="auto"/>
              </w:rPr>
              <w:t>$ 231,110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$ 847,160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As of September 30, 2010</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92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12"/>
                <w:szCs w:val="12"/>
                <w:color w:val="auto"/>
              </w:rPr>
            </w:pPr>
          </w:p>
        </w:tc>
        <w:tc>
          <w:tcPr>
            <w:tcW w:w="1380" w:type="dxa"/>
            <w:vAlign w:val="bottom"/>
            <w:gridSpan w:val="5"/>
          </w:tcPr>
          <w:p>
            <w:pPr>
              <w:ind w:left="12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72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3960" w:type="dxa"/>
            <w:vAlign w:val="bottom"/>
            <w:gridSpan w:val="4"/>
          </w:tcPr>
          <w:p>
            <w:pPr>
              <w:jc w:val="right"/>
              <w:ind w:right="140"/>
              <w:spacing w:after="0"/>
              <w:rPr>
                <w:sz w:val="20"/>
                <w:szCs w:val="20"/>
                <w:color w:val="auto"/>
              </w:rPr>
            </w:pPr>
            <w:r>
              <w:rPr>
                <w:rFonts w:ascii="Arial" w:cs="Arial" w:eastAsia="Arial" w:hAnsi="Arial"/>
                <w:sz w:val="18"/>
                <w:szCs w:val="18"/>
                <w:color w:val="auto"/>
              </w:rPr>
              <w:t>$ 867,335</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w w:val="96"/>
              </w:rPr>
              <w:t>$  867,335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3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111,912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U.S. agencies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5"/>
          </w:tcPr>
          <w:p>
            <w:pPr>
              <w:jc w:val="right"/>
              <w:ind w:right="140"/>
              <w:spacing w:after="0"/>
              <w:rPr>
                <w:sz w:val="20"/>
                <w:szCs w:val="20"/>
                <w:color w:val="auto"/>
              </w:rPr>
            </w:pPr>
            <w:r>
              <w:rPr>
                <w:rFonts w:ascii="Arial" w:cs="Arial" w:eastAsia="Arial" w:hAnsi="Arial"/>
                <w:sz w:val="18"/>
                <w:szCs w:val="18"/>
                <w:color w:val="auto"/>
              </w:rPr>
              <w:t>65,724</w:t>
            </w:r>
          </w:p>
        </w:tc>
        <w:tc>
          <w:tcPr>
            <w:tcW w:w="5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65,724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guaranteed debt</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102,112</w:t>
            </w:r>
          </w:p>
        </w:tc>
        <w:tc>
          <w:tcPr>
            <w:tcW w:w="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Supranational and sovereign debt</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5"/>
          </w:tcPr>
          <w:p>
            <w:pPr>
              <w:jc w:val="right"/>
              <w:ind w:right="140"/>
              <w:spacing w:after="0"/>
              <w:rPr>
                <w:sz w:val="20"/>
                <w:szCs w:val="20"/>
                <w:color w:val="auto"/>
              </w:rPr>
            </w:pPr>
            <w:r>
              <w:rPr>
                <w:rFonts w:ascii="Arial" w:cs="Arial" w:eastAsia="Arial" w:hAnsi="Arial"/>
                <w:sz w:val="18"/>
                <w:szCs w:val="18"/>
                <w:color w:val="auto"/>
              </w:rPr>
              <w:t>23,771</w:t>
            </w:r>
          </w:p>
        </w:tc>
        <w:tc>
          <w:tcPr>
            <w:tcW w:w="5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bonds</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58,742</w:t>
            </w:r>
          </w:p>
        </w:tc>
        <w:tc>
          <w:tcPr>
            <w:tcW w:w="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Asset backed obligations</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7,147</w:t>
            </w:r>
          </w:p>
        </w:tc>
        <w:tc>
          <w:tcPr>
            <w:tcW w:w="5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18,948</w:t>
            </w:r>
          </w:p>
        </w:tc>
        <w:tc>
          <w:tcPr>
            <w:tcW w:w="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3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10,048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9,254</w:t>
            </w:r>
          </w:p>
        </w:tc>
        <w:tc>
          <w:tcPr>
            <w:tcW w:w="5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19,302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3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989,295</w:t>
            </w:r>
          </w:p>
        </w:tc>
        <w:tc>
          <w:tcPr>
            <w:tcW w:w="8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285,698</w:t>
            </w:r>
          </w:p>
        </w:tc>
        <w:tc>
          <w:tcPr>
            <w:tcW w:w="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1,274,993</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Derivative financial instruments, net</w:t>
            </w:r>
          </w:p>
        </w:tc>
        <w:tc>
          <w:tcPr>
            <w:tcW w:w="3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4,333</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9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$ 989,295</w:t>
            </w:r>
          </w:p>
        </w:tc>
        <w:tc>
          <w:tcPr>
            <w:tcW w:w="8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$ 290,031</w:t>
            </w:r>
          </w:p>
        </w:tc>
        <w:tc>
          <w:tcPr>
            <w:tcW w:w="5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$ 1,279,326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120" w:type="dxa"/>
            <w:vAlign w:val="bottom"/>
            <w:vMerge w:val="restart"/>
          </w:tcPr>
          <w:p>
            <w:pPr>
              <w:jc w:val="right"/>
              <w:ind w:right="1870"/>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ind w:right="120" w:firstLine="215"/>
        <w:spacing w:after="0" w:line="276" w:lineRule="auto"/>
        <w:rPr>
          <w:sz w:val="20"/>
          <w:szCs w:val="20"/>
          <w:color w:val="auto"/>
        </w:rPr>
      </w:pPr>
      <w:r>
        <w:rPr>
          <w:rFonts w:ascii="Arial" w:cs="Arial" w:eastAsia="Arial" w:hAnsi="Arial"/>
          <w:sz w:val="17"/>
          <w:szCs w:val="17"/>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the nine months ended June 30,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40" w:firstLine="222"/>
        <w:spacing w:after="0" w:line="342" w:lineRule="auto"/>
        <w:rPr>
          <w:sz w:val="20"/>
          <w:szCs w:val="20"/>
          <w:color w:val="auto"/>
        </w:rPr>
      </w:pPr>
      <w:r>
        <w:rPr>
          <w:rFonts w:ascii="Arial" w:cs="Arial" w:eastAsia="Arial" w:hAnsi="Arial"/>
          <w:sz w:val="16"/>
          <w:szCs w:val="16"/>
          <w:color w:val="auto"/>
        </w:rPr>
        <w:t>The carrying amounts of the Company’s cash and cash equivalents, accounts receivable, other current assets, accounts payable, accrued personnel costs, short-term financing arrangements and other current liabilities approximates their fair value because of the relatively short maturity of these items.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Available-For-Sale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5"/>
              </w:rPr>
              <w:t>As of June 30, 2011</w:t>
            </w: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Amortized Cost</w:t>
            </w:r>
          </w:p>
        </w:tc>
        <w:tc>
          <w:tcPr>
            <w:tcW w:w="600" w:type="dxa"/>
            <w:vAlign w:val="bottom"/>
            <w:vMerge w:val="restart"/>
          </w:tcPr>
          <w:p>
            <w:pPr>
              <w:spacing w:after="0"/>
              <w:rPr>
                <w:sz w:val="10"/>
                <w:szCs w:val="10"/>
                <w:color w:val="auto"/>
              </w:rPr>
            </w:pP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3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2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Gains</w:t>
            </w: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Losses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483,622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$ 483,622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122,178</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122,338</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U.S. agencies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50,593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50,954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Government guaranteed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64,504</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672</w:t>
            </w:r>
          </w:p>
        </w:tc>
        <w:tc>
          <w:tcPr>
            <w:tcW w:w="2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65,176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66,814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66,166</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Supranational and sovereign debt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9,793</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Mortgages (including agencies and corporate)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8,791</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1,185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7,693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18,504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18,391</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Total(1)</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830,407</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$ 828,980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Available-for-sale securities are classified as short term interest-bearing investments on the Company’s balance sheet, except for $500,308 of securities with maturities from date of acquisition of 90 days or less which are included in cash and cash equivalents as of June 30, 2011.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5"/>
          </w:tcPr>
          <w:p>
            <w:pPr>
              <w:jc w:val="right"/>
              <w:ind w:right="1240"/>
              <w:spacing w:after="0"/>
              <w:rPr>
                <w:sz w:val="20"/>
                <w:szCs w:val="20"/>
                <w:color w:val="auto"/>
              </w:rPr>
            </w:pPr>
            <w:r>
              <w:rPr>
                <w:rFonts w:ascii="Arial" w:cs="Arial" w:eastAsia="Arial" w:hAnsi="Arial"/>
                <w:sz w:val="14"/>
                <w:szCs w:val="14"/>
                <w:b w:val="1"/>
                <w:bCs w:val="1"/>
                <w:color w:val="auto"/>
              </w:rPr>
              <w:t>As of September 30, 2010</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6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6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8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4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867,335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867,335</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111,685</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111,912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U.S. agencies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64,837</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65,724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Government guaranteed debt</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100,832</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1,280</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102,112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23,672</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59,247</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1,233</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58,742</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8,230</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1,083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7,147</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Mortgages (including agencies and corporate)</w:t>
            </w:r>
          </w:p>
        </w:tc>
        <w:tc>
          <w:tcPr>
            <w:tcW w:w="16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21,062</w:t>
            </w: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372</w:t>
            </w:r>
          </w:p>
        </w:tc>
        <w:tc>
          <w:tcPr>
            <w:tcW w:w="2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2,486</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18,948</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19,414</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19,302</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Total(2)</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1,276,314</w:t>
            </w:r>
          </w:p>
        </w:tc>
        <w:tc>
          <w:tcPr>
            <w:tcW w:w="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4,914</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1,274,993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80" w:hanging="452"/>
        <w:spacing w:after="0" w:line="308" w:lineRule="auto"/>
        <w:tabs>
          <w:tab w:leader="none" w:pos="4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Available-for-sale securities are classified as short term interest-bearing investments on the Company’s balance sheet, except for $877,889 of securities with maturities from date of acquisition of 90 days or less which are included in cash and cash equivalents as of September 30, 2010.</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ind w:right="20" w:firstLine="215"/>
        <w:spacing w:after="0" w:line="276" w:lineRule="auto"/>
        <w:rPr>
          <w:sz w:val="20"/>
          <w:szCs w:val="20"/>
          <w:color w:val="auto"/>
        </w:rPr>
      </w:pPr>
      <w:r>
        <w:rPr>
          <w:rFonts w:ascii="Arial" w:cs="Arial" w:eastAsia="Arial" w:hAnsi="Arial"/>
          <w:sz w:val="17"/>
          <w:szCs w:val="17"/>
          <w:color w:val="auto"/>
        </w:rPr>
        <w:t>As of June 30, 2011, the unrealized losses were primarily due to credit market conditions and interest rate movements. A significant portion of the unrealized losses has been in a continuous loss position for 12 months or greater. The Company assessed whether such unrealized losses for the investments in its portfolio were other-than-temporary. Based on this assessment, an immaterial credit loss was recognized in the three and nine months ended June 30, 2011 and 2010. As of June 30, 2011, unrealized losses of $645 related to securities for which credit losses were recognized and that are considered other-than-temporarily impaired securities, are included in accumulated other comprehensive income.</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 cumulative roll forward of credit losses recognized in earnings as of June 30, 2011: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2010</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Credit loss on debt securities for which an other-than-temporary impairment was not previously recognized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Additional credit loss on debt securities for which an other-than-temporary impairment was previously recognized</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Reductions for securities realized during the period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2011</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vMerge w:val="restart"/>
          </w:tcPr>
          <w:p>
            <w:pPr>
              <w:ind w:left="200"/>
              <w:spacing w:after="0"/>
              <w:rPr>
                <w:sz w:val="20"/>
                <w:szCs w:val="20"/>
                <w:color w:val="auto"/>
              </w:rPr>
            </w:pPr>
            <w:r>
              <w:rPr>
                <w:rFonts w:ascii="Arial" w:cs="Arial" w:eastAsia="Arial" w:hAnsi="Arial"/>
                <w:sz w:val="18"/>
                <w:szCs w:val="18"/>
                <w:color w:val="auto"/>
              </w:rPr>
              <w:t>As of June 30, 2011, the Company’s available-for-sale securities had the following maturity dates:</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4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0460" w:type="dxa"/>
            <w:vAlign w:val="bottom"/>
          </w:tcPr>
          <w:p>
            <w:pPr>
              <w:spacing w:after="0"/>
              <w:rPr>
                <w:sz w:val="24"/>
                <w:szCs w:val="24"/>
                <w:color w:val="auto"/>
              </w:rPr>
            </w:pPr>
          </w:p>
        </w:tc>
        <w:tc>
          <w:tcPr>
            <w:tcW w:w="940" w:type="dxa"/>
            <w:vAlign w:val="bottom"/>
            <w:gridSpan w:val="6"/>
          </w:tcPr>
          <w:p>
            <w:pPr>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656,399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Due within between one and two years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121,817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Due within between two and three years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Due within between three and four years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4,939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828,980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121" w:lineRule="exact"/>
        <w:rPr>
          <w:sz w:val="20"/>
          <w:szCs w:val="20"/>
          <w:color w:val="auto"/>
        </w:rPr>
      </w:pPr>
    </w:p>
    <w:p>
      <w:pPr>
        <w:jc w:val="both"/>
        <w:ind w:right="20" w:firstLine="222"/>
        <w:spacing w:after="0" w:line="308" w:lineRule="auto"/>
        <w:rPr>
          <w:sz w:val="20"/>
          <w:szCs w:val="20"/>
          <w:color w:val="auto"/>
        </w:rPr>
      </w:pPr>
      <w:r>
        <w:rPr>
          <w:rFonts w:ascii="Arial" w:cs="Arial" w:eastAsia="Arial" w:hAnsi="Arial"/>
          <w:sz w:val="17"/>
          <w:szCs w:val="17"/>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38"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maximum amount of loss due to credit risk that the Company would incur if counterparties to the derivative financial instruments failed completely to perform according to the terms of the contracts, based on the gross fair value of the Company’s derivative contracts that are favorable to the Company, was approximately $24,208 as of June 30, 2011. The Company has limited its credit risk by entering into derivative transactions exclusively with investment-grade rated financial institutions and monitors the creditworthiness of these financial institutions on an ongoing basis.</w:t>
      </w:r>
    </w:p>
    <w:p>
      <w:pPr>
        <w:spacing w:after="0" w:line="80"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Company also utilizes standard counterparty master netting agreements that net certain foreign currency transactions and offset certain transactions in the event of the insolvency of one of the parties to the transaction. These master netting arrangements permit the Company to net amounts due from the Company to a counterparty with amounts due to the Company from the same counterparty. The Company has elected to present the related assets and liabilities on a gross basis.</w:t>
      </w:r>
    </w:p>
    <w:p>
      <w:pPr>
        <w:spacing w:after="0" w:line="79"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The Company classifies cash flows from its derivative transactions as cash flows from operating activities in the consolidated statements of cash flow.</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left="220"/>
        <w:spacing w:after="0"/>
        <w:rPr>
          <w:sz w:val="20"/>
          <w:szCs w:val="20"/>
          <w:color w:val="auto"/>
        </w:rPr>
      </w:pPr>
      <w:r>
        <w:rPr>
          <w:rFonts w:ascii="Arial" w:cs="Arial" w:eastAsia="Arial" w:hAnsi="Arial"/>
          <w:sz w:val="16"/>
          <w:szCs w:val="16"/>
          <w:color w:val="auto"/>
        </w:rPr>
        <w:t>The table below presents the total volume or notional amounts of the Company’s derivative instruments as of June 30, 2011. Notional values are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dollar translated and calculated based on forward rates as of June 30, 2011 for forward contracts, and based on spot rates as of June 30, 2011 for options.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60" w:type="dxa"/>
            <w:vAlign w:val="bottom"/>
            <w:vMerge w:val="restart"/>
          </w:tcPr>
          <w:p>
            <w:pPr>
              <w:spacing w:after="0"/>
              <w:rPr>
                <w:sz w:val="20"/>
                <w:szCs w:val="20"/>
                <w:color w:val="auto"/>
              </w:rPr>
            </w:pPr>
            <w:r>
              <w:rPr>
                <w:rFonts w:ascii="Arial" w:cs="Arial" w:eastAsia="Arial" w:hAnsi="Arial"/>
                <w:sz w:val="18"/>
                <w:szCs w:val="18"/>
                <w:color w:val="auto"/>
              </w:rPr>
              <w:t>Foreign exchange contracts</w:t>
            </w:r>
          </w:p>
        </w:tc>
        <w:tc>
          <w:tcPr>
            <w:tcW w:w="15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Notional Value*</w:t>
            </w:r>
          </w:p>
        </w:tc>
        <w:tc>
          <w:tcPr>
            <w:tcW w:w="0" w:type="dxa"/>
            <w:vAlign w:val="bottom"/>
          </w:tcPr>
          <w:p>
            <w:pPr>
              <w:spacing w:after="0"/>
              <w:rPr>
                <w:sz w:val="1"/>
                <w:szCs w:val="1"/>
                <w:color w:val="auto"/>
              </w:rPr>
            </w:pPr>
          </w:p>
        </w:tc>
      </w:tr>
      <w:tr>
        <w:trPr>
          <w:trHeight w:val="224"/>
        </w:trPr>
        <w:tc>
          <w:tcPr>
            <w:tcW w:w="9860" w:type="dxa"/>
            <w:vAlign w:val="bottom"/>
            <w:vMerge w:val="continue"/>
          </w:tcPr>
          <w:p>
            <w:pPr>
              <w:spacing w:after="0"/>
              <w:rPr>
                <w:sz w:val="19"/>
                <w:szCs w:val="19"/>
                <w:color w:val="auto"/>
              </w:rPr>
            </w:pPr>
          </w:p>
        </w:tc>
        <w:tc>
          <w:tcPr>
            <w:tcW w:w="1560" w:type="dxa"/>
            <w:vAlign w:val="bottom"/>
          </w:tcPr>
          <w:p>
            <w:pPr>
              <w:jc w:val="right"/>
              <w:ind w:right="339"/>
              <w:spacing w:after="0"/>
              <w:rPr>
                <w:sz w:val="20"/>
                <w:szCs w:val="20"/>
                <w:color w:val="auto"/>
              </w:rPr>
            </w:pPr>
            <w:r>
              <w:rPr>
                <w:rFonts w:ascii="Arial" w:cs="Arial" w:eastAsia="Arial" w:hAnsi="Arial"/>
                <w:sz w:val="18"/>
                <w:szCs w:val="18"/>
                <w:color w:val="auto"/>
              </w:rPr>
              <w:t>$1,181,873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30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right="280" w:firstLine="222"/>
        <w:spacing w:after="0" w:line="264" w:lineRule="auto"/>
        <w:rPr>
          <w:sz w:val="20"/>
          <w:szCs w:val="20"/>
          <w:color w:val="auto"/>
        </w:rPr>
      </w:pPr>
      <w:r>
        <w:rPr>
          <w:rFonts w:ascii="Arial" w:cs="Arial" w:eastAsia="Arial" w:hAnsi="Arial"/>
          <w:sz w:val="18"/>
          <w:szCs w:val="18"/>
          <w:color w:val="auto"/>
        </w:rPr>
        <w:t>The Company records all derivative instruments on the balance sheet at fair value. Please see Note 4 to the unaudited consolidated financial statements. The fair value of the open foreign currency exchange contracts recorded by the Company on its consolidated balance sheets as of June 30, 2011 and September 30, 2010, as an asset or a liability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4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0"/>
                <w:szCs w:val="10"/>
                <w:color w:val="auto"/>
              </w:rPr>
            </w:pP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19,715</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8,993</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w:t>
            </w: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(3,019)</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(960)</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17,476</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3,042</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4,020</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(2,338)</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(8,097)</w:t>
            </w: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18,180</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4,333</w:t>
            </w: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17" w:lineRule="exact"/>
        <w:rPr>
          <w:sz w:val="20"/>
          <w:szCs w:val="20"/>
          <w:color w:val="auto"/>
        </w:rPr>
      </w:pPr>
    </w:p>
    <w:p>
      <w:pPr>
        <w:ind w:right="220" w:firstLine="225"/>
        <w:spacing w:after="0" w:line="276" w:lineRule="auto"/>
        <w:rPr>
          <w:sz w:val="20"/>
          <w:szCs w:val="20"/>
          <w:color w:val="auto"/>
        </w:rPr>
      </w:pPr>
      <w:r>
        <w:rPr>
          <w:rFonts w:ascii="Arial" w:cs="Arial" w:eastAsia="Arial" w:hAnsi="Arial"/>
          <w:sz w:val="17"/>
          <w:szCs w:val="17"/>
          <w:color w:val="auto"/>
        </w:rPr>
        <w:t>In order to reduce the impact of changes in foreign currency exchange rates on its results, the Company enters into foreign currency exchange forward contracts and options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vast majority of the forward contracts and options outstanding as of June 30, 2011 are expected to mature within the next 12 months).</w:t>
      </w:r>
    </w:p>
    <w:p>
      <w:pPr>
        <w:spacing w:after="0" w:line="64" w:lineRule="exact"/>
        <w:rPr>
          <w:sz w:val="20"/>
          <w:szCs w:val="20"/>
          <w:color w:val="auto"/>
        </w:rPr>
      </w:pPr>
    </w:p>
    <w:p>
      <w:pPr>
        <w:ind w:right="140" w:firstLine="222"/>
        <w:spacing w:after="0" w:line="272" w:lineRule="auto"/>
        <w:rPr>
          <w:sz w:val="20"/>
          <w:szCs w:val="20"/>
          <w:color w:val="auto"/>
        </w:rPr>
      </w:pPr>
      <w:r>
        <w:rPr>
          <w:rFonts w:ascii="Arial" w:cs="Arial" w:eastAsia="Arial" w:hAnsi="Arial"/>
          <w:sz w:val="17"/>
          <w:szCs w:val="17"/>
          <w:color w:val="auto"/>
        </w:rPr>
        <w:t>The effective portion of the gain or loss on the derivative instruments is initially recorded as a component of other comprehensive income, a separate component of shareholders’ equity, and subsequently reclassified into earnings to the same line item as the related forecasted transaction and in the same period or periods during which the hedged exposure affects earnings. The cash flow hedges are evaluated for effectiveness at least quarterly. As the critical terms of the forward contract or options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70" w:lineRule="exact"/>
        <w:rPr>
          <w:sz w:val="20"/>
          <w:szCs w:val="20"/>
          <w:color w:val="auto"/>
        </w:rPr>
      </w:pPr>
    </w:p>
    <w:p>
      <w:pPr>
        <w:ind w:right="300" w:firstLine="222"/>
        <w:spacing w:after="0" w:line="308" w:lineRule="auto"/>
        <w:rPr>
          <w:sz w:val="20"/>
          <w:szCs w:val="20"/>
          <w:color w:val="auto"/>
        </w:rPr>
      </w:pPr>
      <w:r>
        <w:rPr>
          <w:rFonts w:ascii="Arial" w:cs="Arial" w:eastAsia="Arial" w:hAnsi="Arial"/>
          <w:sz w:val="17"/>
          <w:szCs w:val="17"/>
          <w:color w:val="auto"/>
        </w:rPr>
        <w:t>The effect of the Company’s cash flow hedging instruments in the consolidated statement of income for the three and nine months ended June 30, 2011 and 2010, respectively, which partially offset the foreign currency impact from the underlying exposures, is summarized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rPr>
              <w:t>GAINS (LOSSES) RECLASSIFIED FROM</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780" w:type="dxa"/>
            <w:vAlign w:val="bottom"/>
            <w:gridSpan w:val="13"/>
          </w:tcPr>
          <w:p>
            <w:pPr>
              <w:jc w:val="right"/>
              <w:ind w:right="420"/>
              <w:spacing w:after="0" w:line="149" w:lineRule="exact"/>
              <w:rPr>
                <w:sz w:val="20"/>
                <w:szCs w:val="20"/>
                <w:color w:val="auto"/>
              </w:rPr>
            </w:pPr>
            <w:r>
              <w:rPr>
                <w:rFonts w:ascii="Arial" w:cs="Arial" w:eastAsia="Arial" w:hAnsi="Arial"/>
                <w:sz w:val="14"/>
                <w:szCs w:val="14"/>
                <w:b w:val="1"/>
                <w:bCs w:val="1"/>
                <w:color w:val="auto"/>
              </w:rPr>
              <w:t>OTHER COMPREHENSIVE INCOME (EFFECTIVE PORTION)</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92"/>
              </w:rPr>
              <w:t>Three months ended June 30,</w:t>
            </w:r>
          </w:p>
        </w:tc>
        <w:tc>
          <w:tcPr>
            <w:tcW w:w="120" w:type="dxa"/>
            <w:vAlign w:val="bottom"/>
          </w:tcPr>
          <w:p>
            <w:pPr>
              <w:spacing w:after="0"/>
              <w:rPr>
                <w:sz w:val="14"/>
                <w:szCs w:val="14"/>
                <w:color w:val="auto"/>
              </w:rPr>
            </w:pPr>
          </w:p>
        </w:tc>
        <w:tc>
          <w:tcPr>
            <w:tcW w:w="20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Nine months ended June 30,</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Revenue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(1,235)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(571)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(1,849)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(3,570)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1,814</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1,300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2,306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5,595</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11,524</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0" w:type="dxa"/>
            <w:vAlign w:val="bottom"/>
            <w:vMerge w:val="restart"/>
          </w:tcPr>
          <w:p>
            <w:pPr>
              <w:jc w:val="right"/>
              <w:ind w:right="65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40" w:type="dxa"/>
            <w:vAlign w:val="bottom"/>
            <w:tcBorders>
              <w:bottom w:val="single" w:sz="8" w:color="808080"/>
            </w:tcBorders>
          </w:tcPr>
          <w:p>
            <w:pPr>
              <w:spacing w:after="0"/>
              <w:rPr>
                <w:sz w:val="19"/>
                <w:szCs w:val="19"/>
                <w:color w:val="auto"/>
              </w:rPr>
            </w:pPr>
          </w:p>
        </w:tc>
        <w:tc>
          <w:tcPr>
            <w:tcW w:w="2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right="60" w:firstLine="215"/>
        <w:spacing w:after="0" w:line="279" w:lineRule="auto"/>
        <w:rPr>
          <w:sz w:val="20"/>
          <w:szCs w:val="20"/>
          <w:color w:val="auto"/>
        </w:rPr>
      </w:pPr>
      <w:r>
        <w:rPr>
          <w:rFonts w:ascii="Arial" w:cs="Arial" w:eastAsia="Arial" w:hAnsi="Arial"/>
          <w:sz w:val="17"/>
          <w:szCs w:val="17"/>
          <w:color w:val="auto"/>
        </w:rPr>
        <w:t>An aggregate gain of $5,011 and $1,692, net of taxes, was reclassified from other comprehensive income in the three months ended June 30, 2011 and 2010, respectively. An aggregate gain of $10, 209 and $5,826, net of taxes, was reclassified from other comprehensive income in the nine months ended June 30, 2011 and 2010, respectively. The ineffective portion of the change in fair value of a cash flow hedge, including the time value portion excluded from effectiveness testing for the three and nine months ended June 30, 2011 and 2010, was not material.</w:t>
      </w:r>
    </w:p>
    <w:p>
      <w:pPr>
        <w:spacing w:after="0" w:line="63" w:lineRule="exact"/>
        <w:rPr>
          <w:sz w:val="20"/>
          <w:szCs w:val="20"/>
          <w:color w:val="auto"/>
        </w:rPr>
      </w:pPr>
    </w:p>
    <w:p>
      <w:pPr>
        <w:ind w:right="60" w:firstLine="215"/>
        <w:spacing w:after="0" w:line="257" w:lineRule="auto"/>
        <w:rPr>
          <w:sz w:val="20"/>
          <w:szCs w:val="20"/>
          <w:color w:val="auto"/>
        </w:rPr>
      </w:pPr>
      <w:r>
        <w:rPr>
          <w:rFonts w:ascii="Arial" w:cs="Arial" w:eastAsia="Arial" w:hAnsi="Arial"/>
          <w:sz w:val="18"/>
          <w:szCs w:val="18"/>
          <w:color w:val="auto"/>
        </w:rPr>
        <w:t>As of June 30, 2011, amounts related to derivatives designated as cash flow hedges and recorded in accumulated other comprehensive income totaled $12,855 which will be reclassified into earnings within the next 12 months and will partially offset the foreign currency impact from the underlying exposures. The amount ultimately realized in earnings will likely differ due to future changes in foreign exchange rates. Gains (losses) from cash flow hedges recognized in other comprehensive income during the nine months ended June 30, 2011 and 2010, respectively, were $19,488 and $ (12,288), or $17,062 and $ (10,424), net of taxes.</w:t>
      </w:r>
    </w:p>
    <w:p>
      <w:pPr>
        <w:spacing w:after="0" w:line="80"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color w:val="auto"/>
        </w:rPr>
        <w:t>Cash flow hedges are required to be discontinued in the event the underlying forecasted hedged transaction is no longer probable to occur. The Company did not discontinue any cash flow hedges during any of the periods presented nor does the Company anticipate any such discontinuance in the normal course of business.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activity related to the changes in net unrealized gains on cash flow hedges, net of tax, in accumulated other comprehensive income was as follows:</w:t>
      </w:r>
    </w:p>
    <w:p>
      <w:pPr>
        <w:spacing w:after="0" w:line="240"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cash flow hedges, net of tax, beginning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6,002</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12,936</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17,062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(10,424)</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into earnings,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2"/>
              </w:rPr>
              <w:t>(10,209)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(5,826)</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Net unrealized gains (loss) on cash flow hedges, net of tax,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 Management Derivatives</w:t>
      </w:r>
    </w:p>
    <w:p>
      <w:pPr>
        <w:spacing w:after="0" w:line="117" w:lineRule="exact"/>
        <w:rPr>
          <w:sz w:val="20"/>
          <w:szCs w:val="20"/>
          <w:color w:val="auto"/>
        </w:rPr>
      </w:pPr>
    </w:p>
    <w:p>
      <w:pPr>
        <w:jc w:val="both"/>
        <w:ind w:right="40" w:firstLine="222"/>
        <w:spacing w:after="0" w:line="277" w:lineRule="auto"/>
        <w:rPr>
          <w:sz w:val="20"/>
          <w:szCs w:val="20"/>
          <w:color w:val="auto"/>
        </w:rPr>
      </w:pPr>
      <w:r>
        <w:rPr>
          <w:rFonts w:ascii="Arial" w:cs="Arial" w:eastAsia="Arial" w:hAnsi="Arial"/>
          <w:sz w:val="18"/>
          <w:szCs w:val="18"/>
          <w:color w:val="auto"/>
        </w:rPr>
        <w:t>The Company also enters into foreign currency exchange forward contracts that are not designated as hedging instruments under hedge accounting and are used to reduce the impact of foreign currency on certain balance sheet exposures and certain revenue and expense.</w:t>
      </w:r>
    </w:p>
    <w:p>
      <w:pPr>
        <w:spacing w:after="0" w:line="6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These instruments are generally short-term in nature, with typical maturities of less than one year, and are subject to fluctuations in foreign exchange rates.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ind w:left="220"/>
        <w:spacing w:after="0"/>
        <w:rPr>
          <w:sz w:val="20"/>
          <w:szCs w:val="20"/>
          <w:color w:val="auto"/>
        </w:rPr>
      </w:pPr>
      <w:r>
        <w:rPr>
          <w:rFonts w:ascii="Arial" w:cs="Arial" w:eastAsia="Arial" w:hAnsi="Arial"/>
          <w:sz w:val="16"/>
          <w:szCs w:val="16"/>
          <w:color w:val="auto"/>
        </w:rPr>
        <w:t>The effect of the Company’s non-designated hedging derivative instruments in the consolidated statement of income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June 30, 2011 and 2010, respectively, which partially offset the foreign currency impact from the underlying exposures, is summarized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11"/>
          </w:tcPr>
          <w:p>
            <w:pPr>
              <w:jc w:val="right"/>
              <w:spacing w:after="0"/>
              <w:rPr>
                <w:sz w:val="20"/>
                <w:szCs w:val="20"/>
                <w:color w:val="auto"/>
              </w:rPr>
            </w:pPr>
            <w:r>
              <w:rPr>
                <w:rFonts w:ascii="Arial" w:cs="Arial" w:eastAsia="Arial" w:hAnsi="Arial"/>
                <w:sz w:val="14"/>
                <w:szCs w:val="14"/>
                <w:b w:val="1"/>
                <w:bCs w:val="1"/>
                <w:color w:val="auto"/>
              </w:rPr>
              <w:t>GAINS (LOSSES) RECOGNIZED IN INCOME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2"/>
              </w:rPr>
              <w:t>Three months ended June 30,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1"/>
              </w:rPr>
              <w:t>Nine months ended June 30,</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Line item in statement of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Revenue</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1,501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324"/>
              <w:spacing w:after="0"/>
              <w:rPr>
                <w:sz w:val="20"/>
                <w:szCs w:val="20"/>
                <w:color w:val="auto"/>
              </w:rPr>
            </w:pPr>
            <w:r>
              <w:rPr>
                <w:rFonts w:ascii="Arial" w:cs="Arial" w:eastAsia="Arial" w:hAnsi="Arial"/>
                <w:sz w:val="18"/>
                <w:szCs w:val="18"/>
                <w:color w:val="auto"/>
              </w:rPr>
              <w:t>(2,622)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(2,341)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84"/>
              <w:spacing w:after="0"/>
              <w:rPr>
                <w:sz w:val="20"/>
                <w:szCs w:val="20"/>
                <w:color w:val="auto"/>
              </w:rPr>
            </w:pPr>
            <w:r>
              <w:rPr>
                <w:rFonts w:ascii="Arial" w:cs="Arial" w:eastAsia="Arial" w:hAnsi="Arial"/>
                <w:sz w:val="18"/>
                <w:szCs w:val="18"/>
                <w:color w:val="auto"/>
              </w:rPr>
              <w:t>4,188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384"/>
              <w:spacing w:after="0"/>
              <w:rPr>
                <w:sz w:val="20"/>
                <w:szCs w:val="20"/>
                <w:color w:val="auto"/>
              </w:rPr>
            </w:pPr>
            <w:r>
              <w:rPr>
                <w:rFonts w:ascii="Arial" w:cs="Arial" w:eastAsia="Arial" w:hAnsi="Arial"/>
                <w:sz w:val="18"/>
                <w:szCs w:val="18"/>
                <w:color w:val="auto"/>
              </w:rPr>
              <w:t>737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84"/>
              <w:spacing w:after="0"/>
              <w:rPr>
                <w:sz w:val="20"/>
                <w:szCs w:val="20"/>
                <w:color w:val="auto"/>
              </w:rPr>
            </w:pPr>
            <w:r>
              <w:rPr>
                <w:rFonts w:ascii="Arial" w:cs="Arial" w:eastAsia="Arial" w:hAnsi="Arial"/>
                <w:sz w:val="18"/>
                <w:szCs w:val="18"/>
                <w:color w:val="auto"/>
              </w:rPr>
              <w:t>735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Interest and other expense,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(2,079)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7,464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4"/>
          </w:tcPr>
          <w:p>
            <w:pPr>
              <w:jc w:val="right"/>
              <w:ind w:right="324"/>
              <w:spacing w:after="0"/>
              <w:rPr>
                <w:sz w:val="20"/>
                <w:szCs w:val="20"/>
                <w:color w:val="auto"/>
              </w:rPr>
            </w:pPr>
            <w:r>
              <w:rPr>
                <w:rFonts w:ascii="Arial" w:cs="Arial" w:eastAsia="Arial" w:hAnsi="Arial"/>
                <w:sz w:val="18"/>
                <w:szCs w:val="18"/>
                <w:color w:val="auto"/>
              </w:rPr>
              <w:t>(9,598)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8,977</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324"/>
              <w:spacing w:after="0"/>
              <w:rPr>
                <w:sz w:val="20"/>
                <w:szCs w:val="20"/>
                <w:color w:val="auto"/>
              </w:rPr>
            </w:pPr>
            <w:r>
              <w:rPr>
                <w:rFonts w:ascii="Arial" w:cs="Arial" w:eastAsia="Arial" w:hAnsi="Arial"/>
                <w:sz w:val="18"/>
                <w:szCs w:val="18"/>
                <w:color w:val="auto"/>
              </w:rPr>
              <w:t>(645)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(7,205</w:t>
            </w:r>
          </w:p>
        </w:tc>
        <w:tc>
          <w:tcPr>
            <w:tcW w:w="460" w:type="dxa"/>
            <w:vAlign w:val="bottom"/>
          </w:tcPr>
          <w:p>
            <w:pPr>
              <w:jc w:val="right"/>
              <w:ind w:right="324"/>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b w:val="1"/>
                <w:bCs w:val="1"/>
                <w:color w:val="auto"/>
              </w:rPr>
              <w:t>7. Accounts Receivable, Net</w:t>
            </w: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00" w:type="dxa"/>
            <w:vAlign w:val="bottom"/>
          </w:tcPr>
          <w:p>
            <w:pPr>
              <w:spacing w:after="0"/>
              <w:rPr>
                <w:sz w:val="20"/>
                <w:szCs w:val="20"/>
                <w:color w:val="auto"/>
              </w:rPr>
            </w:pPr>
            <w:r>
              <w:rPr>
                <w:rFonts w:ascii="Arial" w:cs="Arial" w:eastAsia="Arial" w:hAnsi="Arial"/>
                <w:sz w:val="18"/>
                <w:szCs w:val="18"/>
                <w:color w:val="auto"/>
              </w:rPr>
              <w:t>Accounts receivable, net consists of the following:</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As of</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6"/>
          </w:tcPr>
          <w:p>
            <w:pPr>
              <w:jc w:val="right"/>
              <w:ind w:right="684"/>
              <w:spacing w:after="0" w:line="119" w:lineRule="exact"/>
              <w:rPr>
                <w:sz w:val="20"/>
                <w:szCs w:val="20"/>
                <w:color w:val="auto"/>
              </w:rPr>
            </w:pPr>
            <w:r>
              <w:rPr>
                <w:rFonts w:ascii="Arial" w:cs="Arial" w:eastAsia="Arial" w:hAnsi="Arial"/>
                <w:sz w:val="13"/>
                <w:szCs w:val="13"/>
                <w:b w:val="1"/>
                <w:bCs w:val="1"/>
                <w:color w:val="auto"/>
              </w:rPr>
              <w:t>June 30,</w:t>
            </w: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3"/>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billed</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4"/>
              </w:rPr>
              <w:t>$ 509,523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529,182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Accounts receivable — unbilled (1)</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96,687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62,246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Less-allowances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(17,107)</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(11,428)</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2"/>
              </w:rPr>
              <w:t>$ 589,103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580,000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308"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increase in accounts receivable unbilled in the nine months ended June 30, 2011, was primarily attributable to timing differences between delivery and invoicing milestones related to managed services arrangements as well as implementation and integration projects.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Comprehensive Income</w:t>
      </w:r>
    </w:p>
    <w:p>
      <w:pPr>
        <w:spacing w:after="0" w:line="121" w:lineRule="exact"/>
        <w:rPr>
          <w:sz w:val="20"/>
          <w:szCs w:val="20"/>
          <w:color w:val="auto"/>
        </w:rPr>
      </w:pPr>
    </w:p>
    <w:p>
      <w:pPr>
        <w:ind w:right="760" w:firstLine="225"/>
        <w:spacing w:after="0" w:line="342" w:lineRule="auto"/>
        <w:rPr>
          <w:sz w:val="20"/>
          <w:szCs w:val="20"/>
          <w:color w:val="auto"/>
        </w:rPr>
      </w:pPr>
      <w:r>
        <w:rPr>
          <w:rFonts w:ascii="Arial" w:cs="Arial" w:eastAsia="Arial" w:hAnsi="Arial"/>
          <w:sz w:val="16"/>
          <w:szCs w:val="16"/>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reconciliation from net income to comprehensive income for the following periods: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91,785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92,265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$ 259,286</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$ 249,168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7"/>
              </w:rPr>
              <w:t>Unrealized gain (loss) on foreign currency hedging contracts, net of tax</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(8,294)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6,853</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(16,250)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w w:val="91"/>
              </w:rPr>
              <w:t>Unrealized (loss) gain on short-term interest-bearing investments, net of tax</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1,601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defined benefit plan, net of tax</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93,245</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85,572</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$ 266,040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$ 237,018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0" w:type="dxa"/>
            <w:vAlign w:val="bottom"/>
            <w:vMerge w:val="restart"/>
          </w:tcPr>
          <w:p>
            <w:pPr>
              <w:jc w:val="right"/>
              <w:ind w:right="65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54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provision for income taxes for the following periods consisted 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left="297"/>
              <w:spacing w:after="0"/>
              <w:rPr>
                <w:sz w:val="20"/>
                <w:szCs w:val="20"/>
                <w:color w:val="auto"/>
              </w:rPr>
            </w:pPr>
            <w:r>
              <w:rPr>
                <w:rFonts w:ascii="Arial" w:cs="Arial" w:eastAsia="Arial" w:hAnsi="Arial"/>
                <w:sz w:val="14"/>
                <w:szCs w:val="14"/>
                <w:b w:val="1"/>
                <w:bCs w:val="1"/>
                <w:color w:val="auto"/>
                <w:w w:val="92"/>
              </w:rPr>
              <w:t>Three months</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jc w:val="center"/>
              <w:ind w:left="337"/>
              <w:spacing w:after="0"/>
              <w:rPr>
                <w:sz w:val="20"/>
                <w:szCs w:val="20"/>
                <w:color w:val="auto"/>
              </w:rPr>
            </w:pPr>
            <w:r>
              <w:rPr>
                <w:rFonts w:ascii="Arial" w:cs="Arial" w:eastAsia="Arial" w:hAnsi="Arial"/>
                <w:sz w:val="14"/>
                <w:szCs w:val="14"/>
                <w:b w:val="1"/>
                <w:bCs w:val="1"/>
                <w:color w:val="auto"/>
                <w:w w:val="91"/>
              </w:rPr>
              <w:t>Nine months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ended</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15,287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18,889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26,102</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Deferred</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(1,584)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(9,653)</w:t>
            </w:r>
          </w:p>
        </w:tc>
        <w:tc>
          <w:tcPr>
            <w:tcW w:w="14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0"/>
              </w:rPr>
              <w:t>11,172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(14,538)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13,703</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37,274</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 varied from the statutory Guernsey tax rate as follows for the following periods: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940" w:type="dxa"/>
            <w:vAlign w:val="bottom"/>
            <w:gridSpan w:val="4"/>
          </w:tcPr>
          <w:p>
            <w:pPr>
              <w:jc w:val="center"/>
              <w:ind w:left="88"/>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448"/>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60" w:type="dxa"/>
            <w:vAlign w:val="bottom"/>
            <w:gridSpan w:val="2"/>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9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Foreign taxes</w:t>
            </w:r>
          </w:p>
        </w:tc>
        <w:tc>
          <w:tcPr>
            <w:tcW w:w="5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9</w:t>
            </w:r>
          </w:p>
        </w:tc>
        <w:tc>
          <w:tcPr>
            <w:tcW w:w="1400" w:type="dxa"/>
            <w:vAlign w:val="bottom"/>
            <w:gridSpan w:val="2"/>
          </w:tcPr>
          <w:p>
            <w:pPr>
              <w:jc w:val="right"/>
              <w:ind w:right="648"/>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w w:val="88"/>
              </w:rPr>
              <w:t>13%</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w:t>
            </w: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13%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a Guernsey company subject to a corporate tax rate of zero percent, the Company’s overall effective tax rate is attributable to foreign taxes.</w:t>
      </w:r>
    </w:p>
    <w:p>
      <w:pPr>
        <w:spacing w:after="0" w:line="129" w:lineRule="exact"/>
        <w:rPr>
          <w:sz w:val="20"/>
          <w:szCs w:val="20"/>
          <w:color w:val="auto"/>
        </w:rPr>
      </w:pPr>
    </w:p>
    <w:p>
      <w:pPr>
        <w:ind w:right="500" w:firstLine="215"/>
        <w:spacing w:after="0" w:line="264" w:lineRule="auto"/>
        <w:rPr>
          <w:sz w:val="20"/>
          <w:szCs w:val="20"/>
          <w:color w:val="auto"/>
        </w:rPr>
      </w:pPr>
      <w:r>
        <w:rPr>
          <w:rFonts w:ascii="Arial" w:cs="Arial" w:eastAsia="Arial" w:hAnsi="Arial"/>
          <w:sz w:val="18"/>
          <w:szCs w:val="18"/>
          <w:color w:val="auto"/>
        </w:rPr>
        <w:t>As of June 30, 2011, deferred tax assets of $124,019, derived primarily from net capital and operating loss carry forwards related to some of the Company’s subsidiaries, were offset by valuation allowances related to the uncertainty of realizing tax benefit for such losses. Releases of the valuation allowances will be recognized through earnings.</w:t>
      </w:r>
    </w:p>
    <w:p>
      <w:pPr>
        <w:spacing w:after="0" w:line="73"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total amount of gross unrecognized tax benefits, which includes interest and penalties, was $130,603 as of June 30, 2011, all of which would affect the effective tax rate if realized.</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June 30, 2011, the Company has accrued $16,913 in income taxes payable for interest and penalties relating to unrecognized tax benefits.</w:t>
      </w:r>
    </w:p>
    <w:p>
      <w:pPr>
        <w:spacing w:after="0" w:line="129" w:lineRule="exact"/>
        <w:rPr>
          <w:sz w:val="20"/>
          <w:szCs w:val="20"/>
          <w:color w:val="auto"/>
        </w:rPr>
      </w:pPr>
    </w:p>
    <w:p>
      <w:pPr>
        <w:ind w:right="300" w:firstLine="222"/>
        <w:spacing w:after="0" w:line="342" w:lineRule="auto"/>
        <w:rPr>
          <w:sz w:val="20"/>
          <w:szCs w:val="20"/>
          <w:color w:val="auto"/>
        </w:rPr>
      </w:pPr>
      <w:r>
        <w:rPr>
          <w:rFonts w:ascii="Arial" w:cs="Arial" w:eastAsia="Arial" w:hAnsi="Arial"/>
          <w:sz w:val="16"/>
          <w:szCs w:val="16"/>
          <w:color w:val="auto"/>
        </w:rPr>
        <w:t>The Company is currently under audit in several jurisdictions for the tax years 2005 and onwards. Timing of the resolution of audits is highly uncertain and therefore the Company generally cannot estimate the change in unrecognized tax benefits resulting from these audits within the next 12 months.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Numerator for basic and diluted earnings per share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91,785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92,265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259,286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249,168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60" w:type="dxa"/>
            <w:vAlign w:val="bottom"/>
          </w:tcPr>
          <w:p>
            <w:pPr>
              <w:ind w:left="220"/>
              <w:spacing w:after="0" w:line="201" w:lineRule="exact"/>
              <w:rPr>
                <w:sz w:val="20"/>
                <w:szCs w:val="20"/>
                <w:color w:val="auto"/>
              </w:rPr>
            </w:pPr>
            <w:r>
              <w:rPr>
                <w:rFonts w:ascii="Arial" w:cs="Arial" w:eastAsia="Arial" w:hAnsi="Arial"/>
                <w:sz w:val="18"/>
                <w:szCs w:val="18"/>
                <w:color w:val="auto"/>
                <w:w w:val="90"/>
              </w:rPr>
              <w:t>Denominator for basic earnings per share — weighted average number of</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420"/>
              <w:spacing w:after="0"/>
              <w:rPr>
                <w:sz w:val="20"/>
                <w:szCs w:val="20"/>
                <w:color w:val="auto"/>
              </w:rPr>
            </w:pPr>
            <w:r>
              <w:rPr>
                <w:rFonts w:ascii="Arial" w:cs="Arial" w:eastAsia="Arial" w:hAnsi="Arial"/>
                <w:sz w:val="18"/>
                <w:szCs w:val="18"/>
                <w:color w:val="auto"/>
              </w:rPr>
              <w:t>shares outstanding</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183,273</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203,786</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187,566</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205,078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 assumed conversion of 0.50% convertible notes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Effect of dilutive stock options granted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1,385</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1,383</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02"/>
        </w:trPr>
        <w:tc>
          <w:tcPr>
            <w:tcW w:w="55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Denominator for diluted earnings per share — adjusted weighted average</w:t>
            </w:r>
          </w:p>
        </w:tc>
        <w:tc>
          <w:tcPr>
            <w:tcW w:w="9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and assumed conversions</w:t>
            </w:r>
          </w:p>
        </w:tc>
        <w:tc>
          <w:tcPr>
            <w:tcW w:w="9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184,682</w:t>
            </w: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205,471</w:t>
            </w:r>
          </w:p>
        </w:tc>
        <w:tc>
          <w:tcPr>
            <w:tcW w:w="6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188,973</w:t>
            </w: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206,606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ind w:left="220"/>
              <w:spacing w:after="0"/>
              <w:rPr>
                <w:sz w:val="20"/>
                <w:szCs w:val="20"/>
                <w:color w:val="auto"/>
              </w:rPr>
            </w:pPr>
            <w:r>
              <w:rPr>
                <w:rFonts w:ascii="Arial" w:cs="Arial" w:eastAsia="Arial" w:hAnsi="Arial"/>
                <w:sz w:val="18"/>
                <w:szCs w:val="18"/>
                <w:color w:val="auto"/>
              </w:rPr>
              <w:t>Basic earnings per share</w:t>
            </w:r>
          </w:p>
        </w:tc>
        <w:tc>
          <w:tcPr>
            <w:tcW w:w="10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6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earnings per share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920" w:type="dxa"/>
            <w:vAlign w:val="bottom"/>
            <w:vMerge w:val="restart"/>
          </w:tcPr>
          <w:p>
            <w:pPr>
              <w:jc w:val="right"/>
              <w:ind w:right="59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60" w:type="dxa"/>
            <w:vAlign w:val="bottom"/>
          </w:tcPr>
          <w:p>
            <w:pPr>
              <w:spacing w:after="0"/>
              <w:rPr>
                <w:sz w:val="24"/>
                <w:szCs w:val="24"/>
                <w:color w:val="auto"/>
              </w:rPr>
            </w:pPr>
          </w:p>
        </w:tc>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ind w:firstLine="225"/>
        <w:spacing w:after="0" w:line="286" w:lineRule="auto"/>
        <w:rPr>
          <w:sz w:val="20"/>
          <w:szCs w:val="20"/>
          <w:color w:val="auto"/>
        </w:rPr>
      </w:pPr>
      <w:r>
        <w:rPr>
          <w:rFonts w:ascii="Arial" w:cs="Arial" w:eastAsia="Arial" w:hAnsi="Arial"/>
          <w:sz w:val="17"/>
          <w:szCs w:val="17"/>
          <w:color w:val="auto"/>
        </w:rPr>
        <w:t>For the three and nine months ended June 30, 2011, 13,531 and 14,787 shares, respectively, were attributable to antidilutive outstanding stock options. For the three and nine months ended June 30, 2010, 15,064 and 16,108 shares, respectively, were attributable to antidilutive outstanding stock options. Shares attributable to antidilutive outstanding stock options were not included in the calculation of diluted earnings per share.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11. Repurchase of Securities</w:t>
      </w:r>
    </w:p>
    <w:p>
      <w:pPr>
        <w:spacing w:after="0" w:line="121" w:lineRule="exact"/>
        <w:rPr>
          <w:sz w:val="20"/>
          <w:szCs w:val="20"/>
          <w:color w:val="auto"/>
        </w:rPr>
      </w:pPr>
    </w:p>
    <w:p>
      <w:pPr>
        <w:ind w:right="200" w:firstLine="225"/>
        <w:spacing w:after="0" w:line="302" w:lineRule="auto"/>
        <w:rPr>
          <w:sz w:val="20"/>
          <w:szCs w:val="20"/>
          <w:color w:val="auto"/>
        </w:rPr>
      </w:pPr>
      <w:r>
        <w:rPr>
          <w:rFonts w:ascii="Arial" w:cs="Arial" w:eastAsia="Arial" w:hAnsi="Arial"/>
          <w:sz w:val="16"/>
          <w:szCs w:val="16"/>
          <w:color w:val="auto"/>
        </w:rPr>
        <w:t>In April 2010, the Company’s board of directors adopted a share repurchase plan authorizing the repurchase of up to $700,000 of the Company’s outstanding ordinary shares over the following 12 months. In February 2011, the Company’s board of directors adopted a share repurchase plan authorizing the repurchase of up to $1,000,000 of the Company’s outstanding ordinary shares over the following 24 months. The authorizations permit the Company to purchase its ordinary shares in open market or privately negotiated transactions at times and prices that it considers appropriate.</w:t>
      </w:r>
    </w:p>
    <w:p>
      <w:pPr>
        <w:spacing w:after="0" w:line="46"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In April 2011 the Company completed the repurchase of the remaining authorized amount under the April 2010 share repurchase plan and started executing repurchases under the new plan. In the nine months ended June 30, 2011, the Company repurchased approximately 15,004 ordinary shares at an average price of $28.76 per share (excluding broker and transaction fees). As of June 30, 2011, the Company had remaining authority to repurchase up to $879,504 of its outstanding ordinary shares under the current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Financing Arrangements</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In November 2007, the Company entered into an unsecured $500,000 five-year revolving credit facility with a syndicate of banks, which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In September 2010, the Company borrowed an aggregate of $200,000 under the facility and repaid it in October 2010. As of June 30, 2011, the Company was in compliance with the financial covenants under the revolving credit facility and had no outstanding borrowings under this facility.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and Incentive Plan</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The maximum number of ordinary shares authorized to be granted under the Plan is 55,300. Awards granted under the Plan generally vest over a period of four years and stock options have a term of ten years.</w:t>
      </w:r>
    </w:p>
    <w:p>
      <w:pPr>
        <w:spacing w:after="0" w:line="81" w:lineRule="exact"/>
        <w:rPr>
          <w:sz w:val="20"/>
          <w:szCs w:val="20"/>
          <w:color w:val="auto"/>
        </w:rPr>
      </w:pPr>
    </w:p>
    <w:p>
      <w:pPr>
        <w:ind w:right="220" w:firstLine="222"/>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nine-month period ended June 30, 2011: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1"/>
              </w:rPr>
              <w:t>Weighted</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Options</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Price</w:t>
            </w:r>
          </w:p>
        </w:tc>
        <w:tc>
          <w:tcPr>
            <w:tcW w:w="6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October 1, 2010</w:t>
            </w:r>
          </w:p>
        </w:tc>
        <w:tc>
          <w:tcPr>
            <w:tcW w:w="4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22,198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29.50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Granted</w:t>
            </w:r>
          </w:p>
        </w:tc>
        <w:tc>
          <w:tcPr>
            <w:tcW w:w="4860" w:type="dxa"/>
            <w:vAlign w:val="bottom"/>
            <w:gridSpan w:val="3"/>
          </w:tcPr>
          <w:p>
            <w:pPr>
              <w:jc w:val="right"/>
              <w:ind w:right="380"/>
              <w:spacing w:after="0"/>
              <w:rPr>
                <w:sz w:val="20"/>
                <w:szCs w:val="20"/>
                <w:color w:val="auto"/>
              </w:rPr>
            </w:pPr>
            <w:r>
              <w:rPr>
                <w:rFonts w:ascii="Arial" w:cs="Arial" w:eastAsia="Arial" w:hAnsi="Arial"/>
                <w:sz w:val="18"/>
                <w:szCs w:val="18"/>
                <w:color w:val="auto"/>
              </w:rPr>
              <w:t>3,890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27.98</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48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(2,305)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21.55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Forfeited</w:t>
            </w:r>
          </w:p>
        </w:tc>
        <w:tc>
          <w:tcPr>
            <w:tcW w:w="38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(2,655)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39.56</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2011</w:t>
            </w:r>
          </w:p>
        </w:tc>
        <w:tc>
          <w:tcPr>
            <w:tcW w:w="38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21,128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28.82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June 30, 2011</w:t>
            </w:r>
          </w:p>
        </w:tc>
        <w:tc>
          <w:tcPr>
            <w:tcW w:w="3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gridSpan w:val="2"/>
            <w:vMerge w:val="continue"/>
          </w:tcPr>
          <w:p>
            <w:pPr>
              <w:spacing w:after="0"/>
              <w:rPr>
                <w:sz w:val="18"/>
                <w:szCs w:val="18"/>
                <w:color w:val="auto"/>
              </w:rPr>
            </w:pPr>
          </w:p>
        </w:tc>
        <w:tc>
          <w:tcPr>
            <w:tcW w:w="38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6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800" w:type="dxa"/>
            <w:vAlign w:val="bottom"/>
            <w:vMerge w:val="restart"/>
          </w:tcPr>
          <w:p>
            <w:pPr>
              <w:jc w:val="right"/>
              <w:ind w:right="1970"/>
              <w:spacing w:after="0"/>
              <w:rPr>
                <w:sz w:val="20"/>
                <w:szCs w:val="20"/>
                <w:color w:val="auto"/>
              </w:rPr>
            </w:pPr>
            <w:r>
              <w:rPr>
                <w:rFonts w:ascii="Arial" w:cs="Arial" w:eastAsia="Arial" w:hAnsi="Arial"/>
                <w:sz w:val="18"/>
                <w:szCs w:val="18"/>
                <w:color w:val="auto"/>
              </w:rPr>
              <w:t>18</w:t>
            </w: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p>
      <w:pPr>
        <w:ind w:left="22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to such awards during the nine-month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6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Date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October 1, 2010</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Forfeited</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Outstanding unvested shares as of June 30, 2011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15"/>
        <w:spacing w:after="0" w:line="264" w:lineRule="auto"/>
        <w:rPr>
          <w:sz w:val="20"/>
          <w:szCs w:val="20"/>
          <w:color w:val="auto"/>
        </w:rPr>
      </w:pPr>
      <w:r>
        <w:rPr>
          <w:rFonts w:ascii="Arial" w:cs="Arial" w:eastAsia="Arial" w:hAnsi="Arial"/>
          <w:sz w:val="18"/>
          <w:szCs w:val="18"/>
          <w:color w:val="auto"/>
        </w:rPr>
        <w:t>As of June 30, 2011, there was $45,121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Equity-based payments to employees, including grants of employee stock options, are recognized in the statements of income based at their fair values.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Employee equity-based compensation pre-tax expense for the three and nine months ended June 30, 2011 and 2010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202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9,923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14,623</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821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1,987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3,154</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4,869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15,018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14,551</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10,757</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26,928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32,328</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firstLine="222"/>
        <w:spacing w:after="0" w:line="342" w:lineRule="auto"/>
        <w:rPr>
          <w:sz w:val="20"/>
          <w:szCs w:val="20"/>
          <w:color w:val="auto"/>
        </w:rPr>
      </w:pPr>
      <w:r>
        <w:rPr>
          <w:rFonts w:ascii="Arial" w:cs="Arial" w:eastAsia="Arial" w:hAnsi="Arial"/>
          <w:sz w:val="16"/>
          <w:szCs w:val="16"/>
          <w:color w:val="auto"/>
        </w:rPr>
        <w:t>The total income tax benefit recognized in the income statement for stock-based compensation (including restricted shares) for the three months ended June 30, 2011 and 2010 was $228 and $1,321, respectively, and for the nine months ended June 30, 2011 and 2010 was $1,230 and $2,772, respectively.</w:t>
      </w:r>
    </w:p>
    <w:p>
      <w:pPr>
        <w:spacing w:after="0" w:line="16" w:lineRule="exact"/>
        <w:rPr>
          <w:sz w:val="20"/>
          <w:szCs w:val="20"/>
          <w:color w:val="auto"/>
        </w:rPr>
      </w:pPr>
    </w:p>
    <w:p>
      <w:pPr>
        <w:ind w:right="160" w:firstLine="222"/>
        <w:spacing w:after="0" w:line="308" w:lineRule="auto"/>
        <w:rPr>
          <w:sz w:val="20"/>
          <w:szCs w:val="20"/>
          <w:color w:val="auto"/>
        </w:rPr>
      </w:pPr>
      <w:r>
        <w:rPr>
          <w:rFonts w:ascii="Arial" w:cs="Arial" w:eastAsia="Arial" w:hAnsi="Arial"/>
          <w:sz w:val="17"/>
          <w:szCs w:val="17"/>
          <w:color w:val="auto"/>
        </w:rPr>
        <w:t>The Company selected the Black-Scholes option pricing model as the most appropriate fair value method for its equity-based awards. The Black-Scholes option pricing model assumptions used are noted in the following table (all in weighted averages for options granted during the period):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6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92"/>
              </w:rPr>
              <w:t>Three months</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4"/>
          </w:tcPr>
          <w:p>
            <w:pPr>
              <w:jc w:val="center"/>
              <w:ind w:left="442"/>
              <w:spacing w:after="0"/>
              <w:rPr>
                <w:sz w:val="20"/>
                <w:szCs w:val="20"/>
                <w:color w:val="auto"/>
              </w:rPr>
            </w:pPr>
            <w:r>
              <w:rPr>
                <w:rFonts w:ascii="Arial" w:cs="Arial" w:eastAsia="Arial" w:hAnsi="Arial"/>
                <w:sz w:val="14"/>
                <w:szCs w:val="14"/>
                <w:b w:val="1"/>
                <w:bCs w:val="1"/>
                <w:color w:val="auto"/>
                <w:w w:val="91"/>
              </w:rPr>
              <w:t>Nine months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4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4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4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(1)</w:t>
            </w:r>
          </w:p>
        </w:tc>
        <w:tc>
          <w:tcPr>
            <w:tcW w:w="338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w:t>
            </w:r>
          </w:p>
        </w:tc>
        <w:tc>
          <w:tcPr>
            <w:tcW w:w="164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Expected life of stock options (2)</w:t>
            </w:r>
          </w:p>
        </w:tc>
        <w:tc>
          <w:tcPr>
            <w:tcW w:w="3380" w:type="dxa"/>
            <w:vAlign w:val="bottom"/>
            <w:gridSpan w:val="3"/>
          </w:tcPr>
          <w:p>
            <w:pPr>
              <w:jc w:val="right"/>
              <w:ind w:right="668"/>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960" w:type="dxa"/>
            <w:vAlign w:val="bottom"/>
            <w:gridSpan w:val="2"/>
          </w:tcPr>
          <w:p>
            <w:pPr>
              <w:ind w:left="220"/>
              <w:spacing w:after="0"/>
              <w:rPr>
                <w:sz w:val="20"/>
                <w:szCs w:val="20"/>
                <w:color w:val="auto"/>
              </w:rPr>
            </w:pPr>
            <w:r>
              <w:rPr>
                <w:rFonts w:ascii="Arial" w:cs="Arial" w:eastAsia="Arial" w:hAnsi="Arial"/>
                <w:sz w:val="18"/>
                <w:szCs w:val="18"/>
                <w:color w:val="auto"/>
              </w:rPr>
              <w:t>4.50</w:t>
            </w:r>
          </w:p>
        </w:tc>
        <w:tc>
          <w:tcPr>
            <w:tcW w:w="1640" w:type="dxa"/>
            <w:vAlign w:val="bottom"/>
            <w:gridSpan w:val="3"/>
          </w:tcPr>
          <w:p>
            <w:pPr>
              <w:jc w:val="right"/>
              <w:ind w:right="588"/>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4.32</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(3)</w:t>
            </w:r>
          </w:p>
        </w:tc>
        <w:tc>
          <w:tcPr>
            <w:tcW w:w="338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0.287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0.314</w:t>
            </w:r>
          </w:p>
        </w:tc>
        <w:tc>
          <w:tcPr>
            <w:tcW w:w="4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0.305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Expected dividend yield (4)</w:t>
            </w:r>
          </w:p>
        </w:tc>
        <w:tc>
          <w:tcPr>
            <w:tcW w:w="1960" w:type="dxa"/>
            <w:vAlign w:val="bottom"/>
          </w:tcPr>
          <w:p>
            <w:pPr>
              <w:spacing w:after="0"/>
              <w:rPr>
                <w:sz w:val="18"/>
                <w:szCs w:val="18"/>
                <w:color w:val="auto"/>
              </w:rPr>
            </w:pPr>
          </w:p>
        </w:tc>
        <w:tc>
          <w:tcPr>
            <w:tcW w:w="1420" w:type="dxa"/>
            <w:vAlign w:val="bottom"/>
            <w:gridSpan w:val="2"/>
          </w:tcPr>
          <w:p>
            <w:pPr>
              <w:jc w:val="right"/>
              <w:ind w:right="728"/>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1340" w:type="dxa"/>
            <w:vAlign w:val="bottom"/>
            <w:gridSpan w:val="2"/>
          </w:tcPr>
          <w:p>
            <w:pPr>
              <w:jc w:val="right"/>
              <w:ind w:right="648"/>
              <w:spacing w:after="0"/>
              <w:rPr>
                <w:sz w:val="20"/>
                <w:szCs w:val="20"/>
                <w:color w:val="auto"/>
              </w:rPr>
            </w:pPr>
            <w:r>
              <w:rPr>
                <w:rFonts w:ascii="Arial" w:cs="Arial" w:eastAsia="Arial" w:hAnsi="Arial"/>
                <w:sz w:val="18"/>
                <w:szCs w:val="18"/>
                <w:color w:val="auto"/>
              </w:rPr>
              <w:t>None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3380" w:type="dxa"/>
            <w:vAlign w:val="bottom"/>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   8.05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8.60</w:t>
            </w:r>
          </w:p>
        </w:tc>
        <w:tc>
          <w:tcPr>
            <w:tcW w:w="1640" w:type="dxa"/>
            <w:vAlign w:val="bottom"/>
            <w:gridSpan w:val="3"/>
            <w:shd w:val="clear" w:color="auto" w:fill="CCEEFF"/>
          </w:tcPr>
          <w:p>
            <w:pPr>
              <w:jc w:val="right"/>
              <w:ind w:right="588"/>
              <w:spacing w:after="0"/>
              <w:rPr>
                <w:sz w:val="20"/>
                <w:szCs w:val="20"/>
                <w:color w:val="auto"/>
              </w:rPr>
            </w:pPr>
            <w:r>
              <w:rPr>
                <w:rFonts w:ascii="Arial" w:cs="Arial" w:eastAsia="Arial" w:hAnsi="Arial"/>
                <w:sz w:val="18"/>
                <w:szCs w:val="18"/>
                <w:color w:val="auto"/>
              </w:rPr>
              <w:t>$   7.78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w:t>
      </w:r>
      <w:r>
        <w:rPr>
          <w:rFonts w:ascii="Arial" w:cs="Arial" w:eastAsia="Arial" w:hAnsi="Arial"/>
          <w:sz w:val="18"/>
          <w:szCs w:val="18"/>
          <w:b w:val="1"/>
          <w:bCs w:val="1"/>
          <w:color w:val="auto"/>
        </w:rPr>
        <w:t>’</w:t>
      </w:r>
      <w:r>
        <w:rPr>
          <w:rFonts w:ascii="Arial" w:cs="Arial" w:eastAsia="Arial" w:hAnsi="Arial"/>
          <w:sz w:val="18"/>
          <w:szCs w:val="18"/>
          <w:color w:val="auto"/>
        </w:rPr>
        <w:t>s employee stock options.</w:t>
      </w:r>
    </w:p>
    <w:p>
      <w:pPr>
        <w:spacing w:after="0" w:line="8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76"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volatility is based on a combination of implied volatility of the Company’s traded options and historical stock price volatility (“blended volatility”).</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Equity-based compensation recognized is reduced for estimated forfeitures and revised, if necessary, in subsequent periods if actual forfeitures differ from those estimates.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14.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73"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the nine months ended June 30, 2011 and 2010.</w:t>
      </w:r>
    </w:p>
    <w:p>
      <w:pPr>
        <w:spacing w:after="0" w:line="79" w:lineRule="exact"/>
        <w:rPr>
          <w:sz w:val="20"/>
          <w:szCs w:val="20"/>
          <w:color w:val="auto"/>
        </w:rPr>
      </w:pPr>
    </w:p>
    <w:p>
      <w:pPr>
        <w:ind w:right="280" w:firstLine="222"/>
        <w:spacing w:after="0" w:line="264" w:lineRule="auto"/>
        <w:rPr>
          <w:sz w:val="20"/>
          <w:szCs w:val="20"/>
          <w:color w:val="auto"/>
        </w:rPr>
      </w:pPr>
      <w:r>
        <w:rPr>
          <w:rFonts w:ascii="Arial" w:cs="Arial" w:eastAsia="Arial" w:hAnsi="Arial"/>
          <w:sz w:val="18"/>
          <w:szCs w:val="18"/>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60" w:firstLine="222"/>
        <w:spacing w:after="0" w:line="290" w:lineRule="auto"/>
        <w:rPr>
          <w:sz w:val="20"/>
          <w:szCs w:val="20"/>
          <w:color w:val="auto"/>
        </w:rPr>
      </w:pPr>
      <w:r>
        <w:rPr>
          <w:rFonts w:ascii="Arial" w:cs="Arial" w:eastAsia="Arial" w:hAnsi="Arial"/>
          <w:sz w:val="16"/>
          <w:szCs w:val="16"/>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58"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and other risks, please read the information set forth under the caption “Risk Factors” in our Annual Report on Form 20-F for fiscal 2010, filed on December 7, 2010 with the U.S. Securities and Exchange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121"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Amdocs is a leading provider of software and services for communications, media and entertainment industry service providers. Although our market focus has traditionally been primarily on Tier-1 and Tier-2 service providers in developed markets, we have also focused in the last several years on Tier-3 and Tier-4 service providers in developed markets, and on providers in emerging markets. Regardless of whether service providers are bringing their first offerings to market, scaling for growth, consolidating systems or transforming the way they do business, we believe that service providers seek to differentiate their offerings by delivering a customer experience that is simple, personalized and valuable at every point of service.</w:t>
      </w:r>
    </w:p>
    <w:p>
      <w:pPr>
        <w:spacing w:after="0" w:line="64" w:lineRule="exact"/>
        <w:rPr>
          <w:sz w:val="20"/>
          <w:szCs w:val="20"/>
          <w:color w:val="auto"/>
        </w:rPr>
      </w:pPr>
    </w:p>
    <w:p>
      <w:pPr>
        <w:ind w:right="400" w:firstLine="222"/>
        <w:spacing w:after="0" w:line="279" w:lineRule="auto"/>
        <w:rPr>
          <w:sz w:val="20"/>
          <w:szCs w:val="20"/>
          <w:color w:val="auto"/>
        </w:rPr>
      </w:pPr>
      <w:r>
        <w:rPr>
          <w:rFonts w:ascii="Arial" w:cs="Arial" w:eastAsia="Arial" w:hAnsi="Arial"/>
          <w:sz w:val="17"/>
          <w:szCs w:val="17"/>
          <w:color w:val="auto"/>
        </w:rPr>
        <w:t>We develop, implement and manage software and services associated with business support systems (BSS) and operational support systems (OSS), to enable service providers to introduce new products and business models more quickly, understand their customers more deeply, process orders more efficiently, bill more accurately and service their end customers more effectively. We refer to these systems collectively as customer experience systems because of the crucial impact that these systems have on the service providers’ end-user experience.</w:t>
      </w:r>
    </w:p>
    <w:p>
      <w:pPr>
        <w:spacing w:after="0" w:line="63"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In a global communications industry impacted by unprecedented growth in data demand, increasing number of connected devices and improvement in machine-to-machine (M2M) technologies, consumers expect immediate and constant connectivity to personalized services, information and applications. We refer to these developments as the evolution to the “connected world.” We seek to address these market forces through a strategy of innovation from the network and business support systems to the device and end user. Our goal is to supply cost-effective, scalable software products and services that provide functionality and flexibility to service providers as they—and their markets—grow and change.</w:t>
      </w:r>
    </w:p>
    <w:p>
      <w:pPr>
        <w:spacing w:after="0" w:line="64"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We also offer advertising and media services for directory publishers which are comprised of a comprehensive set of products and services designed to enable local search and directory publishers to manage the entire media selling, fulfillment, consumer experience and financial processes across online, print and mobile media.</w:t>
      </w:r>
    </w:p>
    <w:p>
      <w:pPr>
        <w:spacing w:after="0" w:line="73" w:lineRule="exact"/>
        <w:rPr>
          <w:sz w:val="20"/>
          <w:szCs w:val="20"/>
          <w:color w:val="auto"/>
        </w:rPr>
      </w:pPr>
    </w:p>
    <w:p>
      <w:pPr>
        <w:ind w:right="280" w:firstLine="222"/>
        <w:spacing w:after="0" w:line="257" w:lineRule="auto"/>
        <w:rPr>
          <w:sz w:val="20"/>
          <w:szCs w:val="20"/>
          <w:color w:val="auto"/>
        </w:rPr>
      </w:pPr>
      <w:r>
        <w:rPr>
          <w:rFonts w:ascii="Arial" w:cs="Arial" w:eastAsia="Arial" w:hAnsi="Arial"/>
          <w:sz w:val="18"/>
          <w:szCs w:val="18"/>
          <w:color w:val="auto"/>
        </w:rPr>
        <w:t>We conduct our business globally, and as a result we are subject to the effects of global economic conditions and, in particular, market conditions in the communications, media and entertainment industry. In the nine months ended June 30, 2011, customers in North America accounted for 73.9% of our revenue, while customers in Europe and the rest of the world accounted for 12.7% and 13.4%, respectively. Customers in emerging markets accounted for 8.2% of our revenue in the nine months ended June 30, 2011.We maintain development facilities in Brazil, Cyprus, India, Ireland, Israel and the United States.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derive our revenue principally from:</w:t>
      </w:r>
    </w:p>
    <w:p>
      <w:pPr>
        <w:spacing w:after="0" w:line="117" w:lineRule="exact"/>
        <w:rPr>
          <w:sz w:val="20"/>
          <w:szCs w:val="20"/>
          <w:color w:val="auto"/>
        </w:rPr>
      </w:pPr>
    </w:p>
    <w:p>
      <w:pPr>
        <w:jc w:val="center"/>
        <w:ind w:left="5620" w:right="120" w:hanging="5396"/>
        <w:spacing w:after="0" w:line="496" w:lineRule="auto"/>
        <w:tabs>
          <w:tab w:leader="none" w:pos="666"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initial sales of licenses to use our products and related services, including modification, implementation, integration and customization services,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1" w:name="page22"/>
    <w:bookmarkEnd w:id="21"/>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managed services in our domain expertise and other related services, and</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62"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or volume of data processed, depending on the specific contract terms of the managed services arrangement. Typically, managed services contracts are long-term in duration and are not subject to seasonality. Revenue from ongoing support services is recognized as work is performed.</w:t>
      </w:r>
    </w:p>
    <w:p>
      <w:pPr>
        <w:spacing w:after="0" w:line="72"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Maintenance revenue is recognized ratably over the term of the maintenance agreement.</w:t>
      </w:r>
    </w:p>
    <w:p>
      <w:pPr>
        <w:spacing w:after="0" w:line="62" w:lineRule="exact"/>
        <w:rPr>
          <w:sz w:val="20"/>
          <w:szCs w:val="20"/>
          <w:color w:val="auto"/>
        </w:rPr>
      </w:pPr>
    </w:p>
    <w:p>
      <w:pPr>
        <w:ind w:right="160" w:firstLine="215"/>
        <w:spacing w:after="0" w:line="257"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estimations of progress-to-completion, contract revenue, loss contracts and contract costs. Progress in completing such projects may significantly affect our annual and quarterly operating results.</w:t>
      </w:r>
    </w:p>
    <w:p>
      <w:pPr>
        <w:spacing w:after="0" w:line="80"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Revenue from managed services arrangements is included in both license and service revenue and includes comprehensive offerings of software and related services related to the managed services operations, such as IT and infrastructure management, application management and ongoing support, systems modernization and consolidation and business process operations support. Revenue generated in connection with managed services arrangements is a significant part of our business generating substantial long-term revenue streams and cash flow. Revenue from managed arrangements accounted for approximately $384.2 million and $1,138.0 million in the three and nine months ended June 30, 2011, respectively and $368.7 million and $1,049.9 million in the three and nine months ended June 30, 2010, respectively. Revenue from managed services arrangements may fluctuate quarter to quarter as a result of discretionary spending decisions by our customers, such as additional software development. In the initial period of our managed services projects, we generally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70" w:lineRule="exact"/>
        <w:rPr>
          <w:sz w:val="20"/>
          <w:szCs w:val="20"/>
          <w:color w:val="auto"/>
        </w:rPr>
      </w:pPr>
    </w:p>
    <w:p>
      <w:pPr>
        <w:jc w:val="both"/>
        <w:ind w:firstLine="225"/>
        <w:spacing w:after="0" w:line="279" w:lineRule="auto"/>
        <w:rPr>
          <w:sz w:val="20"/>
          <w:szCs w:val="20"/>
          <w:color w:val="auto"/>
        </w:rPr>
      </w:pPr>
      <w:r>
        <w:rPr>
          <w:rFonts w:ascii="Arial" w:cs="Arial" w:eastAsia="Arial" w:hAnsi="Arial"/>
          <w:sz w:val="17"/>
          <w:szCs w:val="17"/>
          <w:color w:val="auto"/>
        </w:rPr>
        <w:t>On June 16, 2011 we entered into a definitive agreement to acquire all of Bridgewater Systems Corporation outstanding common shares for CAD$8.20 per share in cash pursuant to a plan of arrangement that is subject to Bridgewater shareholder approval and customary closing conditions and is expected to occur by the end of our fourth fiscal quarter. Bridgewater is a Canadian publicly held provider of policy management and network control solutions. The transaction is valued at approximately CAD$211 million, or CAD$128 million net of Bridgewater’s cash as of March 31, 2011.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June 2011, the FASB issued guidance to require an entity to present the total of comprehensive income, the components of net income, and the components of other comprehensive income either in a single continuous statement of comprehensive income or in two separate but consecutive statements. The guidance eliminates the option to present the components of other comprehensive income as part of the statement of equity, and will become effective for us beginning January 1, 2012.</w:t>
      </w:r>
    </w:p>
    <w:p>
      <w:pPr>
        <w:spacing w:after="0" w:line="79"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color w:val="auto"/>
        </w:rPr>
        <w:t>In May 2011, the FASB issued guidance to provide a consistent definition of fair value and ensure that the fair value measurement and disclosure requirements are similar between U.S. GAAP and International Financial Reporting Standards. The guidance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22" w:name="page23"/>
    <w:bookmarkEnd w:id="22"/>
    <w:p>
      <w:pPr>
        <w:jc w:val="both"/>
        <w:ind w:right="100"/>
        <w:spacing w:after="0" w:line="342" w:lineRule="auto"/>
        <w:rPr>
          <w:sz w:val="20"/>
          <w:szCs w:val="20"/>
          <w:color w:val="auto"/>
        </w:rPr>
      </w:pPr>
      <w:r>
        <w:rPr>
          <w:rFonts w:ascii="Arial" w:cs="Arial" w:eastAsia="Arial" w:hAnsi="Arial"/>
          <w:sz w:val="16"/>
          <w:szCs w:val="16"/>
          <w:color w:val="auto"/>
        </w:rPr>
        <w:t>changes certain fair value measurement principles and enhances the disclosure requirements particularly for Level 3 fair value measurements, and will become effective for the company beginning January 1, 2012. The adoption of this new guidance will not have a material impact on our financial statements.</w:t>
      </w:r>
    </w:p>
    <w:p>
      <w:pPr>
        <w:spacing w:after="0" w:line="16" w:lineRule="exact"/>
        <w:rPr>
          <w:sz w:val="20"/>
          <w:szCs w:val="20"/>
          <w:color w:val="auto"/>
        </w:rPr>
      </w:pPr>
    </w:p>
    <w:p>
      <w:pPr>
        <w:jc w:val="both"/>
        <w:ind w:right="100" w:firstLine="225"/>
        <w:spacing w:after="0" w:line="286" w:lineRule="auto"/>
        <w:rPr>
          <w:sz w:val="20"/>
          <w:szCs w:val="20"/>
          <w:color w:val="auto"/>
        </w:rPr>
      </w:pPr>
      <w:r>
        <w:rPr>
          <w:rFonts w:ascii="Arial" w:cs="Arial" w:eastAsia="Arial" w:hAnsi="Arial"/>
          <w:sz w:val="17"/>
          <w:szCs w:val="17"/>
          <w:color w:val="auto"/>
        </w:rPr>
        <w:t>In January 2010, the FASB issued guidance to amend the disclosure requirements of fair value measurements. The guidance requires the disclosure on the roll forward activities for assets and liabilities measured using significant unobservable inputs (Level 3 fair value measurements), and will become effective for us beginning October 1, 2011. The adoption of this new guidance will not have a material impact on our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In June 2009, the FASB issued authoritative guidance on the consolidation of variable interest entities, which was effective for us beginning October 1, 2010. The new guidance requires revised evaluations of whether entities represent variable interest entities, ongoing assessments of control over such entities, and additional disclosures for variable interests. The adoption of this new guidance did not have a material impact on our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following table sets forth for the three and nine months ended June 30, 2011 and 2010 certain items in our consolidated statements of income reflected as a percentage of total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w w:val="92"/>
              </w:rPr>
              <w:t>Three months</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4"/>
          </w:tcPr>
          <w:p>
            <w:pPr>
              <w:jc w:val="center"/>
              <w:ind w:right="1020"/>
              <w:spacing w:after="0" w:line="149" w:lineRule="exact"/>
              <w:rPr>
                <w:sz w:val="20"/>
                <w:szCs w:val="20"/>
                <w:color w:val="auto"/>
              </w:rPr>
            </w:pPr>
            <w:r>
              <w:rPr>
                <w:rFonts w:ascii="Arial" w:cs="Arial" w:eastAsia="Arial" w:hAnsi="Arial"/>
                <w:sz w:val="14"/>
                <w:szCs w:val="14"/>
                <w:b w:val="1"/>
                <w:bCs w:val="1"/>
                <w:color w:val="auto"/>
                <w:w w:val="87"/>
              </w:rPr>
              <w:t>ended</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4"/>
          </w:tcPr>
          <w:p>
            <w:pPr>
              <w:jc w:val="center"/>
              <w:ind w:right="104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center"/>
              <w:ind w:right="102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ind w:right="8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2"/>
                <w:szCs w:val="12"/>
                <w:color w:val="auto"/>
              </w:rPr>
            </w:pPr>
          </w:p>
        </w:tc>
        <w:tc>
          <w:tcPr>
            <w:tcW w:w="14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13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License</w:t>
            </w: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3.6%</w:t>
            </w:r>
          </w:p>
        </w:tc>
        <w:tc>
          <w:tcPr>
            <w:tcW w:w="1720" w:type="dxa"/>
            <w:vAlign w:val="bottom"/>
            <w:gridSpan w:val="5"/>
          </w:tcPr>
          <w:p>
            <w:pPr>
              <w:jc w:val="right"/>
              <w:ind w:right="180"/>
              <w:spacing w:after="0"/>
              <w:rPr>
                <w:sz w:val="20"/>
                <w:szCs w:val="20"/>
                <w:color w:val="auto"/>
              </w:rPr>
            </w:pPr>
            <w:r>
              <w:rPr>
                <w:rFonts w:ascii="Arial" w:cs="Arial" w:eastAsia="Arial" w:hAnsi="Arial"/>
                <w:sz w:val="18"/>
                <w:szCs w:val="18"/>
                <w:color w:val="auto"/>
              </w:rPr>
              <w:t>3.4%</w:t>
            </w:r>
          </w:p>
        </w:tc>
        <w:tc>
          <w:tcPr>
            <w:tcW w:w="1380" w:type="dxa"/>
            <w:vAlign w:val="bottom"/>
            <w:gridSpan w:val="4"/>
          </w:tcPr>
          <w:p>
            <w:pPr>
              <w:jc w:val="right"/>
              <w:ind w:right="20"/>
              <w:spacing w:after="0"/>
              <w:rPr>
                <w:sz w:val="20"/>
                <w:szCs w:val="20"/>
                <w:color w:val="auto"/>
              </w:rPr>
            </w:pPr>
            <w:r>
              <w:rPr>
                <w:rFonts w:ascii="Arial" w:cs="Arial" w:eastAsia="Arial" w:hAnsi="Arial"/>
                <w:sz w:val="18"/>
                <w:szCs w:val="18"/>
                <w:color w:val="auto"/>
              </w:rPr>
              <w:t>3.7%</w:t>
            </w:r>
          </w:p>
        </w:tc>
        <w:tc>
          <w:tcPr>
            <w:tcW w:w="1700" w:type="dxa"/>
            <w:vAlign w:val="bottom"/>
            <w:gridSpan w:val="5"/>
          </w:tcPr>
          <w:p>
            <w:pPr>
              <w:jc w:val="right"/>
              <w:ind w:right="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96.4</w:t>
            </w:r>
          </w:p>
        </w:tc>
        <w:tc>
          <w:tcPr>
            <w:tcW w:w="17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96.6</w:t>
            </w: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96.3</w:t>
            </w:r>
          </w:p>
        </w:tc>
        <w:tc>
          <w:tcPr>
            <w:tcW w:w="170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20" w:type="dxa"/>
            <w:vAlign w:val="bottom"/>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140" w:type="dxa"/>
            <w:vAlign w:val="bottom"/>
          </w:tcPr>
          <w:p>
            <w:pPr>
              <w:spacing w:after="0"/>
              <w:rPr>
                <w:sz w:val="20"/>
                <w:szCs w:val="20"/>
                <w:color w:val="auto"/>
              </w:rPr>
            </w:pPr>
          </w:p>
        </w:tc>
        <w:tc>
          <w:tcPr>
            <w:tcW w:w="1000" w:type="dxa"/>
            <w:vAlign w:val="bottom"/>
            <w:gridSpan w:val="3"/>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32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160" w:type="dxa"/>
            <w:vAlign w:val="bottom"/>
          </w:tcPr>
          <w:p>
            <w:pPr>
              <w:spacing w:after="0"/>
              <w:rPr>
                <w:sz w:val="20"/>
                <w:szCs w:val="20"/>
                <w:color w:val="auto"/>
              </w:rPr>
            </w:pPr>
          </w:p>
        </w:tc>
        <w:tc>
          <w:tcPr>
            <w:tcW w:w="980" w:type="dxa"/>
            <w:vAlign w:val="bottom"/>
            <w:gridSpan w:val="3"/>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100.</w:t>
            </w:r>
            <w:r>
              <w:rPr>
                <w:rFonts w:ascii="Arial" w:cs="Arial" w:eastAsia="Arial" w:hAnsi="Arial"/>
                <w:sz w:val="18"/>
                <w:szCs w:val="18"/>
                <w:u w:val="single" w:color="auto"/>
                <w:color w:val="auto"/>
                <w:w w:val="84"/>
              </w:rPr>
              <w:t>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760" w:type="dxa"/>
            <w:vAlign w:val="bottom"/>
            <w:gridSpan w:val="4"/>
          </w:tcPr>
          <w:p>
            <w:pPr>
              <w:jc w:val="right"/>
              <w:ind w:right="140"/>
              <w:spacing w:after="0"/>
              <w:rPr>
                <w:sz w:val="20"/>
                <w:szCs w:val="20"/>
                <w:color w:val="auto"/>
              </w:rPr>
            </w:pPr>
            <w:r>
              <w:rPr>
                <w:rFonts w:ascii="Arial" w:cs="Arial" w:eastAsia="Arial" w:hAnsi="Arial"/>
                <w:sz w:val="18"/>
                <w:szCs w:val="18"/>
                <w:color w:val="auto"/>
              </w:rPr>
              <w:t>0.1</w:t>
            </w:r>
          </w:p>
        </w:tc>
        <w:tc>
          <w:tcPr>
            <w:tcW w:w="1720" w:type="dxa"/>
            <w:vAlign w:val="bottom"/>
            <w:gridSpan w:val="5"/>
          </w:tcPr>
          <w:p>
            <w:pPr>
              <w:jc w:val="right"/>
              <w:ind w:right="320"/>
              <w:spacing w:after="0"/>
              <w:rPr>
                <w:sz w:val="20"/>
                <w:szCs w:val="20"/>
                <w:color w:val="auto"/>
              </w:rPr>
            </w:pPr>
            <w:r>
              <w:rPr>
                <w:rFonts w:ascii="Arial" w:cs="Arial" w:eastAsia="Arial" w:hAnsi="Arial"/>
                <w:sz w:val="18"/>
                <w:szCs w:val="18"/>
                <w:color w:val="auto"/>
              </w:rPr>
              <w:t>0.1</w:t>
            </w:r>
          </w:p>
        </w:tc>
        <w:tc>
          <w:tcPr>
            <w:tcW w:w="1380" w:type="dxa"/>
            <w:vAlign w:val="bottom"/>
            <w:gridSpan w:val="4"/>
          </w:tcPr>
          <w:p>
            <w:pPr>
              <w:jc w:val="right"/>
              <w:ind w:right="160"/>
              <w:spacing w:after="0"/>
              <w:rPr>
                <w:sz w:val="20"/>
                <w:szCs w:val="20"/>
                <w:color w:val="auto"/>
              </w:rPr>
            </w:pPr>
            <w:r>
              <w:rPr>
                <w:rFonts w:ascii="Arial" w:cs="Arial" w:eastAsia="Arial" w:hAnsi="Arial"/>
                <w:sz w:val="18"/>
                <w:szCs w:val="18"/>
                <w:color w:val="auto"/>
              </w:rPr>
              <w:t>0.1</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65.0</w:t>
            </w:r>
          </w:p>
        </w:tc>
        <w:tc>
          <w:tcPr>
            <w:tcW w:w="17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63.7</w:t>
            </w: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65.2</w:t>
            </w:r>
          </w:p>
        </w:tc>
        <w:tc>
          <w:tcPr>
            <w:tcW w:w="170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760" w:type="dxa"/>
            <w:vAlign w:val="bottom"/>
            <w:gridSpan w:val="4"/>
          </w:tcPr>
          <w:p>
            <w:pPr>
              <w:jc w:val="right"/>
              <w:ind w:right="140"/>
              <w:spacing w:after="0"/>
              <w:rPr>
                <w:sz w:val="20"/>
                <w:szCs w:val="20"/>
                <w:color w:val="auto"/>
              </w:rPr>
            </w:pPr>
            <w:r>
              <w:rPr>
                <w:rFonts w:ascii="Arial" w:cs="Arial" w:eastAsia="Arial" w:hAnsi="Arial"/>
                <w:sz w:val="18"/>
                <w:szCs w:val="18"/>
                <w:color w:val="auto"/>
              </w:rPr>
              <w:t>6.8</w:t>
            </w:r>
          </w:p>
        </w:tc>
        <w:tc>
          <w:tcPr>
            <w:tcW w:w="1720" w:type="dxa"/>
            <w:vAlign w:val="bottom"/>
            <w:gridSpan w:val="5"/>
          </w:tcPr>
          <w:p>
            <w:pPr>
              <w:jc w:val="right"/>
              <w:ind w:right="320"/>
              <w:spacing w:after="0"/>
              <w:rPr>
                <w:sz w:val="20"/>
                <w:szCs w:val="20"/>
                <w:color w:val="auto"/>
              </w:rPr>
            </w:pPr>
            <w:r>
              <w:rPr>
                <w:rFonts w:ascii="Arial" w:cs="Arial" w:eastAsia="Arial" w:hAnsi="Arial"/>
                <w:sz w:val="18"/>
                <w:szCs w:val="18"/>
                <w:color w:val="auto"/>
              </w:rPr>
              <w:t>6.9</w:t>
            </w:r>
          </w:p>
        </w:tc>
        <w:tc>
          <w:tcPr>
            <w:tcW w:w="1380" w:type="dxa"/>
            <w:vAlign w:val="bottom"/>
            <w:gridSpan w:val="4"/>
          </w:tcPr>
          <w:p>
            <w:pPr>
              <w:jc w:val="right"/>
              <w:ind w:right="160"/>
              <w:spacing w:after="0"/>
              <w:rPr>
                <w:sz w:val="20"/>
                <w:szCs w:val="20"/>
                <w:color w:val="auto"/>
              </w:rPr>
            </w:pPr>
            <w:r>
              <w:rPr>
                <w:rFonts w:ascii="Arial" w:cs="Arial" w:eastAsia="Arial" w:hAnsi="Arial"/>
                <w:sz w:val="18"/>
                <w:szCs w:val="18"/>
                <w:color w:val="auto"/>
              </w:rPr>
              <w:t>6.9</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17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170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22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1000" w:type="dxa"/>
            <w:vAlign w:val="bottom"/>
            <w:gridSpan w:val="3"/>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980" w:type="dxa"/>
            <w:vAlign w:val="bottom"/>
            <w:gridSpan w:val="3"/>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86.8</w:t>
            </w:r>
          </w:p>
        </w:tc>
        <w:tc>
          <w:tcPr>
            <w:tcW w:w="17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86.0</w:t>
            </w: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87.3</w:t>
            </w:r>
          </w:p>
        </w:tc>
        <w:tc>
          <w:tcPr>
            <w:tcW w:w="170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122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1000" w:type="dxa"/>
            <w:vAlign w:val="bottom"/>
            <w:gridSpan w:val="3"/>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980" w:type="dxa"/>
            <w:vAlign w:val="bottom"/>
            <w:gridSpan w:val="3"/>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expense, net</w:t>
            </w:r>
          </w:p>
        </w:tc>
        <w:tc>
          <w:tcPr>
            <w:tcW w:w="17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72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122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1000" w:type="dxa"/>
            <w:vAlign w:val="bottom"/>
            <w:gridSpan w:val="3"/>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9"/>
                <w:szCs w:val="19"/>
                <w:color w:val="auto"/>
              </w:rPr>
            </w:pPr>
          </w:p>
        </w:tc>
        <w:tc>
          <w:tcPr>
            <w:tcW w:w="980" w:type="dxa"/>
            <w:vAlign w:val="bottom"/>
            <w:gridSpan w:val="3"/>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220" w:type="dxa"/>
            <w:vAlign w:val="bottom"/>
            <w:gridSpan w:val="2"/>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1000" w:type="dxa"/>
            <w:vAlign w:val="bottom"/>
            <w:gridSpan w:val="3"/>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820" w:type="dxa"/>
            <w:vAlign w:val="bottom"/>
            <w:gridSpan w:val="2"/>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980" w:type="dxa"/>
            <w:vAlign w:val="bottom"/>
            <w:gridSpan w:val="3"/>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20" w:type="dxa"/>
            <w:vAlign w:val="bottom"/>
            <w:gridSpan w:val="2"/>
            <w:vMerge w:val="restart"/>
          </w:tcPr>
          <w:p>
            <w:pPr>
              <w:jc w:val="right"/>
              <w:ind w:right="208"/>
              <w:spacing w:after="0"/>
              <w:rPr>
                <w:sz w:val="20"/>
                <w:szCs w:val="20"/>
                <w:color w:val="auto"/>
              </w:rPr>
            </w:pPr>
            <w:r>
              <w:rPr>
                <w:rFonts w:ascii="Arial" w:cs="Arial" w:eastAsia="Arial" w:hAnsi="Arial"/>
                <w:sz w:val="18"/>
                <w:szCs w:val="18"/>
                <w:color w:val="auto"/>
              </w:rPr>
              <w:t>23</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Nine Months Ended June 30, 2011 and 2010</w:t>
      </w:r>
    </w:p>
    <w:p>
      <w:pPr>
        <w:spacing w:after="0" w:line="121"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nine months ended June 30, 2011 compared to the nine months ended June 30, 2010. Following the table is a discussion and analysis of our business and results of operations for such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89"/>
              </w:rPr>
              <w:t>Increase (Decrease)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4"/>
                <w:szCs w:val="14"/>
                <w:b w:val="1"/>
                <w:bCs w:val="1"/>
                <w:color w:val="auto"/>
                <w:w w:val="96"/>
              </w:rPr>
              <w:t>June 30,</w:t>
            </w:r>
          </w:p>
        </w:tc>
        <w:tc>
          <w:tcPr>
            <w:tcW w:w="7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87,694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75,691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12,003</w:t>
            </w:r>
          </w:p>
        </w:tc>
        <w:tc>
          <w:tcPr>
            <w:tcW w:w="2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2,277,831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2,146,338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131,493</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2,365,525</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2,222,029</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143,496</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1,528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1,646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1,542,489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1,417,729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124,760</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162,942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153,549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9,393</w:t>
            </w:r>
          </w:p>
        </w:tc>
        <w:tc>
          <w:tcPr>
            <w:tcW w:w="2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305,736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277,054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28,682</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53,018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64,506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(11,488)</w:t>
            </w:r>
          </w:p>
        </w:tc>
        <w:tc>
          <w:tcPr>
            <w:tcW w:w="2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2,065,713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1,914,484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151,229</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299,812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307,545</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(7,733)</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(23,992)</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(88.1)</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296,560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280,301</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16,259</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37,274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6,141</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259,286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249,168</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10,118</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increased by $143.5 million, or 6.5%, to $2,365.5 million in the nine months ended June 30, 2011, from $2,222.0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June 30, 2010. The increase in revenue was primarily attributable to revenue related to existing and new managed services arrangements and to a lesser extent to revenue related to implementation and integration projects.</w:t>
      </w:r>
    </w:p>
    <w:p>
      <w:pPr>
        <w:spacing w:after="0" w:line="73" w:lineRule="exact"/>
        <w:rPr>
          <w:sz w:val="20"/>
          <w:szCs w:val="20"/>
          <w:color w:val="auto"/>
        </w:rPr>
      </w:pPr>
    </w:p>
    <w:p>
      <w:pPr>
        <w:ind w:right="320" w:firstLine="225"/>
        <w:spacing w:after="0" w:line="308" w:lineRule="auto"/>
        <w:rPr>
          <w:sz w:val="20"/>
          <w:szCs w:val="20"/>
          <w:color w:val="auto"/>
        </w:rPr>
      </w:pPr>
      <w:r>
        <w:rPr>
          <w:rFonts w:ascii="Arial" w:cs="Arial" w:eastAsia="Arial" w:hAnsi="Arial"/>
          <w:sz w:val="17"/>
          <w:szCs w:val="17"/>
          <w:color w:val="auto"/>
        </w:rPr>
        <w:t>License revenue in the nine months ended June 30, 2011 increased by $12.0 million, or 15.9%, to $87.7 million, from $75.7 million in the nine months ended June 30, 2010. The increase in license revenue was primarily attributable to new implementation and integration projects.</w:t>
      </w:r>
    </w:p>
    <w:p>
      <w:pPr>
        <w:spacing w:after="0" w:line="38" w:lineRule="exact"/>
        <w:rPr>
          <w:sz w:val="20"/>
          <w:szCs w:val="20"/>
          <w:color w:val="auto"/>
        </w:rPr>
      </w:pPr>
    </w:p>
    <w:p>
      <w:pPr>
        <w:jc w:val="both"/>
        <w:ind w:right="140" w:firstLine="225"/>
        <w:spacing w:after="0" w:line="257" w:lineRule="auto"/>
        <w:rPr>
          <w:sz w:val="20"/>
          <w:szCs w:val="20"/>
          <w:color w:val="auto"/>
        </w:rPr>
      </w:pPr>
      <w:r>
        <w:rPr>
          <w:rFonts w:ascii="Arial" w:cs="Arial" w:eastAsia="Arial" w:hAnsi="Arial"/>
          <w:sz w:val="18"/>
          <w:szCs w:val="18"/>
          <w:color w:val="auto"/>
        </w:rPr>
        <w:t>License and service revenue attributable to the sale of customer experience systems increased by $153.3 million, or 7.4%, to $2,213.7 million in the nine months ended June 30, 2011, from $2,060.4 million, in the nine months ended June 30, 2010. The increase in revenue was primarily attributable to revenue related to existing and new managed services arrangements, and to a lesser extent to revenue related to implementation and integration projects. License and service revenue resulting from the sale of customer experience systems represented 93.6% and 92.7% of our total revenue in the nine months ended June 30, 2011 and 2010, respectively.</w:t>
      </w:r>
    </w:p>
    <w:p>
      <w:pPr>
        <w:spacing w:after="0" w:line="80"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License and service revenue attributable to the sale of directory systems decreased by $9.8 million, or 6.1%, to $151.8 million in the nine months ended June 30, 2011, from $161.6 million in the nine months ended June 30, 2010. The decrease was primarily attributable to a decrease in revenue from existing customers. License and service revenue from the sale of directory systems represented 6.4% and 7.3% of our total revenue in the nine months ended June 30, 2011 and 2010, respectively.</w:t>
      </w:r>
    </w:p>
    <w:p>
      <w:pPr>
        <w:spacing w:after="0" w:line="79" w:lineRule="exact"/>
        <w:rPr>
          <w:sz w:val="20"/>
          <w:szCs w:val="20"/>
          <w:color w:val="auto"/>
        </w:rPr>
      </w:pPr>
    </w:p>
    <w:p>
      <w:pPr>
        <w:ind w:right="80" w:firstLine="225"/>
        <w:spacing w:after="0" w:line="293" w:lineRule="auto"/>
        <w:rPr>
          <w:sz w:val="20"/>
          <w:szCs w:val="20"/>
          <w:color w:val="auto"/>
        </w:rPr>
      </w:pPr>
      <w:r>
        <w:rPr>
          <w:rFonts w:ascii="Arial" w:cs="Arial" w:eastAsia="Arial" w:hAnsi="Arial"/>
          <w:sz w:val="16"/>
          <w:szCs w:val="16"/>
          <w:color w:val="auto"/>
        </w:rPr>
        <w:t>In the nine months ended June 30, 2011, revenue from customers in North America, Europe and the rest of the world accounted for 73.9%, 12.7% and 13.4%, respectively, of total revenue compared to 76.2%, 11.8% and 12.0%, respectively, in the nine months ended June 30, 2010. The increase in revenue as a percentage of total revenue from customers in Europe and the rest of the world, of which a significant portion was from emerging markets, was primarily attributable to revenue related to new implementation and integration projects. Although revenue from North American customers increased during the first nine months of fiscal 2011, our revenue growth rate in Europe and the rest of the world was greater than the growth rate we experienced in North America which resulted in a decrease in revenue from customers in North America as a percentage of total revenue.</w:t>
      </w:r>
    </w:p>
    <w:p>
      <w:pPr>
        <w:spacing w:after="0" w:line="57"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b w:val="1"/>
          <w:bCs w:val="1"/>
          <w:i w:val="1"/>
          <w:iCs w:val="1"/>
          <w:color w:val="auto"/>
        </w:rPr>
        <w:t xml:space="preserve">Cost of License and Service. </w:t>
      </w:r>
      <w:r>
        <w:rPr>
          <w:rFonts w:ascii="Arial" w:cs="Arial" w:eastAsia="Arial" w:hAnsi="Arial"/>
          <w:sz w:val="18"/>
          <w:szCs w:val="18"/>
          <w:color w:val="auto"/>
        </w:rPr>
        <w:t>Cost of license includes fee and royalty payments to software suppliers. Cost of service consists primarily of costs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providing services to customers, including compensation expense and costs of third-party products. The increase in cost of license and service in the nine months ended June 30, 2011 was $124.6 million, or 8.8%. As a percentage of revenue, cost of license and service was 65.3% in the nine months ended June 30, 2011, compared to 63.9% in the nine months ended June 30,</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4" w:name="page25"/>
    <w:bookmarkEnd w:id="24"/>
    <w:p>
      <w:pPr>
        <w:ind w:right="360"/>
        <w:spacing w:after="0" w:line="277" w:lineRule="auto"/>
        <w:rPr>
          <w:sz w:val="20"/>
          <w:szCs w:val="20"/>
          <w:color w:val="auto"/>
        </w:rPr>
      </w:pPr>
      <w:r>
        <w:rPr>
          <w:rFonts w:ascii="Arial" w:cs="Arial" w:eastAsia="Arial" w:hAnsi="Arial"/>
          <w:sz w:val="18"/>
          <w:szCs w:val="18"/>
          <w:color w:val="auto"/>
        </w:rPr>
        <w:t>2010. The increase in our cost of license and services a percentage of revenue was primarily attributable to investment in internal training and knowledge building programs for our employees, as well as several key customer implementations that required incremental spending.</w:t>
      </w:r>
    </w:p>
    <w:p>
      <w:pPr>
        <w:spacing w:after="0" w:line="62"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Research and development expense is primarily comprised of compensation expense. Research and development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by $9.4 million, or 6.1%, to $162.9 million in the nine months ended June 30, 2011, from $153.5 million in the nine months ended June 30, 2010. The increase in research and development expense is primarily attributable to a full nine months of research and development activities of companies acquired during fiscal 2010. Research and development expense as a percentage of revenue was 6.9% in the nine months ended June 30, 2011 and 2010.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70"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b w:val="1"/>
          <w:bCs w:val="1"/>
          <w:i w:val="1"/>
          <w:iCs w:val="1"/>
          <w:color w:val="auto"/>
        </w:rPr>
        <w:t xml:space="preserve">Selling, General and Administrative. </w:t>
      </w:r>
      <w:r>
        <w:rPr>
          <w:rFonts w:ascii="Arial" w:cs="Arial" w:eastAsia="Arial" w:hAnsi="Arial"/>
          <w:sz w:val="17"/>
          <w:szCs w:val="17"/>
          <w:color w:val="auto"/>
        </w:rPr>
        <w:t>Selling, general and administrative expense increased by $28.7 million, or 10.4%, to $305.7 million in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2011, from $277.1 million in the nine months ended June 30, 2010. Selling, general and administrative expense is primarily comprised of compensation expense. The increase in selling, general and administrative expense was primarily attributable to increased selling efforts, a significant portion of which were in emerging markets and in Europe, as well as to an increase in accounts receivable allowances.</w:t>
      </w:r>
    </w:p>
    <w:p>
      <w:pPr>
        <w:spacing w:after="0" w:line="63"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b w:val="1"/>
          <w:bCs w:val="1"/>
          <w:i w:val="1"/>
          <w:iCs w:val="1"/>
          <w:color w:val="auto"/>
        </w:rPr>
        <w:t>Amortization of Purchased Intangible Assets and Other</w:t>
      </w:r>
      <w:r>
        <w:rPr>
          <w:rFonts w:ascii="Arial" w:cs="Arial" w:eastAsia="Arial" w:hAnsi="Arial"/>
          <w:sz w:val="18"/>
          <w:szCs w:val="18"/>
          <w:color w:val="auto"/>
        </w:rPr>
        <w:t>. Amortization of purchased intangible assets and other in the nine months ended June 30,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decreased by $11.5 million to $53.0 million from $64.5 million in the nine months ended June 30, 2010. The decrease in amortization of purchased intangible assets and other was primarily due to purchased intangible assets that were fully amortized in prior periods, as well as to the timing of amortization charges resulting from the use of accelerated amortization methods for certain intangible assets purchased in prior periods, partially offset by amortization of intangible assets related to small acquisitions in fiscal 2010.</w:t>
      </w:r>
    </w:p>
    <w:p>
      <w:pPr>
        <w:spacing w:after="0" w:line="8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decreased by $7.7 million, or 2.5%, to $299.8 million, or 12.7% of revenue, in the nine months ended June 30, 2011,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$307.5 million, or 13.8% of revenue, in the nine months ended June 30, 2010. The decrease in operating income as a percentage of revenue was primarily attributable to the increase of cost of service and selling, general and administrative expense, which was higher than the increase in revenue, partially offset by the decrease in amortization of purchased intangible assets and other.</w:t>
      </w:r>
    </w:p>
    <w:p>
      <w:pPr>
        <w:spacing w:after="0" w:line="79"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decreased by $24.0 million to $3.3 million in the nine months ended June 30, 2011,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$27.2 million in the nine months ended June 30, 2010. The decrease was primarily attributable to a loss in the prior periods from divestiture of a Chinese subsidiary in which a majority interest was sold in April 2010.</w:t>
      </w:r>
    </w:p>
    <w:p>
      <w:pPr>
        <w:spacing w:after="0" w:line="73"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nine months ended June 30, 2011 were $37.3 million on pretax income of $296.6 million, resulting in an effective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of 12.6%, compared to 11.1% in the nine months ended June 30, 2010. Our effective tax rate may fluctuate between quarters as a result of discrete items that may affect a specific quarter.</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$259.3 million in the nine months ended June 30, 2011, compared to $249.2 million in the nine months ended June 30, 2010.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increase in net income was attributable mainly to the decrease in interest and other expense, net, partially offset by decrease in operating income and increase in income tax expense.</w:t>
      </w:r>
    </w:p>
    <w:p>
      <w:pPr>
        <w:spacing w:after="0" w:line="7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$0.16, or 13.2%, to $1.37 in the nine months ended June 30, 2011, from $1.21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June 30, 2010. The increase in diluted earnings per share resulted primarily from the decrease in diluted weighted average numbers of shares outstanding as a result of repurchase of our ordinary shares, as well as the increase in net income. Please see Note 10 to our unaudited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Three Months Ended June 30, 2011 and 2010</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following is a tabular presentation of our results of operations for the three months ended June 30, 2011 compared to the three months ended June 30, 2010. Following the table is a discussion and analysis of our business and results of operations for such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w w:val="89"/>
              </w:rPr>
              <w:t>Increase (Decrease)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99"/>
              </w:rPr>
              <w:t>June 30,</w:t>
            </w: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License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29,093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25,592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3,501</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772,316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727,657</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44,659</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801,409</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753,249</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48,160</w:t>
            </w: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459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521,113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480,074</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41,039</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54,414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52,253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2,161</w:t>
            </w:r>
          </w:p>
        </w:tc>
        <w:tc>
          <w:tcPr>
            <w:tcW w:w="2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102,315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93,446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8,869</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17,265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21,748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(4,483)</w:t>
            </w:r>
          </w:p>
        </w:tc>
        <w:tc>
          <w:tcPr>
            <w:tcW w:w="2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695,737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647,980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47,757</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105,672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105,269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403</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(3,584)</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(95.1)</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105,488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101,501</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3,987</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13,703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4,467</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91,785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92,265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Total revenue increased by $48.2 million, or 6.4%, to $801.4 million in the three months ended June 30, 2011, from $753.2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2010. The increase in revenue was primarily attributable to revenue related to implementation and integration projects and to a lesser extent to revenue related to managed services arrangements.</w:t>
      </w:r>
    </w:p>
    <w:p>
      <w:pPr>
        <w:spacing w:after="0" w:line="73"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License revenue increased by $3.5 million, or 13.7%, to $29.1 million in the three months ended June 30, 2011, from $25.6 million in the three months ended June 30, 2010.</w:t>
      </w:r>
    </w:p>
    <w:p>
      <w:pPr>
        <w:spacing w:after="0" w:line="62"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License and service revenue attributable to the sale of customer experience systems was $751.1 million in the three months ended June 30, 2011, an increase of $58.1 million, or 8.4%, over the three months ended June 30, 2010. The increase was primarily attributable to revenue related to implementation and integration projects and to a lesser extent to revenue related to managed service arrangements. License and service revenue resulted from the sale of customer experience systems represented 93.7% and 92.0% of our total revenue in the three months ended June 30, 2011 and 2010, respectively.</w:t>
      </w:r>
    </w:p>
    <w:p>
      <w:pPr>
        <w:spacing w:after="0" w:line="46"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License and service revenue from the sale of directory systems was $50.3 million in the three months ended June 30, 2011, a decrease of $9.9 million, or 16.4%, as compared to the three months ended June 30, 2010. The decrease was primarily attributable to a decrease in revenue from existing customers. License and service revenue from the sale of directory systems represented 6.3% and 8.0% of our total revenue in the three months ended June 30, 2011 and 2010, respectively.</w:t>
      </w:r>
    </w:p>
    <w:p>
      <w:pPr>
        <w:spacing w:after="0" w:line="79"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In the three months ended June 30, 2011, revenue from customers in North America, Europe and the rest of the world accounted for 73.0%, 13.2% and 13.8%, respectively, of total revenue compared to 76.0%,10.7% and 13.3%, respectively, in the three months ended June 30, 2010. The increase in revenue from customers in Europe as a percentage of total revenue was primarily attributable to revenue related to new implementation and integration projects and to managed services arrangements. The increase in revenue from customers in the rest of the world, of which a significant portion was from emerging markets, was primarily attributable to revenue related to new implementation and integration projects. Although revenue from North American customers increased during the third quarter of fiscal 2011, our revenue growth rate in Europe and the rest of the world was greater than the growth rate we experienced in North America which resulted in a decrease in revenue from customers in North America as a percentage of total revenue.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6" w:name="page27"/>
    <w:bookmarkEnd w:id="26"/>
    <w:p>
      <w:pPr>
        <w:ind w:right="20" w:firstLine="225"/>
        <w:spacing w:after="0" w:line="255" w:lineRule="auto"/>
        <w:rPr>
          <w:sz w:val="20"/>
          <w:szCs w:val="20"/>
          <w:color w:val="auto"/>
        </w:rPr>
      </w:pPr>
      <w:r>
        <w:rPr>
          <w:rFonts w:ascii="Arial" w:cs="Arial" w:eastAsia="Arial" w:hAnsi="Arial"/>
          <w:sz w:val="18"/>
          <w:szCs w:val="18"/>
          <w:b w:val="1"/>
          <w:bCs w:val="1"/>
          <w:i w:val="1"/>
          <w:iCs w:val="1"/>
          <w:color w:val="auto"/>
        </w:rPr>
        <w:t>Cost of License and Service</w:t>
      </w:r>
      <w:r>
        <w:rPr>
          <w:rFonts w:ascii="Arial" w:cs="Arial" w:eastAsia="Arial" w:hAnsi="Arial"/>
          <w:sz w:val="18"/>
          <w:szCs w:val="18"/>
          <w:color w:val="auto"/>
        </w:rPr>
        <w:t>. Cost of license includes fee and royalty payments to software suppliers. Cost of service consists primarily of costs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providing services to customers, including compensation expense and costs of third-party products. The increase in cost of license and service in the three months ended June 30, 2011 was $41.2 million, or 8.6%. As a percentage of revenue, cost of license and service was 65.1% in the three months ended June 30, 2011, compared to 63.8% in the three months ended June 30, 2010. The increase in our cost of license and services was primarily attributable to investment in internal training and knowledge building programs for our employees, as well as several key customer implementations that required incremental spending.</w:t>
      </w:r>
    </w:p>
    <w:p>
      <w:pPr>
        <w:spacing w:after="0" w:line="85"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b w:val="1"/>
          <w:bCs w:val="1"/>
          <w:i w:val="1"/>
          <w:iCs w:val="1"/>
          <w:color w:val="auto"/>
        </w:rPr>
        <w:t>Research and Development</w:t>
      </w:r>
      <w:r>
        <w:rPr>
          <w:rFonts w:ascii="Arial" w:cs="Arial" w:eastAsia="Arial" w:hAnsi="Arial"/>
          <w:sz w:val="17"/>
          <w:szCs w:val="17"/>
          <w:color w:val="auto"/>
        </w:rPr>
        <w:t>. Research and development expense is primarily comprised of compensation expense. Research and development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by $2.1 million, or 4.1%, in the three months ended June 30, 2011 to $54.4 million from $52.3 million in the three months ended June 30, 2010. Research and development expense as a percentage of revenue was 6.8% in the three months ended June 30, 2011 and 6.9% in the three months ended June 30, 2010.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w:t>
      </w:r>
    </w:p>
    <w:p>
      <w:pPr>
        <w:spacing w:after="0" w:line="7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color w:val="auto"/>
        </w:rPr>
        <w:t>. Selling, general and administrative expense increased by $8.9 million, or 9.5%, to $102.3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2011, from $93.4 million in the three months ended June 30, 2010. Selling, general and administrative expense is primarily comprised of compensation expense. The increase in selling, general and administrative expense, was primarily attributable to selling and marketing efforts, a significant portion of which were in emerging markets and in Europe.</w:t>
      </w:r>
    </w:p>
    <w:p>
      <w:pPr>
        <w:spacing w:after="0" w:line="79"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b w:val="1"/>
          <w:bCs w:val="1"/>
          <w:i w:val="1"/>
          <w:iCs w:val="1"/>
          <w:color w:val="auto"/>
        </w:rPr>
        <w:t>Amortization of Purchased Intangible Assets and Other</w:t>
      </w:r>
      <w:r>
        <w:rPr>
          <w:rFonts w:ascii="Arial" w:cs="Arial" w:eastAsia="Arial" w:hAnsi="Arial"/>
          <w:sz w:val="17"/>
          <w:szCs w:val="17"/>
          <w:color w:val="auto"/>
        </w:rPr>
        <w:t>. Amortization of purchased intangible assets and other in the three months ended June 30, 2011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by $4.5 million to $17.3 million, from $21.7 million in the three months ended June 30, 2010. The decrease in amortization of purchased intangible assets and other was primarily due to purchased intangible assets that were fully amortized in prior periods, as well as to the timing of amortization charges resulting from the use of accelerated amortization methods for certain intangible assets purchased in prior periods.</w:t>
      </w:r>
    </w:p>
    <w:p>
      <w:pPr>
        <w:spacing w:after="0" w:line="63" w:lineRule="exact"/>
        <w:rPr>
          <w:sz w:val="20"/>
          <w:szCs w:val="20"/>
          <w:color w:val="auto"/>
        </w:rPr>
      </w:pPr>
    </w:p>
    <w:p>
      <w:pPr>
        <w:ind w:right="240" w:firstLine="225"/>
        <w:spacing w:after="0" w:line="259"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increased by $0.4 million, or 0.4%, in the three months ended June 30, 2011, to $105.7 million, or 13.2%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$105.3 million, or 14.0% of revenue, in the three months ended June 30, 2010. The decrease in operating income as a percentage of revenue was primarily attributable to the increase of cost of service and selling, general and administrative expense, which was higher than the increase in revenue, partially offset by the decrease in amortization of purchased intangible assets and other.</w:t>
      </w:r>
    </w:p>
    <w:p>
      <w:pPr>
        <w:spacing w:after="0" w:line="79"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b w:val="1"/>
          <w:bCs w:val="1"/>
          <w:i w:val="1"/>
          <w:iCs w:val="1"/>
          <w:color w:val="auto"/>
        </w:rPr>
        <w:t xml:space="preserve">Interest and other Expense, Net. </w:t>
      </w:r>
      <w:r>
        <w:rPr>
          <w:rFonts w:ascii="Arial" w:cs="Arial" w:eastAsia="Arial" w:hAnsi="Arial"/>
          <w:sz w:val="17"/>
          <w:szCs w:val="17"/>
          <w:color w:val="auto"/>
        </w:rPr>
        <w:t>Interest and other expense, net decreased by $3.6 million in the three months ended June 30, 2011 to $0.2 million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$3.8 million in the three months ended June 30, 2010. The decrease in interest and other expense, net, is primarily attributable to foreign exchange impacts, as well as to a loss in the prior period from divestiture of a Chinese subsidiary in which a majority interest was sold in April 2010.</w:t>
      </w:r>
    </w:p>
    <w:p>
      <w:pPr>
        <w:spacing w:after="0" w:line="5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the three months ended June 30, 2011 were $13.7 million on pretax income of $105.5 million, resulting in an effective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 of 13.0%, compared to 9.1% in the three months ended June 30, 2010. Our effective tax rate may fluctuate between quarters as a result of discrete items that may affect a specific quarter.</w:t>
      </w:r>
    </w:p>
    <w:p>
      <w:pPr>
        <w:spacing w:after="0" w:line="73"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$0.5 million, or 0.5%, in the three months ended June 30, 2011 to $91.8 million from $92.3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2010.</w:t>
      </w:r>
    </w:p>
    <w:p>
      <w:pPr>
        <w:spacing w:after="0" w:line="62"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b w:val="1"/>
          <w:bCs w:val="1"/>
          <w:i w:val="1"/>
          <w:iCs w:val="1"/>
          <w:color w:val="auto"/>
        </w:rPr>
        <w:t xml:space="preserve">Diluted Earnings Per Share. </w:t>
      </w:r>
      <w:r>
        <w:rPr>
          <w:rFonts w:ascii="Arial" w:cs="Arial" w:eastAsia="Arial" w:hAnsi="Arial"/>
          <w:sz w:val="18"/>
          <w:szCs w:val="18"/>
          <w:color w:val="auto"/>
        </w:rPr>
        <w:t>Diluted earnings per share increased by $0.05, or 11.1% to $0.50 in the three months ended June 30, 2011, from $0.45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2010. The increase in diluted earnings per share resulted primarily from the decrease in diluted weighted average numbers of shares outstanding. Please see Note 10 to our unaudited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Cash, cash equivalents and short-term interest-bearing investments totaled $1.13 billion as of June 30, 2011, compared to $1.43 billion as of September 30, 2010. The decrease as of June 30, 2011 was mainly attributable to $431.8 million used to repurchase our ordinary shares pursuant to our share repurchase program, $200.0 million in payments under financing arrangements, and $80.0 million for capital expenditures, net, partially offset by $387.9 million in positive cash flow from operations. Net cash provided by operating activities amounted to $387.9 million and $537.6 million for the nine months ended June 30, 2011 and 2010, respectively.</w:t>
      </w:r>
    </w:p>
    <w:p>
      <w:pPr>
        <w:spacing w:after="0" w:line="80"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Our policy is to retain substantial cash balances in order to support our growth. We believe that our current cash balances, cash generated from operations and our current lines of credit will provide sufficient resources to meet our operational needs for at least the next fiscal year.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8" w:name="page29"/>
    <w:bookmarkEnd w:id="28"/>
    <w:p>
      <w:pPr>
        <w:ind w:firstLine="225"/>
        <w:spacing w:after="0" w:line="271" w:lineRule="auto"/>
        <w:rPr>
          <w:sz w:val="20"/>
          <w:szCs w:val="20"/>
          <w:color w:val="auto"/>
        </w:rPr>
      </w:pPr>
      <w:r>
        <w:rPr>
          <w:rFonts w:ascii="Arial" w:cs="Arial" w:eastAsia="Arial" w:hAnsi="Arial"/>
          <w:sz w:val="17"/>
          <w:szCs w:val="17"/>
          <w:color w:val="auto"/>
        </w:rPr>
        <w:t>Our interest-bearing investments are classified as available-for-sale securities. Unrealized gains or losses are reported as a separate component of accumulated other comprehensive income, net of tax. Such interest-bearing investments consist primarily of money market funds, U.S. government treasuries, U.S. agency securities, government guaranteed debt and corporate bonds. We believe we have conservative investment policy guidelines. Our interest-bearing investments are stated at fair value. Our interest-bearing investments are priced by pricing vendors and are classified as Level 1 or Level 2 investments, since these vendors either provide a quoted market price in an active market or use observable inputs. During the three and nine months ended June 30, 2011 and 2010, we recognized an immaterial credit loss. As of June 30, 2011, unrealized losses of $0.6 million related to securities for which credit losses were recognized and that are considered other-than-temporarily impaired securities, were included in accumulated other comprehensive income. Please see Notes 4 and 5 to the unaudited consolidated financial statements.</w:t>
      </w:r>
    </w:p>
    <w:p>
      <w:pPr>
        <w:spacing w:after="0" w:line="7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November 2007, we entered into an unsecured $500.0 million five-year revolving credit facility with a syndicate of banks, which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In September 2010, we borrowed an aggregate of $200.0 million under the facility and repaid it in October 2010. As of June 30, 2011, we were in compliance with the financial covenants under the revolving credit facility and had no outstanding borrowings under this facility.</w:t>
      </w:r>
    </w:p>
    <w:p>
      <w:pPr>
        <w:spacing w:after="0" w:line="50" w:lineRule="exact"/>
        <w:rPr>
          <w:sz w:val="20"/>
          <w:szCs w:val="20"/>
          <w:color w:val="auto"/>
        </w:rPr>
      </w:pPr>
    </w:p>
    <w:p>
      <w:pPr>
        <w:ind w:right="40" w:firstLine="215"/>
        <w:spacing w:after="0" w:line="342" w:lineRule="auto"/>
        <w:rPr>
          <w:sz w:val="20"/>
          <w:szCs w:val="20"/>
          <w:color w:val="auto"/>
        </w:rPr>
      </w:pPr>
      <w:r>
        <w:rPr>
          <w:rFonts w:ascii="Arial" w:cs="Arial" w:eastAsia="Arial" w:hAnsi="Arial"/>
          <w:sz w:val="16"/>
          <w:szCs w:val="16"/>
          <w:color w:val="auto"/>
        </w:rPr>
        <w:t>As of June 30, 2011, we had outstanding letters of credit and bank guarantees from various banks totaling $45.1 million. As of June 30, 2011, we had outstanding obligations of $1.3 million in connection with leasing arrangements and $1.0 million principal amount of convertible notes remained outstanding.</w:t>
      </w:r>
    </w:p>
    <w:p>
      <w:pPr>
        <w:spacing w:after="0" w:line="16" w:lineRule="exact"/>
        <w:rPr>
          <w:sz w:val="20"/>
          <w:szCs w:val="20"/>
          <w:color w:val="auto"/>
        </w:rPr>
      </w:pPr>
    </w:p>
    <w:p>
      <w:pPr>
        <w:ind w:right="100" w:firstLine="222"/>
        <w:spacing w:after="0" w:line="259" w:lineRule="auto"/>
        <w:rPr>
          <w:sz w:val="20"/>
          <w:szCs w:val="20"/>
          <w:color w:val="auto"/>
        </w:rPr>
      </w:pPr>
      <w:r>
        <w:rPr>
          <w:rFonts w:ascii="Arial" w:cs="Arial" w:eastAsia="Arial" w:hAnsi="Arial"/>
          <w:sz w:val="18"/>
          <w:szCs w:val="18"/>
          <w:color w:val="auto"/>
        </w:rPr>
        <w:t>We have contractual obligations for our non-cancelable operating leases, purchase obligations, pension funding and convertible notes summarized in the tabular disclosure of contractual obligations set forth in our Annual Report on Form 20-F for the fiscal year ended September 30, 2010, filed on December 7, 2010 with the SEC. Since September 30, 2010, there have been no material changes in our contractual obligations other than in the ordinary course of our business.</w:t>
      </w:r>
    </w:p>
    <w:p>
      <w:pPr>
        <w:spacing w:after="0" w:line="79"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Our capital expenditures were approximately $80.0 million in the nine months ended June 30, 2011. Approximately 85% of these expenditures consisted of purchases of computer equipment, and the remainder attributable mainly to leasehold improvements. The capital expenditures in the nine months ended June 30, 2011 were mainly attributable to investments in our operating facilities and our development centers around the world. Our policy is to fund our capital expenditures principally from operating cash flows and we do not anticipate any changes to this policy in the foreseeable future.</w:t>
      </w:r>
    </w:p>
    <w:p>
      <w:pPr>
        <w:spacing w:after="0" w:line="46" w:lineRule="exact"/>
        <w:rPr>
          <w:sz w:val="20"/>
          <w:szCs w:val="20"/>
          <w:color w:val="auto"/>
        </w:rPr>
      </w:pPr>
    </w:p>
    <w:p>
      <w:pPr>
        <w:ind w:right="40" w:firstLine="225"/>
        <w:spacing w:after="0" w:line="273" w:lineRule="auto"/>
        <w:rPr>
          <w:sz w:val="20"/>
          <w:szCs w:val="20"/>
          <w:color w:val="auto"/>
        </w:rPr>
      </w:pPr>
      <w:r>
        <w:rPr>
          <w:rFonts w:ascii="Arial" w:cs="Arial" w:eastAsia="Arial" w:hAnsi="Arial"/>
          <w:sz w:val="17"/>
          <w:szCs w:val="17"/>
          <w:color w:val="auto"/>
        </w:rPr>
        <w:t>In April 2010, our board of directors adopted a share repurchase plan authorizing the repurchase of up to $700.0 million of our outstanding ordinary shares over the following 12 months. In February 2011, our board of directors adopted a share repurchase plan authorizing the repurchase of up to $1.0 billion of our outstanding ordinary shares over the following 24 months. The authorizations permit us to purchase our ordinary shares in open market or privately negotiated transactions at times and prices we consider appropriate. In the nine months ended June 30, 2011, we repurchased approximately 15.0 million ordinary shares at an average price of $28.76 per share (excluding broker and transaction fees). As of June 30, 2011, we had remaining authority to repurchase up to $879.5 million of our outstanding ordinary shares under the current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Fluctuations</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 throughout the Amdocs group. The U.S. dollar is our functional currency according to the salient economic factors as indicated in the authoritative guidance for foreign currency matters.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ind w:firstLine="225"/>
        <w:spacing w:after="0" w:line="255" w:lineRule="auto"/>
        <w:rPr>
          <w:sz w:val="20"/>
          <w:szCs w:val="20"/>
          <w:color w:val="auto"/>
        </w:rPr>
      </w:pPr>
      <w:r>
        <w:rPr>
          <w:rFonts w:ascii="Arial" w:cs="Arial" w:eastAsia="Arial" w:hAnsi="Arial"/>
          <w:sz w:val="18"/>
          <w:szCs w:val="18"/>
          <w:color w:val="auto"/>
        </w:rPr>
        <w:t>During the nine months ended June 30, 2011 and 2010, approximately 70% to 80% of our revenue and approximately 50% to 60% of our operating expenses were in U.S. dollars or linked to the U.S. dollar. If more customers will seek contracts in currencies other than the U.S. dollar and as our operational activities outside of the United States may increase, the percentage of our revenue and operating expenses in U.S. dollar or linked to the U.S. dollar may decrease over time, which may increase our exposure to fluctuations in currency exchange rates.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Changes in Securities, Use of Proceeds and Issuer Purchases of Equity Securities.</w:t>
      </w:r>
    </w:p>
    <w:p>
      <w:pPr>
        <w:spacing w:after="0" w:line="121"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quarter ended June 30, 2011 of equity securities that are registered by us pursuant to Section 12 of the Exchange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Shares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(c)</w:t>
            </w:r>
          </w:p>
        </w:tc>
        <w:tc>
          <w:tcPr>
            <w:tcW w:w="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(b)</w:t>
            </w:r>
          </w:p>
        </w:tc>
        <w:tc>
          <w:tcPr>
            <w:tcW w:w="1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780" w:type="dxa"/>
            <w:vAlign w:val="bottom"/>
            <w:gridSpan w:val="4"/>
          </w:tcPr>
          <w:p>
            <w:pPr>
              <w:jc w:val="center"/>
              <w:ind w:left="76"/>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460" w:type="dxa"/>
            <w:vAlign w:val="bottom"/>
          </w:tcPr>
          <w:p>
            <w:pPr>
              <w:spacing w:after="0"/>
              <w:rPr>
                <w:sz w:val="12"/>
                <w:szCs w:val="12"/>
                <w:color w:val="auto"/>
              </w:rPr>
            </w:pPr>
          </w:p>
        </w:tc>
        <w:tc>
          <w:tcPr>
            <w:tcW w:w="132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2"/>
                <w:szCs w:val="12"/>
                <w:color w:val="auto"/>
              </w:rPr>
            </w:pPr>
          </w:p>
        </w:tc>
        <w:tc>
          <w:tcPr>
            <w:tcW w:w="120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280" w:type="dxa"/>
            <w:vAlign w:val="bottom"/>
          </w:tcPr>
          <w:p>
            <w:pPr>
              <w:spacing w:after="0"/>
              <w:rPr>
                <w:sz w:val="12"/>
                <w:szCs w:val="12"/>
                <w:color w:val="auto"/>
              </w:rPr>
            </w:pPr>
          </w:p>
        </w:tc>
        <w:tc>
          <w:tcPr>
            <w:tcW w:w="17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8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71"/>
        </w:trPr>
        <w:tc>
          <w:tcPr>
            <w:tcW w:w="49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Purchased</w:t>
            </w:r>
          </w:p>
        </w:tc>
        <w:tc>
          <w:tcPr>
            <w:tcW w:w="1480" w:type="dxa"/>
            <w:vAlign w:val="bottom"/>
            <w:gridSpan w:val="4"/>
          </w:tcPr>
          <w:p>
            <w:pPr>
              <w:ind w:left="280"/>
              <w:spacing w:after="0"/>
              <w:rPr>
                <w:sz w:val="20"/>
                <w:szCs w:val="20"/>
                <w:color w:val="auto"/>
              </w:rPr>
            </w:pPr>
            <w:r>
              <w:rPr>
                <w:rFonts w:ascii="Arial" w:cs="Arial" w:eastAsia="Arial" w:hAnsi="Arial"/>
                <w:sz w:val="14"/>
                <w:szCs w:val="14"/>
                <w:b w:val="1"/>
                <w:bCs w:val="1"/>
                <w:color w:val="auto"/>
              </w:rPr>
              <w:t>Paid per Share</w:t>
            </w:r>
          </w:p>
        </w:tc>
        <w:tc>
          <w:tcPr>
            <w:tcW w:w="280" w:type="dxa"/>
            <w:vAlign w:val="bottom"/>
          </w:tcPr>
          <w:p>
            <w:pPr>
              <w:spacing w:after="0"/>
              <w:rPr>
                <w:sz w:val="14"/>
                <w:szCs w:val="14"/>
                <w:color w:val="auto"/>
              </w:rPr>
            </w:pPr>
          </w:p>
        </w:tc>
        <w:tc>
          <w:tcPr>
            <w:tcW w:w="17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or Programs</w:t>
            </w:r>
          </w:p>
        </w:tc>
        <w:tc>
          <w:tcPr>
            <w:tcW w:w="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or Programs(1)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04/01/11-04/30/11</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7"/>
              </w:rPr>
              <w:t>1,656,698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29.44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1,656,698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987,722,371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05/01/11-05/31/11</w:t>
            </w:r>
          </w:p>
        </w:tc>
        <w:tc>
          <w:tcPr>
            <w:tcW w:w="1500" w:type="dxa"/>
            <w:vAlign w:val="bottom"/>
            <w:gridSpan w:val="3"/>
          </w:tcPr>
          <w:p>
            <w:pPr>
              <w:ind w:left="760"/>
              <w:spacing w:after="0"/>
              <w:rPr>
                <w:sz w:val="20"/>
                <w:szCs w:val="20"/>
                <w:color w:val="auto"/>
              </w:rPr>
            </w:pPr>
            <w:r>
              <w:rPr>
                <w:rFonts w:ascii="Arial" w:cs="Arial" w:eastAsia="Arial" w:hAnsi="Arial"/>
                <w:sz w:val="18"/>
                <w:szCs w:val="18"/>
                <w:color w:val="auto"/>
                <w:w w:val="89"/>
              </w:rPr>
              <w:t>1,815,713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29.95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1,815,713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933,344,426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06/01/11-06/30/11</w:t>
            </w:r>
          </w:p>
        </w:tc>
        <w:tc>
          <w:tcPr>
            <w:tcW w:w="150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w w:val="89"/>
              </w:rPr>
              <w:t>1,833,829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1,833,829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879,503,876</w:t>
            </w: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10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7"/>
              </w:rPr>
              <w:t>5,306,240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29.59</w:t>
            </w:r>
          </w:p>
        </w:tc>
        <w:tc>
          <w:tcPr>
            <w:tcW w:w="2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5,306,240</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879,503,876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00" w:hanging="452"/>
        <w:spacing w:after="0" w:line="279"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April 2010, our board of directors adopted a share repurchase plan authorizing the repurchase of up to $700.0 million of our outstanding ordinary shares over the following 12 months. In February 2011, our board of directors adopted a share repurchase plan authorizing the repurchase of up to $1.0 billion of our outstanding ordinary shares over the following 24 months. The authorizations permit us to purchase our ordinary shares in open market or privately negotiated transactions at times and prices we consider appropriate.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Reports on Form 6-K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Reports on Form 6-K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furnished or filed the following reports on Form 6-K during the three months ended June 30, 2011:</w:t>
      </w:r>
    </w:p>
    <w:p>
      <w:pPr>
        <w:spacing w:after="0" w:line="117" w:lineRule="exact"/>
        <w:rPr>
          <w:sz w:val="20"/>
          <w:szCs w:val="20"/>
          <w:color w:val="auto"/>
        </w:rPr>
      </w:pPr>
    </w:p>
    <w:p>
      <w:pPr>
        <w:ind w:left="480" w:hanging="247"/>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January 25, 2011</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February 8, 2011</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6-K dated May 11, 2011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1" w:name="page32"/>
    <w:bookmarkEnd w:id="31"/>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 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2011</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sectPr>
      <w:pgSz w:w="11900" w:h="16838" w:orient="portrait"/>
      <w:cols w:equalWidth="0" w:num="1">
        <w:col w:w="10520"/>
      </w:cols>
      <w:pgMar w:left="240" w:top="958"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2019-12-10T18:06:40Z</dcterms:created>
  <dcterms:modified xsi:type="dcterms:W3CDTF">2019-12-10T18:06:40Z</dcterms:modified>
</cp:coreProperties>
</file>