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239"/>
        <w:spacing w:after="0" w:line="237" w:lineRule="auto"/>
        <w:rPr>
          <w:sz w:val="20"/>
          <w:szCs w:val="20"/>
          <w:color w:val="auto"/>
        </w:rPr>
      </w:pPr>
      <w:r>
        <w:rPr>
          <w:rFonts w:ascii="Courier New" w:cs="Courier New" w:eastAsia="Courier New" w:hAnsi="Courier New"/>
          <w:sz w:val="15"/>
          <w:szCs w:val="15"/>
          <w:color w:val="auto"/>
        </w:rPr>
        <w:t>PURSUANT TO RULE 13A-16 OR 15D-16 OF</w:t>
      </w:r>
    </w:p>
    <w:p>
      <w:pPr>
        <w:jc w:val="center"/>
        <w:ind w:right="3139"/>
        <w:spacing w:after="0" w:line="238"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 the Quarter Ended March 31, 2001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139"/>
        <w:spacing w:after="0" w:line="237" w:lineRule="auto"/>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Amdocs,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3" w:lineRule="exact"/>
        <w:rPr>
          <w:sz w:val="24"/>
          <w:szCs w:val="24"/>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Form 20 F X FORM 40 F ______</w:t>
      </w:r>
    </w:p>
    <w:p>
      <w:pPr>
        <w:spacing w:after="0" w:line="173" w:lineRule="exact"/>
        <w:rPr>
          <w:sz w:val="24"/>
          <w:szCs w:val="24"/>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9"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YES ___ NO X</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jc w:val="center"/>
        <w:ind w:right="3219"/>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QUARTER ENDED MARCH 31, 2001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33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Balance Sheets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 of Changes in Shareholders'</w:t>
      </w:r>
    </w:p>
    <w:p>
      <w:pPr>
        <w:ind w:left="1840"/>
        <w:spacing w:after="0" w:line="237" w:lineRule="auto"/>
        <w:rPr>
          <w:sz w:val="20"/>
          <w:szCs w:val="20"/>
          <w:color w:val="auto"/>
        </w:rPr>
      </w:pPr>
      <w:r>
        <w:rPr>
          <w:rFonts w:ascii="Courier New" w:cs="Courier New" w:eastAsia="Courier New" w:hAnsi="Courier New"/>
          <w:sz w:val="15"/>
          <w:szCs w:val="15"/>
          <w:color w:val="auto"/>
        </w:rPr>
        <w:t>Equity</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3" w:lineRule="exact"/>
        <w:rPr>
          <w:sz w:val="20"/>
          <w:szCs w:val="20"/>
          <w:color w:val="auto"/>
        </w:rPr>
      </w:pPr>
    </w:p>
    <w:p>
      <w:pPr>
        <w:ind w:left="880" w:right="3839" w:firstLine="962"/>
        <w:spacing w:after="0" w:line="516" w:lineRule="auto"/>
        <w:rPr>
          <w:sz w:val="20"/>
          <w:szCs w:val="20"/>
          <w:color w:val="auto"/>
        </w:rPr>
      </w:pPr>
      <w:r>
        <w:rPr>
          <w:rFonts w:ascii="Courier New" w:cs="Courier New" w:eastAsia="Courier New" w:hAnsi="Courier New"/>
          <w:sz w:val="14"/>
          <w:szCs w:val="14"/>
          <w:color w:val="auto"/>
        </w:rPr>
        <w:t>Notes to Unaudited Consolidated Financial Statements Item 2. Operating and Financial Review and Prospects</w:t>
      </w:r>
    </w:p>
    <w:p>
      <w:pPr>
        <w:spacing w:after="0" w:line="15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EXHIBIT INDEX</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ind w:left="2900"/>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1680"/>
        <w:spacing w:after="0" w:line="237" w:lineRule="auto"/>
        <w:rPr>
          <w:sz w:val="20"/>
          <w:szCs w:val="20"/>
          <w:color w:val="auto"/>
        </w:rPr>
      </w:pPr>
      <w:r>
        <w:rPr>
          <w:rFonts w:ascii="Courier New" w:cs="Courier New" w:eastAsia="Courier New" w:hAnsi="Courier New"/>
          <w:sz w:val="15"/>
          <w:szCs w:val="15"/>
          <w:color w:val="auto"/>
        </w:rPr>
        <w:t>(in U.S. dollars, unless otherwise stated)</w:t>
      </w:r>
    </w:p>
    <w:tbl>
      <w:tblPr>
        <w:tblLayout w:type="fixed"/>
        <w:tblInd w:w="0" w:type="dxa"/>
        <w:tblCellMar>
          <w:top w:w="0" w:type="dxa"/>
          <w:left w:w="0" w:type="dxa"/>
          <w:bottom w:w="0" w:type="dxa"/>
          <w:right w:w="0" w:type="dxa"/>
        </w:tblCellMar>
      </w:tblPr>
      <w:tr>
        <w:trPr>
          <w:trHeight w:val="169"/>
        </w:trPr>
        <w:tc>
          <w:tcPr>
            <w:tcW w:w="6620" w:type="dxa"/>
            <w:vAlign w:val="bottom"/>
          </w:tcPr>
          <w:p>
            <w:pPr>
              <w:ind w:left="1940"/>
              <w:spacing w:after="0" w:line="169" w:lineRule="exact"/>
              <w:rPr>
                <w:sz w:val="20"/>
                <w:szCs w:val="20"/>
                <w:color w:val="auto"/>
              </w:rPr>
            </w:pPr>
            <w:r>
              <w:rPr>
                <w:rFonts w:ascii="Courier New" w:cs="Courier New" w:eastAsia="Courier New" w:hAnsi="Courier New"/>
                <w:sz w:val="15"/>
                <w:szCs w:val="15"/>
                <w:color w:val="auto"/>
              </w:rPr>
              <w:t>(in thousands, except per share data)</w:t>
            </w:r>
          </w:p>
        </w:tc>
        <w:tc>
          <w:tcPr>
            <w:tcW w:w="17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673"/>
        </w:trPr>
        <w:tc>
          <w:tcPr>
            <w:tcW w:w="6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3"/>
              </w:rPr>
              <w:t>As of</w:t>
            </w:r>
          </w:p>
        </w:tc>
      </w:tr>
      <w:tr>
        <w:trPr>
          <w:trHeight w:val="168"/>
        </w:trPr>
        <w:tc>
          <w:tcPr>
            <w:tcW w:w="6620" w:type="dxa"/>
            <w:vAlign w:val="bottom"/>
          </w:tcPr>
          <w:p>
            <w:pPr>
              <w:spacing w:after="0"/>
              <w:rPr>
                <w:sz w:val="14"/>
                <w:szCs w:val="14"/>
                <w:color w:val="auto"/>
              </w:rPr>
            </w:pPr>
          </w:p>
        </w:tc>
        <w:tc>
          <w:tcPr>
            <w:tcW w:w="35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620" w:type="dxa"/>
            <w:vAlign w:val="bottom"/>
          </w:tcPr>
          <w:p>
            <w:pPr>
              <w:spacing w:after="0"/>
              <w:rPr>
                <w:sz w:val="14"/>
                <w:szCs w:val="14"/>
                <w:color w:val="auto"/>
              </w:rPr>
            </w:pPr>
          </w:p>
        </w:tc>
        <w:tc>
          <w:tcPr>
            <w:tcW w:w="1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 2001</w:t>
            </w:r>
          </w:p>
        </w:tc>
        <w:tc>
          <w:tcPr>
            <w:tcW w:w="1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66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(Unaudited)</w:t>
            </w:r>
          </w:p>
        </w:tc>
        <w:tc>
          <w:tcPr>
            <w:tcW w:w="17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620" w:type="dxa"/>
            <w:vAlign w:val="bottom"/>
          </w:tcPr>
          <w:p>
            <w:pPr>
              <w:spacing w:after="0"/>
              <w:rPr>
                <w:sz w:val="14"/>
                <w:szCs w:val="14"/>
                <w:color w:val="auto"/>
              </w:rPr>
            </w:pPr>
          </w:p>
        </w:tc>
        <w:tc>
          <w:tcPr>
            <w:tcW w:w="17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w:t>
            </w:r>
          </w:p>
        </w:tc>
        <w:tc>
          <w:tcPr>
            <w:tcW w:w="17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62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7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$347,835</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$402,300</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interest-bearing investments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120,220</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including unbilled of $6,525 and $4,203, less</w:t>
            </w:r>
          </w:p>
        </w:tc>
        <w:tc>
          <w:tcPr>
            <w:tcW w:w="17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6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allowances of $6,402 and $6,868, respectively (*)</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312,899</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263,100</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and taxes receivable</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37,012</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35,179</w:t>
            </w:r>
          </w:p>
        </w:tc>
      </w:tr>
      <w:tr>
        <w:trPr>
          <w:trHeight w:val="168"/>
        </w:trPr>
        <w:tc>
          <w:tcPr>
            <w:tcW w:w="66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44,493</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34,327</w:t>
            </w:r>
          </w:p>
        </w:tc>
      </w:tr>
      <w:tr>
        <w:trPr>
          <w:trHeight w:val="168"/>
        </w:trPr>
        <w:tc>
          <w:tcPr>
            <w:tcW w:w="66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20" w:type="dxa"/>
            <w:vAlign w:val="bottom"/>
          </w:tcPr>
          <w:p>
            <w:pPr>
              <w:ind w:left="800"/>
              <w:spacing w:after="0"/>
              <w:rPr>
                <w:sz w:val="20"/>
                <w:szCs w:val="20"/>
                <w:color w:val="auto"/>
              </w:rPr>
            </w:pPr>
            <w:r>
              <w:rPr>
                <w:rFonts w:ascii="Courier New" w:cs="Courier New" w:eastAsia="Courier New" w:hAnsi="Courier New"/>
                <w:sz w:val="15"/>
                <w:szCs w:val="15"/>
                <w:color w:val="auto"/>
              </w:rPr>
              <w:t>Total current assets</w:t>
            </w:r>
          </w:p>
        </w:tc>
        <w:tc>
          <w:tcPr>
            <w:tcW w:w="1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862,459</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734,906</w:t>
            </w:r>
          </w:p>
        </w:tc>
      </w:tr>
      <w:tr>
        <w:trPr>
          <w:trHeight w:val="336"/>
        </w:trPr>
        <w:tc>
          <w:tcPr>
            <w:tcW w:w="66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152,760</w:t>
            </w:r>
          </w:p>
        </w:tc>
        <w:tc>
          <w:tcPr>
            <w:tcW w:w="17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128,081</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19,418</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13,900</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 net</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900,109</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1,011,053</w:t>
            </w:r>
          </w:p>
        </w:tc>
      </w:tr>
      <w:tr>
        <w:trPr>
          <w:trHeight w:val="168"/>
        </w:trPr>
        <w:tc>
          <w:tcPr>
            <w:tcW w:w="6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52,574</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47,145</w:t>
            </w:r>
          </w:p>
        </w:tc>
      </w:tr>
      <w:tr>
        <w:trPr>
          <w:trHeight w:val="168"/>
        </w:trPr>
        <w:tc>
          <w:tcPr>
            <w:tcW w:w="66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assets</w:t>
            </w: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$1,987,320</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$1,935,085</w:t>
            </w:r>
          </w:p>
        </w:tc>
      </w:tr>
      <w:tr>
        <w:trPr>
          <w:trHeight w:val="168"/>
        </w:trPr>
        <w:tc>
          <w:tcPr>
            <w:tcW w:w="6620" w:type="dxa"/>
            <w:vAlign w:val="bottom"/>
          </w:tcPr>
          <w:p>
            <w:pPr>
              <w:spacing w:after="0"/>
              <w:rPr>
                <w:sz w:val="14"/>
                <w:szCs w:val="14"/>
                <w:color w:val="auto"/>
              </w:rPr>
            </w:pPr>
          </w:p>
        </w:tc>
        <w:tc>
          <w:tcPr>
            <w:tcW w:w="1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60" w:type="dxa"/>
            <w:vAlign w:val="bottom"/>
          </w:tcPr>
          <w:p>
            <w:pPr>
              <w:ind w:left="1940"/>
              <w:spacing w:after="0"/>
              <w:rPr>
                <w:sz w:val="20"/>
                <w:szCs w:val="20"/>
                <w:color w:val="auto"/>
              </w:rPr>
            </w:pPr>
            <w:r>
              <w:rPr>
                <w:rFonts w:ascii="Courier New" w:cs="Courier New" w:eastAsia="Courier New" w:hAnsi="Courier New"/>
                <w:sz w:val="15"/>
                <w:szCs w:val="15"/>
                <w:color w:val="auto"/>
              </w:rPr>
              <w:t>LIABILITIES AND SHAREHOLDERS' EQUITY</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$140,602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$128,249</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personnel costs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62,846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70,196</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financing arrangements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146,813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133,546</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portion of capital lease obligations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9,263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8,713</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and taxes payable</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66,861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55,197</w:t>
            </w:r>
          </w:p>
        </w:tc>
      </w:tr>
      <w:tr>
        <w:trPr>
          <w:trHeight w:val="168"/>
        </w:trPr>
        <w:tc>
          <w:tcPr>
            <w:tcW w:w="70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426,385</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415,901</w:t>
            </w:r>
          </w:p>
        </w:tc>
      </w:tr>
      <w:tr>
        <w:trPr>
          <w:trHeight w:val="336"/>
        </w:trPr>
        <w:tc>
          <w:tcPr>
            <w:tcW w:w="7060" w:type="dxa"/>
            <w:vAlign w:val="bottom"/>
          </w:tcPr>
          <w:p>
            <w:pPr>
              <w:spacing w:after="0"/>
              <w:rPr>
                <w:sz w:val="20"/>
                <w:szCs w:val="20"/>
                <w:color w:val="auto"/>
              </w:rPr>
            </w:pPr>
            <w:r>
              <w:rPr>
                <w:rFonts w:ascii="Courier New" w:cs="Courier New" w:eastAsia="Courier New" w:hAnsi="Courier New"/>
                <w:sz w:val="15"/>
                <w:szCs w:val="15"/>
                <w:color w:val="auto"/>
              </w:rPr>
              <w:t>Long-term portion of capital lease obligations</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24,327</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23,417</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9,406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11,191</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58,230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53,804</w:t>
            </w:r>
          </w:p>
        </w:tc>
      </w:tr>
      <w:tr>
        <w:trPr>
          <w:trHeight w:val="168"/>
        </w:trPr>
        <w:tc>
          <w:tcPr>
            <w:tcW w:w="70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518,348</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504,313</w:t>
            </w:r>
          </w:p>
        </w:tc>
      </w:tr>
      <w:tr>
        <w:trPr>
          <w:trHeight w:val="168"/>
        </w:trPr>
        <w:tc>
          <w:tcPr>
            <w:tcW w:w="70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Shares - Authorized 25,000 shares; Pound 0.01 par value; 0 shares</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Ordinary Shares - Authorized 550,000 shares; Pound 0.01 par value; 222,196</w:t>
            </w:r>
          </w:p>
        </w:tc>
        <w:tc>
          <w:tcPr>
            <w:tcW w:w="14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7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221,165 outstanding, respectively</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3,554</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3,539</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1,800,577</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1,784,816</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1,159</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Unearned compensation</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w:t>
            </w:r>
          </w:p>
        </w:tc>
      </w:tr>
      <w:tr>
        <w:trPr>
          <w:trHeight w:val="168"/>
        </w:trPr>
        <w:tc>
          <w:tcPr>
            <w:tcW w:w="7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(329,589)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(357,578)</w:t>
            </w:r>
          </w:p>
        </w:tc>
      </w:tr>
      <w:tr>
        <w:trPr>
          <w:trHeight w:val="168"/>
        </w:trPr>
        <w:tc>
          <w:tcPr>
            <w:tcW w:w="70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1,468,972</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1,430,772</w:t>
            </w:r>
          </w:p>
        </w:tc>
      </w:tr>
      <w:tr>
        <w:trPr>
          <w:trHeight w:val="168"/>
        </w:trPr>
        <w:tc>
          <w:tcPr>
            <w:tcW w:w="70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$1,987,320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$1,935,085</w:t>
            </w:r>
          </w:p>
        </w:tc>
      </w:tr>
      <w:tr>
        <w:trPr>
          <w:trHeight w:val="168"/>
        </w:trPr>
        <w:tc>
          <w:tcPr>
            <w:tcW w:w="706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2.</w:t>
      </w:r>
    </w:p>
    <w:p>
      <w:pPr>
        <w:ind w:left="2540"/>
        <w:spacing w:after="0" w:line="237" w:lineRule="auto"/>
        <w:rPr>
          <w:sz w:val="20"/>
          <w:szCs w:val="20"/>
          <w:color w:val="auto"/>
        </w:rPr>
      </w:pPr>
      <w:r>
        <w:rPr>
          <w:rFonts w:ascii="Courier New" w:cs="Courier New" w:eastAsia="Courier New" w:hAnsi="Courier New"/>
          <w:sz w:val="15"/>
          <w:szCs w:val="15"/>
          <w:color w:val="auto"/>
        </w:rPr>
        <w:t>See accompanying notes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jc w:val="center"/>
        <w:ind w:right="3219"/>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INCOME (UNAUDITED)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2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820" w:type="dxa"/>
            <w:vAlign w:val="bottom"/>
          </w:tcPr>
          <w:p>
            <w:pPr>
              <w:spacing w:after="0"/>
              <w:rPr>
                <w:sz w:val="14"/>
                <w:szCs w:val="14"/>
                <w:color w:val="auto"/>
              </w:rPr>
            </w:pPr>
          </w:p>
        </w:tc>
        <w:tc>
          <w:tcPr>
            <w:tcW w:w="226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March 31,</w:t>
            </w:r>
          </w:p>
        </w:tc>
        <w:tc>
          <w:tcPr>
            <w:tcW w:w="20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820" w:type="dxa"/>
            <w:vAlign w:val="bottom"/>
          </w:tcPr>
          <w:p>
            <w:pPr>
              <w:spacing w:after="0"/>
              <w:rPr>
                <w:sz w:val="14"/>
                <w:szCs w:val="14"/>
                <w:color w:val="auto"/>
              </w:rPr>
            </w:pPr>
          </w:p>
        </w:tc>
        <w:tc>
          <w:tcPr>
            <w:tcW w:w="226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1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2001</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License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$43,290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$81,366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$56,943</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328,999</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240,304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633,090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449,308</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372,289</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270,745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714,456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506,251</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license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1,295</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2,631</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service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206,154</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156,272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397,942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295,100</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25,152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17,713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32,683</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48,168</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33,087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91,618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60,186</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 purchased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intangible assets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54,164</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108,324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2,800</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In-process research and development</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 and other indirect</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 related costs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19,876</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334,933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210,630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649,568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413,276</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37,356</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64,888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92,975</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5,096</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2,663</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42,452</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62,433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75,546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95,638</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27,039</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19,570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47,557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35,494</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$15,413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$27,989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$60,144</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 number of shares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outstanding</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221,884</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205,985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221,546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203,465</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227,213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211,416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226,994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207,904</w:t>
            </w:r>
          </w:p>
        </w:tc>
      </w:tr>
      <w:tr>
        <w:trPr>
          <w:trHeight w:val="168"/>
        </w:trPr>
        <w:tc>
          <w:tcPr>
            <w:tcW w:w="38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jc w:val="center"/>
        <w:ind w:right="4520"/>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jc w:val="center"/>
        <w:ind w:right="452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ind w:left="560"/>
              <w:spacing w:after="0"/>
              <w:rPr>
                <w:sz w:val="20"/>
                <w:szCs w:val="20"/>
                <w:color w:val="auto"/>
              </w:rPr>
            </w:pPr>
            <w:r>
              <w:rPr>
                <w:rFonts w:ascii="Courier New" w:cs="Courier New" w:eastAsia="Courier New" w:hAnsi="Courier New"/>
                <w:sz w:val="15"/>
                <w:szCs w:val="15"/>
                <w:color w:val="auto"/>
                <w:w w:val="96"/>
              </w:rPr>
              <w:t>Accumulated</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26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Ordinary Shares</w:t>
            </w:r>
          </w:p>
        </w:tc>
        <w:tc>
          <w:tcPr>
            <w:tcW w:w="12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Additional</w:t>
            </w:r>
          </w:p>
        </w:tc>
        <w:tc>
          <w:tcPr>
            <w:tcW w:w="154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060" w:type="dxa"/>
            <w:vAlign w:val="bottom"/>
          </w:tcPr>
          <w:p>
            <w:pPr>
              <w:spacing w:after="0"/>
              <w:rPr>
                <w:sz w:val="14"/>
                <w:szCs w:val="14"/>
                <w:color w:val="auto"/>
              </w:rPr>
            </w:pPr>
          </w:p>
        </w:tc>
        <w:tc>
          <w:tcPr>
            <w:tcW w:w="26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Paid-in</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Comprehensive</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Unearned</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w:t>
            </w:r>
          </w:p>
        </w:tc>
        <w:tc>
          <w:tcPr>
            <w:tcW w:w="1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206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w:t>
            </w:r>
          </w:p>
        </w:tc>
        <w:tc>
          <w:tcPr>
            <w:tcW w:w="1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(Loss)</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Compensation</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Deficit</w:t>
            </w:r>
          </w:p>
        </w:tc>
        <w:tc>
          <w:tcPr>
            <w:tcW w:w="14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2060" w:type="dxa"/>
            <w:vAlign w:val="bottom"/>
          </w:tcPr>
          <w:p>
            <w:pPr>
              <w:spacing w:after="0"/>
              <w:rPr>
                <w:sz w:val="14"/>
                <w:szCs w:val="14"/>
                <w:color w:val="auto"/>
              </w:rPr>
            </w:pP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Balance as of</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30, 2000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221,165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$3,539</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$1,784,816</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$1,159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$(1,164)</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$(357,578)</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$1,430,772</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27,989</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27,989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options</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10,365</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10,380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of stock</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5,297</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5,297</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other</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$2,649 tax</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(6,171)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(6,171)</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 options granted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unearned</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606</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206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w:t>
            </w:r>
          </w:p>
        </w:tc>
        <w:tc>
          <w:tcPr>
            <w:tcW w:w="1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8"/>
        </w:trPr>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31, 2001</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222,196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$1,800,577</w:t>
            </w: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$(5,012)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$(329,589)</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$1,468,972</w:t>
            </w:r>
          </w:p>
        </w:tc>
      </w:tr>
      <w:tr>
        <w:trPr>
          <w:trHeight w:val="168"/>
        </w:trPr>
        <w:tc>
          <w:tcPr>
            <w:tcW w:w="206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281" w:right="139"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jc w:val="center"/>
        <w:ind w:right="3219"/>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CASH FLOWS (UNAUDITED)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March 31,</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$27,989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$60,144</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137,844</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22,569</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In-process research and development expenses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19,876</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on sale of equipment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5,025</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Tax benefit of stock options exercised</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income on other comprehensive income (loss)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(8,820)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9,100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changes in operating assets and liabilities: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(49,799)</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(14,509)</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(10,166)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(8,830)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(1,832)</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(5,111)</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4,803</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13,267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9,567</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7,753</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11,453</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noncurrent liabilities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4,426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13,799</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124,912</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127,960</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from Investing Activities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sale of equipment, vehicles and leasehold</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improvements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1,674</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760</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for purchase of equipment, vehicles, leasehold</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improvements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(42,216)</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(28,542)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short-term interest-bearing investments, net</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(120,220)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(20,612)</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noncurrent assets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(3,725)</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acquired in acquisition</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31,900</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(164,487)</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(16,494)</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 from Financing Activities</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 employee stock options exercised</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10,380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13,863</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under short-term finance arrangements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(172,455)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under short-term finance arrangements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187,097</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payments on capital lease obligations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(5,270)</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(3,206)</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(14,890)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25,299</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(54,465)</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136,765</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402,300</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85,174</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$347,835</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$221,939</w:t>
            </w:r>
          </w:p>
        </w:tc>
      </w:tr>
      <w:tr>
        <w:trPr>
          <w:trHeight w:val="168"/>
        </w:trPr>
        <w:tc>
          <w:tcPr>
            <w:tcW w:w="522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Supplementary Cash Flow Information</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paid for:</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taxes, net of refunds</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$35,209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$17,308</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1,458</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760</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Non</w:t>
        <w:tab/>
        <w:t>Cash Investing and Financing Activities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Capital lease obligations of $6,730 and $1,733 were incurred during the six months ended March 31, 2001 and 2000, respectively, when the Company (as hereinafter defined) entered into lease agreements for the purchase of fixed assets.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jc w:val="center"/>
        <w:ind w:right="3239"/>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66" w:lineRule="exact"/>
        <w:rPr>
          <w:sz w:val="20"/>
          <w:szCs w:val="20"/>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business segment, providing business support systems and related services for the communications industry. The Company designs, develops, markets, supports and operates information system solutions to major wireless, wireline and Internet Protocol ("IP") companies throughout the world.</w:t>
      </w:r>
    </w:p>
    <w:p>
      <w:pPr>
        <w:spacing w:after="0" w:line="175"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herein and are of a normal recurring nature.</w:t>
      </w:r>
    </w:p>
    <w:p>
      <w:pPr>
        <w:spacing w:after="0" w:line="17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year. These statements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2000 set forth in the Company's Annual Report on Form 20-F/A filed with the Securities and Exchange Commission.</w:t>
      </w:r>
    </w:p>
    <w:p>
      <w:pPr>
        <w:spacing w:after="0" w:line="178"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prior periods' financial statements have been reclassified to conform to the current period's presentation.</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related party balances are included in the balance sheet:</w:t>
      </w:r>
    </w:p>
    <w:p>
      <w:pPr>
        <w:spacing w:after="0" w:line="335" w:lineRule="exact"/>
        <w:rPr>
          <w:sz w:val="20"/>
          <w:szCs w:val="20"/>
          <w:color w:val="auto"/>
        </w:rPr>
      </w:pPr>
    </w:p>
    <w:p>
      <w:pPr>
        <w:jc w:val="center"/>
        <w:ind w:left="2980"/>
        <w:spacing w:after="0"/>
        <w:rPr>
          <w:sz w:val="20"/>
          <w:szCs w:val="20"/>
          <w:color w:val="auto"/>
        </w:rPr>
      </w:pPr>
      <w:r>
        <w:rPr>
          <w:rFonts w:ascii="Courier New" w:cs="Courier New" w:eastAsia="Courier New" w:hAnsi="Courier New"/>
          <w:sz w:val="15"/>
          <w:szCs w:val="15"/>
          <w:color w:val="auto"/>
        </w:rPr>
        <w:t>As of</w:t>
      </w:r>
    </w:p>
    <w:p>
      <w:pPr>
        <w:spacing w:after="0" w:line="5" w:lineRule="exact"/>
        <w:rPr>
          <w:sz w:val="20"/>
          <w:szCs w:val="20"/>
          <w:color w:val="auto"/>
        </w:rPr>
      </w:pPr>
    </w:p>
    <w:p>
      <w:pPr>
        <w:jc w:val="center"/>
        <w:ind w:left="29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left="3160"/>
        <w:spacing w:after="0"/>
        <w:tabs>
          <w:tab w:leader="none" w:pos="780" w:val="left"/>
        </w:tabs>
        <w:rPr>
          <w:sz w:val="20"/>
          <w:szCs w:val="20"/>
          <w:color w:val="auto"/>
        </w:rPr>
      </w:pPr>
      <w:r>
        <w:rPr>
          <w:rFonts w:ascii="Courier New" w:cs="Courier New" w:eastAsia="Courier New" w:hAnsi="Courier New"/>
          <w:sz w:val="15"/>
          <w:szCs w:val="15"/>
          <w:color w:val="auto"/>
        </w:rPr>
        <w:t>March 31, 2001</w:t>
      </w:r>
      <w:r>
        <w:rPr>
          <w:sz w:val="20"/>
          <w:szCs w:val="20"/>
          <w:color w:val="auto"/>
        </w:rPr>
        <w:tab/>
      </w:r>
      <w:r>
        <w:rPr>
          <w:rFonts w:ascii="Courier New" w:cs="Courier New" w:eastAsia="Courier New" w:hAnsi="Courier New"/>
          <w:sz w:val="14"/>
          <w:szCs w:val="14"/>
          <w:color w:val="auto"/>
        </w:rPr>
        <w:t>September 30, 2000</w:t>
      </w:r>
    </w:p>
    <w:p>
      <w:pPr>
        <w:jc w:val="center"/>
        <w:ind w:left="2980"/>
        <w:spacing w:after="0" w:line="237" w:lineRule="auto"/>
        <w:tabs>
          <w:tab w:leader="none" w:pos="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receivable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64,178</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27,116</w:t>
      </w:r>
    </w:p>
    <w:p>
      <w:pPr>
        <w:spacing w:after="0" w:line="204" w:lineRule="exact"/>
        <w:rPr>
          <w:sz w:val="20"/>
          <w:szCs w:val="20"/>
          <w:color w:val="auto"/>
        </w:rPr>
      </w:pPr>
    </w:p>
    <w:p>
      <w:pPr>
        <w:sectPr>
          <w:pgSz w:w="11900" w:h="16838" w:orient="portrait"/>
          <w:cols w:equalWidth="0" w:num="5">
            <w:col w:w="4620" w:space="720"/>
            <w:col w:w="160" w:space="720"/>
            <w:col w:w="520" w:space="700"/>
            <w:col w:w="160" w:space="720"/>
            <w:col w:w="1919"/>
          </w:cols>
          <w:pgMar w:left="220" w:top="281" w:right="1440" w:bottom="1440" w:gutter="0" w:footer="0" w:header="0"/>
          <w:type w:val="continuous"/>
        </w:sectPr>
      </w:pPr>
    </w:p>
    <w:p>
      <w:pPr>
        <w:spacing w:after="0" w:line="141"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following related party transactions are included in the statement of operations for the following periods:</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1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Three months ended</w:t>
            </w:r>
          </w:p>
        </w:tc>
        <w:tc>
          <w:tcPr>
            <w:tcW w:w="2140" w:type="dxa"/>
            <w:vAlign w:val="bottom"/>
          </w:tcPr>
          <w:p>
            <w:pPr>
              <w:ind w:left="740"/>
              <w:spacing w:after="0"/>
              <w:rPr>
                <w:sz w:val="20"/>
                <w:szCs w:val="20"/>
                <w:color w:val="auto"/>
              </w:rPr>
            </w:pPr>
            <w:r>
              <w:rPr>
                <w:rFonts w:ascii="Courier New" w:cs="Courier New" w:eastAsia="Courier New" w:hAnsi="Courier New"/>
                <w:sz w:val="15"/>
                <w:szCs w:val="15"/>
                <w:color w:val="auto"/>
                <w:w w:val="95"/>
              </w:rPr>
              <w:t>Six months ended</w:t>
            </w:r>
          </w:p>
        </w:tc>
        <w:tc>
          <w:tcPr>
            <w:tcW w:w="700" w:type="dxa"/>
            <w:vAlign w:val="bottom"/>
          </w:tcPr>
          <w:p>
            <w:pPr>
              <w:spacing w:after="0"/>
              <w:rPr>
                <w:sz w:val="14"/>
                <w:szCs w:val="14"/>
                <w:color w:val="auto"/>
              </w:rPr>
            </w:pPr>
          </w:p>
        </w:tc>
      </w:tr>
      <w:tr>
        <w:trPr>
          <w:trHeight w:val="168"/>
        </w:trPr>
        <w:tc>
          <w:tcPr>
            <w:tcW w:w="3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6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w w:val="93"/>
              </w:rPr>
              <w:t>March 31,</w:t>
            </w:r>
          </w:p>
        </w:tc>
        <w:tc>
          <w:tcPr>
            <w:tcW w:w="2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68"/>
        </w:trPr>
        <w:tc>
          <w:tcPr>
            <w:tcW w:w="3800" w:type="dxa"/>
            <w:vAlign w:val="bottom"/>
          </w:tcPr>
          <w:p>
            <w:pPr>
              <w:spacing w:after="0"/>
              <w:rPr>
                <w:sz w:val="14"/>
                <w:szCs w:val="14"/>
                <w:color w:val="auto"/>
              </w:rPr>
            </w:pPr>
          </w:p>
        </w:tc>
        <w:tc>
          <w:tcPr>
            <w:tcW w:w="3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8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8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License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$ 9,728</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2,938</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$ 13,311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7,030</w:t>
            </w:r>
          </w:p>
        </w:tc>
      </w:tr>
      <w:tr>
        <w:trPr>
          <w:trHeight w:val="168"/>
        </w:trPr>
        <w:tc>
          <w:tcPr>
            <w:tcW w:w="38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Service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67,111</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32,137</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109,778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65,461</w:t>
            </w:r>
          </w:p>
        </w:tc>
      </w:tr>
      <w:tr>
        <w:trPr>
          <w:trHeight w:val="336"/>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8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Cost of service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1,419</w:t>
            </w:r>
          </w:p>
        </w:tc>
      </w:tr>
      <w:tr>
        <w:trPr>
          <w:trHeight w:val="168"/>
        </w:trPr>
        <w:tc>
          <w:tcPr>
            <w:tcW w:w="38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431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w:t>
            </w:r>
          </w:p>
        </w:tc>
      </w:tr>
      <w:tr>
        <w:trPr>
          <w:trHeight w:val="336"/>
        </w:trPr>
        <w:tc>
          <w:tcPr>
            <w:tcW w:w="3800" w:type="dxa"/>
            <w:vAlign w:val="bottom"/>
          </w:tcPr>
          <w:p>
            <w:pPr>
              <w:ind w:left="3060"/>
              <w:spacing w:after="0"/>
              <w:rPr>
                <w:sz w:val="20"/>
                <w:szCs w:val="20"/>
                <w:color w:val="auto"/>
              </w:rPr>
            </w:pPr>
            <w:r>
              <w:rPr>
                <w:rFonts w:ascii="Courier New" w:cs="Courier New" w:eastAsia="Courier New" w:hAnsi="Courier New"/>
                <w:sz w:val="15"/>
                <w:szCs w:val="15"/>
                <w:color w:val="auto"/>
              </w:rPr>
              <w:t>-6-</w:t>
            </w: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jc w:val="center"/>
        <w:ind w:right="3340"/>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UNAUDITED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2" w:lineRule="exact"/>
        <w:rPr>
          <w:rFonts w:ascii="Courier New" w:cs="Courier New" w:eastAsia="Courier New" w:hAnsi="Courier New"/>
          <w:sz w:val="15"/>
          <w:szCs w:val="15"/>
          <w:color w:val="auto"/>
        </w:rPr>
      </w:pPr>
    </w:p>
    <w:p>
      <w:pPr>
        <w:jc w:val="both"/>
        <w:ind w:left="440" w:right="334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5" w:lineRule="exact"/>
        <w:rPr>
          <w:rFonts w:ascii="Courier New" w:cs="Courier New" w:eastAsia="Courier New" w:hAnsi="Courier New"/>
          <w:sz w:val="15"/>
          <w:szCs w:val="15"/>
          <w:color w:val="auto"/>
        </w:rPr>
      </w:pPr>
    </w:p>
    <w:p>
      <w:pPr>
        <w:ind w:left="440" w:right="334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2320" w:type="dxa"/>
            <w:vAlign w:val="bottom"/>
            <w:gridSpan w:val="3"/>
          </w:tcPr>
          <w:p>
            <w:pPr>
              <w:ind w:left="700"/>
              <w:spacing w:after="0"/>
              <w:rPr>
                <w:sz w:val="20"/>
                <w:szCs w:val="20"/>
                <w:color w:val="auto"/>
              </w:rPr>
            </w:pPr>
            <w:r>
              <w:rPr>
                <w:rFonts w:ascii="Courier New" w:cs="Courier New" w:eastAsia="Courier New" w:hAnsi="Courier New"/>
                <w:sz w:val="15"/>
                <w:szCs w:val="15"/>
                <w:color w:val="auto"/>
                <w:w w:val="98"/>
              </w:rPr>
              <w:t>Three months ended</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Six months ended</w:t>
            </w:r>
          </w:p>
        </w:tc>
        <w:tc>
          <w:tcPr>
            <w:tcW w:w="600" w:type="dxa"/>
            <w:vAlign w:val="bottom"/>
          </w:tcPr>
          <w:p>
            <w:pPr>
              <w:spacing w:after="0"/>
              <w:rPr>
                <w:sz w:val="14"/>
                <w:szCs w:val="14"/>
                <w:color w:val="auto"/>
              </w:rPr>
            </w:pPr>
          </w:p>
        </w:tc>
      </w:tr>
      <w:tr>
        <w:trPr>
          <w:trHeight w:val="168"/>
        </w:trPr>
        <w:tc>
          <w:tcPr>
            <w:tcW w:w="3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March 31,</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March 31,</w:t>
            </w:r>
          </w:p>
        </w:tc>
        <w:tc>
          <w:tcPr>
            <w:tcW w:w="600" w:type="dxa"/>
            <w:vAlign w:val="bottom"/>
          </w:tcPr>
          <w:p>
            <w:pPr>
              <w:spacing w:after="0"/>
              <w:rPr>
                <w:sz w:val="14"/>
                <w:szCs w:val="14"/>
                <w:color w:val="auto"/>
              </w:rPr>
            </w:pPr>
          </w:p>
        </w:tc>
      </w:tr>
      <w:tr>
        <w:trPr>
          <w:trHeight w:val="168"/>
        </w:trPr>
        <w:tc>
          <w:tcPr>
            <w:tcW w:w="384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spacing w:after="0"/>
              <w:rPr>
                <w:sz w:val="14"/>
                <w:szCs w:val="14"/>
                <w:color w:val="auto"/>
              </w:rPr>
            </w:pPr>
          </w:p>
        </w:tc>
        <w:tc>
          <w:tcPr>
            <w:tcW w:w="162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2001</w:t>
            </w:r>
          </w:p>
        </w:tc>
        <w:tc>
          <w:tcPr>
            <w:tcW w:w="14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2000</w:t>
            </w:r>
          </w:p>
        </w:tc>
        <w:tc>
          <w:tcPr>
            <w:tcW w:w="158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2001</w:t>
            </w:r>
          </w:p>
        </w:tc>
        <w:tc>
          <w:tcPr>
            <w:tcW w:w="126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8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15,413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42,863</w:t>
            </w:r>
          </w:p>
        </w:tc>
        <w:tc>
          <w:tcPr>
            <w:tcW w:w="7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27,989</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60,144</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Unrealized income (loss) on derivative</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instruments, net of tax</w:t>
            </w:r>
          </w:p>
        </w:tc>
        <w:tc>
          <w:tcPr>
            <w:tcW w:w="8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(6,727)</w:t>
            </w:r>
          </w:p>
        </w:tc>
        <w:tc>
          <w:tcPr>
            <w:tcW w:w="7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597</w:t>
            </w:r>
          </w:p>
        </w:tc>
        <w:tc>
          <w:tcPr>
            <w:tcW w:w="7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(6,686)</w:t>
            </w:r>
          </w:p>
        </w:tc>
        <w:tc>
          <w:tcPr>
            <w:tcW w:w="6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6,370</w:t>
            </w:r>
          </w:p>
        </w:tc>
      </w:tr>
      <w:tr>
        <w:trPr>
          <w:trHeight w:val="168"/>
        </w:trPr>
        <w:tc>
          <w:tcPr>
            <w:tcW w:w="38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Unrealized income on short-term</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8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interest-bearing investments, net of</w:t>
            </w:r>
          </w:p>
        </w:tc>
        <w:tc>
          <w:tcPr>
            <w:tcW w:w="8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w:t>
            </w:r>
          </w:p>
        </w:tc>
        <w:tc>
          <w:tcPr>
            <w:tcW w:w="70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515</w:t>
            </w:r>
          </w:p>
        </w:tc>
        <w:tc>
          <w:tcPr>
            <w:tcW w:w="6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tax</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8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3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9,041</w:t>
            </w:r>
          </w:p>
        </w:tc>
        <w:tc>
          <w:tcPr>
            <w:tcW w:w="7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43,477</w:t>
            </w:r>
          </w:p>
        </w:tc>
        <w:tc>
          <w:tcPr>
            <w:tcW w:w="7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21,818</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66,514</w:t>
            </w:r>
          </w:p>
        </w:tc>
      </w:tr>
      <w:tr>
        <w:trPr>
          <w:trHeight w:val="168"/>
        </w:trPr>
        <w:tc>
          <w:tcPr>
            <w:tcW w:w="3840" w:type="dxa"/>
            <w:vAlign w:val="bottom"/>
          </w:tcPr>
          <w:p>
            <w:pPr>
              <w:spacing w:after="0"/>
              <w:rPr>
                <w:sz w:val="14"/>
                <w:szCs w:val="14"/>
                <w:color w:val="auto"/>
              </w:rPr>
            </w:pPr>
          </w:p>
        </w:tc>
        <w:tc>
          <w:tcPr>
            <w:tcW w:w="16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440" w:right="334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6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c>
          <w:tcPr>
            <w:tcW w:w="780" w:type="dxa"/>
            <w:vAlign w:val="bottom"/>
          </w:tcPr>
          <w:p>
            <w:pPr>
              <w:spacing w:after="0"/>
              <w:rPr>
                <w:sz w:val="14"/>
                <w:szCs w:val="14"/>
                <w:color w:val="auto"/>
              </w:rPr>
            </w:pPr>
          </w:p>
        </w:tc>
      </w:tr>
      <w:tr>
        <w:trPr>
          <w:trHeight w:val="168"/>
        </w:trPr>
        <w:tc>
          <w:tcPr>
            <w:tcW w:w="2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March 31,</w:t>
            </w: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31,</w:t>
            </w:r>
          </w:p>
        </w:tc>
        <w:tc>
          <w:tcPr>
            <w:tcW w:w="780" w:type="dxa"/>
            <w:vAlign w:val="bottom"/>
          </w:tcPr>
          <w:p>
            <w:pPr>
              <w:spacing w:after="0"/>
              <w:rPr>
                <w:sz w:val="14"/>
                <w:szCs w:val="14"/>
                <w:color w:val="auto"/>
              </w:rPr>
            </w:pPr>
          </w:p>
        </w:tc>
      </w:tr>
      <w:tr>
        <w:trPr>
          <w:trHeight w:val="168"/>
        </w:trPr>
        <w:tc>
          <w:tcPr>
            <w:tcW w:w="2400" w:type="dxa"/>
            <w:vAlign w:val="bottom"/>
          </w:tcPr>
          <w:p>
            <w:pPr>
              <w:spacing w:after="0"/>
              <w:rPr>
                <w:sz w:val="14"/>
                <w:szCs w:val="14"/>
                <w:color w:val="auto"/>
              </w:rPr>
            </w:pPr>
          </w:p>
        </w:tc>
        <w:tc>
          <w:tcPr>
            <w:tcW w:w="3180" w:type="dxa"/>
            <w:vAlign w:val="bottom"/>
            <w:gridSpan w:val="2"/>
          </w:tcPr>
          <w:p>
            <w:pPr>
              <w:ind w:left="1700"/>
              <w:spacing w:after="0"/>
              <w:rPr>
                <w:sz w:val="20"/>
                <w:szCs w:val="20"/>
                <w:color w:val="auto"/>
              </w:rPr>
            </w:pPr>
            <w:r>
              <w:rPr>
                <w:rFonts w:ascii="Courier New" w:cs="Courier New" w:eastAsia="Courier New" w:hAnsi="Courier New"/>
                <w:sz w:val="10"/>
                <w:szCs w:val="10"/>
                <w:color w:val="auto"/>
                <w:w w:val="73"/>
              </w:rPr>
              <w:t>---------------------------------</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rPr>
                <w:sz w:val="14"/>
                <w:szCs w:val="14"/>
                <w:color w:val="auto"/>
              </w:rPr>
            </w:pPr>
          </w:p>
        </w:tc>
        <w:tc>
          <w:tcPr>
            <w:tcW w:w="3180" w:type="dxa"/>
            <w:vAlign w:val="bottom"/>
            <w:gridSpan w:val="2"/>
          </w:tcPr>
          <w:p>
            <w:pPr>
              <w:ind w:left="2140"/>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10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4"/>
              </w:rPr>
              <w:t>2001</w:t>
            </w:r>
          </w:p>
        </w:tc>
        <w:tc>
          <w:tcPr>
            <w:tcW w:w="48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2000</w:t>
            </w:r>
          </w:p>
        </w:tc>
      </w:tr>
      <w:tr>
        <w:trPr>
          <w:trHeight w:val="168"/>
        </w:trPr>
        <w:tc>
          <w:tcPr>
            <w:tcW w:w="2400" w:type="dxa"/>
            <w:vAlign w:val="bottom"/>
          </w:tcPr>
          <w:p>
            <w:pPr>
              <w:spacing w:after="0"/>
              <w:rPr>
                <w:sz w:val="14"/>
                <w:szCs w:val="14"/>
                <w:color w:val="auto"/>
              </w:rPr>
            </w:pPr>
          </w:p>
        </w:tc>
        <w:tc>
          <w:tcPr>
            <w:tcW w:w="3180" w:type="dxa"/>
            <w:vAlign w:val="bottom"/>
            <w:gridSpan w:val="2"/>
          </w:tcPr>
          <w:p>
            <w:pPr>
              <w:ind w:left="17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220" w:type="dxa"/>
            <w:vAlign w:val="bottom"/>
          </w:tcPr>
          <w:p>
            <w:pPr>
              <w:ind w:left="2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22,604</w:t>
            </w:r>
          </w:p>
        </w:tc>
        <w:tc>
          <w:tcPr>
            <w:tcW w:w="7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11,831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50,134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30,469</w:t>
            </w:r>
          </w:p>
        </w:tc>
      </w:tr>
      <w:tr>
        <w:trPr>
          <w:trHeight w:val="168"/>
        </w:trPr>
        <w:tc>
          <w:tcPr>
            <w:tcW w:w="24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2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4,435</w:t>
            </w:r>
          </w:p>
        </w:tc>
        <w:tc>
          <w:tcPr>
            <w:tcW w:w="7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7,739</w:t>
            </w:r>
          </w:p>
        </w:tc>
        <w:tc>
          <w:tcPr>
            <w:tcW w:w="52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(2,577)</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5,025</w:t>
            </w:r>
          </w:p>
        </w:tc>
      </w:tr>
      <w:tr>
        <w:trPr>
          <w:trHeight w:val="168"/>
        </w:trPr>
        <w:tc>
          <w:tcPr>
            <w:tcW w:w="2400" w:type="dxa"/>
            <w:vAlign w:val="bottom"/>
          </w:tcPr>
          <w:p>
            <w:pPr>
              <w:spacing w:after="0"/>
              <w:rPr>
                <w:sz w:val="14"/>
                <w:szCs w:val="14"/>
                <w:color w:val="auto"/>
              </w:rPr>
            </w:pPr>
          </w:p>
        </w:tc>
        <w:tc>
          <w:tcPr>
            <w:tcW w:w="3180" w:type="dxa"/>
            <w:vAlign w:val="bottom"/>
            <w:gridSpan w:val="2"/>
          </w:tcPr>
          <w:p>
            <w:pPr>
              <w:ind w:left="17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00" w:type="dxa"/>
            <w:vAlign w:val="bottom"/>
          </w:tcPr>
          <w:p>
            <w:pPr>
              <w:spacing w:after="0"/>
              <w:rPr>
                <w:sz w:val="14"/>
                <w:szCs w:val="14"/>
                <w:color w:val="auto"/>
              </w:rPr>
            </w:pPr>
          </w:p>
        </w:tc>
        <w:tc>
          <w:tcPr>
            <w:tcW w:w="2220" w:type="dxa"/>
            <w:vAlign w:val="bottom"/>
          </w:tcPr>
          <w:p>
            <w:pPr>
              <w:ind w:left="21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27,039</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19,570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47,557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35,494</w:t>
            </w:r>
          </w:p>
        </w:tc>
      </w:tr>
      <w:tr>
        <w:trPr>
          <w:trHeight w:val="168"/>
        </w:trPr>
        <w:tc>
          <w:tcPr>
            <w:tcW w:w="2400" w:type="dxa"/>
            <w:vAlign w:val="bottom"/>
          </w:tcPr>
          <w:p>
            <w:pPr>
              <w:spacing w:after="0"/>
              <w:rPr>
                <w:sz w:val="14"/>
                <w:szCs w:val="14"/>
                <w:color w:val="auto"/>
              </w:rPr>
            </w:pPr>
          </w:p>
        </w:tc>
        <w:tc>
          <w:tcPr>
            <w:tcW w:w="3180" w:type="dxa"/>
            <w:vAlign w:val="bottom"/>
            <w:gridSpan w:val="2"/>
          </w:tcPr>
          <w:p>
            <w:pPr>
              <w:ind w:left="17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340"/>
        <w:spacing w:after="0" w:line="234" w:lineRule="auto"/>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354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c>
          <w:tcPr>
            <w:tcW w:w="29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620" w:type="dxa"/>
            <w:vAlign w:val="bottom"/>
          </w:tcPr>
          <w:p>
            <w:pPr>
              <w:spacing w:after="0"/>
              <w:rPr>
                <w:sz w:val="14"/>
                <w:szCs w:val="14"/>
                <w:color w:val="auto"/>
              </w:rPr>
            </w:pPr>
          </w:p>
        </w:tc>
        <w:tc>
          <w:tcPr>
            <w:tcW w:w="3540" w:type="dxa"/>
            <w:vAlign w:val="bottom"/>
            <w:gridSpan w:val="2"/>
          </w:tcPr>
          <w:p>
            <w:pPr>
              <w:jc w:val="right"/>
              <w:ind w:right="1227"/>
              <w:spacing w:after="0" w:line="168" w:lineRule="exact"/>
              <w:rPr>
                <w:sz w:val="20"/>
                <w:szCs w:val="20"/>
                <w:color w:val="auto"/>
              </w:rPr>
            </w:pPr>
            <w:r>
              <w:rPr>
                <w:rFonts w:ascii="Courier New" w:cs="Courier New" w:eastAsia="Courier New" w:hAnsi="Courier New"/>
                <w:sz w:val="15"/>
                <w:szCs w:val="15"/>
                <w:color w:val="auto"/>
              </w:rPr>
              <w:t>March 31,</w:t>
            </w:r>
          </w:p>
        </w:tc>
        <w:tc>
          <w:tcPr>
            <w:tcW w:w="2900" w:type="dxa"/>
            <w:vAlign w:val="bottom"/>
            <w:gridSpan w:val="2"/>
          </w:tcPr>
          <w:p>
            <w:pPr>
              <w:jc w:val="right"/>
              <w:ind w:right="98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620" w:type="dxa"/>
            <w:vAlign w:val="bottom"/>
          </w:tcPr>
          <w:p>
            <w:pPr>
              <w:spacing w:after="0"/>
              <w:rPr>
                <w:sz w:val="14"/>
                <w:szCs w:val="14"/>
                <w:color w:val="auto"/>
              </w:rPr>
            </w:pPr>
          </w:p>
        </w:tc>
        <w:tc>
          <w:tcPr>
            <w:tcW w:w="3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9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rPr>
                <w:sz w:val="14"/>
                <w:szCs w:val="14"/>
                <w:color w:val="auto"/>
              </w:rPr>
            </w:pPr>
          </w:p>
        </w:tc>
        <w:tc>
          <w:tcPr>
            <w:tcW w:w="21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2001</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2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214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Guernsey tax-exempt status</w:t>
            </w:r>
          </w:p>
        </w:tc>
        <w:tc>
          <w:tcPr>
            <w:tcW w:w="21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(20)</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taxes</w:t>
            </w:r>
          </w:p>
        </w:tc>
        <w:tc>
          <w:tcPr>
            <w:tcW w:w="21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30</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acquisitions-related costs</w:t>
            </w:r>
          </w:p>
        </w:tc>
        <w:tc>
          <w:tcPr>
            <w:tcW w:w="21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62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Effective income tax rate</w:t>
            </w:r>
          </w:p>
        </w:tc>
        <w:tc>
          <w:tcPr>
            <w:tcW w:w="214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64%</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620" w:type="dxa"/>
            <w:vAlign w:val="bottom"/>
          </w:tcPr>
          <w:p>
            <w:pPr>
              <w:spacing w:after="0"/>
              <w:rPr>
                <w:sz w:val="14"/>
                <w:szCs w:val="14"/>
                <w:color w:val="auto"/>
              </w:rPr>
            </w:pPr>
          </w:p>
        </w:tc>
        <w:tc>
          <w:tcPr>
            <w:tcW w:w="2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340"/>
        <w:spacing w:after="0" w:line="236" w:lineRule="auto"/>
        <w:rPr>
          <w:sz w:val="20"/>
          <w:szCs w:val="20"/>
          <w:color w:val="auto"/>
        </w:rPr>
      </w:pPr>
      <w:r>
        <w:rPr>
          <w:rFonts w:ascii="Courier New" w:cs="Courier New" w:eastAsia="Courier New" w:hAnsi="Courier New"/>
          <w:sz w:val="15"/>
          <w:szCs w:val="15"/>
          <w:color w:val="auto"/>
        </w:rPr>
        <w:t>The Company incurred non-deductible goodwill amortization related to acquisitions. As a result, the Company's effective income tax rate (calculated based on the income taxes out of the income before income taxes, excluding non-recurring charges for write-offs of purchased in-process research and development and other indirect acquisition related costs) in the three and six months ended March 31, 2001 is significantly higher than the effective income tax rate in the three and six months ended March 31, 2000.</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340"/>
          </w:cols>
          <w:pgMar w:left="220" w:top="281" w:right="1339"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jc w:val="center"/>
        <w:ind w:right="3239"/>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UNAUDITED CONSOLIDATED FINANCIAL STATEMENTS -CONTINUED</w:t>
      </w:r>
    </w:p>
    <w:p>
      <w:pPr>
        <w:spacing w:after="0" w:line="166" w:lineRule="exact"/>
        <w:rPr>
          <w:sz w:val="20"/>
          <w:szCs w:val="20"/>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2" w:lineRule="exact"/>
        <w:rPr>
          <w:rFonts w:ascii="Courier New" w:cs="Courier New" w:eastAsia="Courier New" w:hAnsi="Courier New"/>
          <w:sz w:val="15"/>
          <w:szCs w:val="15"/>
          <w:color w:val="auto"/>
        </w:rPr>
      </w:pPr>
    </w:p>
    <w:p>
      <w:pPr>
        <w:ind w:left="44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22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980" w:type="dxa"/>
            <w:vAlign w:val="bottom"/>
          </w:tcPr>
          <w:p>
            <w:pPr>
              <w:spacing w:after="0"/>
              <w:rPr>
                <w:sz w:val="14"/>
                <w:szCs w:val="14"/>
                <w:color w:val="auto"/>
              </w:rPr>
            </w:pPr>
          </w:p>
        </w:tc>
        <w:tc>
          <w:tcPr>
            <w:tcW w:w="226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March 31,</w:t>
            </w:r>
          </w:p>
        </w:tc>
        <w:tc>
          <w:tcPr>
            <w:tcW w:w="20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3980" w:type="dxa"/>
            <w:vAlign w:val="bottom"/>
          </w:tcPr>
          <w:p>
            <w:pPr>
              <w:spacing w:after="0"/>
              <w:rPr>
                <w:sz w:val="14"/>
                <w:szCs w:val="14"/>
                <w:color w:val="auto"/>
              </w:rPr>
            </w:pPr>
          </w:p>
        </w:tc>
        <w:tc>
          <w:tcPr>
            <w:tcW w:w="226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rPr>
                <w:sz w:val="14"/>
                <w:szCs w:val="14"/>
                <w:color w:val="auto"/>
              </w:rPr>
            </w:pPr>
          </w:p>
        </w:tc>
        <w:tc>
          <w:tcPr>
            <w:tcW w:w="11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980" w:type="dxa"/>
            <w:vAlign w:val="bottom"/>
          </w:tcPr>
          <w:p>
            <w:pPr>
              <w:spacing w:after="0"/>
              <w:rPr>
                <w:sz w:val="14"/>
                <w:szCs w:val="14"/>
                <w:color w:val="auto"/>
              </w:rPr>
            </w:pPr>
          </w:p>
        </w:tc>
        <w:tc>
          <w:tcPr>
            <w:tcW w:w="11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9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$15,413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$27,989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$60,144</w:t>
            </w:r>
          </w:p>
        </w:tc>
      </w:tr>
      <w:tr>
        <w:trPr>
          <w:trHeight w:val="168"/>
        </w:trPr>
        <w:tc>
          <w:tcPr>
            <w:tcW w:w="398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Denominator for basic earnings per share-</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weighted average number of shares</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outstanding</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221,884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205,985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221,546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203,465</w:t>
            </w:r>
          </w:p>
        </w:tc>
      </w:tr>
      <w:tr>
        <w:trPr>
          <w:trHeight w:val="168"/>
        </w:trPr>
        <w:tc>
          <w:tcPr>
            <w:tcW w:w="39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Effect of dilutive stock options granted</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5,329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4,439</w:t>
            </w:r>
          </w:p>
        </w:tc>
      </w:tr>
      <w:tr>
        <w:trPr>
          <w:trHeight w:val="168"/>
        </w:trPr>
        <w:tc>
          <w:tcPr>
            <w:tcW w:w="398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Denominator for dilutive earnings per</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share -</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adjusted weighted average shares and</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98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assumed conversions</w:t>
            </w: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227,213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211,416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226,994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207,904</w:t>
            </w:r>
          </w:p>
        </w:tc>
      </w:tr>
      <w:tr>
        <w:trPr>
          <w:trHeight w:val="168"/>
        </w:trPr>
        <w:tc>
          <w:tcPr>
            <w:tcW w:w="398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per share</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68"/>
        </w:trPr>
        <w:tc>
          <w:tcPr>
            <w:tcW w:w="398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per share</w:t>
            </w:r>
          </w:p>
        </w:tc>
        <w:tc>
          <w:tcPr>
            <w:tcW w:w="11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$0.29</w:t>
            </w:r>
          </w:p>
        </w:tc>
      </w:tr>
      <w:tr>
        <w:trPr>
          <w:trHeight w:val="168"/>
        </w:trPr>
        <w:tc>
          <w:tcPr>
            <w:tcW w:w="3980" w:type="dxa"/>
            <w:vAlign w:val="bottom"/>
          </w:tcPr>
          <w:p>
            <w:pPr>
              <w:spacing w:after="0"/>
              <w:rPr>
                <w:sz w:val="14"/>
                <w:szCs w:val="14"/>
                <w:color w:val="auto"/>
              </w:rPr>
            </w:pPr>
          </w:p>
        </w:tc>
        <w:tc>
          <w:tcPr>
            <w:tcW w:w="11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 and Bell Canada formed a joint venture company to provide customer care and billing solutions to Bell Canada and some of its affiliated companies.</w:t>
      </w:r>
    </w:p>
    <w:p>
      <w:pPr>
        <w:spacing w:after="0" w:line="173" w:lineRule="exact"/>
        <w:rPr>
          <w:rFonts w:ascii="Courier New" w:cs="Courier New" w:eastAsia="Courier New" w:hAnsi="Courier New"/>
          <w:sz w:val="15"/>
          <w:szCs w:val="15"/>
          <w:color w:val="auto"/>
        </w:rPr>
      </w:pPr>
    </w:p>
    <w:p>
      <w:pPr>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joint venture company is owned 90% by Bell Canada and 10% by the Company. Commencing on the 30-month anniversary of the joint venture transaction, a convertible note issued by the joint venture to the Company is convertible into an additional 35% ownership interest in the joint venture. The relative ownership interests of the joint venture parties might be changed through a series of contractual conditions, commencing on the 30-month anniversary of the joint venture transaction.</w:t>
      </w:r>
    </w:p>
    <w:p>
      <w:pPr>
        <w:spacing w:after="0" w:line="175"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provide the customer care and billing software required by the joint venture, including customization, installation, maintenance and other services.</w:t>
      </w:r>
    </w:p>
    <w:p>
      <w:pPr>
        <w:ind w:left="3420" w:hanging="174"/>
        <w:spacing w:after="0" w:line="237" w:lineRule="auto"/>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Some of the information in this section contains forward looking statements that involve substantial risks and uncertainties. You can identify these statements by forward looking words such as "expect", "anticipate", "believe", "seek", "estimate" and similar words. Statements that we make in this section that are not statements of historical fact also may be forward looking statements. Forward looking statements are not guarantees of our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67" w:lineRule="exact"/>
        <w:rPr>
          <w:sz w:val="20"/>
          <w:szCs w:val="20"/>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six months and three months ended March 31, 2001 and 2000,</w:t>
      </w:r>
    </w:p>
    <w:p>
      <w:pPr>
        <w:spacing w:after="0" w:line="167" w:lineRule="exact"/>
        <w:rPr>
          <w:sz w:val="20"/>
          <w:szCs w:val="20"/>
          <w:color w:val="auto"/>
        </w:rPr>
      </w:pPr>
    </w:p>
    <w:p>
      <w:pPr>
        <w:ind w:left="440"/>
        <w:spacing w:after="0"/>
        <w:tabs>
          <w:tab w:leader="none" w:pos="860" w:val="left"/>
          <w:tab w:leader="none" w:pos="3840" w:val="left"/>
          <w:tab w:leader="none" w:pos="4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why those revenue and costs were</w:t>
        <w:tab/>
        <w:t>different</w:t>
      </w:r>
      <w:r>
        <w:rPr>
          <w:sz w:val="20"/>
          <w:szCs w:val="20"/>
          <w:color w:val="auto"/>
        </w:rPr>
        <w:tab/>
      </w:r>
      <w:r>
        <w:rPr>
          <w:rFonts w:ascii="Courier New" w:cs="Courier New" w:eastAsia="Courier New" w:hAnsi="Courier New"/>
          <w:sz w:val="14"/>
          <w:szCs w:val="14"/>
          <w:color w:val="auto"/>
        </w:rPr>
        <w:t>from period to period,</w:t>
      </w:r>
    </w:p>
    <w:p>
      <w:pPr>
        <w:spacing w:after="0" w:line="166"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2"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six months and three months ended March 31, 2001 and 2000,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341" w:lineRule="exact"/>
        <w:rPr>
          <w:sz w:val="20"/>
          <w:szCs w:val="20"/>
          <w:color w:val="auto"/>
        </w:rPr>
      </w:pPr>
    </w:p>
    <w:p>
      <w:pPr>
        <w:jc w:val="both"/>
        <w:ind w:left="440" w:right="3239" w:firstLine="437"/>
        <w:spacing w:after="0" w:line="235" w:lineRule="auto"/>
        <w:rPr>
          <w:sz w:val="20"/>
          <w:szCs w:val="20"/>
          <w:color w:val="auto"/>
        </w:rPr>
      </w:pPr>
      <w:r>
        <w:rPr>
          <w:rFonts w:ascii="Courier New" w:cs="Courier New" w:eastAsia="Courier New" w:hAnsi="Courier New"/>
          <w:sz w:val="15"/>
          <w:szCs w:val="15"/>
          <w:color w:val="auto"/>
        </w:rPr>
        <w:t>In this section, we also analyze and explain the six months to six months and three months to three months changes in the specific line items in the consolidated statements of operations. This section should be read in conjunction with our consolidated financial statements.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34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are a leading provider of software products and services to the communications industry. Our Business Support Systems ("BSS") consist of families of customized software products and services designed to meet the mission-critical needs of specific communications market sectors. We provide primarily Customer Care, Billing and Order Management Systems ("CC&amp;B Systems") for communications and service providers. Our systems support a wide range of communications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services, including wireline, wireless, broadband, electronic and mobile commerce and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the future, we may consider, as part of our strategy, acquisitions and other initiatives, in order to offer new products or services or otherwise enhance our market position or strategic strength.</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3" w:lineRule="exact"/>
        <w:rPr>
          <w:sz w:val="20"/>
          <w:szCs w:val="20"/>
          <w:color w:val="auto"/>
        </w:rPr>
      </w:pPr>
    </w:p>
    <w:p>
      <w:pPr>
        <w:jc w:val="both"/>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other related services provided to our customers and, to a lesser degree, from incremental license fees resulting from increases in a customer's subscribers.</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License revenue is primarily recognized as work is performed, using the percentage of completion method of accounting. Service revenue that involves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significant ongoing obligations, including fees for customization, implementation and initial support services, is also recognized as work is performed, under the percentage of completion method of accounting. In outsourcing contracts, revenue from operation and maintenance of customers' billing systems is recognized in the period in which the bills are produced. Revenue from ongoing support services is recognized as work is performed. Revenue from third party hardware and software sales is recognized upon installation and delivery, respectively. Maintenance revenue is recognized ratably over the term of the maintenance agreement. As a result of our percentage of completion accounting method, the size and timing of customer projects and our progress in completing such projects may significantly affect our annual and quarterly operating results.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License and service fee revenue from the sale of CC&amp;B Systems amounted to $634.5 million and $438.7 million in the six months ended March 31, 2001 and 2000, respectively, representing 88.8% and 86.7%, respectively, of our total revenue for such periods. License and service fee revenue from the sale of CC&amp;B Systems amounted to $327.9 million and $233.9 million in the three months ended March 31, 2001 and 2000, respectively, representing 88.1% and 86.4%, respectively, of our total revenue for such periods.</w:t>
      </w:r>
    </w:p>
    <w:p>
      <w:pPr>
        <w:spacing w:after="0" w:line="176"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We believe that the demand for CC&amp;B Systems will continue to increase due to, among other key factors:</w:t>
      </w:r>
    </w:p>
    <w:p>
      <w:pPr>
        <w:spacing w:after="0" w:line="167" w:lineRule="exact"/>
        <w:rPr>
          <w:sz w:val="20"/>
          <w:szCs w:val="20"/>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growth and globalization of the communications market,</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intensifying competition among communications carriers,</w:t>
      </w:r>
    </w:p>
    <w:p>
      <w:pPr>
        <w:spacing w:after="0" w:line="172" w:lineRule="exact"/>
        <w:rPr>
          <w:rFonts w:ascii="Courier New" w:cs="Courier New" w:eastAsia="Courier New" w:hAnsi="Courier New"/>
          <w:sz w:val="15"/>
          <w:szCs w:val="15"/>
          <w:color w:val="auto"/>
        </w:rPr>
      </w:pPr>
    </w:p>
    <w:p>
      <w:pPr>
        <w:jc w:val="both"/>
        <w:ind w:left="700" w:right="3399" w:hanging="253"/>
        <w:spacing w:after="0" w:line="235"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changes, such as the introduction of wireless Internet services via GPRS (General Packet Radio Services) and UMTS (Universal Mobile Telecommunications System) technology,</w:t>
      </w:r>
    </w:p>
    <w:p>
      <w:pPr>
        <w:spacing w:after="0" w:line="173" w:lineRule="exact"/>
        <w:rPr>
          <w:rFonts w:ascii="Courier New" w:cs="Courier New" w:eastAsia="Courier New" w:hAnsi="Courier New"/>
          <w:sz w:val="15"/>
          <w:szCs w:val="15"/>
          <w:color w:val="auto"/>
        </w:rPr>
      </w:pPr>
    </w:p>
    <w:p>
      <w:pPr>
        <w:ind w:left="700" w:right="3399" w:hanging="253"/>
        <w:spacing w:after="0" w:line="234" w:lineRule="auto"/>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proliferation of new communications products and services, especially IP and data services, and</w:t>
      </w:r>
    </w:p>
    <w:p>
      <w:pPr>
        <w:spacing w:after="0" w:line="166" w:lineRule="exact"/>
        <w:rPr>
          <w:rFonts w:ascii="Courier New" w:cs="Courier New" w:eastAsia="Courier New" w:hAnsi="Courier New"/>
          <w:sz w:val="15"/>
          <w:szCs w:val="15"/>
          <w:color w:val="auto"/>
        </w:rPr>
      </w:pPr>
    </w:p>
    <w:p>
      <w:pPr>
        <w:ind w:left="700" w:hanging="253"/>
        <w:spacing w:after="0"/>
        <w:tabs>
          <w:tab w:leader="none" w:pos="7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 and outsourcing.</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also believe that a key driver of demand is the continuing trend for communications service providers to offer to their subscribers multiple service packages, commonly referred to as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convergent services (combinations of voice, broadband, electronic and mobile commerce and IP services).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Another significant current market trend impacting our business is the growth of the IP services market. The emergence and expansion of IP services in both wireline and mobile environments creates significant opportunities for companies like us that offer CC&amp;B Systems. Specifically, the development of this market permits us to offer our CC&amp;B Systems to new customers and to enhance our offerings to existing customers to facilitate their entry into the IP services market.</w:t>
      </w:r>
    </w:p>
    <w:p>
      <w:pPr>
        <w:spacing w:after="0" w:line="176"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addition, we believe that our CC&amp;B solutions can enable communications and IP service providers to improve productivity and reduce costs.</w:t>
      </w:r>
    </w:p>
    <w:p>
      <w:pPr>
        <w:spacing w:after="0" w:line="16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Although we believe that we are a leading provider of Directory Systems in most of the markets that we serve, revenue from this business is not expected to grow significantly.</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License and service fee revenue from the sale of Directory Systems totaled $79.9 million and $67.6 million in the six months ended March 31, 2001 and 2000, respectively, accounting for 11.2% and 13.3%, respectively, of our total revenue for such periods. License and service fee revenue from the sale of Directory Systems totaled $44.4 million and $36.9 million in the three months ended March 31, 2001 and 2000, respectively, accounting for 11.9% and 13.6%, respectively, of our total revenue for such periods.</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expect that the demand for our Directory Systems will grow moderately in future periods but that the contribution to total revenue, as a percentage of revenue, of license and service fees from Directory Systems services will continue to decrease over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 development activities to keep abreast of new technologies in the communications and IP market. Research and development expenditures amounted to $48.7 million and $32.7 million in the six months ended March 31, 2001 and 2000, respectively, representing 6.8% and 6.5% of our revenue in these periods, respectively. Research and development expenditures amounted to $25.2 million and $17.7 million in the three months ended March 31, 2001 and 2000, respectively, representing 6.8% and 6.5% of our revenue in these periods, respectively. In the next several years we intend to continue to make substantial investments in our research and development activities.</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 our BSS offerings make it very difficult to copy such information or to subject such information to unauthorized use. We maintain sole ownership of our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2001 we formed a joint venture company with Bell Canada to provide customer care and billing solutions to Bell Canada and some of its affiliated companies. The joint venture company is owned 90% by Bell Canada and 10% by us. Commencing on the 30-month anniversary of the joint venture transaction, a convertible note issued by the joint venture to us is convertible into an additional 35% ownership interest in the joint venture. The relative ownership interests of the joint venture parties might be changed through a series of contractual conditions, commencing on the 30-month anniversary of the joint venture transaction. We will provide the customer care and billing software required by the joint venture, including customization, installation, maintenance and other services.</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following table sets forth for the six and three months ended March 31, 2001 and 2000, certain items in our consolidated statements of income reflected as a percentage of total revenue:</w:t>
      </w:r>
    </w:p>
    <w:p>
      <w:pPr>
        <w:spacing w:after="0" w:line="200" w:lineRule="exact"/>
        <w:rPr>
          <w:sz w:val="20"/>
          <w:szCs w:val="20"/>
          <w:color w:val="auto"/>
        </w:rPr>
      </w:pPr>
    </w:p>
    <w:p>
      <w:pPr>
        <w:spacing w:after="0" w:line="304"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Six months ended</w:t>
            </w:r>
          </w:p>
        </w:tc>
        <w:tc>
          <w:tcPr>
            <w:tcW w:w="13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28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Pro forma (*)</w:t>
            </w:r>
          </w:p>
        </w:tc>
        <w:tc>
          <w:tcPr>
            <w:tcW w:w="6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As reported</w:t>
            </w:r>
          </w:p>
        </w:tc>
      </w:tr>
      <w:tr>
        <w:trPr>
          <w:trHeight w:val="168"/>
        </w:trPr>
        <w:tc>
          <w:tcPr>
            <w:tcW w:w="3380" w:type="dxa"/>
            <w:vAlign w:val="bottom"/>
          </w:tcPr>
          <w:p>
            <w:pPr>
              <w:spacing w:after="0"/>
              <w:rPr>
                <w:sz w:val="14"/>
                <w:szCs w:val="14"/>
                <w:color w:val="auto"/>
              </w:rPr>
            </w:pPr>
          </w:p>
        </w:tc>
        <w:tc>
          <w:tcPr>
            <w:tcW w:w="284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License</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88.6</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88.8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88.8</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100.0</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license</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0.4</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service</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55.7</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58.3</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12.8</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purchased intangible assets</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In-process research and</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development and other</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indirect acquisition related</w:t>
            </w: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costs</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75.7</w:t>
            </w:r>
          </w:p>
        </w:tc>
        <w:tc>
          <w:tcPr>
            <w:tcW w:w="15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77.1</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81.6</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24.3</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22.9</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0.5</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25.8</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23.4</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7.0</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338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239" w:hanging="430"/>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International Telecommunications Data Services, Inc. ("ITDS") and Solect Technology Group Inc. ("Solect") in fiscal year 2000. The pro forma financial information excludes purchased in-process research and development charges and other indirect acquisition related costs, amortization of goodwill and purchased intangible assets and related tax effects attributable, for 2000, to the acquisition of ITDS (the "ITDS acquisition related charges") and for 2001, to the acquisitions of both ITDS and Solect (the "ITDS and Solect acquisition related charges").</w:t>
      </w:r>
    </w:p>
    <w:p>
      <w:pPr>
        <w:spacing w:after="0" w:line="159" w:lineRule="exact"/>
        <w:rPr>
          <w:rFonts w:ascii="Courier New" w:cs="Courier New" w:eastAsia="Courier New" w:hAnsi="Courier New"/>
          <w:sz w:val="14"/>
          <w:szCs w:val="14"/>
          <w:color w:val="auto"/>
        </w:rPr>
      </w:pPr>
    </w:p>
    <w:p>
      <w:pPr>
        <w:ind w:left="3420" w:hanging="174"/>
        <w:spacing w:after="0"/>
        <w:tabs>
          <w:tab w:leader="none" w:pos="3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03"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Three months ended</w:t>
            </w:r>
          </w:p>
        </w:tc>
        <w:tc>
          <w:tcPr>
            <w:tcW w:w="76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364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21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Pro forma (*)</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As reported</w:t>
            </w:r>
          </w:p>
        </w:tc>
      </w:tr>
      <w:tr>
        <w:trPr>
          <w:trHeight w:val="168"/>
        </w:trPr>
        <w:tc>
          <w:tcPr>
            <w:tcW w:w="3200" w:type="dxa"/>
            <w:vAlign w:val="bottom"/>
          </w:tcPr>
          <w:p>
            <w:pPr>
              <w:spacing w:after="0"/>
              <w:rPr>
                <w:sz w:val="14"/>
                <w:szCs w:val="14"/>
                <w:color w:val="auto"/>
              </w:rPr>
            </w:pPr>
          </w:p>
        </w:tc>
        <w:tc>
          <w:tcPr>
            <w:tcW w:w="21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2001</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License</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11.6%</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88.8</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88.8</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100.0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license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of service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55.4</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57.7</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w:t>
            </w: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6.5</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12.3</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3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goodwill and</w:t>
            </w: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2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purchased intangible assets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75.4</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77.0</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90.0</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77.8</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0.8</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23.8</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2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239" w:hanging="433"/>
        <w:spacing w:after="0" w:line="234"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excludes ITDS acquisition related charges and ITDS and Solect acquisition related charges.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Six Months Ended March 31, 2001 and 2000</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Revenue. Revenue for the six months ended March 31, 2001 was $714.5 million, an increase of $208.2 million, or 41.1%, over the six months ended March 31, 2000. The increase in revenue was due to the continued growth in the demand for our CC&amp;B Systems solutions in our traditional target markets of high-end and mid-tier communications companies. License revenue increased from $56.9 million in the six months ended March 31, 2000 to $81.4 million during the six months ended March 31, 2001, an increase of 42.9%, and service revenue increased 40.9% from $449.3 million in the six months ended March 31, 2000 to $633.1 million in the six months ended March 31, 2001. Total CC&amp;B Systems revenue for the six months ended March 31, 2001 was $634.5 million, an increase of $195.8 million, or 44.6%, over the six months ended March 31, 2000. In the six months ended March 31, 2001,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and IP services. Revenue from Directory Systems was $79.9 million for the six months ended March 31, 2001, an increase of $12.4 million, or 18.3%, over the six months ended March 31, 2000. The increase is primarily attributable to extension of agreements and additional services rendered to existing customers.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the six months ended March 31, 2001, revenue from customers in North America, Europe and the rest of the world accounted for 53.4%, 36.1% and 10.5%, respectively, compared to 45.8%, 41.3% and 12.9%, respectively, for the six months ended March 31, 2000. The growth in North America was primarily attributable to revenue we gained from forming or expanding relationships with new or existing customers in North America in the six months ended March 31, 2001.</w:t>
      </w:r>
    </w:p>
    <w:p>
      <w:pPr>
        <w:spacing w:after="0" w:line="17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Cost of License. Cost of license for the six months ended March 31, 2001 was $3.0 million, an increase of $0.3 million, or 12.2%, over the cost of license for the six months ended March 31, 2000. Cost of license includes amortization of purchased computer software and intellectual property rights.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increase in cost of license was attributable primarily to new purchases of computer software and the related amortization.</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Cost of Service. Cost of service for the six months ended March 31, 2001 was $397.9 million, an increase of $102.8 million, or 34.8%, over the cost of service of $295.1 million for the six months ended March 31, 2000. As a percentage of revenue, cost of service decreased to 55.7% in the six months ended March 31, 2001 from 58.3% in the six months ended March 31, 2000. The decrease in cost of service as a percentage of revenue is primarily due to increase in our operational efficiency in the six months ended March 31, 2001.</w:t>
      </w:r>
    </w:p>
    <w:p>
      <w:pPr>
        <w:spacing w:after="0" w:line="16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either in conjunction with customer projects or as part of our product development program. In the six months ended March 31, 2001, research and development expense was $48.7 million, or 6.8% of revenue, compared with $32.7 million, or 6.5% of revenue, in the six months ended March 31, 2000. The bulk of the increase represents ongoing expenditures primarily for CC&amp;B Systems, with the balance attributable to Directory Systems.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52.2% to $91.6 million, or 12.8% of revenue, in the six months ended March 31, 2001 from $60.2 million, or 11.8% of revenue, in the six months ended March 31, 2000. The increase is primarily attributable to the increase in our selling and marketing efforts in the six months ended March 31, 2001.</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six months ended March 31, 2001 was $108.3 million, compared to $2.8 million in the six months ended March 31, 2000. Amortization of goodwill and purchased intangible assets in the six months ended March 31, 2001 relates to the acquisitions of ITDS and Solect, compared to amortization in the six months ended March 31, 2000 which relates to the acquisition solely of ITDS.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In-process Research and Development and Other Indirect Acquisition Related Costs. In-process research and development and other indirect acquisition related costs in the six months ended March 31, 2000 consisted of a one-time charge of $19.9 million for write-off of purchased in-process research and development related to the acquisition of ITDS.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Operating Income. Operating income in the six months ended March 31, 2001, was $64.9 million, compared to $93.0 million in the six months ended March 31, 2000, a decrease of 30.2%, primarily due to Solect acquisition related charges. Pro forma operating income for the six months ended March 31, 2001, excluding the ITDS and Solect acquisitions related charges, was $173.2 million, or 24.3% of revenue, compared to $115.7 million, or 22.9% of revenue, for the six months ended March 31, 2000, an increase of 49.8%.</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Other Income, Net. In the six months ended March 31, 2001, other income, net, was $10.7 million, an increase of $8.0 million over the six months ended March 31, 2000. The increase in other income, net, is primarily attributed to increases in interest earned on cash equivalents and short-term interest-bearing investments.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Income Taxes. Income taxes in the six months ended March 31, 2001 were $47.6 million on income before income taxes of $75.5 million. Our effective tax rate (calculated based on the income taxes out of the income before income taxes, excluding non recurring charges for write-offs of purchased in-process research and development and other indirect acquisition related costs) in the six months ended March 31, 2001 was 63%, resulting from the non-cash amortization of goodwill related to acquisitions, much of which is not tax deductible. The pro forma effective tax rate for the six months ended March 31, 2001, excluding ITDS and Solect acquisition related charges, was 30%. In the six months ended March 31, 2000, income taxes were $35.5 million on income before taxes of $95.6 million. In the six months ended March 31, 2000, the effective tax rate was 37%. See discussion below - "Effective Tax Rate".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Income. Net income was $28.0 million in the six months ended March 31, 2001, compared to $60.1 million in the six months ended March 31, 2000. Net income was 3.9% of revenue for the six months ended March 31, 2001, compared to 11.9% for the six months ended March 31, 2000. Pro forma net income in the six months ended March 31, 2001, excluding ITDS and Solect acquisition related charges, increased by 55.4% over the six months ended March 31, 2000, reaching $128.7 million, representing 18.0% of revenue.</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Diluted Earnings per Share. Diluted earnings per share were $0.12_for the six months ended March 31, 2001, compared to $0.29 in the six months ended March 31, 2000. Pro forma diluted earnings per share in the six months ended March 31, 2001, excluding ITDS and Solect acquisition related charges, increased by 42.5% from the six months ended March 31, 2000, reaching $0.57 per diluted share.</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Three Months Ended March 31, 2001 and 2000</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Revenue. Revenue for the three months ended March 31, 2001 was $372.3 million, an increase of $101.5 million, or 37.5%, over the three months ended March 31, 2000. The increase in revenue was due to the continued growth in the demand for our CC&amp;B Systems solutions in our traditional target markets of high-end and mid-tier communications companies. License revenue increased from $30.4 million in the three months ended March 31, 2000 to $43.3 million during the three months ended March 31, 2001, an increase of 42.2%, and service revenue increased 36.9% from $240.3 million in the three months ended March 31, 2000 to $329.0 million in the three months ended March 31, 2001. Total CC&amp;B Systems revenue for the three months ended March 31, 2001 was $327.9 million, an increase of $94.0 million, or 40.2%, over the three months ended March 31, 2000. In the three months ended March 31, 2001, the demand for our CC&amp;B Systems was primarily driven by the need for communications companies to upgrade their customer care, billing and order management systems in response to growth in their subscriber base, increased competition in the subscriber markets, and the need to offer convergent and IP services. Revenue from Directory Systems was $44.4 million for the three months ended March 31, 2001, an increase of $7.5 million, or 20.4%, over the three months ended March 31, 2000. The increase is primarily attributable to extension of agreements and additional services rendered to existing customers.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In the three months ended March 31, 2001, revenue from customers in North America, Europe and the rest of the world accounted for 52.8%, 35.7% and 11.5%, respectively, compared to 51.5%, 38.9% and 9.6%, respectively, for the three months ended March 31, 2000. The growth in North America was primarily attributable to revenue we gained from forming or expanding relationships with new or existing customers in North America in the three months ended March 31, 2001.</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Cost of License. Cost of license for the three months ended March 31, 2001 was $1.3 million, a decrease of $0.2 million, or 11.2%, over the cost of license for the three months ended March 31, 2000. Cost of license includes amortization of purchased computer software and intellectual property rights. The decrease in cost of license was attributable primarily to the reduction in the required amortization of purchased computer software.</w:t>
      </w:r>
    </w:p>
    <w:p>
      <w:pPr>
        <w:spacing w:after="0" w:line="175"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Cost of Service. Cost of service for the three months ended March 31, 2001 was $206.2 million, an increase of $49.9 million, or 31.9%, over the cost of service of $156.3 million for the three months ended March 31, 2000. As a percentage of revenue, cost of service decreased to 55.4% in the three months ended March 31, 2001 from 57.7% in the three months ended March 31, 2000. The decrease in cost of service as a percentage of revenue is primarily due to increase in our operational efficiency in the three months ended March 31, 2001.</w:t>
      </w:r>
    </w:p>
    <w:p>
      <w:pPr>
        <w:spacing w:after="0" w:line="166"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either in conjunction with customer projects or as part of our product development program. In the three months ended March 31, 2001, research and development expense was $25.2 million, or 6.8% of revenue, compared with $17.7 million, or 6.5% of revenue, in the three months ended March 31, 2000. The bulk of the increase represents ongoing expenditures primarily for CC&amp;B Systems, with the balance attributable to Directory Systems.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45.6% to $48.2 million, or 12.9% of revenue, in the three months ended March 31, 2001 from $33.1 million, or 12.3% of revenue, in the three months ended March 31, 2000. The increase is primarily attributable to the increase in our selling and marketing efforts in the three months ended March 31, 2001.</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three months ended March 31, 2001 was $54.2 million, compared to $2.1 million in the three months ended March 31, 2000. Amortization of goodwill and purchased intangible assets in the three months ended March 31, 2001 relates to the acquisition of both ITDS and Solect compared to amortization in the three months ended March 31, 2000 which relates to the acquisition solely of ITDS.</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Operating Income. Operating income in the three months ended March 31, 2001, was $37.4 million, compared to $60.1 million in the three months ended March 31, 2000, a decrease of 37.9%, primarily due to Solect acquisition related charges. Pro forma operating income for the three months ended March 31, 2001, excluding ITDS and Solect acquisition related charges, was $91.5 million, or 24.6% of revenue, compared to $62.2 million, or 23.0% of revenue, for the three months ended March 31, 2000, an increase of 47.1%.</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Other Income, Net. In the three months ended March 31, 2001, other income, net, was $5.1 million, an increase of $2.8 million over the three months ended March 31, 2000. The increase in other income, net, is primarily attributed to increases in interest earned on cash equivalents and short-term interest-bearing investments.</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Income Taxes. Income taxes in the three months ended March 31, 2001 were $27.0 million on income before income taxes of $42.5 million. Our effective tax rate (calculated based on the income taxes out of the income before income taxes, excluding non recurring charges for write-offs of purchased in-process research and development and other indirect acquisition related costs) in the three months ended March 31, 2001 was 64%, resulting from the non-cash amortization of goodwill related to acquisitions, much of which is not tax deductible. The pro forma effective tax rate for the three months ended March 31, 2001, excluding ITDS and Solect acquisition related charges, was 30%. In the three months ended March 31, 2000, income taxes were $19.6 million on income before taxes of $62.4 million. In the three months ended March 31, 2000, the effective tax rate was 31%. See discussion below - "Effective Tax Rate".</w:t>
      </w:r>
    </w:p>
    <w:p>
      <w:pPr>
        <w:spacing w:after="0" w:line="16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Net Income. Net income was $15.4 million in the three months ended March 31, 2001, compared to $42.9 million in the three months ended March 31, 2000. Net income was 4.1% of revenue for the three months ended March 31, 2001, compared to 15.8% for the three months ended March 31, 2000. Pro forma net income in the three months ended March 31, 2001, excluding ITDS and Solect acquisition related charges, increased by 49.7% over the three months ended March 31, 2000, reaching $67.6 million, representing 18.2% of revenue.</w:t>
      </w:r>
    </w:p>
    <w:p>
      <w:pPr>
        <w:spacing w:after="0" w:line="176"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Diluted Earnings per Share. Diluted earnings per share were $0.07 for the three months ended March 31, 2001, compared to $0.20 in the three months ended March 31, 2000. Pro forma diluted earnings per share in the three months ended March 31, 2001, excluding ITDS and Solect acquisition related charges, increased by 42.9% from the three months ended March 31, 2000, reaching $0.30 per diluted share.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gridSpan w:val="6"/>
          </w:tcPr>
          <w:p>
            <w:pPr>
              <w:spacing w:after="0"/>
              <w:rPr>
                <w:sz w:val="20"/>
                <w:szCs w:val="20"/>
                <w:color w:val="auto"/>
              </w:rPr>
            </w:pPr>
            <w:r>
              <w:rPr>
                <w:rFonts w:ascii="Courier New" w:cs="Courier New" w:eastAsia="Courier New" w:hAnsi="Courier New"/>
                <w:sz w:val="15"/>
                <w:szCs w:val="15"/>
                <w:color w:val="auto"/>
                <w:w w:val="99"/>
              </w:rPr>
              <w:t>Liquidity and Capital Resources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4940" w:type="dxa"/>
            <w:vAlign w:val="bottom"/>
            <w:gridSpan w:val="11"/>
          </w:tcPr>
          <w:p>
            <w:pPr>
              <w:ind w:left="80"/>
              <w:spacing w:after="0"/>
              <w:rPr>
                <w:sz w:val="20"/>
                <w:szCs w:val="20"/>
                <w:color w:val="auto"/>
              </w:rPr>
            </w:pPr>
            <w:r>
              <w:rPr>
                <w:rFonts w:ascii="Courier New" w:cs="Courier New" w:eastAsia="Courier New" w:hAnsi="Courier New"/>
                <w:sz w:val="15"/>
                <w:szCs w:val="15"/>
                <w:color w:val="auto"/>
                <w:w w:val="99"/>
              </w:rPr>
              <w:t>Cash, cash equivalents and short-term interest-bearing</w:t>
            </w: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investments totaled</w:t>
            </w:r>
          </w:p>
        </w:tc>
      </w:tr>
      <w:tr>
        <w:trPr>
          <w:trHeight w:val="168"/>
        </w:trPr>
        <w:tc>
          <w:tcPr>
            <w:tcW w:w="334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$468.1 million as of March 31, 2001,</w:t>
            </w:r>
          </w:p>
        </w:tc>
        <w:tc>
          <w:tcPr>
            <w:tcW w:w="1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compared to $402.3</w:t>
            </w:r>
          </w:p>
        </w:tc>
        <w:tc>
          <w:tcPr>
            <w:tcW w:w="2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million as of September</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30,</w:t>
            </w:r>
          </w:p>
        </w:tc>
        <w:tc>
          <w:tcPr>
            <w:tcW w:w="272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2000. The increase is primarily</w:t>
            </w:r>
          </w:p>
        </w:tc>
        <w:tc>
          <w:tcPr>
            <w:tcW w:w="39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attributable to cash flows from operations.</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24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cash provided by operating</w:t>
            </w:r>
          </w:p>
        </w:tc>
        <w:tc>
          <w:tcPr>
            <w:tcW w:w="42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activities amounted to $124.9 million and $128.0</w:t>
            </w: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million</w:t>
            </w:r>
          </w:p>
        </w:tc>
        <w:tc>
          <w:tcPr>
            <w:tcW w:w="1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for the six months</w:t>
            </w:r>
          </w:p>
        </w:tc>
        <w:tc>
          <w:tcPr>
            <w:tcW w:w="166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ended March 31,</w:t>
            </w:r>
          </w:p>
        </w:tc>
        <w:tc>
          <w:tcPr>
            <w:tcW w:w="1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2001 and 2000,</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respectively.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reduction</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77"/>
              </w:rPr>
              <w:t>in</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flows</w:t>
            </w: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from</w:t>
            </w:r>
          </w:p>
        </w:tc>
        <w:tc>
          <w:tcPr>
            <w:tcW w:w="12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operations</w:t>
            </w:r>
          </w:p>
        </w:tc>
        <w:tc>
          <w:tcPr>
            <w:tcW w:w="29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was  principally  due to increases</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in</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working</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capital,</w:t>
            </w:r>
          </w:p>
        </w:tc>
        <w:tc>
          <w:tcPr>
            <w:tcW w:w="124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principally</w:t>
            </w:r>
          </w:p>
        </w:tc>
        <w:tc>
          <w:tcPr>
            <w:tcW w:w="392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8"/>
              </w:rPr>
              <w:t>from accounts receivable offset by increased</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net</w:t>
            </w: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income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before</w:t>
            </w:r>
          </w:p>
        </w:tc>
        <w:tc>
          <w:tcPr>
            <w:tcW w:w="12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depreciation</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and</w:t>
            </w:r>
          </w:p>
        </w:tc>
        <w:tc>
          <w:tcPr>
            <w:tcW w:w="13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w:t>
            </w:r>
          </w:p>
        </w:tc>
        <w:tc>
          <w:tcPr>
            <w:tcW w:w="2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significant portion of</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our</w:t>
            </w:r>
          </w:p>
        </w:tc>
        <w:tc>
          <w:tcPr>
            <w:tcW w:w="43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9"/>
              </w:rPr>
              <w:t>cash flow from operations  during the six months</w:t>
            </w:r>
          </w:p>
        </w:tc>
        <w:tc>
          <w:tcPr>
            <w:tcW w:w="6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March 31, 2001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was</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used</w:t>
            </w:r>
          </w:p>
        </w:tc>
        <w:tc>
          <w:tcPr>
            <w:tcW w:w="664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9"/>
              </w:rPr>
              <w:t>to invest in cash equivalents and short-term interest-bearing investments.</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We</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currently</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intend</w:t>
            </w: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retain</w:t>
            </w:r>
          </w:p>
        </w:tc>
        <w:tc>
          <w:tcPr>
            <w:tcW w:w="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our</w:t>
            </w:r>
          </w:p>
        </w:tc>
        <w:tc>
          <w:tcPr>
            <w:tcW w:w="7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6"/>
              </w:rPr>
              <w:t>future</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earnings</w:t>
            </w:r>
          </w:p>
        </w:tc>
        <w:tc>
          <w:tcPr>
            <w:tcW w:w="20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to support the further</w:t>
            </w:r>
          </w:p>
        </w:tc>
      </w:tr>
      <w:tr>
        <w:trPr>
          <w:trHeight w:val="168"/>
        </w:trPr>
        <w:tc>
          <w:tcPr>
            <w:tcW w:w="23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expansion of our business.</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-16-</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of March 31, 2001, we had positive working capital of $436.1 million, compared to positive working capital of $319.0 million as of September 30, 2000. The increase is primarily attributed to cash generated from operating activities. We believe that current cash balances, cash generated from operations and our current lines of credit will provide sufficient resources to meet our needs in the near future.</w:t>
      </w:r>
    </w:p>
    <w:p>
      <w:pPr>
        <w:spacing w:after="0" w:line="175"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As of March 31, 2001, we had short-term revolving lines of credit totaling $141.0 million from various banks or bank groups, none of which was outstanding.</w:t>
      </w:r>
    </w:p>
    <w:p>
      <w:pPr>
        <w:spacing w:after="0" w:line="16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March 31, 2001, we also had utilized approximately $22.6 million of revolving credit facilities to support outstanding letters of credit or bank guarantees.</w:t>
      </w:r>
    </w:p>
    <w:p>
      <w:pPr>
        <w:spacing w:after="0" w:line="174"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of March 31, 2001, we had outstanding long-term obligations of $33.6 million in connection with leasing arrangements. Currently, our capital expenditures consist primarily of computer equipment and vehicles and are funded principally by operating cash flows and capital leasing arrangements. We do not anticipate any change to this policy in the foreseeable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As of March 31, 2001, deferred tax assets of $20.6 million, derived primarily from carry-forward net operating losses relating to Solect pre-acquisition losses, were offset by valuation allowances due to the uncertainty of realizing any tax benefit for such losses. Upon the subsequent realization of any such net operating losses, the valuation allowance will be released, resulting primarily in an offsetting reduction of the goodwill recorded in the Solect acquisition.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corporate income tax rates in the various countries in which we operate and the relative magnitude of our business in those countries. Our consolidated effective tax rate (calculated based on the income taxes out of the income before income taxes, excluding non recurring charges for write-offs of purchased in-process research and development and other indirect acquisition related costs) for the six months ended March 31, 2001 was 63%, compared to 37% in the six months ended March 31, 2000. This higher effective tax rate was attributable to amortization of goodwill related to our acquisitions, much of which is not tax deductible. Excluding the impact of ITDS and Solect acquisition related charges, the effective tax rate for the six months ended March 31, 2001 was 30%.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Approximately 90% of our revenue is in U.S. dollars or linked to the dollar and therefore the dollar is our functional currency. Approximately 60% of our operating expenses is paid in dollars or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If we expand our operations outside of the United States, our exposure to fluctuations in currency exchange rates could increase. In managing our foreign exchange risk, we enter from time to time into various foreign exchange contracts. As of March 31, 2001, we had hedged most of our significant exposures in currencies other than the dollar.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66" w:lineRule="exact"/>
        <w:rPr>
          <w:sz w:val="20"/>
          <w:szCs w:val="20"/>
          <w:color w:val="auto"/>
        </w:rPr>
      </w:pPr>
    </w:p>
    <w:p>
      <w:pPr>
        <w:ind w:left="800" w:hanging="790"/>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April 23, 2001.</w:t>
      </w:r>
    </w:p>
    <w:p>
      <w:pPr>
        <w:spacing w:after="0" w:line="170" w:lineRule="exact"/>
        <w:rPr>
          <w:sz w:val="20"/>
          <w:szCs w:val="20"/>
          <w:color w:val="auto"/>
        </w:rPr>
      </w:pPr>
    </w:p>
    <w:p>
      <w:pPr>
        <w:sectPr>
          <w:pgSz w:w="11900" w:h="16838" w:orient="portrait"/>
          <w:cols w:equalWidth="0" w:num="2">
            <w:col w:w="1380" w:space="720"/>
            <w:col w:w="8139"/>
          </w:cols>
          <w:pgMar w:left="220" w:top="281" w:right="1440" w:bottom="1440" w:gutter="0" w:footer="0" w:header="0"/>
          <w:type w:val="continuous"/>
        </w:sectPr>
      </w:pPr>
    </w:p>
    <w:p>
      <w:pPr>
        <w:ind w:left="800" w:hanging="790"/>
        <w:spacing w:after="0"/>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2" w:lineRule="exact"/>
        <w:rPr>
          <w:rFonts w:ascii="Courier New" w:cs="Courier New" w:eastAsia="Courier New" w:hAnsi="Courier New"/>
          <w:sz w:val="15"/>
          <w:szCs w:val="15"/>
          <w:color w:val="auto"/>
        </w:rPr>
      </w:pPr>
    </w:p>
    <w:p>
      <w:pPr>
        <w:ind w:left="80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the following reports on Form 6-K during the three months ended March 31, 2001:</w:t>
      </w:r>
    </w:p>
    <w:p>
      <w:pPr>
        <w:spacing w:after="0" w:line="173" w:lineRule="exact"/>
        <w:rPr>
          <w:sz w:val="20"/>
          <w:szCs w:val="20"/>
          <w:color w:val="auto"/>
        </w:rPr>
      </w:pPr>
    </w:p>
    <w:p>
      <w:pPr>
        <w:ind w:left="3340" w:right="6039" w:hanging="2543"/>
        <w:spacing w:after="0" w:line="516" w:lineRule="auto"/>
        <w:tabs>
          <w:tab w:leader="none" w:pos="1416"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6-K dated February 1, 2001. -18-</w:t>
      </w:r>
    </w:p>
    <w:p>
      <w:pPr>
        <w:sectPr>
          <w:pgSz w:w="11900" w:h="16838" w:orient="portrait"/>
          <w:cols w:equalWidth="0" w:num="1">
            <w:col w:w="10239"/>
          </w:cols>
          <w:pgMar w:left="220" w:top="28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jc w:val="right"/>
        <w:ind w:right="6299"/>
        <w:spacing w:after="0" w:line="237" w:lineRule="auto"/>
        <w:rPr>
          <w:sz w:val="20"/>
          <w:szCs w:val="20"/>
          <w:color w:val="auto"/>
        </w:rPr>
      </w:pPr>
      <w:r>
        <w:rPr>
          <w:rFonts w:ascii="Courier New" w:cs="Courier New" w:eastAsia="Courier New" w:hAnsi="Courier New"/>
          <w:sz w:val="15"/>
          <w:szCs w:val="15"/>
          <w:color w:val="auto"/>
        </w:rPr>
        <w:t>SIGNATURES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tabs>
          <w:tab w:leader="none" w:pos="940" w:val="left"/>
          <w:tab w:leader="none" w:pos="1640" w:val="left"/>
          <w:tab w:leader="none" w:pos="2240" w:val="left"/>
        </w:tabs>
        <w:rPr>
          <w:sz w:val="20"/>
          <w:szCs w:val="20"/>
          <w:color w:val="auto"/>
        </w:rPr>
      </w:pPr>
      <w:r>
        <w:rPr>
          <w:rFonts w:ascii="Courier New" w:cs="Courier New" w:eastAsia="Courier New" w:hAnsi="Courier New"/>
          <w:sz w:val="15"/>
          <w:szCs w:val="15"/>
          <w:color w:val="auto"/>
        </w:rPr>
        <w:t>Exchange</w:t>
        <w:tab/>
        <w:t>Act of</w:t>
        <w:tab/>
        <w:t>1934,</w:t>
      </w:r>
      <w:r>
        <w:rPr>
          <w:sz w:val="20"/>
          <w:szCs w:val="20"/>
          <w:color w:val="auto"/>
        </w:rPr>
        <w:tab/>
      </w:r>
      <w:r>
        <w:rPr>
          <w:rFonts w:ascii="Courier New" w:cs="Courier New" w:eastAsia="Courier New" w:hAnsi="Courier New"/>
          <w:sz w:val="14"/>
          <w:szCs w:val="14"/>
          <w:color w:val="auto"/>
        </w:rPr>
        <w:t>the</w:t>
      </w:r>
    </w:p>
    <w:p>
      <w:pPr>
        <w:spacing w:after="0"/>
        <w:tabs>
          <w:tab w:leader="none" w:pos="680" w:val="left"/>
          <w:tab w:leader="none" w:pos="1360" w:val="left"/>
        </w:tabs>
        <w:rPr>
          <w:sz w:val="20"/>
          <w:szCs w:val="20"/>
          <w:color w:val="auto"/>
        </w:rPr>
      </w:pPr>
      <w:r>
        <w:rPr>
          <w:rFonts w:ascii="Courier New" w:cs="Courier New" w:eastAsia="Courier New" w:hAnsi="Courier New"/>
          <w:sz w:val="15"/>
          <w:szCs w:val="15"/>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34" w:lineRule="exact"/>
        <w:rPr>
          <w:sz w:val="20"/>
          <w:szCs w:val="20"/>
          <w:color w:val="auto"/>
        </w:rPr>
      </w:pPr>
    </w:p>
    <w:p>
      <w:pPr>
        <w:sectPr>
          <w:pgSz w:w="11900" w:h="16838" w:orient="portrait"/>
          <w:cols w:equalWidth="0" w:num="2">
            <w:col w:w="4380" w:space="100"/>
            <w:col w:w="5759"/>
          </w:cols>
          <w:pgMar w:left="220" w:top="281"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Thomas G. O'Brien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Thomas G. O'Brien</w:t>
      </w:r>
    </w:p>
    <w:p>
      <w:pPr>
        <w:ind w:left="3420"/>
        <w:spacing w:after="0" w:line="237" w:lineRule="auto"/>
        <w:rPr>
          <w:sz w:val="20"/>
          <w:szCs w:val="20"/>
          <w:color w:val="auto"/>
        </w:rPr>
      </w:pPr>
      <w:r>
        <w:rPr>
          <w:rFonts w:ascii="Courier New" w:cs="Courier New" w:eastAsia="Courier New" w:hAnsi="Courier New"/>
          <w:sz w:val="15"/>
          <w:szCs w:val="15"/>
          <w:color w:val="auto"/>
        </w:rPr>
        <w:t>Treasurer and Secretary</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Authorized U.S. Representative</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May 10, 2001</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1740" w:space="720"/>
            <w:col w:w="777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April 23, 2001.</w:t>
      </w:r>
    </w:p>
    <w:p>
      <w:pPr>
        <w:spacing w:after="0" w:line="204" w:lineRule="exact"/>
        <w:rPr>
          <w:sz w:val="20"/>
          <w:szCs w:val="20"/>
          <w:color w:val="auto"/>
        </w:rPr>
      </w:pPr>
    </w:p>
    <w:p>
      <w:pPr>
        <w:sectPr>
          <w:pgSz w:w="11900" w:h="16838" w:orient="portrait"/>
          <w:cols w:equalWidth="0" w:num="2">
            <w:col w:w="1740" w:space="720"/>
            <w:col w:w="7779"/>
          </w:cols>
          <w:pgMar w:left="220" w:top="281" w:right="1440" w:bottom="1440" w:gutter="0" w:footer="0" w:header="0"/>
          <w:type w:val="continuous"/>
        </w:sectPr>
      </w:pPr>
    </w:p>
    <w:p>
      <w:pPr>
        <w:spacing w:after="0" w:line="14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1" w:right="1440" w:bottom="1440" w:gutter="0" w:footer="0" w:header="0"/>
          <w:type w:val="continuous"/>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AMDOCS LIMITED DEMONSTRATES CONTINUED STRONG GROWTH IN SECOND</w:t>
      </w:r>
    </w:p>
    <w:p>
      <w:pPr>
        <w:jc w:val="center"/>
        <w:ind w:right="3319"/>
        <w:spacing w:after="0" w:line="237" w:lineRule="auto"/>
        <w:rPr>
          <w:sz w:val="20"/>
          <w:szCs w:val="20"/>
          <w:color w:val="auto"/>
        </w:rPr>
      </w:pPr>
      <w:r>
        <w:rPr>
          <w:rFonts w:ascii="Courier New" w:cs="Courier New" w:eastAsia="Courier New" w:hAnsi="Courier New"/>
          <w:sz w:val="15"/>
          <w:szCs w:val="15"/>
          <w:color w:val="auto"/>
        </w:rPr>
        <w:t>QUARTER</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EPS, excluding acquisition-related charges, increases by 42.9% to $0.30</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 Louis, MO - April 23, 2001 -- Amdocs Limited (NYSE: DOX) today reported that for the second quarter ended March 31, 2001, revenue reached $372.3 million, an increase of 37.5% over last year's second quarter. Excluding acquisition-related charges, net income increased 49.7% to $67.6 million, while earnings per share increased 42.9% to $0.30 per diluted share, compared to net income of $45.2 million, or $0.21 per diluted share, in the second quarter of fiscal 2000. The Company's as-reported net income, which includes acquisition-related charges of amortization of goodwill and purchased intangible assets and related tax effects, was $15.4 million, or $0.07 per diluted share, compared to net income of $42.9 million, or $0.20 per diluted share, in the second quarter of fiscal 2000.</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Avi Naor, Chief Executive Officer of Amdocs Management Limited, noted, "This was another excellent quarter for Amdocs. We continue to demonstrate strong, consistent growth, and to exceed our financial objectives. Our new business wins this quarter were strong across all our product platforms and from both new and existing customers. We are very confident that our positive momentum will be maintained with excellent business results in the coming quarters."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Naor continued, "We had 13 new business wins during the quarter, an unprecedented number for Amdocs. As a result of our ongoing success, we continued to expand our workforce, adding 450 information system professionals worldwide in the last quarter. We also have a strong and diverse pipeline of business prospects, across all regions, lines of business and services, including solutions and outsourcing projects. Our visibility is excellent, based on our ongoing long-term relationships with existing customers."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Naor concluded, "Amdocs' stability and consistency can be attributed to a number of factors. The customer care and billing systems market is very strong and dynamic. Customer care and billing systems serve as key differentiators in the intensely competitive communications marketplace, as operators seek to offer new technologies and services as well as support continued growth. In addition, our well-balanced portfolio also provides great stability. Our portfolio of offerings includes a broad product suite, spanning CRM, billing and order management; the ability to support multiple lines of business, whether mobile, wireline or IP; a variety of service alternatives including licensed solutions and outsourcing projects; and geographic diversity spanning all major</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35"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global markets. Furthermore, our solutions-based, services-oriented business model and long-term customer relationships ensure a consistent, ongoing revenue flow."</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Amdocs is the world's leader in CRM, billing and order management systems for communications and IP service providers. Amdocs has an unparalleled success record in project delivery of its mission-critical products. With over 8,150 information systems professionals deployed worldwide, Amdocs supports a global customer base. For more information visit our Web site at www.amdocs.com.</w:t>
      </w:r>
    </w:p>
    <w:p>
      <w:pPr>
        <w:spacing w:after="0" w:line="16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Amdocs will host a conference call on April 23 at 5 p.m. Eastern Daylight Time to discuss the Company's second quarter results. The call will be carried live on the Internet via and the Amdocs website, www.amdocs.com.</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This press release may contain forward looking statements as defined under the Securities Act of 1933, as amended, including statements about Amdocs' growth and business results in future quarters. Such statements involve risks and uncertainties that may cause future results to differ from those anticipated. These risks include, but are not limited to, Amdocs' ability to continue leveraging its growth in each of the mobile, wireline and IP business segments,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237" w:lineRule="auto"/>
        <w:rPr>
          <w:sz w:val="20"/>
          <w:szCs w:val="20"/>
          <w:color w:val="auto"/>
        </w:rPr>
      </w:pPr>
      <w:r>
        <w:rPr>
          <w:rFonts w:ascii="Courier New" w:cs="Courier New" w:eastAsia="Courier New" w:hAnsi="Courier New"/>
          <w:sz w:val="15"/>
          <w:szCs w:val="15"/>
          <w:color w:val="auto"/>
        </w:rPr>
        <w:t>Treasurer and Director of Investor Relations</w:t>
      </w:r>
    </w:p>
    <w:p>
      <w:pPr>
        <w:spacing w:after="0" w:line="238" w:lineRule="auto"/>
        <w:rPr>
          <w:sz w:val="20"/>
          <w:szCs w:val="20"/>
          <w:color w:val="auto"/>
        </w:rPr>
      </w:pPr>
      <w:r>
        <w:rPr>
          <w:rFonts w:ascii="Courier New" w:cs="Courier New" w:eastAsia="Courier New" w:hAnsi="Courier New"/>
          <w:sz w:val="15"/>
          <w:szCs w:val="15"/>
          <w:color w:val="auto"/>
        </w:rPr>
        <w:t>Amdocs Limited</w:t>
      </w:r>
    </w:p>
    <w:p>
      <w:pPr>
        <w:spacing w:after="0" w:line="237" w:lineRule="auto"/>
        <w:rPr>
          <w:sz w:val="20"/>
          <w:szCs w:val="20"/>
          <w:color w:val="auto"/>
        </w:rPr>
      </w:pPr>
      <w:r>
        <w:rPr>
          <w:rFonts w:ascii="Courier New" w:cs="Courier New" w:eastAsia="Courier New" w:hAnsi="Courier New"/>
          <w:sz w:val="15"/>
          <w:szCs w:val="15"/>
          <w:color w:val="auto"/>
        </w:rPr>
        <w:t>314/212-8328</w:t>
      </w:r>
    </w:p>
    <w:p>
      <w:pPr>
        <w:spacing w:after="0" w:line="238" w:lineRule="auto"/>
        <w:rPr>
          <w:sz w:val="20"/>
          <w:szCs w:val="20"/>
          <w:color w:val="auto"/>
        </w:rPr>
      </w:pPr>
      <w:r>
        <w:rPr>
          <w:rFonts w:ascii="Courier New" w:cs="Courier New" w:eastAsia="Courier New" w:hAnsi="Courier New"/>
          <w:sz w:val="15"/>
          <w:szCs w:val="15"/>
          <w:color w:val="auto"/>
        </w:rPr>
        <w:t>E-mail: dox info@amdocs.com</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 tables follow -</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3</w:t>
      </w:r>
    </w:p>
    <w:p>
      <w:pPr>
        <w:jc w:val="center"/>
        <w:ind w:right="4280"/>
        <w:spacing w:after="0" w:line="237" w:lineRule="auto"/>
        <w:rPr>
          <w:sz w:val="20"/>
          <w:szCs w:val="20"/>
          <w:color w:val="auto"/>
        </w:rPr>
      </w:pPr>
      <w:r>
        <w:rPr>
          <w:rFonts w:ascii="Courier New" w:cs="Courier New" w:eastAsia="Courier New" w:hAnsi="Courier New"/>
          <w:sz w:val="15"/>
          <w:szCs w:val="15"/>
          <w:color w:val="auto"/>
        </w:rPr>
        <w:t>AMDOCS LIMITED</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Pro forma Consolidated Statements of Income (Unaudited)</w:t>
      </w:r>
    </w:p>
    <w:p>
      <w:pPr>
        <w:spacing w:after="0" w:line="173" w:lineRule="exact"/>
        <w:rPr>
          <w:sz w:val="20"/>
          <w:szCs w:val="20"/>
          <w:color w:val="auto"/>
        </w:rPr>
      </w:pPr>
    </w:p>
    <w:p>
      <w:pPr>
        <w:jc w:val="center"/>
        <w:ind w:right="4380"/>
        <w:spacing w:after="0" w:line="235" w:lineRule="auto"/>
        <w:rPr>
          <w:sz w:val="20"/>
          <w:szCs w:val="20"/>
          <w:color w:val="auto"/>
        </w:rPr>
      </w:pPr>
      <w:r>
        <w:rPr>
          <w:rFonts w:ascii="Courier New" w:cs="Courier New" w:eastAsia="Courier New" w:hAnsi="Courier New"/>
          <w:sz w:val="15"/>
          <w:szCs w:val="15"/>
          <w:color w:val="auto"/>
        </w:rPr>
        <w:t>Excluding Purchased In-Process Research and Development, Acquisition Related Costs, Amortization of Goodwill and Purchased Intangible Assets and Related Tax Effects</w:t>
      </w:r>
    </w:p>
    <w:p>
      <w:pPr>
        <w:ind w:left="194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8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Three months ended</w:t>
            </w:r>
          </w:p>
        </w:tc>
        <w:tc>
          <w:tcPr>
            <w:tcW w:w="40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Courier New" w:cs="Courier New" w:eastAsia="Courier New" w:hAnsi="Courier New"/>
                <w:sz w:val="15"/>
                <w:szCs w:val="15"/>
                <w:color w:val="auto"/>
                <w:w w:val="95"/>
              </w:rPr>
              <w:t>Six months ended</w:t>
            </w:r>
          </w:p>
        </w:tc>
        <w:tc>
          <w:tcPr>
            <w:tcW w:w="8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6"/>
              </w:rPr>
              <w:t>March 31,</w:t>
            </w: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6"/>
              </w:rPr>
              <w:t>March 31,</w:t>
            </w:r>
          </w:p>
        </w:tc>
        <w:tc>
          <w:tcPr>
            <w:tcW w:w="8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March 31, (1)</w:t>
            </w: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jc w:val="center"/>
              <w:ind w:left="407"/>
              <w:spacing w:after="0" w:line="168" w:lineRule="exact"/>
              <w:rPr>
                <w:sz w:val="20"/>
                <w:szCs w:val="20"/>
                <w:color w:val="auto"/>
              </w:rPr>
            </w:pPr>
            <w:r>
              <w:rPr>
                <w:rFonts w:ascii="Courier New" w:cs="Courier New" w:eastAsia="Courier New" w:hAnsi="Courier New"/>
                <w:sz w:val="15"/>
                <w:szCs w:val="15"/>
                <w:color w:val="auto"/>
                <w:w w:val="97"/>
              </w:rPr>
              <w:t>March 31, (2)</w:t>
            </w:r>
          </w:p>
        </w:tc>
        <w:tc>
          <w:tcPr>
            <w:tcW w:w="8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87"/>
              </w:rPr>
              <w:t>------------------</w:t>
            </w: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w w:val="95"/>
              </w:rPr>
              <w:t>----------------</w:t>
            </w:r>
          </w:p>
        </w:tc>
        <w:tc>
          <w:tcPr>
            <w:tcW w:w="800" w:type="dxa"/>
            <w:vAlign w:val="bottom"/>
          </w:tcPr>
          <w:p>
            <w:pPr>
              <w:spacing w:after="0"/>
              <w:rPr>
                <w:sz w:val="14"/>
                <w:szCs w:val="14"/>
                <w:color w:val="auto"/>
              </w:rPr>
            </w:pP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88"/>
              </w:rPr>
              <w:t>2001</w:t>
            </w:r>
          </w:p>
        </w:tc>
        <w:tc>
          <w:tcPr>
            <w:tcW w:w="400" w:type="dxa"/>
            <w:vAlign w:val="bottom"/>
          </w:tcPr>
          <w:p>
            <w:pPr>
              <w:spacing w:after="0"/>
              <w:rPr>
                <w:sz w:val="14"/>
                <w:szCs w:val="14"/>
                <w:color w:val="auto"/>
              </w:rPr>
            </w:pPr>
          </w:p>
        </w:tc>
        <w:tc>
          <w:tcPr>
            <w:tcW w:w="1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2001</w:t>
            </w:r>
          </w:p>
        </w:tc>
        <w:tc>
          <w:tcPr>
            <w:tcW w:w="56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2000</w:t>
            </w: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11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License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43,290</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30,441</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81,366</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56,943</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328,999</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240,304</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633,090</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449,308</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372,289</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270,745</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714,456</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506,251</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license</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1,295</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1,458</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2,953</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2,631</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service</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206,154</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156,272</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397,942</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295,100</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25,152</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17,713</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48,731</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32,683</w:t>
            </w:r>
          </w:p>
        </w:tc>
      </w:tr>
      <w:tr>
        <w:trPr>
          <w:trHeight w:val="168"/>
        </w:trPr>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48,168</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33,087</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91,618</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60,186</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280,769</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208,530</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541,244</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390,600</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91,520</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62,215</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173,212</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115,651</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620" w:type="dxa"/>
            <w:vAlign w:val="bottom"/>
          </w:tcPr>
          <w:p>
            <w:pPr>
              <w:spacing w:after="0"/>
              <w:rPr>
                <w:sz w:val="24"/>
                <w:szCs w:val="24"/>
                <w:color w:val="auto"/>
              </w:rPr>
            </w:pP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5,096</w:t>
            </w:r>
          </w:p>
        </w:tc>
        <w:tc>
          <w:tcPr>
            <w:tcW w:w="40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2,318</w:t>
            </w:r>
          </w:p>
        </w:tc>
        <w:tc>
          <w:tcPr>
            <w:tcW w:w="4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10,658</w:t>
            </w:r>
          </w:p>
        </w:tc>
        <w:tc>
          <w:tcPr>
            <w:tcW w:w="5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2,663</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96,616</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64,533</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183,870</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118,314</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620" w:type="dxa"/>
            <w:vAlign w:val="bottom"/>
          </w:tcPr>
          <w:p>
            <w:pPr>
              <w:spacing w:after="0"/>
              <w:rPr>
                <w:sz w:val="24"/>
                <w:szCs w:val="24"/>
                <w:color w:val="auto"/>
              </w:rPr>
            </w:pP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28,985</w:t>
            </w:r>
          </w:p>
        </w:tc>
        <w:tc>
          <w:tcPr>
            <w:tcW w:w="40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19,360</w:t>
            </w:r>
          </w:p>
        </w:tc>
        <w:tc>
          <w:tcPr>
            <w:tcW w:w="400" w:type="dxa"/>
            <w:vAlign w:val="bottom"/>
          </w:tcPr>
          <w:p>
            <w:pPr>
              <w:spacing w:after="0"/>
              <w:rPr>
                <w:sz w:val="24"/>
                <w:szCs w:val="2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55,161</w:t>
            </w:r>
          </w:p>
        </w:tc>
        <w:tc>
          <w:tcPr>
            <w:tcW w:w="5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35,494</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67,631</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45,173</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128,709</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82,820</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0.30</w:t>
            </w:r>
          </w:p>
        </w:tc>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0.21</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0.57</w:t>
            </w:r>
          </w:p>
        </w:tc>
        <w:tc>
          <w:tcPr>
            <w:tcW w:w="5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0.40</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 shares outstanding</w:t>
            </w:r>
          </w:p>
        </w:tc>
        <w:tc>
          <w:tcPr>
            <w:tcW w:w="620" w:type="dxa"/>
            <w:vAlign w:val="bottom"/>
          </w:tcPr>
          <w:p>
            <w:pPr>
              <w:spacing w:after="0"/>
              <w:rPr>
                <w:sz w:val="14"/>
                <w:szCs w:val="14"/>
                <w:color w:val="auto"/>
              </w:rPr>
            </w:pP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1"/>
              </w:rPr>
              <w:t>227,213</w:t>
            </w:r>
          </w:p>
        </w:tc>
        <w:tc>
          <w:tcPr>
            <w:tcW w:w="4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211,416</w:t>
            </w:r>
          </w:p>
        </w:tc>
        <w:tc>
          <w:tcPr>
            <w:tcW w:w="400" w:type="dxa"/>
            <w:vAlign w:val="bottom"/>
          </w:tcPr>
          <w:p>
            <w:pPr>
              <w:spacing w:after="0"/>
              <w:rPr>
                <w:sz w:val="14"/>
                <w:szCs w:val="14"/>
                <w:color w:val="auto"/>
              </w:rPr>
            </w:pP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226,994</w:t>
            </w:r>
          </w:p>
        </w:tc>
        <w:tc>
          <w:tcPr>
            <w:tcW w:w="5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207,904</w:t>
            </w:r>
          </w:p>
        </w:tc>
      </w:tr>
      <w:tr>
        <w:trPr>
          <w:trHeight w:val="168"/>
        </w:trPr>
        <w:tc>
          <w:tcPr>
            <w:tcW w:w="4820" w:type="dxa"/>
            <w:vAlign w:val="bottom"/>
          </w:tcPr>
          <w:p>
            <w:pPr>
              <w:spacing w:after="0"/>
              <w:rPr>
                <w:sz w:val="14"/>
                <w:szCs w:val="14"/>
                <w:color w:val="auto"/>
              </w:rPr>
            </w:pPr>
          </w:p>
        </w:tc>
        <w:tc>
          <w:tcPr>
            <w:tcW w:w="19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left="880" w:right="4380" w:hanging="433"/>
        <w:spacing w:after="0" w:line="236"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$54,164 and $2,100 of amortization of goodwill and purchased intangible assets, and tax effects related to the above of $1,946 and ($210) for the three months ended March 31, 2001 and 2000, respectively. Including the above items, income before income taxes was $42,452 and $62,433 and diluted earnings per share were $0.07 and $0.20 for the three months ended March 31, 2001 and 2000, respectively.</w:t>
      </w:r>
    </w:p>
    <w:p>
      <w:pPr>
        <w:spacing w:after="0" w:line="175" w:lineRule="exact"/>
        <w:rPr>
          <w:rFonts w:ascii="Courier New" w:cs="Courier New" w:eastAsia="Courier New" w:hAnsi="Courier New"/>
          <w:sz w:val="15"/>
          <w:szCs w:val="15"/>
          <w:color w:val="auto"/>
        </w:rPr>
      </w:pPr>
    </w:p>
    <w:p>
      <w:pPr>
        <w:ind w:left="880" w:right="4300" w:hanging="433"/>
        <w:spacing w:after="0" w:line="255" w:lineRule="auto"/>
        <w:tabs>
          <w:tab w:leader="none" w:pos="8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$108,324 and $2,800 of amortization of goodwill and purchased intangible assets, $0 and $19,876 write-off of purchased in-process research and development, and tax effects related to the above of $7,604 and $0 for the six months ended March 31, 2001 and 2000, respectively. Including the above items, income before income taxes was $75,546 and $95,638 and diluted earnings per share were $0.12 and $0.29 for the six months ended March 31, 2001 and 2000, respectively.</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00"/>
          </w:cols>
          <w:pgMar w:left="220" w:top="281" w:right="379"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AMDOCS LIMITED</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4860" w:type="dxa"/>
            <w:vAlign w:val="bottom"/>
          </w:tcPr>
          <w:p>
            <w:pPr>
              <w:spacing w:after="0"/>
              <w:rPr>
                <w:sz w:val="14"/>
                <w:szCs w:val="14"/>
                <w:color w:val="auto"/>
              </w:rPr>
            </w:pPr>
          </w:p>
        </w:tc>
        <w:tc>
          <w:tcPr>
            <w:tcW w:w="2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70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22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2001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860" w:type="dxa"/>
            <w:vAlign w:val="bottom"/>
          </w:tcPr>
          <w:p>
            <w:pPr>
              <w:spacing w:after="0"/>
              <w:rPr>
                <w:sz w:val="14"/>
                <w:szCs w:val="14"/>
                <w:color w:val="auto"/>
              </w:rPr>
            </w:pP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License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$43,290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$30,441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$81,366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$56,943</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328,999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240,304</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633,090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449,308</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372,289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270,745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714,456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506,251</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license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1,458</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2,953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2,631</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service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206,154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156,272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397,942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295,100</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25,152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17,713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48,731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32,683</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48,168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33,087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91,618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60,186</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goodwill and purchased intangible</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54,164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108,324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2,800</w:t>
            </w: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In-process research and development and other</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indirect acquisition-related costs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19,876</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334,933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210,630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649,568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413,276</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37,356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60,115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64,888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92,975</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10,658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2,663</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42,452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62,433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75,546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95,638</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27,039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19,570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47,557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35,494</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$15,413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$42,863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$27,989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$60,144</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share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share</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$0.29</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weighted average number of shares outstanding</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221,884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205,985</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221,546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203,465</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weighted average number of shares outstanding</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227,213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211,416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226,994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207,904</w:t>
            </w:r>
          </w:p>
        </w:tc>
      </w:tr>
      <w:tr>
        <w:trPr>
          <w:trHeight w:val="168"/>
        </w:trPr>
        <w:tc>
          <w:tcPr>
            <w:tcW w:w="48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4860" w:type="dxa"/>
            <w:vAlign w:val="bottom"/>
          </w:tcPr>
          <w:p>
            <w:pPr>
              <w:ind w:left="3340"/>
              <w:spacing w:after="0"/>
              <w:rPr>
                <w:sz w:val="20"/>
                <w:szCs w:val="20"/>
                <w:color w:val="auto"/>
              </w:rPr>
            </w:pPr>
            <w:r>
              <w:rPr>
                <w:rFonts w:ascii="Courier New" w:cs="Courier New" w:eastAsia="Courier New" w:hAnsi="Courier New"/>
                <w:sz w:val="15"/>
                <w:szCs w:val="15"/>
                <w:color w:val="auto"/>
              </w:rPr>
              <w:t>-24-</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5</w:t>
      </w:r>
    </w:p>
    <w:p>
      <w:pPr>
        <w:jc w:val="center"/>
        <w:ind w:right="3219"/>
        <w:spacing w:after="0" w:line="237" w:lineRule="auto"/>
        <w:rPr>
          <w:sz w:val="20"/>
          <w:szCs w:val="20"/>
          <w:color w:val="auto"/>
        </w:rPr>
      </w:pPr>
      <w:r>
        <w:rPr>
          <w:rFonts w:ascii="Courier New" w:cs="Courier New" w:eastAsia="Courier New" w:hAnsi="Courier New"/>
          <w:sz w:val="15"/>
          <w:szCs w:val="15"/>
          <w:color w:val="auto"/>
        </w:rPr>
        <w:t>AMDOCS LIMITED</w:t>
      </w:r>
    </w:p>
    <w:p>
      <w:pPr>
        <w:jc w:val="center"/>
        <w:ind w:right="3139"/>
        <w:spacing w:after="0" w:line="238"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8"/>
        </w:trPr>
        <w:tc>
          <w:tcPr>
            <w:tcW w:w="582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73"/>
        </w:trPr>
        <w:tc>
          <w:tcPr>
            <w:tcW w:w="5820" w:type="dxa"/>
            <w:vAlign w:val="bottom"/>
          </w:tcPr>
          <w:p>
            <w:pPr>
              <w:spacing w:after="0"/>
              <w:rPr>
                <w:sz w:val="24"/>
                <w:szCs w:val="24"/>
                <w:color w:val="auto"/>
              </w:rPr>
            </w:pPr>
          </w:p>
        </w:tc>
        <w:tc>
          <w:tcPr>
            <w:tcW w:w="302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As of</w:t>
            </w:r>
          </w:p>
        </w:tc>
      </w:tr>
      <w:tr>
        <w:trPr>
          <w:trHeight w:val="168"/>
        </w:trPr>
        <w:tc>
          <w:tcPr>
            <w:tcW w:w="5820" w:type="dxa"/>
            <w:vAlign w:val="bottom"/>
          </w:tcPr>
          <w:p>
            <w:pPr>
              <w:spacing w:after="0"/>
              <w:rPr>
                <w:sz w:val="14"/>
                <w:szCs w:val="14"/>
                <w:color w:val="auto"/>
              </w:rPr>
            </w:pPr>
          </w:p>
        </w:tc>
        <w:tc>
          <w:tcPr>
            <w:tcW w:w="302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31,</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820" w:type="dxa"/>
            <w:vAlign w:val="bottom"/>
          </w:tcPr>
          <w:p>
            <w:pPr>
              <w:spacing w:after="0"/>
              <w:rPr>
                <w:sz w:val="14"/>
                <w:szCs w:val="14"/>
                <w:color w:val="auto"/>
              </w:rPr>
            </w:pPr>
          </w:p>
        </w:tc>
        <w:tc>
          <w:tcPr>
            <w:tcW w:w="14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c>
          <w:tcPr>
            <w:tcW w:w="1580" w:type="dxa"/>
            <w:vAlign w:val="bottom"/>
          </w:tcPr>
          <w:p>
            <w:pPr>
              <w:spacing w:after="0"/>
              <w:rPr>
                <w:sz w:val="14"/>
                <w:szCs w:val="14"/>
                <w:color w:val="auto"/>
              </w:rPr>
            </w:pP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cash equivalents and short-term interest-bearing</w:t>
            </w: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investments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$468,055</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$402,300</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including unbilled of $6,525 and $4,203,</w:t>
            </w:r>
          </w:p>
        </w:tc>
        <w:tc>
          <w:tcPr>
            <w:tcW w:w="14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5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respectively</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312,899</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263,100</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and taxes receivable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37,012</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35,179</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 current assets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44,493</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34,327</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862,459</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734,906</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152,760</w:t>
            </w:r>
          </w:p>
        </w:tc>
        <w:tc>
          <w:tcPr>
            <w:tcW w:w="15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128,081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 net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900,109</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1,011,053</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71,992</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61,045</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$1,987,320</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$1,935,085</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accruals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$203,448</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$198,445</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financing arrangements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9,263</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28,713</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146,813</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133,546</w:t>
            </w:r>
          </w:p>
        </w:tc>
      </w:tr>
      <w:tr>
        <w:trPr>
          <w:trHeight w:val="168"/>
        </w:trPr>
        <w:tc>
          <w:tcPr>
            <w:tcW w:w="58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 and income taxes payable</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66,861</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55,197</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426,385</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415,901</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91,963</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88,412</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1,468,972</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1,430,772</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$1,987,320</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$1,935,085</w:t>
            </w:r>
          </w:p>
        </w:tc>
      </w:tr>
      <w:tr>
        <w:trPr>
          <w:trHeight w:val="168"/>
        </w:trPr>
        <w:tc>
          <w:tcPr>
            <w:tcW w:w="582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 #</w:t>
      </w:r>
    </w:p>
    <w:p>
      <w:pPr>
        <w:ind w:left="3340"/>
        <w:spacing w:after="0" w:line="237" w:lineRule="auto"/>
        <w:rPr>
          <w:sz w:val="20"/>
          <w:szCs w:val="20"/>
          <w:color w:val="auto"/>
        </w:rPr>
      </w:pPr>
      <w:r>
        <w:rPr>
          <w:rFonts w:ascii="Courier New" w:cs="Courier New" w:eastAsia="Courier New" w:hAnsi="Courier New"/>
          <w:sz w:val="15"/>
          <w:szCs w:val="15"/>
          <w:color w:val="auto"/>
        </w:rPr>
        <w:t>-25-</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lvl w:ilvl="1">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lvl w:ilvl="1">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2019-12-14T21:21:03Z</dcterms:created>
  <dcterms:modified xsi:type="dcterms:W3CDTF">2019-12-14T21:21:03Z</dcterms:modified>
</cp:coreProperties>
</file>