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3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6-K</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PURSUANT TO RULE 13A-16 OR 15D-16 OF</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8" w:lineRule="exact"/>
        <w:rPr>
          <w:sz w:val="24"/>
          <w:szCs w:val="24"/>
          <w:color w:val="auto"/>
        </w:rPr>
      </w:pPr>
    </w:p>
    <w:p>
      <w:pPr>
        <w:ind w:left="2020"/>
        <w:spacing w:after="0"/>
        <w:rPr>
          <w:sz w:val="20"/>
          <w:szCs w:val="20"/>
          <w:color w:val="auto"/>
        </w:rPr>
      </w:pPr>
      <w:r>
        <w:rPr>
          <w:rFonts w:ascii="Courier New" w:cs="Courier New" w:eastAsia="Courier New" w:hAnsi="Courier New"/>
          <w:sz w:val="16"/>
          <w:szCs w:val="16"/>
          <w:color w:val="auto"/>
        </w:rPr>
        <w:t>For the Quarter Ended December 31, 2007</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Commission File Number 1-14840</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Amdocs, Inc.</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0" w:lineRule="exact"/>
        <w:rPr>
          <w:sz w:val="24"/>
          <w:szCs w:val="24"/>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ectPr>
          <w:pgSz w:w="11900" w:h="16838" w:orient="portrait"/>
          <w:cols w:equalWidth="0" w:num="1">
            <w:col w:w="10219"/>
          </w:cols>
          <w:pgMar w:left="240" w:top="608" w:right="1440" w:bottom="1440" w:gutter="0" w:footer="0" w:header="0"/>
        </w:sectPr>
      </w:pPr>
    </w:p>
    <w:p>
      <w:pPr>
        <w:spacing w:after="0" w:line="189"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FORM 20-F</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 40-F</w:t>
      </w:r>
    </w:p>
    <w:p>
      <w:pPr>
        <w:spacing w:after="0" w:line="15" w:lineRule="exact"/>
        <w:rPr>
          <w:sz w:val="24"/>
          <w:szCs w:val="24"/>
          <w:color w:val="auto"/>
        </w:rPr>
      </w:pPr>
    </w:p>
    <w:p>
      <w:pPr>
        <w:sectPr>
          <w:pgSz w:w="11900" w:h="16838" w:orient="portrait"/>
          <w:cols w:equalWidth="0" w:num="3">
            <w:col w:w="3260" w:space="300"/>
            <w:col w:w="820" w:space="720"/>
            <w:col w:w="5119"/>
          </w:cols>
          <w:pgMar w:left="240" w:top="608"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5340" w:space="720"/>
            <w:col w:w="4159"/>
          </w:cols>
          <w:pgMar w:left="240" w:top="608" w:right="1440" w:bottom="1440" w:gutter="0" w:footer="0" w:header="0"/>
          <w:type w:val="continuous"/>
        </w:sectPr>
      </w:pPr>
    </w:p>
    <w:p>
      <w:pPr>
        <w:ind w:right="2639"/>
        <w:spacing w:after="0" w:line="242"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 101(b)(1):</w:t>
      </w:r>
    </w:p>
    <w:p>
      <w:pPr>
        <w:spacing w:after="0" w:line="2"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Indicate by check mark if the registrant is submitting the Form 6-K in paper as permitted by Regulation S-T Rule 101(b)(7):</w:t>
      </w:r>
    </w:p>
    <w:p>
      <w:pPr>
        <w:spacing w:after="0" w:line="2" w:lineRule="exact"/>
        <w:rPr>
          <w:sz w:val="24"/>
          <w:szCs w:val="24"/>
          <w:color w:val="auto"/>
        </w:rPr>
      </w:pPr>
    </w:p>
    <w:p>
      <w:pPr>
        <w:ind w:left="4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08" w:right="1440" w:bottom="1440" w:gutter="0" w:footer="0" w:header="0"/>
          <w:type w:val="continuous"/>
        </w:sectPr>
      </w:pPr>
    </w:p>
    <w:p>
      <w:pPr>
        <w:spacing w:after="0" w:line="190" w:lineRule="exact"/>
        <w:rPr>
          <w:sz w:val="24"/>
          <w:szCs w:val="24"/>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08" w:right="1440" w:bottom="1440" w:gutter="0" w:footer="0" w:header="0"/>
          <w:type w:val="continuous"/>
        </w:sectPr>
      </w:pPr>
    </w:p>
    <w:p>
      <w:pPr>
        <w:spacing w:after="0" w:line="17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4">
            <w:col w:w="2780" w:space="100"/>
            <w:col w:w="480" w:space="580"/>
            <w:col w:w="200" w:space="80"/>
            <w:col w:w="5999"/>
          </w:cols>
          <w:pgMar w:left="240" w:top="608" w:right="1440" w:bottom="1440" w:gutter="0" w:footer="0" w:header="0"/>
          <w:type w:val="continuous"/>
        </w:sectPr>
      </w:pPr>
    </w:p>
    <w:p>
      <w:pPr>
        <w:ind w:right="2539"/>
        <w:spacing w:after="0" w:line="242"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 82- _______</w:t>
      </w:r>
    </w:p>
    <w:p>
      <w:pPr>
        <w:sectPr>
          <w:pgSz w:w="11900" w:h="16838" w:orient="portrait"/>
          <w:cols w:equalWidth="0" w:num="1">
            <w:col w:w="10219"/>
          </w:cols>
          <w:pgMar w:left="240" w:top="608" w:right="1440" w:bottom="1440" w:gutter="0" w:footer="0" w:header="0"/>
          <w:type w:val="continuous"/>
        </w:sectPr>
      </w:pPr>
    </w:p>
    <w:bookmarkStart w:id="1" w:name="page2"/>
    <w:bookmarkEnd w:id="1"/>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6-K</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 THE QUARTER ENDED DECEMBER 31, 2007</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INDEX</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Item 1. Financial Statements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Unaudited Consolidated Financial Statements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Consolidated Balance Sheets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Consolidated Statement of Changes in Shareholders' Equity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Item 2. Operating and Financial Review and Prospects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0" w:lineRule="exact"/>
        <w:rPr>
          <w:sz w:val="20"/>
          <w:szCs w:val="20"/>
          <w:color w:val="auto"/>
        </w:rPr>
      </w:pPr>
    </w:p>
    <w:p>
      <w:pPr>
        <w:ind w:left="1060" w:right="3199" w:hanging="768"/>
        <w:spacing w:after="0" w:line="242" w:lineRule="auto"/>
        <w:rPr>
          <w:sz w:val="20"/>
          <w:szCs w:val="20"/>
          <w:color w:val="auto"/>
        </w:rPr>
      </w:pPr>
      <w:r>
        <w:rPr>
          <w:rFonts w:ascii="Courier New" w:cs="Courier New" w:eastAsia="Courier New" w:hAnsi="Courier New"/>
          <w:sz w:val="16"/>
          <w:szCs w:val="16"/>
          <w:color w:val="auto"/>
        </w:rPr>
        <w:t>Item 1. Changes in Securities, Use of Proceeds and Issuer Purchases of Equity Securities</w:t>
      </w:r>
    </w:p>
    <w:p>
      <w:pPr>
        <w:spacing w:after="0" w:line="18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Item 2. Reports on Form 6-K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35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0" w:type="dxa"/>
            <w:vAlign w:val="bottom"/>
            <w:gridSpan w:val="3"/>
          </w:tcPr>
          <w:p>
            <w:pPr>
              <w:ind w:left="860"/>
              <w:spacing w:after="0"/>
              <w:rPr>
                <w:sz w:val="20"/>
                <w:szCs w:val="20"/>
                <w:color w:val="auto"/>
              </w:rPr>
            </w:pPr>
            <w:r>
              <w:rPr>
                <w:rFonts w:ascii="Courier New" w:cs="Courier New" w:eastAsia="Courier New" w:hAnsi="Courier New"/>
                <w:sz w:val="16"/>
                <w:szCs w:val="16"/>
                <w:color w:val="auto"/>
              </w:rPr>
              <w:t>(dollar and share amounts in thousands, except per share data)</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AS OF</w:t>
            </w:r>
          </w:p>
        </w:tc>
        <w:tc>
          <w:tcPr>
            <w:tcW w:w="960" w:type="dxa"/>
            <w:vAlign w:val="bottom"/>
          </w:tcPr>
          <w:p>
            <w:pPr>
              <w:spacing w:after="0"/>
              <w:rPr>
                <w:sz w:val="24"/>
                <w:szCs w:val="24"/>
                <w:color w:val="auto"/>
              </w:rPr>
            </w:pPr>
          </w:p>
        </w:tc>
      </w:tr>
      <w:tr>
        <w:trPr>
          <w:trHeight w:val="185"/>
        </w:trPr>
        <w:tc>
          <w:tcPr>
            <w:tcW w:w="610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DECEMBER 31,</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6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2007</w:t>
            </w:r>
          </w:p>
        </w:tc>
        <w:tc>
          <w:tcPr>
            <w:tcW w:w="58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2007</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(UNAUDITED)</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581,399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615,501</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Short-term interest-bearing investments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585,691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563,779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530,957</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493,418</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114,701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117,623</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105,233</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98,746</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1,917,981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1,889,067</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282,551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283,839</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196,779</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192,761</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1,487,361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1,489,132</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297,158</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303,456</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193,337</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186,344</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assets</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$4,375,167</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$4,344,599</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155,079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192,395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238,667</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222,616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196,723</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177,926</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financing arrangements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2,105</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165,979</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173,775</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payable</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44,650</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205,960</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803,203</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974,727</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Convertible notes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450,000</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450,000</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Deferred income taxes and taxes payable</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274,750</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122,983</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197,548</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196,646</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liabilities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1,725,501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1,744,356</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Preferred Shares - Authorized 25,000 shares;</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L0.01 par value; 0 shares issued and outstanding</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Ordinary Shares - Authorized 550,000 shares; L0.01</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par value; 238,855 and 238,312 issued and 208,129</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and 209,762 outstanding, respectively</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3,861</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2,189,967</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2,168,234</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at cost -30,726 and 28,550 Ordinary Shares,</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respectively</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(724,738)</w:t>
            </w: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(652,229)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income</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5,213</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689</w:t>
            </w:r>
          </w:p>
        </w:tc>
      </w:tr>
      <w:tr>
        <w:trPr>
          <w:trHeight w:val="185"/>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1,175,363</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1,079,699</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shareholders' equity</w:t>
            </w:r>
          </w:p>
        </w:tc>
        <w:tc>
          <w:tcPr>
            <w:tcW w:w="3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2,649,666</w:t>
            </w:r>
          </w:p>
        </w:tc>
        <w:tc>
          <w:tcPr>
            <w:tcW w:w="5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2,600,243</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100" w:type="dxa"/>
            <w:vAlign w:val="bottom"/>
          </w:tcPr>
          <w:p>
            <w:pPr>
              <w:ind w:left="5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$4,375,167</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$4,344,599</w:t>
            </w:r>
          </w:p>
        </w:tc>
      </w:tr>
      <w:tr>
        <w:trPr>
          <w:trHeight w:val="185"/>
        </w:trPr>
        <w:tc>
          <w:tcPr>
            <w:tcW w:w="610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statements.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3" w:name="page4"/>
    <w:bookmarkEnd w:id="3"/>
    <w:p>
      <w:pPr>
        <w:jc w:val="center"/>
        <w:ind w:right="2519"/>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CONSOLIDATED STATEMENTS OF INCOME (UNAUDITED)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THREE MONTHS ENDED</w:t>
            </w:r>
          </w:p>
        </w:tc>
      </w:tr>
      <w:tr>
        <w:trPr>
          <w:trHeight w:val="18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08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2007</w:t>
            </w:r>
          </w:p>
        </w:tc>
        <w:tc>
          <w:tcPr>
            <w:tcW w:w="24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License</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$ 26,217</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$ 31,744</w:t>
            </w: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Service</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716,033</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659,288</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742,250</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691,032</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Cost of license</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774</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1,069</w:t>
            </w: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Cost of service</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470,741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435,121</w:t>
            </w: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56,015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60,468</w:t>
            </w: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97,665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89,170</w:t>
            </w: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 intangible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4080" w:type="dxa"/>
            <w:vAlign w:val="bottom"/>
          </w:tcPr>
          <w:p>
            <w:pPr>
              <w:ind w:left="58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21,753</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17,698</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646,948</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603,526</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95,302</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87,506</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8,816</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11,739</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104,118</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99,245</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8,454</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5,903</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$ 95,664</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$ 93,342</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0.42</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shares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208,109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206,450</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shares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222,039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222,718</w:t>
            </w:r>
          </w:p>
        </w:tc>
      </w:tr>
      <w:tr>
        <w:trPr>
          <w:trHeight w:val="185"/>
        </w:trPr>
        <w:tc>
          <w:tcPr>
            <w:tcW w:w="40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statements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9" w:right="1440" w:bottom="1440" w:gutter="0" w:footer="0" w:header="0"/>
        </w:sectPr>
      </w:pPr>
    </w:p>
    <w:bookmarkStart w:id="4" w:name="page5"/>
    <w:bookmarkEnd w:id="4"/>
    <w:p>
      <w:pPr>
        <w:jc w:val="center"/>
        <w:ind w:right="3360"/>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CONSOLIDATED STATEMENT OF CHANGES IN SHAREHOLDERS' EQUITY (UNAUDITED)</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(dollar and share amounts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Accumulated</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2540" w:type="dxa"/>
            <w:vAlign w:val="bottom"/>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Ordinary Shares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Additional</w:t>
            </w:r>
          </w:p>
        </w:tc>
        <w:tc>
          <w:tcPr>
            <w:tcW w:w="12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9"/>
              </w:rPr>
              <w:t>Other</w:t>
            </w:r>
          </w:p>
        </w:tc>
        <w:tc>
          <w:tcPr>
            <w:tcW w:w="1300" w:type="dxa"/>
            <w:vAlign w:val="bottom"/>
          </w:tcPr>
          <w:p>
            <w:pPr>
              <w:spacing w:after="0"/>
              <w:rPr>
                <w:sz w:val="16"/>
                <w:szCs w:val="16"/>
                <w:color w:val="auto"/>
              </w:rPr>
            </w:pP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2540" w:type="dxa"/>
            <w:vAlign w:val="bottom"/>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Paid-in</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Treasury</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9"/>
              </w:rPr>
              <w:t>Comprehensive</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Retained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r>
      <w:tr>
        <w:trPr>
          <w:trHeight w:val="185"/>
        </w:trPr>
        <w:tc>
          <w:tcPr>
            <w:tcW w:w="254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Shares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Amount</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Capital</w:t>
            </w:r>
          </w:p>
        </w:tc>
        <w:tc>
          <w:tcPr>
            <w:tcW w:w="12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Stock</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Income</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Earnings</w:t>
            </w:r>
          </w:p>
        </w:tc>
        <w:tc>
          <w:tcPr>
            <w:tcW w:w="1340" w:type="dxa"/>
            <w:vAlign w:val="bottom"/>
          </w:tcPr>
          <w:p>
            <w:pPr>
              <w:ind w:left="480"/>
              <w:spacing w:after="0"/>
              <w:rPr>
                <w:sz w:val="20"/>
                <w:szCs w:val="20"/>
                <w:color w:val="auto"/>
              </w:rPr>
            </w:pPr>
            <w:r>
              <w:rPr>
                <w:rFonts w:ascii="Courier New" w:cs="Courier New" w:eastAsia="Courier New" w:hAnsi="Courier New"/>
                <w:sz w:val="16"/>
                <w:szCs w:val="16"/>
                <w:color w:val="auto"/>
              </w:rPr>
              <w:t>Equity</w:t>
            </w:r>
          </w:p>
        </w:tc>
      </w:tr>
      <w:tr>
        <w:trPr>
          <w:trHeight w:val="185"/>
        </w:trPr>
        <w:tc>
          <w:tcPr>
            <w:tcW w:w="254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540" w:type="dxa"/>
            <w:vAlign w:val="bottom"/>
          </w:tcPr>
          <w:p>
            <w:pPr>
              <w:spacing w:after="0"/>
              <w:rPr>
                <w:sz w:val="20"/>
                <w:szCs w:val="20"/>
                <w:color w:val="auto"/>
              </w:rPr>
            </w:pPr>
            <w:r>
              <w:rPr>
                <w:rFonts w:ascii="Courier New" w:cs="Courier New" w:eastAsia="Courier New" w:hAnsi="Courier New"/>
                <w:sz w:val="16"/>
                <w:szCs w:val="16"/>
                <w:color w:val="auto"/>
              </w:rPr>
              <w:t>BALANCE AS OF SEPTEMBER</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209,762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$3,850</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$2,168,234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$(652,229)</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689</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$1,079,699</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$2,600,243</w:t>
            </w: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30, 2007</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95,664</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95,664</w:t>
            </w: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foreign currency</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hedging contracts,</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net of $1,098 tax</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4,062</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4,062</w:t>
            </w: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short-term</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interest-bearing</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investments, net of</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580"/>
              <w:spacing w:after="0"/>
              <w:rPr>
                <w:sz w:val="20"/>
                <w:szCs w:val="20"/>
                <w:color w:val="auto"/>
              </w:rPr>
            </w:pPr>
            <w:r>
              <w:rPr>
                <w:rFonts w:ascii="Courier New" w:cs="Courier New" w:eastAsia="Courier New" w:hAnsi="Courier New"/>
                <w:sz w:val="16"/>
                <w:szCs w:val="16"/>
                <w:color w:val="auto"/>
              </w:rPr>
              <w:t>$(13) tax</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462</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462</w:t>
            </w:r>
          </w:p>
        </w:tc>
      </w:tr>
      <w:tr>
        <w:trPr>
          <w:trHeight w:val="185"/>
        </w:trPr>
        <w:tc>
          <w:tcPr>
            <w:tcW w:w="2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Comprehensive income</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100,188</w:t>
            </w:r>
          </w:p>
        </w:tc>
      </w:tr>
      <w:tr>
        <w:trPr>
          <w:trHeight w:val="185"/>
        </w:trPr>
        <w:tc>
          <w:tcPr>
            <w:tcW w:w="2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Employee stock options</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6,433</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6,440</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Repurchase of shares</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(2,176)</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(72,509)</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(72,509)</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Tax benefit of stock</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options exercised</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1,084</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1,084</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Issuance of restricted</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stock, net of</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forfeitures</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Equity-based compensation</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expense related to</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employees</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14,216</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14,216</w:t>
            </w:r>
          </w:p>
        </w:tc>
      </w:tr>
      <w:tr>
        <w:trPr>
          <w:trHeight w:val="185"/>
        </w:trPr>
        <w:tc>
          <w:tcPr>
            <w:tcW w:w="254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BALANCE AS OF  DECEMBER</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2540" w:type="dxa"/>
            <w:vAlign w:val="bottom"/>
          </w:tcPr>
          <w:p>
            <w:pPr>
              <w:ind w:left="280"/>
              <w:spacing w:after="0"/>
              <w:rPr>
                <w:sz w:val="20"/>
                <w:szCs w:val="20"/>
                <w:color w:val="auto"/>
              </w:rPr>
            </w:pPr>
            <w:r>
              <w:rPr>
                <w:rFonts w:ascii="Courier New" w:cs="Courier New" w:eastAsia="Courier New" w:hAnsi="Courier New"/>
                <w:sz w:val="16"/>
                <w:szCs w:val="16"/>
                <w:color w:val="auto"/>
              </w:rPr>
              <w:t>31, 2007</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208,129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$3,861</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$2,189,967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$(724,738)</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$5,213</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$1,175,363</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$2,649,666</w:t>
            </w:r>
          </w:p>
        </w:tc>
      </w:tr>
      <w:tr>
        <w:trPr>
          <w:trHeight w:val="185"/>
        </w:trPr>
        <w:tc>
          <w:tcPr>
            <w:tcW w:w="254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3360"/>
        <w:spacing w:after="0" w:line="244" w:lineRule="auto"/>
        <w:rPr>
          <w:sz w:val="20"/>
          <w:szCs w:val="20"/>
          <w:color w:val="auto"/>
        </w:rPr>
      </w:pPr>
      <w:r>
        <w:rPr>
          <w:rFonts w:ascii="Courier New" w:cs="Courier New" w:eastAsia="Courier New" w:hAnsi="Courier New"/>
          <w:sz w:val="16"/>
          <w:szCs w:val="16"/>
          <w:color w:val="auto"/>
        </w:rPr>
        <w:t>As of December 31, 2007 and September 30, 2007, accumulated other comprehensive income (loss) is comprised of unrealized gain (loss) on derivatives, net of tax, of $3,483 and $(579), respectively, and unrealized income on cash equivalents and short-term interest-bearing investments, net of tax, of $1,003 and $541, respectively and adjustment to accumulated other comprehensive income upon adoption of statement 158, net of tax, of $727.</w:t>
      </w:r>
    </w:p>
    <w:p>
      <w:pPr>
        <w:spacing w:after="0" w:line="186"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4"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statements.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40"/>
          </w:cols>
          <w:pgMar w:left="240" w:top="669" w:right="619" w:bottom="1440" w:gutter="0" w:footer="0" w:header="0"/>
        </w:sectPr>
      </w:pPr>
    </w:p>
    <w:bookmarkStart w:id="5" w:name="page6"/>
    <w:bookmarkEnd w:id="5"/>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(dollar amounts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5420" w:type="dxa"/>
            <w:vAlign w:val="bottom"/>
          </w:tcPr>
          <w:p>
            <w:pPr>
              <w:spacing w:after="0"/>
              <w:rPr>
                <w:sz w:val="16"/>
                <w:szCs w:val="16"/>
                <w:color w:val="auto"/>
              </w:rPr>
            </w:pPr>
          </w:p>
        </w:tc>
        <w:tc>
          <w:tcPr>
            <w:tcW w:w="226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2007</w:t>
            </w:r>
          </w:p>
        </w:tc>
        <w:tc>
          <w:tcPr>
            <w:tcW w:w="20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95,664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93,342</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580"/>
              <w:spacing w:after="0"/>
              <w:rPr>
                <w:sz w:val="20"/>
                <w:szCs w:val="20"/>
                <w:color w:val="auto"/>
              </w:rPr>
            </w:pPr>
            <w:r>
              <w:rPr>
                <w:rFonts w:ascii="Courier New" w:cs="Courier New" w:eastAsia="Courier New" w:hAnsi="Courier New"/>
                <w:sz w:val="16"/>
                <w:szCs w:val="16"/>
                <w:color w:val="auto"/>
              </w:rPr>
              <w:t>operating 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46,706</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38,042</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Loss (Gain) on sale of equipment</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Equity-based compensation expense</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14,216</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15,325</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(9,192)</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(2,928)</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Excess tax benefit from equity-based compensation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Realized gain from short-term interest-bearing</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580"/>
              <w:spacing w:after="0"/>
              <w:rPr>
                <w:sz w:val="20"/>
                <w:szCs w:val="20"/>
                <w:color w:val="auto"/>
              </w:rPr>
            </w:pPr>
            <w:r>
              <w:rPr>
                <w:rFonts w:ascii="Courier New" w:cs="Courier New" w:eastAsia="Courier New" w:hAnsi="Courier New"/>
                <w:sz w:val="16"/>
                <w:szCs w:val="16"/>
                <w:color w:val="auto"/>
              </w:rPr>
              <w:t>investments and other</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(332)</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(1,255)</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 net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amounts acquired: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(37,388)</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7,113</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(2,449)</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7,280</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assets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(7,345)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(6,091)</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accrued expenses and accrued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580"/>
              <w:spacing w:after="0"/>
              <w:rPr>
                <w:sz w:val="20"/>
                <w:szCs w:val="20"/>
                <w:color w:val="auto"/>
              </w:rPr>
            </w:pPr>
            <w:r>
              <w:rPr>
                <w:rFonts w:ascii="Courier New" w:cs="Courier New" w:eastAsia="Courier New" w:hAnsi="Courier New"/>
                <w:sz w:val="16"/>
                <w:szCs w:val="16"/>
                <w:color w:val="auto"/>
              </w:rPr>
              <w:t>personnel</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4,516</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11,390</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(9,565)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(46,986)</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(5,560)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(19,884)</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Noncurrent liabilities and other</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3,834</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4,046</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93,146</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99,069</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improvements</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284</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450</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and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(34,509)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(50,568)</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Proceeds from sale of short-term interest-bearing</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investments</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155,018</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216,001</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Purchase of short-term interest-bearing investments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(176,149)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(295,903)</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cash paid for acquisition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(9,069)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(26,595)</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(64,425)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(156,615)</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Proceeds from employee stock options exercised</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6,444</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15,500</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Excess tax benefit from equity-based compensation</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Repurchase of shares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(69,332)</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(62,823)</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15,654</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(34,102)</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(41,892)</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615,501</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607,187</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$ 581,399</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$ 565,295</w:t>
            </w:r>
          </w:p>
        </w:tc>
      </w:tr>
      <w:tr>
        <w:trPr>
          <w:trHeight w:val="185"/>
        </w:trPr>
        <w:tc>
          <w:tcPr>
            <w:tcW w:w="54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paid for:</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Income taxes, net of refunds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22,118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22,754</w:t>
            </w:r>
          </w:p>
        </w:tc>
      </w:tr>
      <w:tr>
        <w:trPr>
          <w:trHeight w:val="185"/>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Interest</w:t>
            </w:r>
          </w:p>
        </w:tc>
        <w:tc>
          <w:tcPr>
            <w:tcW w:w="240" w:type="dxa"/>
            <w:vAlign w:val="bottom"/>
          </w:tcPr>
          <w:p>
            <w:pPr>
              <w:spacing w:after="0"/>
              <w:rPr>
                <w:sz w:val="16"/>
                <w:szCs w:val="16"/>
                <w:color w:val="auto"/>
              </w:rPr>
            </w:pP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537</w:t>
            </w:r>
          </w:p>
        </w:tc>
        <w:tc>
          <w:tcPr>
            <w:tcW w:w="2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441</w:t>
            </w:r>
          </w:p>
        </w:tc>
      </w:tr>
    </w:tbl>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statements.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9" w:right="1440" w:bottom="1440" w:gutter="0" w:footer="0" w:header="0"/>
        </w:sectPr>
      </w:pPr>
    </w:p>
    <w:bookmarkStart w:id="6" w:name="page7"/>
    <w:bookmarkEnd w:id="6"/>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8" w:lineRule="exact"/>
        <w:rPr>
          <w:sz w:val="20"/>
          <w:szCs w:val="20"/>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88"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88"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2007, set forth in the Company's Annual Report on Form 20-F filed on December 3, 2007 with the U.S. Securities and Exchange Commission (the "SEC").</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Reclassification</w:t>
      </w:r>
    </w:p>
    <w:p>
      <w:pPr>
        <w:spacing w:after="0" w:line="190" w:lineRule="exact"/>
        <w:rPr>
          <w:sz w:val="20"/>
          <w:szCs w:val="20"/>
          <w:color w:val="auto"/>
        </w:rPr>
      </w:pPr>
    </w:p>
    <w:p>
      <w:pPr>
        <w:ind w:left="1" w:right="2919" w:firstLine="480"/>
        <w:spacing w:after="0" w:line="242" w:lineRule="auto"/>
        <w:rPr>
          <w:sz w:val="20"/>
          <w:szCs w:val="20"/>
          <w:color w:val="auto"/>
        </w:rPr>
      </w:pPr>
      <w:r>
        <w:rPr>
          <w:rFonts w:ascii="Courier New" w:cs="Courier New" w:eastAsia="Courier New" w:hAnsi="Courier New"/>
          <w:sz w:val="16"/>
          <w:szCs w:val="16"/>
          <w:color w:val="auto"/>
        </w:rPr>
        <w:t>Certain immaterial amounts in prior year financial statements have been reclassified to conform to the current year presentation.</w:t>
      </w:r>
    </w:p>
    <w:p>
      <w:pPr>
        <w:spacing w:after="0" w:line="187" w:lineRule="exact"/>
        <w:rPr>
          <w:sz w:val="20"/>
          <w:szCs w:val="20"/>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December 2007, the Financial Accounting Standards Board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141(R) applies to the Company prospectively for business combinations for which the acquisition date is on or after October 1, 2009.</w:t>
      </w:r>
    </w:p>
    <w:p>
      <w:pPr>
        <w:spacing w:after="0" w:line="189"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 December 2007, the FASB issued Statement No. 160, Noncontrolling Interests in Consolidated Financial Statements, an amendment of ARB No. 51 ("SFAS 160"). SFAS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w:t>
      </w:r>
    </w:p>
    <w:p>
      <w:pPr>
        <w:spacing w:after="0" w:line="37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69" w:right="1440" w:bottom="1440" w:gutter="0" w:footer="0" w:header="0"/>
        </w:sectPr>
      </w:pPr>
    </w:p>
    <w:bookmarkStart w:id="7" w:name="page8"/>
    <w:bookmarkEnd w:id="7"/>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prohibited. The Company is currently evaluating the effect that the application of SFAS 160 will have on its consolidated results of operations and financial condition.</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The Company is currently evaluating the effect that the application of SFAS 159 will have on its consolidated results of operations and financial condition.</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No.157 applies under other accounting pronouncements that require or permit fair value measurements. SFAS 157 will be effective for fiscal years beginning after November 15, 2007, and interim periods within those fiscal years. The Company is currently evaluating the effect that the application of SFAS 157 will have on its consolidated results of operations and financial condition.</w:t>
      </w:r>
    </w:p>
    <w:p>
      <w:pPr>
        <w:spacing w:after="0" w:line="187"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NEW ACCOUNTING STANDARD</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The Company adopted FIN 48 in the first quarter of fiscal 2008. The adoption of FIN 48 did not result in a change to retained earnings. See Note 6 for additional information regarding the Company's provision for income taxes, including the effects of adoption of FIN 48 on its Consolidated Financial Statements.</w:t>
      </w:r>
    </w:p>
    <w:p>
      <w:pPr>
        <w:spacing w:after="0" w:line="375"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69" w:right="1440" w:bottom="1440" w:gutter="0" w:footer="0" w:header="0"/>
        </w:sectPr>
      </w:pPr>
    </w:p>
    <w:bookmarkStart w:id="8" w:name="page9"/>
    <w:bookmarkEnd w:id="8"/>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8" w:lineRule="exact"/>
        <w:rPr>
          <w:sz w:val="20"/>
          <w:szCs w:val="20"/>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 consists of the following:</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jc w:val="right"/>
              <w:ind w:right="980"/>
              <w:spacing w:after="0"/>
              <w:rPr>
                <w:sz w:val="20"/>
                <w:szCs w:val="20"/>
                <w:color w:val="auto"/>
              </w:rPr>
            </w:pPr>
            <w:r>
              <w:rPr>
                <w:rFonts w:ascii="Courier New" w:cs="Courier New" w:eastAsia="Courier New" w:hAnsi="Courier New"/>
                <w:sz w:val="16"/>
                <w:szCs w:val="16"/>
                <w:color w:val="auto"/>
                <w:w w:val="95"/>
              </w:rPr>
              <w:t>AS OF</w:t>
            </w:r>
          </w:p>
        </w:tc>
      </w:tr>
      <w:tr>
        <w:trPr>
          <w:trHeight w:val="185"/>
        </w:trPr>
        <w:tc>
          <w:tcPr>
            <w:tcW w:w="3020" w:type="dxa"/>
            <w:vAlign w:val="bottom"/>
          </w:tcPr>
          <w:p>
            <w:pPr>
              <w:spacing w:after="0"/>
              <w:rPr>
                <w:sz w:val="16"/>
                <w:szCs w:val="16"/>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0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5"/>
        </w:trPr>
        <w:tc>
          <w:tcPr>
            <w:tcW w:w="302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2007</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2007</w:t>
            </w:r>
          </w:p>
        </w:tc>
      </w:tr>
      <w:tr>
        <w:trPr>
          <w:trHeight w:val="185"/>
        </w:trPr>
        <w:tc>
          <w:tcPr>
            <w:tcW w:w="30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Accounts receivable - billed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$ 485,372</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$457,393</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Accounts receivable - unbilled</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73,355</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63,441</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Less-allowances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(27,770)</w:t>
            </w:r>
          </w:p>
        </w:tc>
        <w:tc>
          <w:tcPr>
            <w:tcW w:w="15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(27,416)</w:t>
            </w:r>
          </w:p>
        </w:tc>
      </w:tr>
      <w:tr>
        <w:trPr>
          <w:trHeight w:val="185"/>
        </w:trPr>
        <w:tc>
          <w:tcPr>
            <w:tcW w:w="302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$ 530,957</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$493,418</w:t>
            </w:r>
          </w:p>
        </w:tc>
      </w:tr>
      <w:tr>
        <w:trPr>
          <w:trHeight w:val="185"/>
        </w:trPr>
        <w:tc>
          <w:tcPr>
            <w:tcW w:w="3020" w:type="dxa"/>
            <w:vAlign w:val="bottom"/>
          </w:tcPr>
          <w:p>
            <w:pPr>
              <w:spacing w:after="0"/>
              <w:rPr>
                <w:sz w:val="16"/>
                <w:szCs w:val="16"/>
                <w:color w:val="auto"/>
              </w:rPr>
            </w:pP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90" w:lineRule="exact"/>
        <w:rPr>
          <w:sz w:val="20"/>
          <w:szCs w:val="20"/>
          <w:color w:val="auto"/>
        </w:rPr>
      </w:pPr>
    </w:p>
    <w:p>
      <w:pPr>
        <w:ind w:left="1" w:right="3199" w:firstLine="480"/>
        <w:spacing w:after="0" w:line="242"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56" w:lineRule="exact"/>
        <w:rPr>
          <w:sz w:val="20"/>
          <w:szCs w:val="20"/>
          <w:color w:val="auto"/>
        </w:rPr>
      </w:pPr>
    </w:p>
    <w:p>
      <w:pPr>
        <w:jc w:val="center"/>
        <w:ind w:right="618"/>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jc w:val="center"/>
        <w:ind w:right="818"/>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jc w:val="center"/>
        <w:ind w:right="718"/>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left="300"/>
        <w:spacing w:after="0"/>
        <w:tabs>
          <w:tab w:leader="none" w:pos="660" w:val="left"/>
        </w:tabs>
        <w:rPr>
          <w:sz w:val="20"/>
          <w:szCs w:val="20"/>
          <w:color w:val="auto"/>
        </w:rPr>
      </w:pPr>
      <w:r>
        <w:rPr>
          <w:rFonts w:ascii="Courier New" w:cs="Courier New" w:eastAsia="Courier New" w:hAnsi="Courier New"/>
          <w:sz w:val="16"/>
          <w:szCs w:val="16"/>
          <w:color w:val="auto"/>
        </w:rPr>
        <w:t>2007</w:t>
      </w:r>
      <w:r>
        <w:rPr>
          <w:sz w:val="20"/>
          <w:szCs w:val="20"/>
          <w:color w:val="auto"/>
        </w:rPr>
        <w:tab/>
      </w:r>
      <w:r>
        <w:rPr>
          <w:rFonts w:ascii="Courier New" w:cs="Courier New" w:eastAsia="Courier New" w:hAnsi="Courier New"/>
          <w:sz w:val="16"/>
          <w:szCs w:val="16"/>
          <w:color w:val="auto"/>
        </w:rPr>
        <w:t>2006</w:t>
      </w:r>
    </w:p>
    <w:p>
      <w:pPr>
        <w:spacing w:after="0" w:line="4" w:lineRule="exact"/>
        <w:rPr>
          <w:sz w:val="20"/>
          <w:szCs w:val="20"/>
          <w:color w:val="auto"/>
        </w:rPr>
      </w:pPr>
    </w:p>
    <w:p>
      <w:pPr>
        <w:jc w:val="center"/>
        <w:ind w:right="-1301"/>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ectPr>
          <w:pgSz w:w="11900" w:h="16838" w:orient="portrait"/>
          <w:cols w:equalWidth="0" w:num="1">
            <w:col w:w="10221"/>
          </w:cols>
          <w:pgMar w:left="239" w:top="669" w:right="1440" w:bottom="1440" w:gutter="0" w:footer="0" w:header="0"/>
        </w:sectPr>
      </w:pP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$ 95,664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$ 93,342</w:t>
      </w:r>
    </w:p>
    <w:p>
      <w:pPr>
        <w:spacing w:after="0" w:line="13" w:lineRule="exact"/>
        <w:rPr>
          <w:sz w:val="20"/>
          <w:szCs w:val="20"/>
          <w:color w:val="auto"/>
        </w:rPr>
      </w:pPr>
    </w:p>
    <w:p>
      <w:pPr>
        <w:sectPr>
          <w:pgSz w:w="11900" w:h="16838" w:orient="portrait"/>
          <w:cols w:equalWidth="0" w:num="3">
            <w:col w:w="3121" w:space="720"/>
            <w:col w:w="780" w:space="280"/>
            <w:col w:w="5319"/>
          </w:cols>
          <w:pgMar w:left="239" w:top="66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Other comprehensive income:</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Unrealized gain on foreign</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currency hedging contracts, net</w:t>
      </w:r>
    </w:p>
    <w:p>
      <w:pPr>
        <w:sectPr>
          <w:pgSz w:w="11900" w:h="16838" w:orient="portrait"/>
          <w:cols w:equalWidth="0" w:num="1">
            <w:col w:w="10221"/>
          </w:cols>
          <w:pgMar w:left="239" w:top="669" w:right="1440" w:bottom="1440" w:gutter="0" w:footer="0" w:header="0"/>
          <w:type w:val="continuous"/>
        </w:sectPr>
      </w:pP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of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1,667</w:t>
      </w:r>
    </w:p>
    <w:p>
      <w:pPr>
        <w:spacing w:after="0" w:line="4" w:lineRule="exact"/>
        <w:rPr>
          <w:sz w:val="20"/>
          <w:szCs w:val="20"/>
          <w:color w:val="auto"/>
        </w:rPr>
      </w:pPr>
    </w:p>
    <w:p>
      <w:pPr>
        <w:sectPr>
          <w:pgSz w:w="11900" w:h="16838" w:orient="portrait"/>
          <w:cols w:equalWidth="0" w:num="3">
            <w:col w:w="3421" w:space="720"/>
            <w:col w:w="480" w:space="560"/>
            <w:col w:w="5039"/>
          </w:cols>
          <w:pgMar w:left="239" w:top="669" w:right="1440" w:bottom="1440" w:gutter="0" w:footer="0" w:header="0"/>
          <w:type w:val="continuous"/>
        </w:sectPr>
      </w:pPr>
    </w:p>
    <w:p>
      <w:pPr>
        <w:ind w:left="281"/>
        <w:spacing w:after="0"/>
        <w:rPr>
          <w:sz w:val="20"/>
          <w:szCs w:val="20"/>
          <w:color w:val="auto"/>
        </w:rPr>
      </w:pPr>
      <w:r>
        <w:rPr>
          <w:rFonts w:ascii="Courier New" w:cs="Courier New" w:eastAsia="Courier New" w:hAnsi="Courier New"/>
          <w:sz w:val="16"/>
          <w:szCs w:val="16"/>
          <w:color w:val="auto"/>
        </w:rPr>
        <w:t>Unrealized gain (loss) on</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short-term interest-bearing</w:t>
      </w:r>
    </w:p>
    <w:p>
      <w:pPr>
        <w:sectPr>
          <w:pgSz w:w="11900" w:h="16838" w:orient="portrait"/>
          <w:cols w:equalWidth="0" w:num="1">
            <w:col w:w="10221"/>
          </w:cols>
          <w:pgMar w:left="239" w:top="669" w:right="1440" w:bottom="1440" w:gutter="0" w:footer="0" w:header="0"/>
          <w:type w:val="continuous"/>
        </w:sectPr>
      </w:pPr>
    </w:p>
    <w:p>
      <w:pPr>
        <w:spacing w:after="0" w:line="15" w:lineRule="exact"/>
        <w:rPr>
          <w:sz w:val="20"/>
          <w:szCs w:val="20"/>
          <w:color w:val="auto"/>
        </w:rPr>
      </w:pPr>
    </w:p>
    <w:p>
      <w:pPr>
        <w:ind w:left="1" w:right="340" w:firstLine="576"/>
        <w:spacing w:after="0" w:line="486" w:lineRule="auto"/>
        <w:rPr>
          <w:sz w:val="20"/>
          <w:szCs w:val="20"/>
          <w:color w:val="auto"/>
        </w:rPr>
      </w:pPr>
      <w:r>
        <w:rPr>
          <w:rFonts w:ascii="Courier New" w:cs="Courier New" w:eastAsia="Courier New" w:hAnsi="Courier New"/>
          <w:sz w:val="16"/>
          <w:szCs w:val="16"/>
          <w:color w:val="auto"/>
        </w:rPr>
        <w:t>investments, net of tax Comprehensive income</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462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6"/>
          <w:szCs w:val="16"/>
          <w:color w:val="auto"/>
        </w:rPr>
        <w:t>(106)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$ 94,903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21" w:space="720"/>
            <w:col w:w="780" w:space="280"/>
            <w:col w:w="5319"/>
          </w:cols>
          <w:pgMar w:left="239" w:top="669" w:right="1440" w:bottom="1440" w:gutter="0" w:footer="0" w:header="0"/>
          <w:type w:val="continuous"/>
        </w:sectPr>
      </w:pPr>
    </w:p>
    <w:p>
      <w:pPr>
        <w:spacing w:after="0" w:line="173"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0"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67" w:lineRule="exact"/>
        <w:rPr>
          <w:sz w:val="20"/>
          <w:szCs w:val="20"/>
          <w:color w:val="auto"/>
        </w:rPr>
      </w:pPr>
    </w:p>
    <w:tbl>
      <w:tblPr>
        <w:tblLayout w:type="fixed"/>
        <w:tblInd w:w="2681"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1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THREE MONTHS ENDED</w:t>
            </w:r>
          </w:p>
        </w:tc>
      </w:tr>
      <w:tr>
        <w:trPr>
          <w:trHeight w:val="185"/>
        </w:trPr>
        <w:tc>
          <w:tcPr>
            <w:tcW w:w="920" w:type="dxa"/>
            <w:vAlign w:val="bottom"/>
          </w:tcPr>
          <w:p>
            <w:pPr>
              <w:spacing w:after="0"/>
              <w:rPr>
                <w:sz w:val="16"/>
                <w:szCs w:val="16"/>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92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9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2007</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8"/>
              </w:rPr>
              <w:t>2006</w:t>
            </w:r>
          </w:p>
        </w:tc>
      </w:tr>
      <w:tr>
        <w:trPr>
          <w:trHeight w:val="185"/>
        </w:trPr>
        <w:tc>
          <w:tcPr>
            <w:tcW w:w="9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$18,388</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$3,744</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020" w:type="dxa"/>
            <w:vAlign w:val="bottom"/>
          </w:tcPr>
          <w:p>
            <w:pPr>
              <w:ind w:left="240"/>
              <w:spacing w:after="0"/>
              <w:rPr>
                <w:sz w:val="20"/>
                <w:szCs w:val="20"/>
                <w:color w:val="auto"/>
              </w:rPr>
            </w:pPr>
            <w:r>
              <w:rPr>
                <w:rFonts w:ascii="Courier New" w:cs="Courier New" w:eastAsia="Courier New" w:hAnsi="Courier New"/>
                <w:sz w:val="16"/>
                <w:szCs w:val="16"/>
                <w:color w:val="auto"/>
              </w:rPr>
              <w:t>(9,934)</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2,159</w:t>
            </w:r>
          </w:p>
        </w:tc>
      </w:tr>
      <w:tr>
        <w:trPr>
          <w:trHeight w:val="185"/>
        </w:trPr>
        <w:tc>
          <w:tcPr>
            <w:tcW w:w="9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5"/>
        </w:trPr>
        <w:tc>
          <w:tcPr>
            <w:tcW w:w="9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$ 8,454</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$5,903</w:t>
            </w:r>
          </w:p>
        </w:tc>
      </w:tr>
      <w:tr>
        <w:trPr>
          <w:trHeight w:val="185"/>
        </w:trPr>
        <w:tc>
          <w:tcPr>
            <w:tcW w:w="92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739"/>
        </w:trPr>
        <w:tc>
          <w:tcPr>
            <w:tcW w:w="920" w:type="dxa"/>
            <w:vAlign w:val="bottom"/>
          </w:tcPr>
          <w:p>
            <w:pPr>
              <w:spacing w:after="0"/>
              <w:rPr>
                <w:sz w:val="24"/>
                <w:szCs w:val="24"/>
                <w:color w:val="auto"/>
              </w:rPr>
            </w:pPr>
          </w:p>
        </w:tc>
        <w:tc>
          <w:tcPr>
            <w:tcW w:w="1020" w:type="dxa"/>
            <w:vAlign w:val="bottom"/>
          </w:tcPr>
          <w:p>
            <w:pPr>
              <w:ind w:left="240"/>
              <w:spacing w:after="0"/>
              <w:rPr>
                <w:sz w:val="20"/>
                <w:szCs w:val="20"/>
                <w:color w:val="auto"/>
              </w:rPr>
            </w:pPr>
            <w:r>
              <w:rPr>
                <w:rFonts w:ascii="Courier New" w:cs="Courier New" w:eastAsia="Courier New" w:hAnsi="Courier New"/>
                <w:sz w:val="16"/>
                <w:szCs w:val="16"/>
                <w:color w:val="auto"/>
              </w:rPr>
              <w:t>8</w:t>
            </w:r>
          </w:p>
        </w:tc>
        <w:tc>
          <w:tcPr>
            <w:tcW w:w="860" w:type="dxa"/>
            <w:vAlign w:val="bottom"/>
          </w:tcPr>
          <w:p>
            <w:pPr>
              <w:spacing w:after="0"/>
              <w:rPr>
                <w:sz w:val="24"/>
                <w:szCs w:val="24"/>
                <w:color w:val="auto"/>
              </w:rPr>
            </w:pPr>
          </w:p>
        </w:tc>
      </w:tr>
    </w:tbl>
    <w:p>
      <w:pPr>
        <w:sectPr>
          <w:pgSz w:w="11900" w:h="16838" w:orient="portrait"/>
          <w:cols w:equalWidth="0" w:num="1">
            <w:col w:w="10221"/>
          </w:cols>
          <w:pgMar w:left="239" w:top="669" w:right="1440" w:bottom="1440" w:gutter="0" w:footer="0" w:header="0"/>
          <w:type w:val="continuous"/>
        </w:sectPr>
      </w:pPr>
    </w:p>
    <w:bookmarkStart w:id="9" w:name="page10"/>
    <w:bookmarkEnd w:id="9"/>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ind w:left="1" w:right="2639" w:firstLine="480"/>
        <w:spacing w:after="0" w:line="242" w:lineRule="auto"/>
        <w:rPr>
          <w:sz w:val="20"/>
          <w:szCs w:val="20"/>
          <w:color w:val="auto"/>
        </w:rPr>
      </w:pPr>
      <w:r>
        <w:rPr>
          <w:rFonts w:ascii="Courier New" w:cs="Courier New" w:eastAsia="Courier New" w:hAnsi="Courier New"/>
          <w:sz w:val="16"/>
          <w:szCs w:val="16"/>
          <w:color w:val="auto"/>
        </w:rPr>
        <w:t>The Company's effective income tax rate varied from the statutory Guernsey tax rate as follows for the following periods:</w:t>
      </w:r>
    </w:p>
    <w:p>
      <w:pPr>
        <w:spacing w:after="0" w:line="200" w:lineRule="exact"/>
        <w:rPr>
          <w:sz w:val="20"/>
          <w:szCs w:val="20"/>
          <w:color w:val="auto"/>
        </w:rPr>
      </w:pPr>
    </w:p>
    <w:p>
      <w:pPr>
        <w:spacing w:after="0" w:line="356"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41"/>
        <w:spacing w:after="0"/>
        <w:tabs>
          <w:tab w:leader="none" w:pos="360" w:val="left"/>
        </w:tabs>
        <w:rPr>
          <w:sz w:val="20"/>
          <w:szCs w:val="20"/>
          <w:color w:val="auto"/>
        </w:rPr>
      </w:pPr>
      <w:r>
        <w:rPr>
          <w:rFonts w:ascii="Courier New" w:cs="Courier New" w:eastAsia="Courier New" w:hAnsi="Courier New"/>
          <w:sz w:val="16"/>
          <w:szCs w:val="16"/>
          <w:color w:val="auto"/>
        </w:rPr>
        <w:t>2007</w:t>
      </w:r>
      <w:r>
        <w:rPr>
          <w:sz w:val="20"/>
          <w:szCs w:val="20"/>
          <w:color w:val="auto"/>
        </w:rPr>
        <w:tab/>
      </w:r>
      <w:r>
        <w:rPr>
          <w:rFonts w:ascii="Courier New" w:cs="Courier New" w:eastAsia="Courier New" w:hAnsi="Courier New"/>
          <w:sz w:val="16"/>
          <w:szCs w:val="16"/>
          <w:color w:val="auto"/>
        </w:rPr>
        <w:t>2006 (1)</w:t>
      </w:r>
    </w:p>
    <w:p>
      <w:pPr>
        <w:spacing w:after="0" w:line="4" w:lineRule="exact"/>
        <w:rPr>
          <w:sz w:val="20"/>
          <w:szCs w:val="20"/>
          <w:color w:val="auto"/>
        </w:rPr>
      </w:pPr>
    </w:p>
    <w:p>
      <w:pPr>
        <w:jc w:val="center"/>
        <w:ind w:right="-161"/>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ectPr>
          <w:pgSz w:w="11900" w:h="16838" w:orient="portrait"/>
          <w:cols w:equalWidth="0" w:num="1">
            <w:col w:w="10221"/>
          </w:cols>
          <w:pgMar w:left="239" w:top="669" w:right="1440" w:bottom="1440" w:gutter="0" w:footer="0" w:header="0"/>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Statutory Guernsey tax rate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Guernsey tax-exempt status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Foreign taxes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w:t>
      </w:r>
    </w:p>
    <w:p>
      <w:pPr>
        <w:spacing w:after="0" w:line="1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601" w:space="380"/>
            <w:col w:w="380" w:space="580"/>
            <w:col w:w="6279"/>
          </w:cols>
          <w:pgMar w:left="239" w:top="669" w:right="1440" w:bottom="1440" w:gutter="0" w:footer="0" w:header="0"/>
          <w:type w:val="continuous"/>
        </w:sectPr>
      </w:pPr>
    </w:p>
    <w:p>
      <w:pPr>
        <w:spacing w:after="0" w:line="175" w:lineRule="exact"/>
        <w:rPr>
          <w:sz w:val="20"/>
          <w:szCs w:val="20"/>
          <w:color w:val="auto"/>
        </w:rPr>
      </w:pPr>
    </w:p>
    <w:p>
      <w:pPr>
        <w:ind w:left="481" w:right="2639" w:hanging="481"/>
        <w:spacing w:after="0" w:line="243"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Company's net release of $8,748 of tax reserves during the three months ended December 31, 2006, attributable to a resolved tax audit of a prior year, as well as changes in the Company's tax reserves made during that quarter in the ordinary course of business.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As a Guernsey company with tax-exempt status, the Company's overall effective tax rate is attributable to foreign taxes. Tax legislation recently enacted in Guernsey with effect from January 1, 2008 is expected to repeal the exemption and subject the Company to a zero percent corporate tax rate, which the Company believes will not impact its effective tax rate.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As of December 31, 2007, deferred tax assets of $32,951,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 or through goodwill when it relates to a business combination.</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October 1, 2007, the Company adopted FIN 48 which prescribes a comprehensive model for the financial statement recognition, measurement, classification and disclosure of uncertain tax positions. The adoption of FIN 48 did not result in a change to the Company's retained earnings. The total amount of gross unrecognized tax benefits as of the date of adoption, which includes interest and penalties, was $108,929, of which $104,762 would affect the Company's effective tax rate if realized. The Company historically classified unrecognized tax benefits in current income taxes payable. In implementing FIN 48, the Company has reclassified unrecognized tax benefits for which the Company does not anticipate making payment within one year to long-term income taxes payable.</w:t>
      </w:r>
    </w:p>
    <w:p>
      <w:pPr>
        <w:spacing w:after="0" w:line="190"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The total amount of gross unrecognized tax benefits, which includes interest and penalties, was $106,323 as of December 31, 2007, of which $102,042 would affect the effective tax rate if realized. As a result of the settlement of certain tax matters during the first quarter of fiscal 2008, the amount of gross unrecognized tax benefits was reduced by approximately $11,750 (including interest), of which $4,688 was recorded against reduction in tax receivable.</w:t>
      </w:r>
    </w:p>
    <w:p>
      <w:pPr>
        <w:spacing w:after="0" w:line="176"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Company's policy of including interest and penalties related to income taxes, including unrecognized tax benefits, within the provision for income taxes on the consolidated statements of income did not change as a result of implementing FIN 48. As of the date of adoption of FIN 48, the Company had accrued $17,530 in income taxes payable for interest and penalties relating to unrecognized tax benefits.</w:t>
      </w:r>
    </w:p>
    <w:p>
      <w:pPr>
        <w:spacing w:after="0" w:line="371"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69" w:right="1440" w:bottom="1440" w:gutter="0" w:footer="0" w:header="0"/>
          <w:type w:val="continuous"/>
        </w:sectPr>
      </w:pPr>
    </w:p>
    <w:bookmarkStart w:id="10" w:name="page11"/>
    <w:bookmarkEnd w:id="10"/>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188"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90" w:lineRule="exact"/>
        <w:rPr>
          <w:sz w:val="20"/>
          <w:szCs w:val="20"/>
          <w:color w:val="auto"/>
        </w:rPr>
      </w:pPr>
    </w:p>
    <w:p>
      <w:pPr>
        <w:ind w:left="1" w:right="3299" w:firstLine="480"/>
        <w:spacing w:after="0" w:line="242"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700" w:type="dxa"/>
            <w:vAlign w:val="bottom"/>
          </w:tcPr>
          <w:p>
            <w:pPr>
              <w:spacing w:after="0"/>
              <w:rPr>
                <w:sz w:val="16"/>
                <w:szCs w:val="16"/>
                <w:color w:val="auto"/>
              </w:rPr>
            </w:pPr>
          </w:p>
        </w:tc>
        <w:tc>
          <w:tcPr>
            <w:tcW w:w="19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2007</w:t>
            </w:r>
          </w:p>
        </w:tc>
        <w:tc>
          <w:tcPr>
            <w:tcW w:w="24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basic earnings per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share</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$ 95,664</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$ 93,342</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convertible notes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985</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985</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diluted earnings per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share</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$ 96,649</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$ 94,327</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basic earnings per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share- weighted average number</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of shares outstanding</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208,109</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206,450</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convertible notes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10,436</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10,436</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Effect of dilutive stock options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granted</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3,109</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5,522</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Effect of restricted stock issued</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385</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310</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diluted earnings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per share - adjusted weighted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average shares and assumed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700" w:type="dxa"/>
            <w:vAlign w:val="bottom"/>
          </w:tcPr>
          <w:p>
            <w:pPr>
              <w:ind w:left="580"/>
              <w:spacing w:after="0"/>
              <w:rPr>
                <w:sz w:val="20"/>
                <w:szCs w:val="20"/>
                <w:color w:val="auto"/>
              </w:rPr>
            </w:pPr>
            <w:r>
              <w:rPr>
                <w:rFonts w:ascii="Courier New" w:cs="Courier New" w:eastAsia="Courier New" w:hAnsi="Courier New"/>
                <w:sz w:val="16"/>
                <w:szCs w:val="16"/>
                <w:color w:val="auto"/>
              </w:rPr>
              <w:t>conversions</w:t>
            </w:r>
          </w:p>
        </w:tc>
        <w:tc>
          <w:tcPr>
            <w:tcW w:w="2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222,039</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222,718</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ind w:left="200"/>
              <w:spacing w:after="0"/>
              <w:rPr>
                <w:sz w:val="20"/>
                <w:szCs w:val="20"/>
                <w:color w:val="auto"/>
              </w:rPr>
            </w:pPr>
            <w:r>
              <w:rPr>
                <w:rFonts w:ascii="Courier New" w:cs="Courier New" w:eastAsia="Courier New" w:hAnsi="Courier New"/>
                <w:sz w:val="16"/>
                <w:szCs w:val="16"/>
                <w:color w:val="auto"/>
              </w:rPr>
              <w:t>Basic earnings per share</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0.42</w:t>
            </w:r>
          </w:p>
        </w:tc>
      </w:tr>
      <w:tr>
        <w:trPr>
          <w:trHeight w:val="185"/>
        </w:trPr>
        <w:tc>
          <w:tcPr>
            <w:tcW w:w="37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OF SECURITIES</w:t>
      </w:r>
    </w:p>
    <w:p>
      <w:pPr>
        <w:spacing w:after="0" w:line="190" w:lineRule="exact"/>
        <w:rPr>
          <w:sz w:val="20"/>
          <w:szCs w:val="20"/>
          <w:color w:val="auto"/>
        </w:rPr>
      </w:pPr>
    </w:p>
    <w:p>
      <w:pPr>
        <w:ind w:left="1" w:right="2539" w:firstLine="480"/>
        <w:spacing w:after="0" w:line="265" w:lineRule="auto"/>
        <w:rPr>
          <w:sz w:val="20"/>
          <w:szCs w:val="20"/>
          <w:color w:val="auto"/>
        </w:rPr>
      </w:pPr>
      <w:r>
        <w:rPr>
          <w:rFonts w:ascii="Courier New" w:cs="Courier New" w:eastAsia="Courier New" w:hAnsi="Courier New"/>
          <w:sz w:val="15"/>
          <w:szCs w:val="15"/>
          <w:color w:val="auto"/>
        </w:rPr>
        <w:t>In August 2007, the Company announced that its board of directors had authorized a share repurchase plan allowing the repurchase of up to $400 million of its outstanding ordinary shares. The authorization permits the Company to purchase its ordinary shares in open market or privately negotiated transactions</w:t>
      </w: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669" w:right="1440" w:bottom="1440" w:gutter="0" w:footer="0" w:header="0"/>
        </w:sectPr>
      </w:pPr>
    </w:p>
    <w:bookmarkStart w:id="11" w:name="page12"/>
    <w:bookmarkEnd w:id="11"/>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at times and prices that it considers appropriate. During the three months ended December 31, 2007, the Company repurchased 2,176 ordinary shares under this repurchase program, at an average price of $33.31 per share (excluding broker and transaction fees).</w:t>
      </w:r>
    </w:p>
    <w:p>
      <w:pPr>
        <w:spacing w:after="0" w:line="188"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AND INCENTIVE PLAN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2008, the maximum number of ordinary shares authorized to be granted under the Plan was increased from 46,300 to 55,300. Awards granted under the Plan generally vest over a period of four years and stock options have a term of ten years.</w:t>
      </w:r>
    </w:p>
    <w:p>
      <w:pPr>
        <w:spacing w:after="0" w:line="190" w:lineRule="exact"/>
        <w:rPr>
          <w:sz w:val="20"/>
          <w:szCs w:val="20"/>
          <w:color w:val="auto"/>
        </w:rPr>
      </w:pPr>
    </w:p>
    <w:p>
      <w:pPr>
        <w:ind w:left="1" w:right="2819" w:firstLine="480"/>
        <w:spacing w:after="0" w:line="243" w:lineRule="auto"/>
        <w:rPr>
          <w:sz w:val="20"/>
          <w:szCs w:val="20"/>
          <w:color w:val="auto"/>
        </w:rPr>
      </w:pPr>
      <w:r>
        <w:rPr>
          <w:rFonts w:ascii="Courier New" w:cs="Courier New" w:eastAsia="Courier New" w:hAnsi="Courier New"/>
          <w:sz w:val="16"/>
          <w:szCs w:val="16"/>
          <w:color w:val="auto"/>
        </w:rPr>
        <w:t>The following table summarizes information about options to purchase the Company's ordinary shares, as well as changes during the three-month period ended December 31, 2007:</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3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WEIGHTED</w:t>
            </w:r>
          </w:p>
        </w:tc>
        <w:tc>
          <w:tcPr>
            <w:tcW w:w="1200" w:type="dxa"/>
            <w:vAlign w:val="bottom"/>
          </w:tcPr>
          <w:p>
            <w:pPr>
              <w:jc w:val="center"/>
              <w:ind w:left="8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3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AVERAGE</w:t>
            </w:r>
          </w:p>
        </w:tc>
        <w:tc>
          <w:tcPr>
            <w:tcW w:w="120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REMAINING</w:t>
            </w:r>
          </w:p>
        </w:tc>
      </w:tr>
      <w:tr>
        <w:trPr>
          <w:trHeight w:val="185"/>
        </w:trPr>
        <w:tc>
          <w:tcPr>
            <w:tcW w:w="340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NUMBER OF</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EXERCISE</w:t>
            </w:r>
          </w:p>
        </w:tc>
        <w:tc>
          <w:tcPr>
            <w:tcW w:w="12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CONTRACTUAL</w:t>
            </w:r>
          </w:p>
        </w:tc>
      </w:tr>
      <w:tr>
        <w:trPr>
          <w:trHeight w:val="185"/>
        </w:trPr>
        <w:tc>
          <w:tcPr>
            <w:tcW w:w="3400" w:type="dxa"/>
            <w:vAlign w:val="bottom"/>
          </w:tcPr>
          <w:p>
            <w:pPr>
              <w:spacing w:after="0"/>
              <w:rPr>
                <w:sz w:val="16"/>
                <w:szCs w:val="16"/>
                <w:color w:val="auto"/>
              </w:rPr>
            </w:pPr>
          </w:p>
        </w:tc>
        <w:tc>
          <w:tcPr>
            <w:tcW w:w="11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OPTIONS</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PRICE</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TERM</w:t>
            </w:r>
          </w:p>
        </w:tc>
      </w:tr>
      <w:tr>
        <w:trPr>
          <w:trHeight w:val="185"/>
        </w:trPr>
        <w:tc>
          <w:tcPr>
            <w:tcW w:w="340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ind w:left="60"/>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Outstanding as of October 1, 2007</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20,456.5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$31.62</w:t>
            </w:r>
          </w:p>
        </w:tc>
        <w:tc>
          <w:tcPr>
            <w:tcW w:w="1200" w:type="dxa"/>
            <w:vAlign w:val="bottom"/>
          </w:tcPr>
          <w:p>
            <w:pPr>
              <w:spacing w:after="0"/>
              <w:rPr>
                <w:sz w:val="24"/>
                <w:szCs w:val="24"/>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3,271.0</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33.96</w:t>
            </w:r>
          </w:p>
        </w:tc>
        <w:tc>
          <w:tcPr>
            <w:tcW w:w="1200" w:type="dxa"/>
            <w:vAlign w:val="bottom"/>
          </w:tcPr>
          <w:p>
            <w:pPr>
              <w:spacing w:after="0"/>
              <w:rPr>
                <w:sz w:val="16"/>
                <w:szCs w:val="16"/>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(354.5)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18.17</w:t>
            </w:r>
          </w:p>
        </w:tc>
        <w:tc>
          <w:tcPr>
            <w:tcW w:w="1200" w:type="dxa"/>
            <w:vAlign w:val="bottom"/>
          </w:tcPr>
          <w:p>
            <w:pPr>
              <w:spacing w:after="0"/>
              <w:rPr>
                <w:sz w:val="16"/>
                <w:szCs w:val="16"/>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(369.5)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37.23</w:t>
            </w:r>
          </w:p>
        </w:tc>
        <w:tc>
          <w:tcPr>
            <w:tcW w:w="1200" w:type="dxa"/>
            <w:vAlign w:val="bottom"/>
          </w:tcPr>
          <w:p>
            <w:pPr>
              <w:spacing w:after="0"/>
              <w:rPr>
                <w:sz w:val="16"/>
                <w:szCs w:val="16"/>
                <w:color w:val="auto"/>
              </w:rPr>
            </w:pPr>
          </w:p>
        </w:tc>
      </w:tr>
      <w:tr>
        <w:trPr>
          <w:trHeight w:val="185"/>
        </w:trPr>
        <w:tc>
          <w:tcPr>
            <w:tcW w:w="340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Outstanding as of December 31, 2007</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23,003.5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$32.07</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6.32</w:t>
            </w:r>
          </w:p>
        </w:tc>
      </w:tr>
      <w:tr>
        <w:trPr>
          <w:trHeight w:val="185"/>
        </w:trPr>
        <w:tc>
          <w:tcPr>
            <w:tcW w:w="340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Exercisable on December 31, 2007</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13,460.7</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$31.95</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4.54</w:t>
            </w:r>
          </w:p>
        </w:tc>
      </w:tr>
      <w:tr>
        <w:trPr>
          <w:trHeight w:val="185"/>
        </w:trPr>
        <w:tc>
          <w:tcPr>
            <w:tcW w:w="3400" w:type="dxa"/>
            <w:vAlign w:val="bottom"/>
          </w:tcPr>
          <w:p>
            <w:pPr>
              <w:spacing w:after="0"/>
              <w:rPr>
                <w:sz w:val="16"/>
                <w:szCs w:val="16"/>
                <w:color w:val="auto"/>
              </w:rPr>
            </w:pP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3400" w:type="dxa"/>
            <w:vAlign w:val="bottom"/>
          </w:tcPr>
          <w:p>
            <w:pPr>
              <w:spacing w:after="0"/>
              <w:rPr>
                <w:sz w:val="24"/>
                <w:szCs w:val="24"/>
                <w:color w:val="auto"/>
              </w:rPr>
            </w:pPr>
          </w:p>
        </w:tc>
        <w:tc>
          <w:tcPr>
            <w:tcW w:w="1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21"/>
          </w:cols>
          <w:pgMar w:left="239" w:top="669" w:right="1440" w:bottom="1440" w:gutter="0" w:footer="0" w:header="0"/>
        </w:sectPr>
      </w:pPr>
    </w:p>
    <w:bookmarkStart w:id="12" w:name="page13"/>
    <w:bookmarkEnd w:id="12"/>
    <w:p>
      <w:pPr>
        <w:jc w:val="center"/>
        <w:ind w:right="2539"/>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following table summarizes information relating to awards of restricted shares, as well as changes to such awards during the three-month period ended on December 31, 2007:</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332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GRANT DATE</w:t>
            </w:r>
          </w:p>
        </w:tc>
      </w:tr>
      <w:tr>
        <w:trPr>
          <w:trHeight w:val="185"/>
        </w:trPr>
        <w:tc>
          <w:tcPr>
            <w:tcW w:w="3320" w:type="dxa"/>
            <w:vAlign w:val="bottom"/>
          </w:tcPr>
          <w:p>
            <w:pPr>
              <w:spacing w:after="0"/>
              <w:rPr>
                <w:sz w:val="16"/>
                <w:szCs w:val="16"/>
                <w:color w:val="auto"/>
              </w:rPr>
            </w:pP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FAIR VALUE</w:t>
            </w:r>
          </w:p>
        </w:tc>
      </w:tr>
      <w:tr>
        <w:trPr>
          <w:trHeight w:val="185"/>
        </w:trPr>
        <w:tc>
          <w:tcPr>
            <w:tcW w:w="332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Outstanding unvested shares as of</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955.1</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$34.50</w:t>
            </w: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October 1, 2007</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216.1</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34.77</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Vested</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(122.2)</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32.53</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(28.2)</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37.60</w:t>
            </w:r>
          </w:p>
        </w:tc>
      </w:tr>
      <w:tr>
        <w:trPr>
          <w:trHeight w:val="185"/>
        </w:trPr>
        <w:tc>
          <w:tcPr>
            <w:tcW w:w="3320" w:type="dxa"/>
            <w:vAlign w:val="bottom"/>
          </w:tcPr>
          <w:p>
            <w:pPr>
              <w:spacing w:after="0"/>
              <w:rPr>
                <w:sz w:val="16"/>
                <w:szCs w:val="16"/>
                <w:color w:val="auto"/>
              </w:rPr>
            </w:pP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Outstanding unvested shares as of</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December 31, 2007</w:t>
            </w: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1,020.8</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$34.71</w:t>
            </w:r>
          </w:p>
        </w:tc>
      </w:tr>
      <w:tr>
        <w:trPr>
          <w:trHeight w:val="185"/>
        </w:trPr>
        <w:tc>
          <w:tcPr>
            <w:tcW w:w="3320" w:type="dxa"/>
            <w:vAlign w:val="bottom"/>
          </w:tcPr>
          <w:p>
            <w:pPr>
              <w:spacing w:after="0"/>
              <w:rPr>
                <w:sz w:val="16"/>
                <w:szCs w:val="16"/>
                <w:color w:val="auto"/>
              </w:rPr>
            </w:pP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December 31, 2007, there was $72,166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7"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Equity-based payments to employees, including grants of employee stock options, are recognized in the statements of income based on their fair values in accordance with FASB Statement No. 123 (revised 2004), "Share-Based Payment," a revision of SFAS No. 123 ("SFAS 123(R)") and Staff Accounting Bulletin No. 107 ("SAB 107"), which provides supplemental implementation guidance on SFAS 123(R).</w:t>
      </w:r>
    </w:p>
    <w:p>
      <w:pPr>
        <w:spacing w:after="0" w:line="174"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Employee equity-based compensation pre-tax expense under SFAS 123(R) for the three months ended December 31, 2007 and 2006 was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3500" w:type="dxa"/>
            <w:vAlign w:val="bottom"/>
          </w:tcPr>
          <w:p>
            <w:pPr>
              <w:spacing w:after="0"/>
              <w:rPr>
                <w:sz w:val="16"/>
                <w:szCs w:val="16"/>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DECEMBER 31,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50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2007</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35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Cost of service</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6,282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$ 6,322</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54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1,376</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1,778</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40" w:type="dxa"/>
            <w:vAlign w:val="bottom"/>
          </w:tcPr>
          <w:p>
            <w:pPr>
              <w:spacing w:after="0"/>
              <w:rPr>
                <w:sz w:val="16"/>
                <w:szCs w:val="16"/>
                <w:color w:val="auto"/>
              </w:rPr>
            </w:pP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6,558</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7,225</w:t>
            </w:r>
          </w:p>
        </w:tc>
      </w:tr>
      <w:tr>
        <w:trPr>
          <w:trHeight w:val="185"/>
        </w:trPr>
        <w:tc>
          <w:tcPr>
            <w:tcW w:w="35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7"/>
              </w:rPr>
              <w:t>14,216</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$15,325</w:t>
            </w:r>
          </w:p>
        </w:tc>
      </w:tr>
    </w:tbl>
    <w:p>
      <w:pPr>
        <w:spacing w:after="0" w:line="375" w:lineRule="exact"/>
        <w:rPr>
          <w:sz w:val="20"/>
          <w:szCs w:val="20"/>
          <w:color w:val="auto"/>
        </w:rPr>
      </w:pPr>
    </w:p>
    <w:p>
      <w:pPr>
        <w:ind w:right="3019" w:firstLine="480"/>
        <w:spacing w:after="0" w:line="267" w:lineRule="auto"/>
        <w:rPr>
          <w:sz w:val="20"/>
          <w:szCs w:val="20"/>
          <w:color w:val="auto"/>
        </w:rPr>
      </w:pPr>
      <w:r>
        <w:rPr>
          <w:rFonts w:ascii="Courier New" w:cs="Courier New" w:eastAsia="Courier New" w:hAnsi="Courier New"/>
          <w:sz w:val="15"/>
          <w:szCs w:val="15"/>
          <w:color w:val="auto"/>
        </w:rPr>
        <w:t>The total income tax benefit recognized in the income statement for stock-based compensation (including restricted shares) for the three months ended December 31, 2007 and 2006 was $1,396 and $2,392, respectively.</w:t>
      </w:r>
    </w:p>
    <w:p>
      <w:pPr>
        <w:spacing w:after="0" w:line="172"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The Company selected the Black-Scholes option pricing model as the most appropriate fair value method for its equity-based awards and recognizes compensation costs using the graded vesting</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sectPr>
      </w:pPr>
    </w:p>
    <w:bookmarkStart w:id="13" w:name="page14"/>
    <w:bookmarkEnd w:id="13"/>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attribution method. The Black-Scholes option pricing model assumptions used are noted in the following table (all in weighted averages for options granted during the period):</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3400" w:type="dxa"/>
            <w:vAlign w:val="bottom"/>
          </w:tcPr>
          <w:p>
            <w:pPr>
              <w:spacing w:after="0"/>
              <w:rPr>
                <w:sz w:val="16"/>
                <w:szCs w:val="16"/>
                <w:color w:val="auto"/>
              </w:rPr>
            </w:pPr>
          </w:p>
        </w:tc>
        <w:tc>
          <w:tcPr>
            <w:tcW w:w="18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40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tcPr>
          <w:p>
            <w:pPr>
              <w:spacing w:after="0"/>
              <w:rPr>
                <w:sz w:val="16"/>
                <w:szCs w:val="16"/>
                <w:color w:val="auto"/>
              </w:rPr>
            </w:pPr>
          </w:p>
        </w:tc>
        <w:tc>
          <w:tcPr>
            <w:tcW w:w="9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340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400" w:type="dxa"/>
            <w:vAlign w:val="bottom"/>
          </w:tcPr>
          <w:p>
            <w:pPr>
              <w:spacing w:after="0"/>
              <w:rPr>
                <w:sz w:val="20"/>
                <w:szCs w:val="20"/>
                <w:color w:val="auto"/>
              </w:rPr>
            </w:pPr>
            <w:r>
              <w:rPr>
                <w:rFonts w:ascii="Courier New" w:cs="Courier New" w:eastAsia="Courier New" w:hAnsi="Courier New"/>
                <w:sz w:val="16"/>
                <w:szCs w:val="16"/>
                <w:color w:val="auto"/>
              </w:rPr>
              <w:t>Risk-free interest rate (1)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4.46%</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Expected life of stock options (2)</w:t>
            </w:r>
          </w:p>
        </w:tc>
        <w:tc>
          <w:tcPr>
            <w:tcW w:w="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4.18</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4.36</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Expected volatility (3)</w:t>
            </w:r>
          </w:p>
        </w:tc>
        <w:tc>
          <w:tcPr>
            <w:tcW w:w="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0.33</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Expected dividend yield (4)</w:t>
            </w:r>
          </w:p>
        </w:tc>
        <w:tc>
          <w:tcPr>
            <w:tcW w:w="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None</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None</w:t>
            </w:r>
          </w:p>
        </w:tc>
      </w:tr>
      <w:tr>
        <w:trPr>
          <w:trHeight w:val="185"/>
        </w:trPr>
        <w:tc>
          <w:tcPr>
            <w:tcW w:w="3400" w:type="dxa"/>
            <w:vAlign w:val="bottom"/>
          </w:tcPr>
          <w:p>
            <w:pPr>
              <w:spacing w:after="0"/>
              <w:rPr>
                <w:sz w:val="20"/>
                <w:szCs w:val="20"/>
                <w:color w:val="auto"/>
              </w:rPr>
            </w:pPr>
            <w:r>
              <w:rPr>
                <w:rFonts w:ascii="Courier New" w:cs="Courier New" w:eastAsia="Courier New" w:hAnsi="Courier New"/>
                <w:sz w:val="16"/>
                <w:szCs w:val="16"/>
                <w:color w:val="auto"/>
              </w:rPr>
              <w:t>Fair value per option</w:t>
            </w:r>
          </w:p>
        </w:tc>
        <w:tc>
          <w:tcPr>
            <w:tcW w:w="9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$10.55</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$13.14</w:t>
            </w:r>
          </w:p>
        </w:tc>
      </w:tr>
    </w:tbl>
    <w:p>
      <w:pPr>
        <w:spacing w:after="0" w:line="375" w:lineRule="exact"/>
        <w:rPr>
          <w:sz w:val="20"/>
          <w:szCs w:val="20"/>
          <w:color w:val="auto"/>
        </w:rPr>
      </w:pPr>
    </w:p>
    <w:p>
      <w:pPr>
        <w:ind w:left="481" w:right="2539"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Risk-free interest rate is based upon U.S. Treasury yield curve appropriate for the term of the Company's employee stock options.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life of stock options is based upon historical experience.</w:t>
      </w:r>
    </w:p>
    <w:p>
      <w:pPr>
        <w:spacing w:after="0" w:line="190"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volatility for the three months ended December 31, 2007 and 2006 is based on a combination of implied volatility of the Company's traded options and historical stock price volatility ("blended volatility").</w:t>
      </w:r>
    </w:p>
    <w:p>
      <w:pPr>
        <w:spacing w:after="0" w:line="188" w:lineRule="exact"/>
        <w:rPr>
          <w:rFonts w:ascii="Courier New" w:cs="Courier New" w:eastAsia="Courier New" w:hAnsi="Courier New"/>
          <w:sz w:val="16"/>
          <w:szCs w:val="16"/>
          <w:color w:val="auto"/>
        </w:rPr>
      </w:pPr>
    </w:p>
    <w:p>
      <w:pPr>
        <w:ind w:left="481" w:right="3199"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dividend yield is based on the Company's history and future expectation of dividend payouts.</w:t>
      </w:r>
    </w:p>
    <w:p>
      <w:pPr>
        <w:spacing w:after="0" w:line="189"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Equity-based compensation recognized is reduced for estimated forfeitures and revised, if necessary, in subsequent periods if actual forfeitures differ from those estimates.</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669" w:right="1440" w:bottom="1440" w:gutter="0" w:footer="0" w:header="0"/>
        </w:sectPr>
      </w:pPr>
    </w:p>
    <w:bookmarkStart w:id="14" w:name="page15"/>
    <w:bookmarkEnd w:id="14"/>
    <w:p>
      <w:pPr>
        <w:jc w:val="center"/>
        <w:ind w:right="2538"/>
        <w:spacing w:after="0"/>
        <w:rPr>
          <w:sz w:val="20"/>
          <w:szCs w:val="20"/>
          <w:color w:val="auto"/>
        </w:rPr>
      </w:pPr>
      <w:r>
        <w:rPr>
          <w:rFonts w:ascii="Courier New" w:cs="Courier New" w:eastAsia="Courier New" w:hAnsi="Courier New"/>
          <w:sz w:val="16"/>
          <w:szCs w:val="16"/>
          <w:color w:val="auto"/>
        </w:rPr>
        <w:t>AMDOCS LIMITED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8"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OPERATIONAL EFFICIENCY AND COST REDUCTION PROGRAMS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 the quarter ended March 31, 2007, the Company commenced a series of measures designed to align its operational structure to its expected future growth and to improve efficiency. As part of this plan, the Company recorded an expense of $6,011, consisting primarily of employee separation costs in connection with the termination of the employment of software and information technology specialists and administrative professionals at various locations around the world and for facility related costs. Approximately $5,004 of the total expense had been paid in cash as of December 31, 2007. The facility-related costs are expected to be paid through May 2013.</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connection with its acquisition of DST Innovis, Inc. and DST Interactive, Inc (collectively, "DST Innovis") in fiscal 2005, the Company commenced integration activities with respect to the DST Innovis business based on a plan to exit specific research and development activities and to terminate employees associated with these activities. The liabilities associated with this plan, which were recorded as part of the purchase accounting, are presented in the following table:</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CONTRACTUAL</w:t>
            </w: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312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OBLIGATIONS</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312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Balance as of October 1, 2007</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$4,247</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$ 4,359</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13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(485)</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(485)</w:t>
            </w:r>
          </w:p>
        </w:tc>
      </w:tr>
      <w:tr>
        <w:trPr>
          <w:trHeight w:val="185"/>
        </w:trPr>
        <w:tc>
          <w:tcPr>
            <w:tcW w:w="3120" w:type="dxa"/>
            <w:vAlign w:val="bottom"/>
          </w:tcPr>
          <w:p>
            <w:pPr>
              <w:spacing w:after="0"/>
              <w:rPr>
                <w:sz w:val="16"/>
                <w:szCs w:val="16"/>
                <w:color w:val="auto"/>
              </w:rPr>
            </w:pP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Balance as of December 31, 2007</w:t>
            </w: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$3,762</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$ 3,874</w:t>
            </w:r>
          </w:p>
        </w:tc>
      </w:tr>
      <w:tr>
        <w:trPr>
          <w:trHeight w:val="185"/>
        </w:trPr>
        <w:tc>
          <w:tcPr>
            <w:tcW w:w="3120" w:type="dxa"/>
            <w:vAlign w:val="bottom"/>
          </w:tcPr>
          <w:p>
            <w:pPr>
              <w:spacing w:after="0"/>
              <w:rPr>
                <w:sz w:val="16"/>
                <w:szCs w:val="16"/>
                <w:color w:val="auto"/>
              </w:rPr>
            </w:pPr>
          </w:p>
        </w:tc>
        <w:tc>
          <w:tcPr>
            <w:tcW w:w="13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481" w:right="8099" w:hanging="481"/>
        <w:spacing w:after="0" w:line="486"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 Legal Proceedings</w:t>
      </w:r>
    </w:p>
    <w:p>
      <w:pPr>
        <w:spacing w:after="0" w:line="5"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Company generally sells its products with a limited warranty for a period of 90 days. The Company's policy is to account for warranty costs, if needed, based on historical trends in product failure. Based on the Company's experience, only minimal warranty services have been required and, as a result, the Company did not accrue any amounts for product warranty liability during the three months ended December 31, 2007 and 2006.</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and in its consolidated financial statements.</w:t>
      </w:r>
    </w:p>
    <w:p>
      <w:pPr>
        <w:spacing w:after="0" w:line="37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669" w:right="1440" w:bottom="1440" w:gutter="0" w:footer="0" w:header="0"/>
        </w:sectPr>
      </w:pPr>
    </w:p>
    <w:bookmarkStart w:id="15" w:name="page16"/>
    <w:bookmarkEnd w:id="15"/>
    <w:p>
      <w:pPr>
        <w:spacing w:after="0"/>
        <w:tabs>
          <w:tab w:leader="none" w:pos="840" w:val="left"/>
        </w:tabs>
        <w:rPr>
          <w:sz w:val="20"/>
          <w:szCs w:val="20"/>
          <w:color w:val="auto"/>
        </w:rPr>
      </w:pPr>
      <w:r>
        <w:rPr>
          <w:rFonts w:ascii="Courier New" w:cs="Courier New" w:eastAsia="Courier New" w:hAnsi="Courier New"/>
          <w:sz w:val="16"/>
          <w:szCs w:val="16"/>
          <w:color w:val="auto"/>
        </w:rPr>
        <w:t>ITEM 2.</w:t>
        <w:tab/>
        <w:t>OPERATING AND FINANCIAL REVIEW AND PROSPECTS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2007 that we filed on December 3, 2007 with the United States Securities and Exchange Commission ("SEC").</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Amdocs is a leading provider of software and services for communications service providers. Our market focus is primarily Tier 1 and Tier 2 communications companies, including leading wireline and wireless telecommunications, broadband cable and satellite service providers. In addition, Amdocs also operates in emerging markets and supports smaller tier communication service providers.</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We develop, implement and manage software and services associated with the business support systems and operational support systems (BSS and OSS) that enable service providers to deliver a better, differentiated, and intentional customer experience, by, for example, introducing products quickly, understanding their customers more deeply, processing orders efficiently and solving problems productively. We refer to these systems as customer experience systems.</w:t>
      </w:r>
    </w:p>
    <w:p>
      <w:pPr>
        <w:spacing w:after="0" w:line="188" w:lineRule="exact"/>
        <w:rPr>
          <w:sz w:val="20"/>
          <w:szCs w:val="20"/>
          <w:color w:val="auto"/>
        </w:rPr>
      </w:pPr>
    </w:p>
    <w:p>
      <w:pPr>
        <w:jc w:val="both"/>
        <w:ind w:right="3019" w:firstLine="480"/>
        <w:spacing w:after="0" w:line="267" w:lineRule="auto"/>
        <w:rPr>
          <w:sz w:val="20"/>
          <w:szCs w:val="20"/>
          <w:color w:val="auto"/>
        </w:rPr>
      </w:pPr>
      <w:r>
        <w:rPr>
          <w:rFonts w:ascii="Courier New" w:cs="Courier New" w:eastAsia="Courier New" w:hAnsi="Courier New"/>
          <w:sz w:val="15"/>
          <w:szCs w:val="15"/>
          <w:color w:val="auto"/>
        </w:rPr>
        <w:t>We believe the demand for our customer experience systems is primarily driven by the need for communications service providers to transform their business and support next generation products and services.</w:t>
      </w:r>
    </w:p>
    <w:p>
      <w:pPr>
        <w:spacing w:after="0" w:line="17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Consolidation in the communications industry is continuing, and competition among incumbent and new entrant service providers is intensifying. At the same time, convergence is accelerating, with consumers expecting continuous access to voice, data and video services anywhere, through any device. Service providers are responding to this challenge by seeking to develop new revenue streams that take advantage of ubiquitous connectivity and convergence. In this changing environment, we believe service providers will succeed by differentiating their offerings in order to deliver a customer experience that is simple, personal, and valuable at every point of service. Service providers can do this by adopting our strategy of integrated customer management. While we recognize that there are some macro-economic indicators that cause uncertainty in our industry, we continue to see demand for Amdocs products and services, and currently expect that we will continue to expand our business in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Amdocs offerings of software and related services consist of:</w:t>
      </w:r>
    </w:p>
    <w:p>
      <w:pPr>
        <w:spacing w:after="0" w:line="375" w:lineRule="exact"/>
        <w:rPr>
          <w:sz w:val="20"/>
          <w:szCs w:val="20"/>
          <w:color w:val="auto"/>
        </w:rPr>
      </w:pPr>
    </w:p>
    <w:p>
      <w:pPr>
        <w:ind w:left="960" w:right="2639" w:hanging="481"/>
        <w:spacing w:after="0" w:line="244"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modular portfolio of BSS and OSS software, including revenue management (billing, mediation and partner settlement), customer management (ordering, customer relationship management or CRM, and self-service), service and resource management (network management, planning and fulfillment ) digital commerce management (content revenue management, search and digital advertising) and foundation products (such as enterprise product catalog). In January 2008, we introduced our most current version of the portfolio, Amdocs CES 7.5.</w:t>
      </w:r>
    </w:p>
    <w:p>
      <w:pPr>
        <w:spacing w:after="0" w:line="189" w:lineRule="exact"/>
        <w:rPr>
          <w:rFonts w:ascii="Courier New" w:cs="Courier New" w:eastAsia="Courier New" w:hAnsi="Courier New"/>
          <w:sz w:val="16"/>
          <w:szCs w:val="16"/>
          <w:color w:val="auto"/>
        </w:rPr>
      </w:pPr>
    </w:p>
    <w:p>
      <w:pPr>
        <w:ind w:left="960" w:right="2539" w:hanging="481"/>
        <w:spacing w:after="0" w:line="244"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comprehensive line of services, from strategy to execution. Because our customers' projects are complex and require systems support expertise,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rating and billing services and communications facility management services.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have designed our customer experience systems to meet the mission-critical needs of leading service providers around the world. We support their various lines of business, including wireline, wireless, cable and satellite, and a wide range of communication services, including voice, video, data, IP, broadband, content, electronic and mobile commerce applications. We also support companies that offer multiple service packages, commonly referred to as bundled or convergent service packages. We have also applied our experience to assist service providers in the financial services sector to meet operational challenges that are similar to those experienced by communications companies.</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9" w:right="1440" w:bottom="1440" w:gutter="0" w:footer="0" w:header="0"/>
        </w:sectPr>
      </w:pPr>
    </w:p>
    <w:bookmarkStart w:id="17" w:name="page18"/>
    <w:bookmarkEnd w:id="17"/>
    <w:p>
      <w:pPr>
        <w:ind w:right="2639" w:firstLine="480"/>
        <w:spacing w:after="0" w:line="243" w:lineRule="auto"/>
        <w:rPr>
          <w:sz w:val="20"/>
          <w:szCs w:val="20"/>
          <w:color w:val="auto"/>
        </w:rPr>
      </w:pPr>
      <w:r>
        <w:rPr>
          <w:rFonts w:ascii="Courier New" w:cs="Courier New" w:eastAsia="Courier New" w:hAnsi="Courier New"/>
          <w:sz w:val="16"/>
          <w:szCs w:val="16"/>
          <w:color w:val="auto"/>
        </w:rPr>
        <w:t>Amdocs also offers a full range of directory sales and publishing systems and related services, which we refer to as directory systems, for publishers of both traditional printed yellow page and white page directories and electronic Internet directories.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We conduct our business globally, and, as a result we are subject to the effects of global economic conditions and, in particular, market conditions in the communications industry. We maintain development facilities in China, Cyprus, India, Ireland, Israel and the United States.</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We believe that demand for our customer experience systems is primarily driven by the following key factors:</w:t>
      </w:r>
    </w:p>
    <w:p>
      <w:pPr>
        <w:spacing w:after="0" w:line="187" w:lineRule="exact"/>
        <w:rPr>
          <w:sz w:val="20"/>
          <w:szCs w:val="20"/>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transformation, including:</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ubiquitous use of communications and content services,</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in digital and mobile commerce,</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ongoing consolidation among incumbent communications providers,</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competition from new entrants,</w:t>
      </w:r>
    </w:p>
    <w:p>
      <w:pPr>
        <w:spacing w:after="0" w:line="190" w:lineRule="exact"/>
        <w:rPr>
          <w:rFonts w:ascii="Courier New" w:cs="Courier New" w:eastAsia="Courier New" w:hAnsi="Courier New"/>
          <w:sz w:val="16"/>
          <w:szCs w:val="16"/>
          <w:color w:val="auto"/>
        </w:rPr>
      </w:pPr>
    </w:p>
    <w:p>
      <w:pPr>
        <w:ind w:left="1440" w:right="30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convergence of communications, broadband cable and satellite industries, and</w:t>
      </w:r>
    </w:p>
    <w:p>
      <w:pPr>
        <w:spacing w:after="0" w:line="186"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commoditization and pricing pressure.</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advances, such as:</w:t>
      </w:r>
    </w:p>
    <w:p>
      <w:pPr>
        <w:spacing w:after="0" w:line="190"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new communications products and services, especially video, broadband, data and content services, including IP-based services, such as Internet Protocol (IP) Television (IPTV) and Voice over IP (VoIP),</w:t>
      </w:r>
    </w:p>
    <w:p>
      <w:pPr>
        <w:spacing w:after="0" w:line="189" w:lineRule="exact"/>
        <w:rPr>
          <w:rFonts w:ascii="Courier New" w:cs="Courier New" w:eastAsia="Courier New" w:hAnsi="Courier New"/>
          <w:sz w:val="16"/>
          <w:szCs w:val="16"/>
          <w:color w:val="auto"/>
        </w:rPr>
      </w:pPr>
    </w:p>
    <w:p>
      <w:pPr>
        <w:ind w:left="1440" w:right="281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evolution to next generation networks such as IP Multimedia Subsystem (IMS), that enable converged services offerings like fixed-mobile convergence, and</w:t>
      </w:r>
    </w:p>
    <w:p>
      <w:pPr>
        <w:spacing w:after="0" w:line="188" w:lineRule="exact"/>
        <w:rPr>
          <w:rFonts w:ascii="Courier New" w:cs="Courier New" w:eastAsia="Courier New" w:hAnsi="Courier New"/>
          <w:sz w:val="16"/>
          <w:szCs w:val="16"/>
          <w:color w:val="auto"/>
        </w:rPr>
      </w:pPr>
    </w:p>
    <w:p>
      <w:pPr>
        <w:ind w:left="1440" w:right="281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3G and 4G wireless technology, next-generation content systems and WiFi-and WiMax- based access technologies.</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focus, such as:</w:t>
      </w:r>
    </w:p>
    <w:p>
      <w:pPr>
        <w:spacing w:after="0" w:line="190" w:lineRule="exact"/>
        <w:rPr>
          <w:rFonts w:ascii="Courier New" w:cs="Courier New" w:eastAsia="Courier New" w:hAnsi="Courier New"/>
          <w:sz w:val="16"/>
          <w:szCs w:val="16"/>
          <w:color w:val="auto"/>
        </w:rPr>
      </w:pPr>
    </w:p>
    <w:p>
      <w:pPr>
        <w:ind w:left="1440" w:right="29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for service providers to focus on their customers in order to build profitable customer relationships,</w:t>
      </w:r>
    </w:p>
    <w:p>
      <w:pPr>
        <w:spacing w:after="0" w:line="188"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shift" toward the consumer, with customers demanding new, innovative services that can be personalized, that are timely and relevant to them, that they can participate in creating, and that can be accessed anytime and anywhere,</w:t>
      </w:r>
    </w:p>
    <w:p>
      <w:pPr>
        <w:spacing w:after="0" w:line="189" w:lineRule="exact"/>
        <w:rPr>
          <w:rFonts w:ascii="Courier New" w:cs="Courier New" w:eastAsia="Courier New" w:hAnsi="Courier New"/>
          <w:sz w:val="16"/>
          <w:szCs w:val="16"/>
          <w:color w:val="auto"/>
        </w:rPr>
      </w:pPr>
    </w:p>
    <w:p>
      <w:pPr>
        <w:ind w:left="1440" w:right="30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ever-increasing expectation of customer service and support, including access to self service options, and</w:t>
      </w:r>
    </w:p>
    <w:p>
      <w:pPr>
        <w:spacing w:after="0" w:line="188" w:lineRule="exact"/>
        <w:rPr>
          <w:rFonts w:ascii="Courier New" w:cs="Courier New" w:eastAsia="Courier New" w:hAnsi="Courier New"/>
          <w:sz w:val="16"/>
          <w:szCs w:val="16"/>
          <w:color w:val="auto"/>
        </w:rPr>
      </w:pPr>
    </w:p>
    <w:p>
      <w:pPr>
        <w:ind w:left="1440" w:right="29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for service providers to differentiate themselves by creating a unique and mutually valuable customer experience.</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for operational efficiency, including:</w:t>
      </w:r>
    </w:p>
    <w:p>
      <w:pPr>
        <w:spacing w:after="0" w:line="188"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shift from in-house management to vendor solutions,</w:t>
      </w:r>
    </w:p>
    <w:p>
      <w:pPr>
        <w:spacing w:after="0" w:line="190"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needs of service providers to reduce costs and lower total cost of ownership while retaining high-value customers in a highly competitive environment,</w:t>
      </w:r>
    </w:p>
    <w:p>
      <w:pPr>
        <w:spacing w:after="0" w:line="188" w:lineRule="exact"/>
        <w:rPr>
          <w:rFonts w:ascii="Courier New" w:cs="Courier New" w:eastAsia="Courier New" w:hAnsi="Courier New"/>
          <w:sz w:val="16"/>
          <w:szCs w:val="16"/>
          <w:color w:val="auto"/>
        </w:rPr>
      </w:pPr>
    </w:p>
    <w:p>
      <w:pPr>
        <w:jc w:val="both"/>
        <w:ind w:left="1440" w:right="2719" w:hanging="481"/>
        <w:spacing w:after="0" w:line="243"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automating and integrating business processes that span service providers' BSS and OSS systems and create a simple, one-company face to customers,</w:t>
      </w:r>
    </w:p>
    <w:p>
      <w:pPr>
        <w:spacing w:after="0" w:line="188" w:lineRule="exact"/>
        <w:rPr>
          <w:rFonts w:ascii="Courier New" w:cs="Courier New" w:eastAsia="Courier New" w:hAnsi="Courier New"/>
          <w:sz w:val="16"/>
          <w:szCs w:val="16"/>
          <w:color w:val="auto"/>
        </w:rPr>
      </w:pPr>
    </w:p>
    <w:p>
      <w:pPr>
        <w:ind w:left="1440" w:right="28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integrating and implementing new next-generation networks (and retiring legacy networks) to deploy new technologies, and</w:t>
      </w:r>
    </w:p>
    <w:p>
      <w:pPr>
        <w:spacing w:after="0" w:line="188" w:lineRule="exact"/>
        <w:rPr>
          <w:rFonts w:ascii="Courier New" w:cs="Courier New" w:eastAsia="Courier New" w:hAnsi="Courier New"/>
          <w:sz w:val="16"/>
          <w:szCs w:val="16"/>
          <w:color w:val="auto"/>
        </w:rPr>
      </w:pPr>
    </w:p>
    <w:p>
      <w:pPr>
        <w:ind w:left="1440" w:right="3119" w:hanging="481"/>
        <w:spacing w:after="0" w:line="242" w:lineRule="auto"/>
        <w:tabs>
          <w:tab w:leader="none" w:pos="14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transforming fragmented legacy OSS systems to introduce new services in a timely and cost-effective manner.</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90" w:lineRule="exact"/>
        <w:rPr>
          <w:sz w:val="20"/>
          <w:szCs w:val="20"/>
          <w:color w:val="auto"/>
        </w:rPr>
      </w:pPr>
    </w:p>
    <w:p>
      <w:pPr>
        <w:ind w:left="960" w:right="3119" w:hanging="481"/>
        <w:spacing w:after="0" w:line="243"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Managed Services and other related IT services, and</w:t>
      </w:r>
    </w:p>
    <w:p>
      <w:pPr>
        <w:sectPr>
          <w:pgSz w:w="11900" w:h="16838" w:orient="portrait"/>
          <w:cols w:equalWidth="0" w:num="1">
            <w:col w:w="10219"/>
          </w:cols>
          <w:pgMar w:left="240" w:top="856" w:right="1440" w:bottom="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25" w:right="1440" w:bottom="1440" w:gutter="0" w:footer="0" w:header="0"/>
        </w:sectPr>
      </w:pPr>
    </w:p>
    <w:bookmarkStart w:id="19" w:name="page20"/>
    <w:bookmarkEnd w:id="19"/>
    <w:p>
      <w:pPr>
        <w:ind w:left="960" w:right="2539" w:hanging="481"/>
        <w:spacing w:after="0" w:line="243"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maintenance and enhancements provided to our customers, and from incremental license fees resulting from increases in a customer's business volume.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Revenue from ongoing support services is recognized as work is performed or based on straight line over the service period.</w:t>
      </w:r>
    </w:p>
    <w:p>
      <w:pPr>
        <w:spacing w:after="0" w:line="197"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Revenue from managed services arrangements (for customer experience systems and directory systems) is included in both license and service revenue. Revenue generated in connection with managed services arrangements are a significant part of our business, accounting for approximately 35% to 40% of our total revenue in the three months ended December 31, 2007 and 2006,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derive benefit from the operational efficiencies provided by system modernization and consolidation.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STANDARDS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December 2007, the Financial Accounting Standards Board ("FASB") issued Statement No. 141 (revised), Business Combinations ("SFAS 141(R)"). SFAS 141(R)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SFAS 141(R) applies to us prospectively for business combinations for which the acquisition date is on or after October 1, 2009.</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20" w:name="page21"/>
    <w:bookmarkEnd w:id="20"/>
    <w:p>
      <w:pPr>
        <w:ind w:right="2639" w:firstLine="480"/>
        <w:spacing w:after="0" w:line="244" w:lineRule="auto"/>
        <w:rPr>
          <w:sz w:val="20"/>
          <w:szCs w:val="20"/>
          <w:color w:val="auto"/>
        </w:rPr>
      </w:pPr>
      <w:r>
        <w:rPr>
          <w:rFonts w:ascii="Courier New" w:cs="Courier New" w:eastAsia="Courier New" w:hAnsi="Courier New"/>
          <w:sz w:val="16"/>
          <w:szCs w:val="16"/>
          <w:color w:val="auto"/>
        </w:rPr>
        <w:t>In December 2007, the FASB issued Statement No. 160, Noncontrolling Interests in Consolidated Financial Statements, an amendment of ARB No. 51 ("SFAS 160"). SFAS 160 changes the accounting for noncontrolling (minority) interests in consolidated financial statements including the requirements to classify noncontrolling interests as a component of consolidated stockholders' equity, the elimination of "minority interest" accounting in results of operations and changes in the accounting for both increases and decreases in a parent's controlling ownership interest. SFAS 160 is effective for fiscal years beginning after December 15, 2008, and early adoption is prohibited. We are currently evaluating the effect that the application of SFAS 160 will have on our consolidated results of operations and financial condition.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February 2007, the FASB issued Statement No. 159 "The Fair Value Option for Financial Assets and Financial Liabilities" including an amendment of FASB Statement No. 115 ("SFAS 159"), which allows an entity the irrevocable option to elect fair value for the initial and subsequent measurement for certain financial assets and liabilities under an instrument-by-instrument election. If the fair value option is elected for an instrument, subsequent changes in fair value for that instrument will be recognized in earnings. SFAS 159 also establishes additional disclosure requirements and is effective for fiscal years beginning after November 15, 2007, with early adoption permitted provided that the entity also adopts Statement No. 157, "Fair Value Measurements" ("SFAS 157"). We are currently evaluating the effect that the application of SFAS 159 will have on our consolidated results of operations and financial condition.</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No.157 applies under other accounting pronouncements that require or 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ADOPTION OF NEW ACCOUNTING STANDARD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FIN 48 is effective for fiscal years beginning after December 15, 2006. We adopted FIN 48 in the first quarter of fiscal 2008. The adoption of FIN 48 did not result in a change to retained earnings. See Note 6 to our consolidated financial statements for additional information on our provision for income taxes, including the effects of adoption of FIN 48 on our Consolidated Financial Statements.</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5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following table sets forth for the three months ended December 31, 2007 and 2006 certain items in our consolidated statements of income reflected as a percentage of total revenue: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THREE MONTHS ENDED</w:t>
            </w:r>
          </w:p>
        </w:tc>
      </w:tr>
      <w:tr>
        <w:trPr>
          <w:trHeight w:val="185"/>
        </w:trPr>
        <w:tc>
          <w:tcPr>
            <w:tcW w:w="398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98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2007</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2006</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License..............................</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Service..............................</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96.5</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95.4</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100.0</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Cost of license......................</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Cost of service......................</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63.4</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63.0</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Research and development.............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Selling, general and administrative..</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w:t>
            </w:r>
          </w:p>
        </w:tc>
      </w:tr>
      <w:tr>
        <w:trPr>
          <w:trHeight w:val="185"/>
        </w:trPr>
        <w:tc>
          <w:tcPr>
            <w:tcW w:w="39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Amortization of purchased intangible</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87.2</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87.3</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Operating income........................</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12.8</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12.7</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Interest income and other, net..........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before income taxes..............</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14.0</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Income taxes............................</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0.9</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Net income..............................</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13.5%</w:t>
            </w:r>
          </w:p>
        </w:tc>
      </w:tr>
      <w:tr>
        <w:trPr>
          <w:trHeight w:val="185"/>
        </w:trPr>
        <w:tc>
          <w:tcPr>
            <w:tcW w:w="3980" w:type="dxa"/>
            <w:vAlign w:val="bottom"/>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739"/>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2" w:name="page23"/>
    <w:bookmarkEnd w:id="22"/>
    <w:p>
      <w:pPr>
        <w:ind w:left="480"/>
        <w:spacing w:after="0"/>
        <w:rPr>
          <w:sz w:val="20"/>
          <w:szCs w:val="20"/>
          <w:color w:val="auto"/>
        </w:rPr>
      </w:pPr>
      <w:r>
        <w:rPr>
          <w:rFonts w:ascii="Courier New" w:cs="Courier New" w:eastAsia="Courier New" w:hAnsi="Courier New"/>
          <w:sz w:val="16"/>
          <w:szCs w:val="16"/>
          <w:color w:val="auto"/>
        </w:rPr>
        <w:t>THREE MONTHS ENDED DECEMBER 31, 2007 AND 2006</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three months ended December 31, 2007 compared to the three months ended December 31, 2006. Following the table is a discussion and analysis of our business and results of operations for such periods.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w w:val="99"/>
              </w:rPr>
              <w:t>THREE MONTHS ENDED</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DECEMBER 31,</w:t>
            </w: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w w:val="98"/>
              </w:rPr>
              <w:t>INCREASE (DECREASE)</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34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2007</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2006</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AMOUNT</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8"/>
              </w:rPr>
              <w:t>(in thousands)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35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License.........................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26,217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$ 31,744</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$(5,527)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Service.........................</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716,033</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659,288</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56,745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8.6</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742,250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691,032</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51,218</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7.4</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Cost of license.................</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1,069</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(295)</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(27.6)</w:t>
            </w: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Cost of service.................</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470,741</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435,121</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35,620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w:t>
            </w: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Research and development........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56,015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60,468</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(4,453)</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w:t>
            </w:r>
          </w:p>
        </w:tc>
      </w:tr>
      <w:tr>
        <w:trPr>
          <w:trHeight w:val="185"/>
        </w:trPr>
        <w:tc>
          <w:tcPr>
            <w:tcW w:w="356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97,665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89,170</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8,495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w:t>
            </w:r>
          </w:p>
        </w:tc>
      </w:tr>
      <w:tr>
        <w:trPr>
          <w:trHeight w:val="185"/>
        </w:trPr>
        <w:tc>
          <w:tcPr>
            <w:tcW w:w="356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intangible assets.............</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21,753</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17,698</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4,055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22.9</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646,948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603,526</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43,422</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Operating income...................</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95,302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87,506</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7,796</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w:t>
            </w: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Interest income and other, net.....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8,816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11,739</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(2,923)</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(24.9)</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Income before income taxes.........</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104,118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99,245</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4,873</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4.9</w:t>
            </w: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Income taxes.......................</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8,454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5,903</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2,551</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43.2</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r>
        <w:trPr>
          <w:trHeight w:val="185"/>
        </w:trPr>
        <w:tc>
          <w:tcPr>
            <w:tcW w:w="35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Net income.........................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95,664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$ 93,342</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$ 2,322</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r>
      <w:tr>
        <w:trPr>
          <w:trHeight w:val="185"/>
        </w:trPr>
        <w:tc>
          <w:tcPr>
            <w:tcW w:w="3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tcPr>
          <w:p>
            <w:pPr>
              <w:spacing w:after="0"/>
              <w:rPr>
                <w:sz w:val="16"/>
                <w:szCs w:val="16"/>
                <w:color w:val="auto"/>
              </w:rPr>
            </w:pPr>
          </w:p>
        </w:tc>
      </w:tr>
    </w:tbl>
    <w:p>
      <w:pPr>
        <w:spacing w:after="0" w:line="200" w:lineRule="exact"/>
        <w:rPr>
          <w:sz w:val="20"/>
          <w:szCs w:val="20"/>
          <w:color w:val="auto"/>
        </w:rPr>
      </w:pPr>
    </w:p>
    <w:p>
      <w:pPr>
        <w:spacing w:after="0" w:line="36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REVENUE. Total revenue increased by $51.2 million, or 7.4%, to $742.3 million in the three months ended December 31, 2007, from $691.0 million in the three months ended December 31, 2006. The increase was primarily attributable to revenue from consolidation and transformation projects for Tier One customers as well as from revenue related to the expansion of our managed services activities.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License revenue in the three months ended December 31, 2007 decreased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 million, or 17.4%, over the three months ended December 31, 2006, primarily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timing of projects as we completed some projects and some are expected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start in the near future.</w:t>
      </w:r>
    </w:p>
    <w:p>
      <w:pPr>
        <w:spacing w:after="0" w:line="190"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License and service revenue attributable to the sale of customer experience systems was $672.8 million in the three months ended December 31, 2007, an increase of $53.4 million, or 8.6%, over the three months ended December 31, 2006. The increase was primarily attributable to revenue from consolidation and transformation projects for Tier One customers as well as from revenue related to the expansion of our managed services activities. License and service revenue resulting from the sale of customer experience systems represented 90.6% and</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89.6% of our total revenue in the three months ended December 31, 2007 and 2006, respectively.</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License and service revenue attributable to the sale of Directory Systems was $69.5 million in the three months ended December 31, 2007, a decrease of $2.1 million, or 2.9%, as compared to the three months</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9" w:right="1440" w:bottom="1440" w:gutter="0" w:footer="0" w:header="0"/>
        </w:sectPr>
      </w:pPr>
    </w:p>
    <w:bookmarkStart w:id="23" w:name="page24"/>
    <w:bookmarkEnd w:id="23"/>
    <w:p>
      <w:pPr>
        <w:ind w:right="2539"/>
        <w:spacing w:after="0" w:line="243" w:lineRule="auto"/>
        <w:rPr>
          <w:sz w:val="20"/>
          <w:szCs w:val="20"/>
          <w:color w:val="auto"/>
        </w:rPr>
      </w:pPr>
      <w:r>
        <w:rPr>
          <w:rFonts w:ascii="Courier New" w:cs="Courier New" w:eastAsia="Courier New" w:hAnsi="Courier New"/>
          <w:sz w:val="16"/>
          <w:szCs w:val="16"/>
          <w:color w:val="auto"/>
        </w:rPr>
        <w:t>ended December 31, 2006. License and service revenue from the sale of Directory Systems represented 9.4% and 10.4% of our total revenue in the three months ended December 31, 2007 and 2006, respectively. We believe that we are a leading provider of Directory Systems in most of the markets we serve.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three months ended December 31, 2007, revenue from customers in North America, Europe and the rest of the world accounted for 67.4%, 17.3% and 15.3%, respectively, of total revenue compared to 68.6%, 21.9% and 9.5%, respectively, in the three months ended December 31, 2006. Revenue from customers in North America increased in absolute amounts, but the increase was less than the 7.4% increase in our total revenue which resulted in a decrease in revenue from customers in North America as a percentage of total revenue. The decrease in revenue from customers in Europe was attributable partially to timing of projects as we completed some projects and some are expected to start in the near future. The increase in revenue from customers in the rest of the world in the three months ended December 31, 2007 was attributable primarily to revenue contributed in Asia Pacific, as well as to customers in emerging markets.</w:t>
      </w:r>
    </w:p>
    <w:p>
      <w:pPr>
        <w:spacing w:after="0" w:line="191" w:lineRule="exact"/>
        <w:rPr>
          <w:sz w:val="20"/>
          <w:szCs w:val="20"/>
          <w:color w:val="auto"/>
        </w:rPr>
      </w:pPr>
    </w:p>
    <w:p>
      <w:pPr>
        <w:jc w:val="center"/>
        <w:ind w:right="2719"/>
        <w:spacing w:after="0" w:line="243" w:lineRule="auto"/>
        <w:rPr>
          <w:sz w:val="20"/>
          <w:szCs w:val="20"/>
          <w:color w:val="auto"/>
        </w:rPr>
      </w:pPr>
      <w:r>
        <w:rPr>
          <w:rFonts w:ascii="Courier New" w:cs="Courier New" w:eastAsia="Courier New" w:hAnsi="Courier New"/>
          <w:sz w:val="16"/>
          <w:szCs w:val="16"/>
          <w:color w:val="auto"/>
        </w:rPr>
        <w:t>COST OF LICENSE. Cost of license mainly includes royalty payments to software suppliers. In the three months ended December 31, 2007 and 2006, cost of license as a percentage of license revenue was 3.0% and 3.4%, respectively.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COST OF SERVICE. Cost of service consists primarily of costs associated with providing services to customers, including compensation expense and costs of third-party products. The increase in cost of service in the three months ended December 31, 2007 was $35.6 million or 8.2%, which is slightly higher than the increase in our total revenue in the three months ended December 31, 2007. As a percentage of revenue, cost of service was 63.4% in the three months ended December 31, 2007, compared to 63.0% in the three months ended December 31, 2006. Our cost of service and gross margin may vary depending on the types and geographic locations of projects that we undertake.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RESEARCH AND DEVELOPMENT. Research and development expense is primarily comprised of compensation expense. Research and development expense decreased by $4.5 million, or 7.4%, in the three months ended December 31, 2007 to $56.0 million from $60.5 million in the three months ended December 31, 2006. Research and development expense decreased as a percentage of revenue from 8.7% in the three months ended December 31, 2006 to 7.6% in the three months ended December 31, 2007. We believe that our research and development efforts are a key element of our strategy and are essential to our success and we intend to maintain our level of commitment to research and development; the decrease in research and development expense was attributable to increased efficiency as well as to changes in the geographical mix of our research and development resources. An increase or a decrease in our total revenue would not necessarily result in a proportional increase or decrease in the levels of our research and development expenditures, which could affect our operating margin.</w:t>
      </w:r>
    </w:p>
    <w:p>
      <w:pPr>
        <w:spacing w:after="0" w:line="376"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$8.5 million, or 9.5%, to $97.7 million in the three months ended December 31, 2007, from $89.2 million in the three months ended December 31, 2006. Selling, general and administrative expense is primarily comprised of compensation expense. The increase in selling, general and administrative expense was attributable to an overall increase in our operations.</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three months ended December 31, 2007 was $21.8 million, compared to $17.7 million in the three months ended December 31, 2006. The increase in amortization of purchased intangible assets was due to purchased intangible assets acquired in our fiscal 2006 and 2007 acquisitions.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OPERATING INCOME. Operating income increased by $7.8 million, or 8.9%, in the three months ended December 31, 2007, to $95.3 million from $87.5 million in the three months ended December 31, 2006. Operating income as a percentage of revenue in the three months ended December 31, 2007 was at the same level as in the three months ended December 31, 2006.</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 INCOME AND OTHER, NET. Interest income and other, net decreased by $2.9 million to $8.8 million in the three months ended December 31, 2007, from $11.7 million in the three months ended December 31, 2006. The decrease in interest income and other, net, is primarily attributable to the impact of foreign</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24" w:name="page25"/>
    <w:bookmarkEnd w:id="24"/>
    <w:p>
      <w:pPr>
        <w:ind w:right="3119"/>
        <w:spacing w:after="0" w:line="243" w:lineRule="auto"/>
        <w:rPr>
          <w:sz w:val="20"/>
          <w:szCs w:val="20"/>
          <w:color w:val="auto"/>
        </w:rPr>
      </w:pPr>
      <w:r>
        <w:rPr>
          <w:rFonts w:ascii="Courier New" w:cs="Courier New" w:eastAsia="Courier New" w:hAnsi="Courier New"/>
          <w:sz w:val="16"/>
          <w:szCs w:val="16"/>
          <w:color w:val="auto"/>
        </w:rPr>
        <w:t>exchange loss which was partially offset by an increase in interest income resulting from the increase in our cash and short-term interest-bearing investments balances.</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INCOME TAXES. Income taxes for the three months ended December 31, 2007 were $8.5 million on pretax income of $104.1 million, resulting in an effective tax rate of 8.1%, compared to 5.9 % in the three months ended December 31, 2006. Of the increase in our effective tax rate, approximately 9.1% was attributable to the net changes in the Company's tax reserves and valuation allowances, and approximately 1% was attributable to the net effect of acquisition-related costs and equity-based compensation expense, which was partially offset by decrease in effective tax rate attributable to the geographical distribution of earnings from global operations. We expect that our effective tax rate for fiscal year 2008 will be between 9% and 12% on an annualized basis, compared to 10.6% in fiscal year 2007. Our effective tax rate may fluctuate between quarters as a result of discrete items that may affect a specific quarter.</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NET INCOME. Net income was $95.7 million in the three months ended December 31, 2007, compared to net income of $93.3 million in the three months ended December 31, 2006. The increase in net income was attributable to the increase in our operating income offset by the decrease in interest income and other, net, and the increase of our effective tax rate.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DILUTED EARNINGS PER SHARE. Diluted earnings per share increased by $0.02, or 4.8%, to $0.44 in the three months ended December 31, 2007, from $0.42 in the three months ended December 31, 2006. The increase in diluted earnings per share resulted primarily from the increase in net income, as well as the decrease in diluted weighted average numbers of shares outstanding.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Cash, cash equivalents and short-term interest-bearing investments totaled $1,167.1 million as of December 31, 2007, compared to $1,179.3 million as of September 30, 2007. The decrease was mainly attributable to $69.3 million used to repurchase ordinary shares pursuant to our share repurchase program and to $34.5 million of capital expenditures, partially offset by $93.1 million in positive cash flow from operations. Net cash provided by operating activities amounted to $93.1 million and $99.1 million for the three months ended December 31, 2007 and 2006, respectively.</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December 31, 2007, $450.0 million and $0.2 million aggregate principal amount of our 0.50% Convertible Senior Notes due 2024 and 2% Convertible Notes due 2008 were outstanding, respectively. As of December 31, 2007, we had available an unsecured $500 million five-year revolving credit facility, none of which was outstanding, and which we may use for general corporate purposes, including acquisitions and repurchases of our ordinary shares that we may consider from time to time. As of December 31, 2007, we also had a $0.9 million short-term general revolving line of credit, none of which was outstanding. In addition we had outstanding letters of credit and bank guarantees from various banks totaling $6.9 million. As of December 31, 2007, we had outstanding short-term loans totaling $1.9 million secured by specified pledges and guaranties.</w:t>
      </w:r>
    </w:p>
    <w:p>
      <w:pPr>
        <w:spacing w:after="0" w:line="191"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We have contractual obligations for our convertible notes, financing arrangements, non-cancelable operating leases and purchase obligations summarized in the tabular disclosure of contractual obligations in our Annual Report on Form 20-F for our fiscal year ended September 30, 2007. Since September 30, 2007, there have been no material changes in our contractual obligations other than in the ordinary course of our business.</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25" w:name="page26"/>
    <w:bookmarkEnd w:id="25"/>
    <w:p>
      <w:pPr>
        <w:ind w:right="2539" w:firstLine="480"/>
        <w:spacing w:after="0" w:line="244" w:lineRule="auto"/>
        <w:rPr>
          <w:sz w:val="20"/>
          <w:szCs w:val="20"/>
          <w:color w:val="auto"/>
        </w:rPr>
      </w:pPr>
      <w:r>
        <w:rPr>
          <w:rFonts w:ascii="Courier New" w:cs="Courier New" w:eastAsia="Courier New" w:hAnsi="Courier New"/>
          <w:sz w:val="16"/>
          <w:szCs w:val="16"/>
          <w:color w:val="auto"/>
        </w:rPr>
        <w:t>Our capital expenditures were approximately $34.5 million in the three months ended December 31, 2007. Approximately 80% of these expenditures consisted of purchases of computer equipment, and the remainder to leasehold improvements. The capital expenditures in the three months ended December 31, 2007 were mainly attributable to investments in our operating facilities and our development centers around the world. We fund our capital expenditures principally from operating cash flows. We do not anticipate any changes to this policy in the foreseeable future.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During the three months ended December 31, 2007 and 2006, approximately 70%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90" w:lineRule="exact"/>
        <w:rPr>
          <w:sz w:val="20"/>
          <w:szCs w:val="20"/>
          <w:color w:val="auto"/>
        </w:rPr>
      </w:pPr>
    </w:p>
    <w:p>
      <w:pPr>
        <w:ind w:left="760" w:right="2819" w:hanging="768"/>
        <w:spacing w:after="0" w:line="242" w:lineRule="auto"/>
        <w:rPr>
          <w:sz w:val="20"/>
          <w:szCs w:val="20"/>
          <w:color w:val="auto"/>
        </w:rPr>
      </w:pPr>
      <w:r>
        <w:rPr>
          <w:rFonts w:ascii="Courier New" w:cs="Courier New" w:eastAsia="Courier New" w:hAnsi="Courier New"/>
          <w:sz w:val="16"/>
          <w:szCs w:val="16"/>
          <w:color w:val="auto"/>
        </w:rPr>
        <w:t>ITEM 1. CHANGES IN SECURITIES, USE OF PROCEEDS AND ISSUER PURCHASES OF EQUITY SECURITIES.</w:t>
      </w:r>
    </w:p>
    <w:p>
      <w:pPr>
        <w:spacing w:after="0" w:line="187"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ISSUER PURCHASES OF EQUITY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PURCHASES OF EQUITY SECURITIES BY THE ISSUER AND AFFILIATED PURCHASERS</w:t>
      </w:r>
    </w:p>
    <w:p>
      <w:pPr>
        <w:spacing w:after="0" w:line="190"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The following table provides information about purchases by us and our affiliated purchasers during the quarter ended December 31, 2007 of equity securities that are registered by us pursuant to Section 12 of the Exchange Act:</w:t>
      </w: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9" w:right="1440" w:bottom="1440" w:gutter="0" w:footer="0" w:header="0"/>
        </w:sectPr>
      </w:pPr>
    </w:p>
    <w:bookmarkStart w:id="27" w:name="page28"/>
    <w:bookmarkEnd w:id="27"/>
    <w:tbl>
      <w:tblPr>
        <w:tblLayout w:type="fixed"/>
        <w:tblInd w:w="1"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Ordinary Shares</w:t>
            </w:r>
          </w:p>
        </w:tc>
        <w:tc>
          <w:tcPr>
            <w:tcW w:w="18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924"/>
        </w:trPr>
        <w:tc>
          <w:tcPr>
            <w:tcW w:w="2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2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(C)</w:t>
            </w:r>
          </w:p>
        </w:tc>
        <w:tc>
          <w:tcPr>
            <w:tcW w:w="2740" w:type="dxa"/>
            <w:vAlign w:val="bottom"/>
          </w:tcPr>
          <w:p>
            <w:pPr>
              <w:spacing w:after="0"/>
              <w:rPr>
                <w:sz w:val="24"/>
                <w:szCs w:val="24"/>
                <w:color w:val="auto"/>
              </w:rPr>
            </w:pPr>
          </w:p>
        </w:tc>
      </w:tr>
      <w:tr>
        <w:trPr>
          <w:trHeight w:val="185"/>
        </w:trPr>
        <w:tc>
          <w:tcPr>
            <w:tcW w:w="2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2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TOTAL NUMBER OF</w:t>
            </w:r>
          </w:p>
        </w:tc>
        <w:tc>
          <w:tcPr>
            <w:tcW w:w="274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(D)</w:t>
            </w:r>
          </w:p>
        </w:tc>
      </w:tr>
      <w:tr>
        <w:trPr>
          <w:trHeight w:val="185"/>
        </w:trPr>
        <w:tc>
          <w:tcPr>
            <w:tcW w:w="2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SHARES</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rPr>
              <w:t>MAXIMUM NUMBER (OR</w:t>
            </w:r>
          </w:p>
        </w:tc>
      </w:tr>
      <w:tr>
        <w:trPr>
          <w:trHeight w:val="185"/>
        </w:trPr>
        <w:tc>
          <w:tcPr>
            <w:tcW w:w="2920" w:type="dxa"/>
            <w:vAlign w:val="bottom"/>
          </w:tcPr>
          <w:p>
            <w:pPr>
              <w:spacing w:after="0"/>
              <w:rPr>
                <w:sz w:val="16"/>
                <w:szCs w:val="16"/>
                <w:color w:val="auto"/>
              </w:rPr>
            </w:pP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(A)</w:t>
            </w:r>
          </w:p>
        </w:tc>
        <w:tc>
          <w:tcPr>
            <w:tcW w:w="2100" w:type="dxa"/>
            <w:vAlign w:val="bottom"/>
          </w:tcPr>
          <w:p>
            <w:pPr>
              <w:spacing w:after="0"/>
              <w:rPr>
                <w:sz w:val="16"/>
                <w:szCs w:val="16"/>
                <w:color w:val="auto"/>
              </w:rPr>
            </w:pPr>
          </w:p>
        </w:tc>
        <w:tc>
          <w:tcPr>
            <w:tcW w:w="192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PURCHASED AS PART</w:t>
            </w:r>
          </w:p>
        </w:tc>
        <w:tc>
          <w:tcPr>
            <w:tcW w:w="27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APPROXIMATE DOLLAR VALUE)</w:t>
            </w:r>
          </w:p>
        </w:tc>
      </w:tr>
      <w:tr>
        <w:trPr>
          <w:trHeight w:val="185"/>
        </w:trPr>
        <w:tc>
          <w:tcPr>
            <w:tcW w:w="2920" w:type="dxa"/>
            <w:vAlign w:val="bottom"/>
          </w:tcPr>
          <w:p>
            <w:pPr>
              <w:spacing w:after="0"/>
              <w:rPr>
                <w:sz w:val="16"/>
                <w:szCs w:val="16"/>
                <w:color w:val="auto"/>
              </w:rPr>
            </w:pPr>
          </w:p>
        </w:tc>
        <w:tc>
          <w:tcPr>
            <w:tcW w:w="18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TOTAL NUMBER OF</w:t>
            </w:r>
          </w:p>
        </w:tc>
        <w:tc>
          <w:tcPr>
            <w:tcW w:w="210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(B)</w:t>
            </w:r>
          </w:p>
        </w:tc>
        <w:tc>
          <w:tcPr>
            <w:tcW w:w="19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OF PUBLICLY</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9"/>
              </w:rPr>
              <w:t>OF SHARES THAT</w:t>
            </w:r>
          </w:p>
        </w:tc>
      </w:tr>
      <w:tr>
        <w:trPr>
          <w:trHeight w:val="185"/>
        </w:trPr>
        <w:tc>
          <w:tcPr>
            <w:tcW w:w="2920" w:type="dxa"/>
            <w:vAlign w:val="bottom"/>
          </w:tcPr>
          <w:p>
            <w:pPr>
              <w:spacing w:after="0"/>
              <w:rPr>
                <w:sz w:val="16"/>
                <w:szCs w:val="16"/>
                <w:color w:val="auto"/>
              </w:rPr>
            </w:pP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SHARES</w:t>
            </w:r>
          </w:p>
        </w:tc>
        <w:tc>
          <w:tcPr>
            <w:tcW w:w="2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AVERAGE PRICE</w:t>
            </w:r>
          </w:p>
        </w:tc>
        <w:tc>
          <w:tcPr>
            <w:tcW w:w="192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ANNOUNCED PLANS</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rPr>
              <w:t>MAY YET BE PURCHASED UNDER</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PURCHASED</w:t>
            </w:r>
          </w:p>
        </w:tc>
        <w:tc>
          <w:tcPr>
            <w:tcW w:w="21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PAID PER SHARE (2)</w:t>
            </w:r>
          </w:p>
        </w:tc>
        <w:tc>
          <w:tcPr>
            <w:tcW w:w="192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OR PROGRAMS</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9"/>
              </w:rPr>
              <w:t>THE PLANS OR PROGRAMS(1)</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920" w:type="dxa"/>
            <w:vAlign w:val="bottom"/>
          </w:tcPr>
          <w:p>
            <w:pPr>
              <w:spacing w:after="0"/>
              <w:rPr>
                <w:sz w:val="20"/>
                <w:szCs w:val="20"/>
                <w:color w:val="auto"/>
              </w:rPr>
            </w:pPr>
            <w:r>
              <w:rPr>
                <w:rFonts w:ascii="Courier New" w:cs="Courier New" w:eastAsia="Courier New" w:hAnsi="Courier New"/>
                <w:sz w:val="16"/>
                <w:szCs w:val="16"/>
                <w:color w:val="auto"/>
              </w:rPr>
              <w:t>10/1/07-10/31/07.............</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565,106</w:t>
            </w:r>
          </w:p>
        </w:tc>
        <w:tc>
          <w:tcPr>
            <w:tcW w:w="210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$33.77</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565,106</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$331,109,793</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11/1/07-11/30/07.............</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997,700</w:t>
            </w:r>
          </w:p>
        </w:tc>
        <w:tc>
          <w:tcPr>
            <w:tcW w:w="210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$32.85</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997,700</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$298,333,727</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12/1/07-12/31/07.............</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612,800</w:t>
            </w:r>
          </w:p>
        </w:tc>
        <w:tc>
          <w:tcPr>
            <w:tcW w:w="210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$33.63</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612,800</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$277,725,141</w:t>
            </w:r>
          </w:p>
        </w:tc>
      </w:tr>
      <w:tr>
        <w:trPr>
          <w:trHeight w:val="185"/>
        </w:trPr>
        <w:tc>
          <w:tcPr>
            <w:tcW w:w="2920" w:type="dxa"/>
            <w:vAlign w:val="bottom"/>
          </w:tcPr>
          <w:p>
            <w:pPr>
              <w:spacing w:after="0"/>
              <w:rPr>
                <w:sz w:val="16"/>
                <w:szCs w:val="16"/>
                <w:color w:val="auto"/>
              </w:rPr>
            </w:pP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spacing w:after="0"/>
              <w:rPr>
                <w:sz w:val="16"/>
                <w:szCs w:val="16"/>
                <w:color w:val="auto"/>
              </w:rPr>
            </w:pP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2,175,606</w:t>
            </w:r>
          </w:p>
        </w:tc>
        <w:tc>
          <w:tcPr>
            <w:tcW w:w="210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$33.31</w:t>
            </w: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2,175,606</w:t>
            </w:r>
          </w:p>
        </w:tc>
        <w:tc>
          <w:tcPr>
            <w:tcW w:w="27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$277,725,141</w:t>
            </w:r>
          </w:p>
        </w:tc>
      </w:tr>
      <w:tr>
        <w:trPr>
          <w:trHeight w:val="185"/>
        </w:trPr>
        <w:tc>
          <w:tcPr>
            <w:tcW w:w="2920" w:type="dxa"/>
            <w:vAlign w:val="bottom"/>
          </w:tcPr>
          <w:p>
            <w:pPr>
              <w:spacing w:after="0"/>
              <w:rPr>
                <w:sz w:val="16"/>
                <w:szCs w:val="16"/>
                <w:color w:val="auto"/>
              </w:rPr>
            </w:pP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spacing w:after="0"/>
              <w:rPr>
                <w:sz w:val="16"/>
                <w:szCs w:val="16"/>
                <w:color w:val="auto"/>
              </w:rPr>
            </w:pPr>
          </w:p>
        </w:tc>
        <w:tc>
          <w:tcPr>
            <w:tcW w:w="19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740" w:type="dxa"/>
            <w:vAlign w:val="bottom"/>
          </w:tcPr>
          <w:p>
            <w:pPr>
              <w:spacing w:after="0"/>
              <w:rPr>
                <w:sz w:val="16"/>
                <w:szCs w:val="16"/>
                <w:color w:val="auto"/>
              </w:rPr>
            </w:pPr>
          </w:p>
        </w:tc>
      </w:tr>
    </w:tbl>
    <w:p>
      <w:pPr>
        <w:spacing w:after="0" w:line="375" w:lineRule="exact"/>
        <w:rPr>
          <w:sz w:val="20"/>
          <w:szCs w:val="20"/>
          <w:color w:val="auto"/>
        </w:rPr>
      </w:pPr>
    </w:p>
    <w:p>
      <w:pPr>
        <w:ind w:left="481" w:right="4020" w:hanging="481"/>
        <w:spacing w:after="0" w:line="244"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2007, our board of directors authorized a share repurchase plan allowing the repurchase of up to $400 million of our outstanding ordinary shares. The authorization permits us to purchase our ordinary shares in open market or privately negotiated transactions at times and prices that we consider appropriate.</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price per share excludes broker and transaction fees.</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1521"/>
          </w:cols>
          <w:pgMar w:left="239" w:top="669" w:right="139" w:bottom="1440" w:gutter="0" w:footer="0" w:header="0"/>
        </w:sectPr>
      </w:pPr>
    </w:p>
    <w:bookmarkStart w:id="28" w:name="page29"/>
    <w:bookmarkEnd w:id="28"/>
    <w:p>
      <w:pPr>
        <w:ind w:left="1"/>
        <w:spacing w:after="0"/>
        <w:rPr>
          <w:sz w:val="20"/>
          <w:szCs w:val="20"/>
          <w:color w:val="auto"/>
        </w:rPr>
      </w:pPr>
      <w:r>
        <w:rPr>
          <w:rFonts w:ascii="Courier New" w:cs="Courier New" w:eastAsia="Courier New" w:hAnsi="Courier New"/>
          <w:sz w:val="16"/>
          <w:szCs w:val="16"/>
          <w:color w:val="auto"/>
        </w:rPr>
        <w:t>ITEM 2. REPORTS ON FORM 6-K</w:t>
      </w:r>
    </w:p>
    <w:p>
      <w:pPr>
        <w:spacing w:after="0" w:line="188" w:lineRule="exact"/>
        <w:rPr>
          <w:sz w:val="20"/>
          <w:szCs w:val="20"/>
          <w:color w:val="auto"/>
        </w:rPr>
      </w:pPr>
    </w:p>
    <w:p>
      <w:pPr>
        <w:ind w:left="481" w:hanging="481"/>
        <w:spacing w:after="0"/>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w:t>
      </w:r>
    </w:p>
    <w:p>
      <w:pPr>
        <w:spacing w:after="0" w:line="190" w:lineRule="exact"/>
        <w:rPr>
          <w:rFonts w:ascii="Courier New" w:cs="Courier New" w:eastAsia="Courier New" w:hAnsi="Courier New"/>
          <w:sz w:val="16"/>
          <w:szCs w:val="16"/>
          <w:color w:val="auto"/>
        </w:rPr>
      </w:pPr>
    </w:p>
    <w:p>
      <w:pPr>
        <w:ind w:left="48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furnished or filed the following reports on Form 6-K during the three months ended December 31, 2007:</w:t>
      </w:r>
    </w:p>
    <w:p>
      <w:pPr>
        <w:spacing w:after="0" w:line="2"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December 18, 2007.</w:t>
      </w:r>
    </w:p>
    <w:p>
      <w:pPr>
        <w:spacing w:after="0" w:line="3"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December 3, 2007.</w:t>
      </w:r>
    </w:p>
    <w:p>
      <w:pPr>
        <w:spacing w:after="0" w:line="3"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November 1, 2007.</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669" w:right="1440" w:bottom="1440" w:gutter="0" w:footer="0" w:header="0"/>
        </w:sectPr>
      </w:pPr>
    </w:p>
    <w:bookmarkStart w:id="29" w:name="page30"/>
    <w:bookmarkEnd w:id="29"/>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AMDOCS LIMITED</w:t>
      </w:r>
    </w:p>
    <w:p>
      <w:pPr>
        <w:spacing w:after="0" w:line="373" w:lineRule="exact"/>
        <w:rPr>
          <w:sz w:val="20"/>
          <w:szCs w:val="20"/>
          <w:color w:val="auto"/>
        </w:rPr>
      </w:pPr>
    </w:p>
    <w:p>
      <w:pPr>
        <w:ind w:left="3840"/>
        <w:spacing w:after="0"/>
        <w:tabs>
          <w:tab w:leader="none" w:pos="4980" w:val="left"/>
        </w:tabs>
        <w:rPr>
          <w:sz w:val="20"/>
          <w:szCs w:val="20"/>
          <w:color w:val="auto"/>
        </w:rPr>
      </w:pPr>
      <w:r>
        <w:rPr>
          <w:rFonts w:ascii="Courier New" w:cs="Courier New" w:eastAsia="Courier New" w:hAnsi="Courier New"/>
          <w:sz w:val="16"/>
          <w:szCs w:val="16"/>
          <w:color w:val="auto"/>
        </w:rPr>
        <w:t>/s/ Thomas</w:t>
      </w:r>
      <w:r>
        <w:rPr>
          <w:sz w:val="20"/>
          <w:szCs w:val="20"/>
          <w:color w:val="auto"/>
        </w:rPr>
        <w:tab/>
      </w:r>
      <w:r>
        <w:rPr>
          <w:rFonts w:ascii="Courier New" w:cs="Courier New" w:eastAsia="Courier New" w:hAnsi="Courier New"/>
          <w:sz w:val="15"/>
          <w:szCs w:val="15"/>
          <w:color w:val="auto"/>
        </w:rPr>
        <w:t>G. O'Brien</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Thomas G. O'Brien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Treasurer and Secretary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Authorized U.S. Representative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11, 2008</w:t>
      </w:r>
    </w:p>
    <w:sectPr>
      <w:pgSz w:w="11900" w:h="16838" w:orient="portrait"/>
      <w:cols w:equalWidth="0" w:num="1">
        <w:col w:w="10219"/>
      </w:cols>
      <w:pgMar w:left="240" w:top="6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2019-12-14T21:13:55Z</dcterms:created>
  <dcterms:modified xsi:type="dcterms:W3CDTF">2019-12-14T21:13:55Z</dcterms:modified>
</cp:coreProperties>
</file>