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3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50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839"/>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8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For the month of April, 2015</w:t>
      </w:r>
    </w:p>
    <w:p>
      <w:pPr>
        <w:spacing w:after="0" w:line="225"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839"/>
        <w:spacing w:after="0"/>
        <w:rPr>
          <w:sz w:val="20"/>
          <w:szCs w:val="20"/>
          <w:color w:val="auto"/>
        </w:rPr>
      </w:pPr>
      <w:r>
        <w:rPr>
          <w:rFonts w:ascii="Arial" w:cs="Arial" w:eastAsia="Arial" w:hAnsi="Arial"/>
          <w:sz w:val="43"/>
          <w:szCs w:val="43"/>
          <w:b w:val="1"/>
          <w:bCs w:val="1"/>
          <w:color w:val="auto"/>
        </w:rPr>
        <w:t>AMDOCS LIMITED</w:t>
      </w:r>
    </w:p>
    <w:p>
      <w:pPr>
        <w:spacing w:after="0" w:line="50"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Hirzel House, Smith Street,</w:t>
      </w:r>
    </w:p>
    <w:p>
      <w:pPr>
        <w:spacing w:after="0" w:line="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5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30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ind w:left="4860"/>
        <w:spacing w:after="0" w:line="207" w:lineRule="exact"/>
        <w:tabs>
          <w:tab w:leader="none" w:pos="59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80"/>
          </w:cols>
          <w:pgMar w:left="240" w:top="368" w:right="1079" w:bottom="1440" w:gutter="0" w:footer="0" w:header="0"/>
        </w:sectPr>
      </w:pPr>
    </w:p>
    <w:bookmarkStart w:id="1" w:name="page2"/>
    <w:bookmarkEnd w:id="1"/>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April 29, 2015, Amdocs Limited (“Amdocs”) issued a press release announcing financial results for the quarter ended March 31, 2015, and its entry into a definitive agreement to acquire a substantial majority of the assets of the business support systems business unit of Comverse, Inc. for approximately $272 million, subject to customary closing conditions. A copy of the press release is furnished as Exhibit 99.1 to this Report of Foreign Private Issuer on Form 6-K.</w:t>
      </w:r>
    </w:p>
    <w:p>
      <w:pPr>
        <w:spacing w:after="0" w:line="18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1380"/>
          </w:cols>
          <w:pgMar w:left="240" w:top="274" w:right="27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Matthew E. Smith</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Secretary and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2015</w:t>
      </w:r>
    </w:p>
    <w:p>
      <w:pPr>
        <w:sectPr>
          <w:pgSz w:w="11900" w:h="16838" w:orient="portrait"/>
          <w:cols w:equalWidth="0" w:num="1">
            <w:col w:w="11260"/>
          </w:cols>
          <w:pgMar w:left="240" w:top="270" w:right="399" w:bottom="1440" w:gutter="0" w:footer="0" w:header="0"/>
        </w:sectPr>
      </w:pPr>
    </w:p>
    <w:bookmarkStart w:id="3" w:name="page4"/>
    <w:bookmarkEnd w:id="3"/>
    <w:p>
      <w:pPr>
        <w:jc w:val="right"/>
        <w:ind w:right="38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7"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EXHIBIT</w:t>
      </w:r>
    </w:p>
    <w:p>
      <w:pPr>
        <w:ind w:left="180"/>
        <w:spacing w:after="0"/>
        <w:tabs>
          <w:tab w:leader="none" w:pos="124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3689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8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Amdocs Limited Press Release dated April 29, 2015.</w:t>
      </w:r>
    </w:p>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172085</wp:posOffset>
            </wp:positionV>
            <wp:extent cx="6003290" cy="6172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0329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Amdocs Limited Reports Quarterly Revenue of $903M, In Line With</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Midpoint of Guidance on a Constant Currency Basis;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Reiterates FY15 Non-GAAP Diluted EPS Growth Outlook of 4.5%-7.5% YoY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Key highlights:</w:t>
      </w:r>
    </w:p>
    <w:p>
      <w:pPr>
        <w:spacing w:after="0" w:line="131" w:lineRule="exact"/>
        <w:rPr>
          <w:sz w:val="20"/>
          <w:szCs w:val="20"/>
          <w:color w:val="auto"/>
        </w:rPr>
      </w:pPr>
    </w:p>
    <w:p>
      <w:pPr>
        <w:ind w:left="900" w:right="160" w:hanging="325"/>
        <w:spacing w:after="0" w:line="259"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Signed definitive agreement on April 29, 2015, to acquire a substantial majority of Comverse’s business support systems (BSS) business unit assets for approximately $272 million in cash, subject to customary closing conditions. The Boards of Directors of Comverse and Amdocs have approved the transaction which, subject to the satisfaction of the conditions to closing, is expected to be completed before the end of September 2015</w:t>
      </w:r>
    </w:p>
    <w:p>
      <w:pPr>
        <w:spacing w:after="0" w:line="92" w:lineRule="exact"/>
        <w:rPr>
          <w:rFonts w:ascii="Arial" w:cs="Arial" w:eastAsia="Arial" w:hAnsi="Arial"/>
          <w:sz w:val="18"/>
          <w:szCs w:val="18"/>
          <w:color w:val="auto"/>
        </w:rPr>
      </w:pPr>
    </w:p>
    <w:p>
      <w:pPr>
        <w:ind w:left="900" w:right="280" w:hanging="325"/>
        <w:spacing w:after="0" w:line="264"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Second fiscal quarter revenue of $903 million, within the $900-$930 million guidance range. Excluding foreign currency movements, revenue was in line with the midpoint of our expectations. Foreign currency movements negatively affected revenue by approximately $16 million relative to the first quarter of fiscal 2015</w:t>
      </w:r>
    </w:p>
    <w:p>
      <w:pPr>
        <w:spacing w:after="0" w:line="86"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Second fiscal quarter non-GAAP operating income of $153 million; non-GAAP operating margin of 17.0%; GAAP operating income of $138 million</w:t>
      </w:r>
    </w:p>
    <w:p>
      <w:pPr>
        <w:spacing w:after="0" w:line="75" w:lineRule="exact"/>
        <w:rPr>
          <w:rFonts w:ascii="Arial" w:cs="Arial" w:eastAsia="Arial" w:hAnsi="Arial"/>
          <w:sz w:val="18"/>
          <w:szCs w:val="18"/>
          <w:color w:val="auto"/>
        </w:rPr>
      </w:pPr>
    </w:p>
    <w:p>
      <w:pPr>
        <w:jc w:val="both"/>
        <w:ind w:left="900" w:right="200" w:hanging="325"/>
        <w:spacing w:after="0" w:line="264"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Second fiscal quarter diluted non-GAAP EPS of $0.82, within the $0.78-$0.84 guidance range, excluding amortization of purchased intangible assets and other acquisition-related costs, changes in fair value of certain acquisition-related liabilities and equity-based compensation expense, net of related tax effects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Diluted GAAP EPS of $0.74 for the second fiscal quarter, above the $0.64-$0.72 guidance range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Free cash flow of $115 million for the second fiscal quarter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Repurchased $111 million of ordinary shares during the second fiscal quarter</w:t>
      </w:r>
    </w:p>
    <w:p>
      <w:pPr>
        <w:spacing w:after="0" w:line="130" w:lineRule="exact"/>
        <w:rPr>
          <w:rFonts w:ascii="Arial" w:cs="Arial" w:eastAsia="Arial" w:hAnsi="Arial"/>
          <w:sz w:val="18"/>
          <w:szCs w:val="18"/>
          <w:color w:val="auto"/>
        </w:rPr>
      </w:pPr>
    </w:p>
    <w:p>
      <w:pPr>
        <w:ind w:left="900" w:right="300" w:hanging="325"/>
        <w:spacing w:after="0" w:line="308" w:lineRule="auto"/>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Twelve-month backlog of $3.0 billion at the end of the second fiscal quarter, down $30 million from the end of the first quarter of fiscal 2015. Excluding foreign currency movements, twelve-month backlog was up $30 million from the end of the first quarter of fiscal 2015</w:t>
      </w:r>
    </w:p>
    <w:p>
      <w:pPr>
        <w:sectPr>
          <w:pgSz w:w="11900" w:h="16838" w:orient="portrait"/>
          <w:cols w:equalWidth="0" w:num="1">
            <w:col w:w="11420"/>
          </w:cols>
          <w:pgMar w:left="240" w:top="121" w:right="239" w:bottom="1440" w:gutter="0" w:footer="0" w:header="0"/>
        </w:sectPr>
      </w:pPr>
    </w:p>
    <w:bookmarkStart w:id="5" w:name="page6"/>
    <w:bookmarkEnd w:id="5"/>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Board of Directors approved a $0.17 per share quarterly cash dividend to be paid on July 17, 2015</w:t>
      </w:r>
    </w:p>
    <w:p>
      <w:pPr>
        <w:spacing w:after="0" w:line="130" w:lineRule="exact"/>
        <w:rPr>
          <w:rFonts w:ascii="Arial" w:cs="Arial" w:eastAsia="Arial" w:hAnsi="Arial"/>
          <w:sz w:val="18"/>
          <w:szCs w:val="18"/>
          <w:color w:val="auto"/>
        </w:rPr>
      </w:pPr>
    </w:p>
    <w:p>
      <w:pPr>
        <w:ind w:left="900" w:hanging="325"/>
        <w:spacing w:after="0" w:line="279"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Third quarter fiscal 2015 guidance: Expected revenue of approximately $885-$925 million. Expected diluted non-GAAP EPS of approximately $0.79-$0.85, excluding amortization of purchased intangible assets and other acquisition-related costs and approximately $0.05-$0.06 per share of equity-based compensation expense, net of related tax effects. Expected diluted GAAP EPS of approximately $0.65-$0.73. Third quarter fiscal 2015 guidance does not incorporate any contribution from the acquisition of the Comverse BSS assets</w:t>
      </w:r>
    </w:p>
    <w:p>
      <w:pPr>
        <w:spacing w:after="0" w:line="76" w:lineRule="exact"/>
        <w:rPr>
          <w:rFonts w:ascii="Arial" w:cs="Arial" w:eastAsia="Arial" w:hAnsi="Arial"/>
          <w:sz w:val="17"/>
          <w:szCs w:val="17"/>
          <w:color w:val="auto"/>
        </w:rPr>
      </w:pPr>
    </w:p>
    <w:p>
      <w:pPr>
        <w:ind w:left="900" w:hanging="325"/>
        <w:spacing w:after="0" w:line="279"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Full year fiscal 2015 revenue guidance: Reiterates fiscal 2015 revenue growth within the range of 2.5% to 5.5% year-over-year on a constant currency basis relative to the guidance provided on November 4, 2014. Expects fiscal 2015 reported revenue growth of 0.3% to 3.3% year-over-year reflecting a negative impact from foreign currency movements of over 2% relative to the guidance provided on November 4, 2014. Full year fiscal 2015 guidance does not incorporate any contribution from the acquisition of the Comverse BSS assets</w:t>
      </w:r>
    </w:p>
    <w:p>
      <w:pPr>
        <w:spacing w:after="0" w:line="76" w:lineRule="exact"/>
        <w:rPr>
          <w:rFonts w:ascii="Arial" w:cs="Arial" w:eastAsia="Arial" w:hAnsi="Arial"/>
          <w:sz w:val="17"/>
          <w:szCs w:val="17"/>
          <w:color w:val="auto"/>
        </w:rPr>
      </w:pPr>
    </w:p>
    <w:p>
      <w:pPr>
        <w:ind w:left="900" w:right="160" w:hanging="325"/>
        <w:spacing w:after="0" w:line="25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the acquisition of the Comverse BSS assets on Amdocs’ diluted non-GAAP earnings per share (excluding amortization of purchased intangible assets and other acquisition related costs and equity-based compensation expense, net of related tax effects) is expected to be neutral in the first year after closing, and accretive thereafter. The impact on diluted GAAP EPS will not be known until after Amdocs completes the purchase price allocation. Amdocs expects to incur acquisition-related expenses related to operating adjustments, restructuring charges and other acquisition-related costs</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b w:val="1"/>
          <w:bCs w:val="1"/>
          <w:color w:val="auto"/>
        </w:rPr>
        <w:t xml:space="preserve">ST. LOUIS – April 29, 2015 </w:t>
      </w:r>
      <w:r>
        <w:rPr>
          <w:rFonts w:ascii="Arial" w:cs="Arial" w:eastAsia="Arial" w:hAnsi="Arial"/>
          <w:sz w:val="17"/>
          <w:szCs w:val="17"/>
          <w:color w:val="auto"/>
        </w:rPr>
        <w:t>– Amdocs Limited (NASDAQ: DOX) today reported that for its fiscal quarter ended March 31, 2015, revenue was $902.6</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down 0.4% sequentially from the first fiscal quarter of 2015 and up 0.6% as compared to last year’s second fiscal quarter. Second fiscal quarter revenue includes a negative impact from foreign currency movements of approximately $16 million relative to the first quarter of fiscal 2015. Net income on a non-GAAP basis was $128.6 million, or $0.82 per diluted share, compared to non-GAAP net income of $131.9 million, or $0.81 per diluted share, in the second quarter of fiscal 2014. Non-GAAP net income excludes amortization of purchased intangible assets and other</w:t>
      </w:r>
    </w:p>
    <w:p>
      <w:pPr>
        <w:sectPr>
          <w:pgSz w:w="11900" w:h="16838" w:orient="portrait"/>
          <w:cols w:equalWidth="0" w:num="1">
            <w:col w:w="11380"/>
          </w:cols>
          <w:pgMar w:left="240" w:top="274" w:right="279" w:bottom="1440" w:gutter="0" w:footer="0" w:header="0"/>
        </w:sectPr>
      </w:pPr>
    </w:p>
    <w:bookmarkStart w:id="6" w:name="page7"/>
    <w:bookmarkEnd w:id="6"/>
    <w:p>
      <w:pPr>
        <w:ind w:right="1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acquisition-related costs, changes in fair value of certain acquisition-related liabilities and equity-based compensation expenses of $12.4 million, net of related tax effects, in the second quarter of fiscal 2015 and excludes such amortization and other acquisition-related costs and equity-based compensation expenses of $21.5 million, net of related tax effects, in the second quarter of fiscal 2014. The Company’s GAAP net income for the second quarter of fiscal 2015 was $116.3 million, or $0.74 per diluted share, compared to GAAP net income of $110.4 million, or $0.68 per diluted share, in the prior fiscal year’s second quarter.</w:t>
      </w:r>
    </w:p>
    <w:p>
      <w:pPr>
        <w:spacing w:after="0" w:line="18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are pleased with our second fiscal quarter results, which included revenue in line with the mid-point of our expectations after adjusting for the negative impact of foreign currencies. We remained focused on delivering value to our customers, including in North America where market dynamics continue to change rapidly. In Europe, we strengthened relationships with some of our long-standing customers. EE, the UK’s largest mobile operator, has extended its managed services contract with Amdocs to develop and maintain its BSS platform. We also expanded our business within additional buying centers of existing customers. These include TeliaSonera where our mobile network optimization solutions have been selected to improve customer experience and network performance across Sweden, Norway, Finland, Estonia and Lithuania,” said Eli Gelman, president and chief executive officer of Amdocs Management Limited.</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Gelman continued, “Our Rest-of-World markets delivered record revenue in the second quarter as we made progress on a number of highly complex transformation projects. Amdocs has just completed the deployment of an integrated Amdocs BSS platform to provide billing business services for Vodafone India’s enterprise customers. This is part of a larger BSS transformation program in which Vodafone India is also migrating all postpaid customers onto a consolidated Amdocs billing platform. At the same time, our sales momentum continued at new customers in these regions and included a BSS project award at Kcell, an affiliate of TeliaSonera and Kazakhstan’s largest mobile operator.”</w:t>
      </w:r>
    </w:p>
    <w:p>
      <w:pPr>
        <w:spacing w:after="0" w:line="18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Gelman said, “The strategic use of M&amp;A remains an important vehicle for executing on our long-term objectives. Along these lines, today we signed a definitive agreement to acquire a substantial majority of the business support system assets of Comverse for approximately $272 million in cash. The acquisition geographically complements Amdocs’ market focus by expanding and diversifying Amdocs’ global customer base, particularly in Asia Pacific, Latin</w:t>
      </w:r>
    </w:p>
    <w:p>
      <w:pPr>
        <w:sectPr>
          <w:pgSz w:w="11900" w:h="16838" w:orient="portrait"/>
          <w:cols w:equalWidth="0" w:num="1">
            <w:col w:w="11360"/>
          </w:cols>
          <w:pgMar w:left="240" w:top="274" w:right="299" w:bottom="1440" w:gutter="0" w:footer="0" w:header="0"/>
        </w:sectPr>
      </w:pPr>
    </w:p>
    <w:bookmarkStart w:id="7" w:name="page8"/>
    <w:bookmarkEnd w:id="7"/>
    <w:p>
      <w:pPr>
        <w:jc w:val="both"/>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America and Europe, and including Europe’s cable and satellite market. As we move forward, the strength of our company and unique business model will enable Amdocs to bring additional value, innovation and a broader range of offerings as we leverage our joint professional industry expertise for the benefit of our customers.”</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Gelman concluded, “We returned more than 100% of free cash flow to shareholders in the second fiscal quarter, and with the stability of our business model and consistent operating execution, we remain committed to our balanced capital allocation framework over the long-term. Taking all factors into consideration, we are on-track to deliver diluted non-GAAP earnings per share growth of 4.5%-7.5% for the full fiscal year 2015, and, with our dividend yield, maximize the total return we expect to provide to shareholders.”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Discussion of Second Fiscal Quarter Results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Free cash flow was $115 million for the quarter, comprised of cash flow from operations of $135 million less $20 million in net capital expenditures and other.</w:t>
      </w:r>
    </w:p>
    <w:p>
      <w:pPr>
        <w:spacing w:after="0" w:line="17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Twelve-month backlog, which includes anticipated revenue related to contracts, estimated revenue from managed services contracts, letters of intent, maintenance and estimated on-going support activities, was $3.0 billion at the end of the second quarter of fiscal 2015, down $30 million sequentially as reported but up $30 million sequentially on a constant currency basis.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1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Amdocs expects that revenue for the third quarter of fiscal 2015 will be approximately $885-$925 million. This outlook takes into consideration our expectations regarding macro and industry specific risks and various uncertainties resulting from current and potential customer consolidation activity in North America. However, we remind you that we cannot predict all possible outcomes.</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Diluted earnings per share on a non-GAAP basis for the third fiscal quarter are expected to be $0.79-$0.85, excluding amortization of purchased intangible assets and other acquisition-related costs and approximately $0.05-$0.06 per share of equity-based compensation expense, net of related tax effects. Amdocs estimates GAAP diluted earnings per share for the third fiscal quarter will be $0.65-$0.73.</w:t>
      </w:r>
    </w:p>
    <w:p>
      <w:pPr>
        <w:sectPr>
          <w:pgSz w:w="11900" w:h="16838" w:orient="portrait"/>
          <w:cols w:equalWidth="0" w:num="1">
            <w:col w:w="11280"/>
          </w:cols>
          <w:pgMar w:left="240" w:top="274"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Quarterly Cash Dividend Program</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April 29, 2015, the Board approved the Company’s next quarterly cash dividend payment of $0.17 per share and set June 30, 2015 as the record date for determining the shareholders entitled to receive the dividend, which is payable on July 17,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Amdocs will host a conference call on April 29, 2015 at 5:00 p.m. Eastern Time to discuss the Company’s second fiscal quarter results. To participate, please dial +1 (888) 771-4371, or +1 (847) 585-4405 outside the United States, approximately 15 minutes before the call and enter passcode 39084990. The call will also be carried live on the Internet via the Amdocs website, www.amdocs.com.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This release includes non-GAAP diluted earnings per share and other non-GAAP financial measures, including free cash flow, non-GAAP cost of revenue, non-GAAP research and development, non-GAAP selling, general and administrative, non-GAAP operating income, non-GAAP operating margin, non-GAAP interest and other expense, net, non-GAAP income taxes, non-GAAP effective tax rate, non-GAAP net income and non-GAAP diluted earnings per share growth. These non-GAAP measures exclude the following items:</w:t>
      </w:r>
    </w:p>
    <w:p>
      <w:pPr>
        <w:spacing w:after="0" w:line="92"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amortization of purchased intangible assets and other acquisition-related costs;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fair value of certain acquisition-related liabilities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equity-based compensation expense;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tax effects related to the above.</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ectPr>
          <w:pgSz w:w="11900" w:h="16838" w:orient="portrait"/>
          <w:cols w:equalWidth="0" w:num="1">
            <w:col w:w="11380"/>
          </w:cols>
          <w:pgMar w:left="240" w:top="270" w:right="279" w:bottom="1440" w:gutter="0" w:footer="0" w:header="0"/>
        </w:sectPr>
      </w:pPr>
    </w:p>
    <w:bookmarkStart w:id="9" w:name="page10"/>
    <w:bookmarkEnd w:id="9"/>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believes that the presentation of non-GAAP diluted earnings per share and other financial measures, including free cash flow, non-GAAP cost of revenue, non-GAAP research and development, non-GAAP selling, general and administrative, non-GAAP operating income, non-GAAP operating margin, non-GAAP interest and other expense, net, non-GAAP income taxes, non-GAAP effective tax rate, non-GAAP net income and non-GAAP diluted earnings per share growth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its internal budgeting process and in monitoring the results of the business, Amdocs’ management uses financial statements that do not include amortization of purchased intangible assets and other acquisition-related costs, changes in fair value of certain acquisition-related liabilities, equity-based compensation expense and related tax effects. Amdocs’ management also uses the foregoing non-GAAP financial measures, in addition to the corresponding GAAP measures, in reviewing the financial results of Amdocs. In addition, Amdocs believes that significant groups of investors exclude these items in reviewing its results and those of its competitors, because the amounts of the items between companies can vary greatly depending on the assumptions used by an individual company in determining the amounts of the items.</w:t>
      </w:r>
    </w:p>
    <w:p>
      <w:pPr>
        <w:spacing w:after="0" w:line="19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Amdocs further believes that, where the adjustments used in calculating non-GAAP diluted earnings per share are based on specific, identified amounts that impact different line items in the Consolidated Statements of Income (including cost of revenue, research and development, selling, general and administrative, operating income, interest and other expense, net, income taxes and net income), it is useful to investors to understand how these specific line items in the Consolidated Statements of Income are affected by these adjustments. Please refer to the Reconciliation of Selected Financial Metrics from GAAP to Non-GAAP tables below.</w:t>
      </w:r>
    </w:p>
    <w:p>
      <w:pPr>
        <w:sectPr>
          <w:pgSz w:w="11900" w:h="16838" w:orient="portrait"/>
          <w:cols w:equalWidth="0" w:num="1">
            <w:col w:w="11380"/>
          </w:cols>
          <w:pgMar w:left="240" w:top="274"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Amdocs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more than 30 years, Amdocs has ensured service providers’ success and embraced their biggest challenges. To win in the connected world, service providers rely on Amdocs to simplify the customer experience, harness the data explosion, stay ahead with new services and improve operational efficiency. The global company uniquely combines a market-leading BSS, OSS and network control and optimization product portfolio with value-driven professional services and managed services operations. With revenue of $3.6 billion in fiscal 2014, Amdocs and its over 22,000 employees serve customers in more than 80 countries.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Amdocs: Embrace Challenge, Experience Success.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visit Amdocs at </w:t>
      </w:r>
      <w:r>
        <w:rPr>
          <w:rFonts w:ascii="Arial" w:cs="Arial" w:eastAsia="Arial" w:hAnsi="Arial"/>
          <w:sz w:val="18"/>
          <w:szCs w:val="18"/>
          <w:u w:val="single" w:color="auto"/>
          <w:color w:val="auto"/>
        </w:rPr>
        <w:t>www.amdocs.com</w:t>
      </w:r>
      <w:r>
        <w:rPr>
          <w:rFonts w:ascii="Arial" w:cs="Arial" w:eastAsia="Arial" w:hAnsi="Arial"/>
          <w:sz w:val="18"/>
          <w:szCs w:val="18"/>
          <w:color w:val="auto"/>
        </w:rPr>
        <w:t>.</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 markets that it serves, Amdocs’ and Comverse’s abilities to close Amdocs’ proposed acquisition of Comverse assets,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the Company specifically disclaims any obligation to do so. These and other risks are discussed at greater length in the Company’s filings with the Securities and Exchange Commission, including in our Annual Report on Form 20-F for the fiscal year ended September 30, 2014 filed on December 8, 2014 and our Form 6-K furnished for the first quarter of fiscal 2015 on February 9, 2015.</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Matthew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Amdocs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314-212-8328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dox_info@amdocs.com</w:t>
      </w:r>
    </w:p>
    <w:p>
      <w:pPr>
        <w:sectPr>
          <w:pgSz w:w="11900" w:h="16838" w:orient="portrait"/>
          <w:cols w:equalWidth="0" w:num="1">
            <w:col w:w="11320"/>
          </w:cols>
          <w:pgMar w:left="240" w:top="270"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25"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Pr>
          <w:p>
            <w:pPr>
              <w:spacing w:after="0"/>
              <w:rPr>
                <w:sz w:val="14"/>
                <w:szCs w:val="14"/>
                <w:color w:val="auto"/>
              </w:rPr>
            </w:pPr>
          </w:p>
        </w:tc>
        <w:tc>
          <w:tcPr>
            <w:tcW w:w="19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4"/>
                <w:szCs w:val="14"/>
                <w:color w:val="auto"/>
              </w:rPr>
            </w:pPr>
          </w:p>
        </w:tc>
        <w:tc>
          <w:tcPr>
            <w:tcW w:w="19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902,578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896,854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1,808,865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1,760,899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3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580,571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583,284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1,154,017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1,140,687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62,805</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63,104</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126,446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125,429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107,186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110,438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220,766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14,016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16,180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28,115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764,578</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773,006</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1,529,344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1,516,361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3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138,000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123,848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279,521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244,538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7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1,669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1,908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3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136,331</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121,940</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279,396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241,226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7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20,070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11,583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32,145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29,434</w:t>
            </w:r>
          </w:p>
        </w:tc>
        <w:tc>
          <w:tcPr>
            <w:tcW w:w="0" w:type="dxa"/>
            <w:vAlign w:val="bottom"/>
          </w:tcPr>
          <w:p>
            <w:pPr>
              <w:spacing w:after="0"/>
              <w:rPr>
                <w:sz w:val="1"/>
                <w:szCs w:val="1"/>
                <w:color w:val="auto"/>
              </w:rPr>
            </w:pPr>
          </w:p>
        </w:tc>
      </w:tr>
      <w:tr>
        <w:trPr>
          <w:trHeight w:val="223"/>
        </w:trPr>
        <w:tc>
          <w:tcPr>
            <w:tcW w:w="73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116,261</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110,357</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247,251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211,792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0.74</w:t>
            </w: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155,106</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159,812</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155,506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gridSpan w:val="2"/>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157,357</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162,251</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157,738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162,048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0.325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Metrics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Pr>
          <w:p>
            <w:pPr>
              <w:spacing w:after="0"/>
              <w:rPr>
                <w:sz w:val="14"/>
                <w:szCs w:val="14"/>
                <w:color w:val="auto"/>
              </w:rPr>
            </w:pPr>
          </w:p>
        </w:tc>
        <w:tc>
          <w:tcPr>
            <w:tcW w:w="19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7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4"/>
                <w:szCs w:val="14"/>
                <w:color w:val="auto"/>
              </w:rPr>
            </w:pPr>
          </w:p>
        </w:tc>
        <w:tc>
          <w:tcPr>
            <w:tcW w:w="19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73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902,578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896,854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1,808,865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1,760,899</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Non-GAAP operating income</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153,491</w:t>
            </w: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150,563</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306,453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295,886</w:t>
            </w:r>
          </w:p>
        </w:tc>
        <w:tc>
          <w:tcPr>
            <w:tcW w:w="10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128,647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131,850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268,132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254,414</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Non-GAAP diluted earnings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0.82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0.81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1.70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157,357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162,251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157,738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162,048</w:t>
            </w:r>
          </w:p>
        </w:tc>
        <w:tc>
          <w:tcPr>
            <w:tcW w:w="100" w:type="dxa"/>
            <w:vAlign w:val="bottom"/>
            <w:shd w:val="clear" w:color="auto" w:fill="CCEEFF"/>
          </w:tcPr>
          <w:p>
            <w:pPr>
              <w:spacing w:after="0"/>
              <w:rPr>
                <w:sz w:val="18"/>
                <w:szCs w:val="18"/>
                <w:color w:val="auto"/>
              </w:rPr>
            </w:pPr>
          </w:p>
        </w:tc>
      </w:tr>
    </w:tbl>
    <w:p>
      <w:pPr>
        <w:sectPr>
          <w:pgSz w:w="11900" w:h="16838" w:orient="portrait"/>
          <w:cols w:equalWidth="0" w:num="1">
            <w:col w:w="11420"/>
          </w:cols>
          <w:pgMar w:left="240" w:top="27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11"/>
          </w:tcPr>
          <w:p>
            <w:pPr>
              <w:jc w:val="right"/>
              <w:ind w:right="420"/>
              <w:spacing w:after="0"/>
              <w:rPr>
                <w:sz w:val="20"/>
                <w:szCs w:val="20"/>
                <w:color w:val="auto"/>
              </w:rPr>
            </w:pPr>
            <w:r>
              <w:rPr>
                <w:rFonts w:ascii="Arial" w:cs="Arial" w:eastAsia="Arial" w:hAnsi="Arial"/>
                <w:sz w:val="14"/>
                <w:szCs w:val="14"/>
                <w:b w:val="1"/>
                <w:bCs w:val="1"/>
                <w:color w:val="auto"/>
                <w:w w:val="95"/>
              </w:rPr>
              <w:t>Three months ended March 31, 2015</w:t>
            </w: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6"/>
          </w:tcPr>
          <w:p>
            <w:pPr>
              <w:ind w:left="160"/>
              <w:spacing w:after="0" w:line="142" w:lineRule="exact"/>
              <w:rPr>
                <w:sz w:val="20"/>
                <w:szCs w:val="20"/>
                <w:color w:val="auto"/>
              </w:rPr>
            </w:pPr>
            <w:r>
              <w:rPr>
                <w:rFonts w:ascii="Arial" w:cs="Arial" w:eastAsia="Arial" w:hAnsi="Arial"/>
                <w:sz w:val="14"/>
                <w:szCs w:val="14"/>
                <w:b w:val="1"/>
                <w:bCs w:val="1"/>
                <w:color w:val="auto"/>
                <w:w w:val="91"/>
              </w:rPr>
              <w:t>Reconciliation items</w:t>
            </w: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60" w:type="dxa"/>
            <w:vAlign w:val="bottom"/>
            <w:gridSpan w:val="4"/>
          </w:tcPr>
          <w:p>
            <w:pPr>
              <w:ind w:left="20"/>
              <w:spacing w:after="0" w:line="119" w:lineRule="exact"/>
              <w:rPr>
                <w:sz w:val="20"/>
                <w:szCs w:val="20"/>
                <w:color w:val="auto"/>
              </w:rPr>
            </w:pPr>
            <w:r>
              <w:rPr>
                <w:rFonts w:ascii="Arial" w:cs="Arial" w:eastAsia="Arial" w:hAnsi="Arial"/>
                <w:sz w:val="13"/>
                <w:szCs w:val="13"/>
                <w:b w:val="1"/>
                <w:bCs w:val="1"/>
                <w:color w:val="auto"/>
              </w:rPr>
              <w:t>Amortization of</w:t>
            </w: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Equity based</w:t>
            </w:r>
          </w:p>
        </w:tc>
        <w:tc>
          <w:tcPr>
            <w:tcW w:w="80" w:type="dxa"/>
            <w:vAlign w:val="bottom"/>
          </w:tcPr>
          <w:p>
            <w:pPr>
              <w:spacing w:after="0"/>
              <w:rPr>
                <w:sz w:val="10"/>
                <w:szCs w:val="10"/>
                <w:color w:val="auto"/>
              </w:rPr>
            </w:pPr>
          </w:p>
        </w:tc>
        <w:tc>
          <w:tcPr>
            <w:tcW w:w="1240" w:type="dxa"/>
            <w:vAlign w:val="bottom"/>
            <w:gridSpan w:val="4"/>
          </w:tcPr>
          <w:p>
            <w:pPr>
              <w:jc w:val="center"/>
              <w:ind w:right="220"/>
              <w:spacing w:after="0" w:line="119" w:lineRule="exact"/>
              <w:rPr>
                <w:sz w:val="20"/>
                <w:szCs w:val="20"/>
                <w:color w:val="auto"/>
              </w:rPr>
            </w:pPr>
            <w:r>
              <w:rPr>
                <w:rFonts w:ascii="Arial" w:cs="Arial" w:eastAsia="Arial" w:hAnsi="Arial"/>
                <w:sz w:val="13"/>
                <w:szCs w:val="13"/>
                <w:b w:val="1"/>
                <w:bCs w:val="1"/>
                <w:color w:val="auto"/>
              </w:rPr>
              <w:t>Changes in fair</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gridSpan w:val="4"/>
          </w:tcPr>
          <w:p>
            <w:pPr>
              <w:ind w:left="200"/>
              <w:spacing w:after="0" w:line="149" w:lineRule="exact"/>
              <w:rPr>
                <w:sz w:val="20"/>
                <w:szCs w:val="20"/>
                <w:color w:val="auto"/>
              </w:rPr>
            </w:pPr>
            <w:r>
              <w:rPr>
                <w:rFonts w:ascii="Arial" w:cs="Arial" w:eastAsia="Arial" w:hAnsi="Arial"/>
                <w:sz w:val="14"/>
                <w:szCs w:val="14"/>
                <w:b w:val="1"/>
                <w:bCs w:val="1"/>
                <w:color w:val="auto"/>
              </w:rPr>
              <w:t>purchased</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value of certain</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GAAP</w:t>
            </w:r>
          </w:p>
        </w:tc>
        <w:tc>
          <w:tcPr>
            <w:tcW w:w="11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intangible assets</w:t>
            </w:r>
          </w:p>
        </w:tc>
        <w:tc>
          <w:tcPr>
            <w:tcW w:w="240" w:type="dxa"/>
            <w:vAlign w:val="bottom"/>
          </w:tcPr>
          <w:p>
            <w:pPr>
              <w:spacing w:after="0"/>
              <w:rPr>
                <w:sz w:val="12"/>
                <w:szCs w:val="12"/>
                <w:color w:val="auto"/>
              </w:rPr>
            </w:pPr>
          </w:p>
        </w:tc>
        <w:tc>
          <w:tcPr>
            <w:tcW w:w="118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compensation</w:t>
            </w:r>
          </w:p>
        </w:tc>
        <w:tc>
          <w:tcPr>
            <w:tcW w:w="80" w:type="dxa"/>
            <w:vAlign w:val="bottom"/>
          </w:tcPr>
          <w:p>
            <w:pPr>
              <w:spacing w:after="0"/>
              <w:rPr>
                <w:sz w:val="12"/>
                <w:szCs w:val="12"/>
                <w:color w:val="auto"/>
              </w:rPr>
            </w:pPr>
          </w:p>
        </w:tc>
        <w:tc>
          <w:tcPr>
            <w:tcW w:w="124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80" w:type="dxa"/>
            <w:vAlign w:val="bottom"/>
          </w:tcPr>
          <w:p>
            <w:pPr>
              <w:spacing w:after="0"/>
              <w:rPr>
                <w:sz w:val="12"/>
                <w:szCs w:val="12"/>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Tax effect</w:t>
            </w:r>
          </w:p>
        </w:tc>
        <w:tc>
          <w:tcPr>
            <w:tcW w:w="160" w:type="dxa"/>
            <w:vAlign w:val="bottom"/>
          </w:tcPr>
          <w:p>
            <w:pPr>
              <w:spacing w:after="0"/>
              <w:rPr>
                <w:sz w:val="12"/>
                <w:szCs w:val="12"/>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6"/>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160" w:type="dxa"/>
            <w:vAlign w:val="bottom"/>
            <w:gridSpan w:val="4"/>
          </w:tcPr>
          <w:p>
            <w:pPr>
              <w:ind w:left="220"/>
              <w:spacing w:after="0"/>
              <w:rPr>
                <w:sz w:val="20"/>
                <w:szCs w:val="20"/>
                <w:color w:val="auto"/>
              </w:rPr>
            </w:pPr>
            <w:r>
              <w:rPr>
                <w:rFonts w:ascii="Arial" w:cs="Arial" w:eastAsia="Arial" w:hAnsi="Arial"/>
                <w:sz w:val="14"/>
                <w:szCs w:val="14"/>
                <w:b w:val="1"/>
                <w:bCs w:val="1"/>
                <w:color w:val="auto"/>
              </w:rPr>
              <w:t>and other</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89"/>
              </w:rPr>
              <w:t>expense</w:t>
            </w:r>
          </w:p>
        </w:tc>
        <w:tc>
          <w:tcPr>
            <w:tcW w:w="80" w:type="dxa"/>
            <w:vAlign w:val="bottom"/>
          </w:tcPr>
          <w:p>
            <w:pPr>
              <w:spacing w:after="0"/>
              <w:rPr>
                <w:sz w:val="14"/>
                <w:szCs w:val="14"/>
                <w:color w:val="auto"/>
              </w:rPr>
            </w:pPr>
          </w:p>
        </w:tc>
        <w:tc>
          <w:tcPr>
            <w:tcW w:w="12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related liabilities</w:t>
            </w:r>
          </w:p>
        </w:tc>
        <w:tc>
          <w:tcPr>
            <w:tcW w:w="18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righ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$580,571</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8"/>
              <w:spacing w:after="0"/>
              <w:rPr>
                <w:sz w:val="20"/>
                <w:szCs w:val="20"/>
                <w:color w:val="auto"/>
              </w:rPr>
            </w:pPr>
            <w:r>
              <w:rPr>
                <w:rFonts w:ascii="Arial" w:cs="Arial" w:eastAsia="Arial" w:hAnsi="Arial"/>
                <w:sz w:val="18"/>
                <w:szCs w:val="18"/>
                <w:color w:val="auto"/>
              </w:rPr>
              <w:t>(3,737)</w:t>
            </w:r>
          </w:p>
        </w:tc>
        <w:tc>
          <w:tcPr>
            <w:tcW w:w="140" w:type="dxa"/>
            <w:vAlign w:val="bottom"/>
          </w:tcPr>
          <w:p>
            <w:pPr>
              <w:spacing w:after="0"/>
              <w:rPr>
                <w:sz w:val="18"/>
                <w:szCs w:val="18"/>
                <w:color w:val="auto"/>
              </w:rPr>
            </w:pPr>
          </w:p>
        </w:tc>
        <w:tc>
          <w:tcPr>
            <w:tcW w:w="2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8,350</w:t>
            </w:r>
          </w:p>
        </w:tc>
        <w:tc>
          <w:tcPr>
            <w:tcW w:w="220" w:type="dxa"/>
            <w:vAlign w:val="bottom"/>
          </w:tcPr>
          <w:p>
            <w:pPr>
              <w:spacing w:after="0"/>
              <w:rPr>
                <w:sz w:val="18"/>
                <w:szCs w:val="18"/>
                <w:color w:val="auto"/>
              </w:rPr>
            </w:pP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$ 585,184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62,805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(817)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107,186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8"/>
              <w:spacing w:after="0"/>
              <w:rPr>
                <w:sz w:val="20"/>
                <w:szCs w:val="20"/>
                <w:color w:val="auto"/>
              </w:rPr>
            </w:pPr>
            <w:r>
              <w:rPr>
                <w:rFonts w:ascii="Arial" w:cs="Arial" w:eastAsia="Arial" w:hAnsi="Arial"/>
                <w:sz w:val="18"/>
                <w:szCs w:val="18"/>
                <w:color w:val="auto"/>
              </w:rPr>
              <w:t>(5,271)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101,915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Amortization of purchased intangible assets and</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w:t>
            </w: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14,016</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(14,016)</w:t>
            </w: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764,578</w:t>
            </w:r>
          </w:p>
        </w:tc>
        <w:tc>
          <w:tcPr>
            <w:tcW w:w="38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(14,016)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(9,825)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749,087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138,000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14,016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9,825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(8,350)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153,491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Interest and other expense, net</w:t>
            </w:r>
          </w:p>
        </w:tc>
        <w:tc>
          <w:tcPr>
            <w:tcW w:w="1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1,669</w:t>
            </w:r>
          </w:p>
        </w:tc>
        <w:tc>
          <w:tcPr>
            <w:tcW w:w="38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20,070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3,105</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23,175</w:t>
            </w:r>
          </w:p>
        </w:tc>
        <w:tc>
          <w:tcPr>
            <w:tcW w:w="0" w:type="dxa"/>
            <w:vAlign w:val="bottom"/>
          </w:tcPr>
          <w:p>
            <w:pPr>
              <w:spacing w:after="0"/>
              <w:rPr>
                <w:sz w:val="1"/>
                <w:szCs w:val="1"/>
                <w:color w:val="auto"/>
              </w:rPr>
            </w:pP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116,261</w:t>
            </w:r>
          </w:p>
        </w:tc>
        <w:tc>
          <w:tcPr>
            <w:tcW w:w="3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9,825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(3,105</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$ 128,647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10"/>
          </w:tcPr>
          <w:p>
            <w:pPr>
              <w:ind w:left="380"/>
              <w:spacing w:after="0"/>
              <w:rPr>
                <w:sz w:val="20"/>
                <w:szCs w:val="20"/>
                <w:color w:val="auto"/>
              </w:rPr>
            </w:pPr>
            <w:r>
              <w:rPr>
                <w:rFonts w:ascii="Arial" w:cs="Arial" w:eastAsia="Arial" w:hAnsi="Arial"/>
                <w:sz w:val="14"/>
                <w:szCs w:val="14"/>
                <w:b w:val="1"/>
                <w:bCs w:val="1"/>
                <w:color w:val="auto"/>
                <w:w w:val="94"/>
              </w:rPr>
              <w:t>Three months ended March 31, 2014</w:t>
            </w: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7"/>
          </w:tcPr>
          <w:p>
            <w:pPr>
              <w:jc w:val="right"/>
              <w:ind w:right="220"/>
              <w:spacing w:after="0" w:line="142" w:lineRule="exact"/>
              <w:rPr>
                <w:sz w:val="20"/>
                <w:szCs w:val="20"/>
                <w:color w:val="auto"/>
              </w:rPr>
            </w:pPr>
            <w:r>
              <w:rPr>
                <w:rFonts w:ascii="Arial" w:cs="Arial" w:eastAsia="Arial" w:hAnsi="Arial"/>
                <w:sz w:val="14"/>
                <w:szCs w:val="14"/>
                <w:b w:val="1"/>
                <w:bCs w:val="1"/>
                <w:color w:val="auto"/>
              </w:rPr>
              <w:t>Reconciliation items</w:t>
            </w:r>
          </w:p>
        </w:tc>
        <w:tc>
          <w:tcPr>
            <w:tcW w:w="1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gridSpan w:val="4"/>
          </w:tcPr>
          <w:p>
            <w:pPr>
              <w:jc w:val="center"/>
              <w:ind w:right="140"/>
              <w:spacing w:after="0" w:line="119" w:lineRule="exact"/>
              <w:rPr>
                <w:sz w:val="20"/>
                <w:szCs w:val="20"/>
                <w:color w:val="auto"/>
              </w:rPr>
            </w:pPr>
            <w:r>
              <w:rPr>
                <w:rFonts w:ascii="Arial" w:cs="Arial" w:eastAsia="Arial" w:hAnsi="Arial"/>
                <w:sz w:val="13"/>
                <w:szCs w:val="13"/>
                <w:b w:val="1"/>
                <w:bCs w:val="1"/>
                <w:color w:val="auto"/>
              </w:rPr>
              <w:t>Amortization of</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4"/>
              </w:rPr>
              <w:t>Equity based</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purchased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GAAP</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intangible assets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80" w:type="dxa"/>
            <w:vAlign w:val="bottom"/>
          </w:tcPr>
          <w:p>
            <w:pPr>
              <w:spacing w:after="0"/>
              <w:rPr>
                <w:sz w:val="12"/>
                <w:szCs w:val="12"/>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Tax effect</w:t>
            </w:r>
          </w:p>
        </w:tc>
        <w:tc>
          <w:tcPr>
            <w:tcW w:w="160" w:type="dxa"/>
            <w:vAlign w:val="bottom"/>
          </w:tcPr>
          <w:p>
            <w:pPr>
              <w:spacing w:after="0"/>
              <w:rPr>
                <w:sz w:val="12"/>
                <w:szCs w:val="12"/>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6"/>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and other</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expense</w:t>
            </w:r>
          </w:p>
        </w:tc>
        <w:tc>
          <w:tcPr>
            <w:tcW w:w="18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right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583,284</w:t>
            </w:r>
          </w:p>
        </w:tc>
        <w:tc>
          <w:tcPr>
            <w:tcW w:w="40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(4,369)</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$ 578,915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63,104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110,438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(5,294)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105,144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Amortization of purchased intangible assets and other</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16,180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(16,180)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773,006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(16,180)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(10,535)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746,291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123,848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16,180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10,535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150,563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11,583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5,222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110,357</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16,180</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10,535</w:t>
            </w:r>
          </w:p>
        </w:tc>
        <w:tc>
          <w:tcPr>
            <w:tcW w:w="2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 (5,222)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$ 131,850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jc w:val="center"/>
        <w:ind w:left="462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4620"/>
        <w:spacing w:after="0"/>
        <w:rPr>
          <w:sz w:val="20"/>
          <w:szCs w:val="20"/>
          <w:color w:val="auto"/>
        </w:rPr>
      </w:pPr>
      <w:r>
        <w:rPr>
          <w:rFonts w:ascii="Arial" w:cs="Arial" w:eastAsia="Arial" w:hAnsi="Arial"/>
          <w:sz w:val="14"/>
          <w:szCs w:val="14"/>
          <w:b w:val="1"/>
          <w:bCs w:val="1"/>
          <w:color w:val="auto"/>
        </w:rPr>
        <w:t>March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-3175</wp:posOffset>
            </wp:positionV>
            <wp:extent cx="41935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193540" cy="8890"/>
                    </a:xfrm>
                    <a:prstGeom prst="rect">
                      <a:avLst/>
                    </a:prstGeom>
                    <a:noFill/>
                  </pic:spPr>
                </pic:pic>
              </a:graphicData>
            </a:graphic>
          </wp:anchor>
        </w:drawing>
      </w:r>
    </w:p>
    <w:p>
      <w:pPr>
        <w:ind w:left="7400"/>
        <w:spacing w:after="0" w:line="233" w:lineRule="auto"/>
        <w:rPr>
          <w:sz w:val="20"/>
          <w:szCs w:val="20"/>
          <w:color w:val="auto"/>
        </w:rPr>
      </w:pPr>
      <w:r>
        <w:rPr>
          <w:rFonts w:ascii="Arial" w:cs="Arial" w:eastAsia="Arial" w:hAnsi="Arial"/>
          <w:sz w:val="14"/>
          <w:szCs w:val="14"/>
          <w:b w:val="1"/>
          <w:bCs w:val="1"/>
          <w:color w:val="auto"/>
        </w:rPr>
        <w:t>Reconciliation items</w:t>
      </w: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Amortization of</w:t>
            </w: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4"/>
              </w:rPr>
              <w:t>Equity based</w:t>
            </w:r>
          </w:p>
        </w:tc>
        <w:tc>
          <w:tcPr>
            <w:tcW w:w="12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3"/>
          </w:tcPr>
          <w:p>
            <w:pPr>
              <w:jc w:val="center"/>
              <w:ind w:right="300"/>
              <w:spacing w:after="0" w:line="119" w:lineRule="exact"/>
              <w:rPr>
                <w:sz w:val="20"/>
                <w:szCs w:val="20"/>
                <w:color w:val="auto"/>
              </w:rPr>
            </w:pPr>
            <w:r>
              <w:rPr>
                <w:rFonts w:ascii="Arial" w:cs="Arial" w:eastAsia="Arial" w:hAnsi="Arial"/>
                <w:sz w:val="13"/>
                <w:szCs w:val="13"/>
                <w:b w:val="1"/>
                <w:bCs w:val="1"/>
                <w:color w:val="auto"/>
              </w:rPr>
              <w:t>Changes in fair</w:t>
            </w: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3"/>
              </w:rPr>
              <w:t>purchased</w:t>
            </w:r>
          </w:p>
        </w:tc>
        <w:tc>
          <w:tcPr>
            <w:tcW w:w="1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value of certain</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GAAP</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6"/>
              </w:rPr>
              <w:t>intangible</w:t>
            </w:r>
          </w:p>
        </w:tc>
        <w:tc>
          <w:tcPr>
            <w:tcW w:w="12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Tax effect</w:t>
            </w:r>
          </w:p>
        </w:tc>
        <w:tc>
          <w:tcPr>
            <w:tcW w:w="120" w:type="dxa"/>
            <w:vAlign w:val="bottom"/>
          </w:tcPr>
          <w:p>
            <w:pPr>
              <w:spacing w:after="0"/>
              <w:rPr>
                <w:sz w:val="12"/>
                <w:szCs w:val="12"/>
                <w:color w:val="auto"/>
              </w:rPr>
            </w:pPr>
          </w:p>
        </w:tc>
        <w:tc>
          <w:tcPr>
            <w:tcW w:w="9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assets and other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2"/>
              </w:rPr>
              <w:t>expense</w:t>
            </w:r>
          </w:p>
        </w:tc>
        <w:tc>
          <w:tcPr>
            <w:tcW w:w="120" w:type="dxa"/>
            <w:vAlign w:val="bottom"/>
          </w:tcPr>
          <w:p>
            <w:pPr>
              <w:spacing w:after="0"/>
              <w:rPr>
                <w:sz w:val="14"/>
                <w:szCs w:val="14"/>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related liabilities</w:t>
            </w:r>
          </w:p>
        </w:tc>
        <w:tc>
          <w:tcPr>
            <w:tcW w:w="7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1,154,017</w:t>
            </w:r>
          </w:p>
        </w:tc>
        <w:tc>
          <w:tcPr>
            <w:tcW w:w="140" w:type="dxa"/>
            <w:vAlign w:val="bottom"/>
          </w:tcPr>
          <w:p>
            <w:pPr>
              <w:spacing w:after="0"/>
              <w:rPr>
                <w:sz w:val="18"/>
                <w:szCs w:val="18"/>
                <w:color w:val="auto"/>
              </w:rPr>
            </w:pP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(7,981)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24,906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1,170,942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126,446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220,766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(13,988)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206,778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28,115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(28,115)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1,529,344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(28,115)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(23,723)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24,906</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1,502,412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279,521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28,115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23,723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(24,906)</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Interest and other expense, net</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3,921</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32,145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34,275</w:t>
            </w:r>
          </w:p>
        </w:tc>
        <w:tc>
          <w:tcPr>
            <w:tcW w:w="0" w:type="dxa"/>
            <w:vAlign w:val="bottom"/>
          </w:tcPr>
          <w:p>
            <w:pPr>
              <w:spacing w:after="0"/>
              <w:rPr>
                <w:sz w:val="1"/>
                <w:szCs w:val="1"/>
                <w:color w:val="auto"/>
              </w:rPr>
            </w:pPr>
          </w:p>
        </w:tc>
      </w:tr>
      <w:tr>
        <w:trPr>
          <w:trHeight w:val="223"/>
        </w:trPr>
        <w:tc>
          <w:tcPr>
            <w:tcW w:w="47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247,251</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28,115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23,723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(28,827)</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(2,130</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268,132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jc w:val="center"/>
        <w:ind w:left="5580"/>
        <w:spacing w:after="0"/>
        <w:rPr>
          <w:sz w:val="20"/>
          <w:szCs w:val="20"/>
          <w:color w:val="auto"/>
        </w:rPr>
      </w:pPr>
      <w:r>
        <w:rPr>
          <w:rFonts w:ascii="Arial" w:cs="Arial" w:eastAsia="Arial" w:hAnsi="Arial"/>
          <w:sz w:val="14"/>
          <w:szCs w:val="14"/>
          <w:b w:val="1"/>
          <w:bCs w:val="1"/>
          <w:color w:val="auto"/>
        </w:rPr>
        <w:t>Six months ended</w:t>
      </w:r>
    </w:p>
    <w:p>
      <w:pPr>
        <w:jc w:val="center"/>
        <w:ind w:left="5580"/>
        <w:spacing w:after="0" w:line="236" w:lineRule="auto"/>
        <w:rPr>
          <w:sz w:val="20"/>
          <w:szCs w:val="20"/>
          <w:color w:val="auto"/>
        </w:rPr>
      </w:pPr>
      <w:r>
        <w:rPr>
          <w:rFonts w:ascii="Arial" w:cs="Arial" w:eastAsia="Arial" w:hAnsi="Arial"/>
          <w:sz w:val="14"/>
          <w:szCs w:val="14"/>
          <w:b w:val="1"/>
          <w:bCs w:val="1"/>
          <w:color w:val="auto"/>
        </w:rPr>
        <w:t>March 31, 2014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spacing w:after="0"/>
              <w:rPr>
                <w:sz w:val="12"/>
                <w:szCs w:val="12"/>
                <w:color w:val="auto"/>
              </w:rPr>
            </w:pPr>
          </w:p>
        </w:tc>
        <w:tc>
          <w:tcPr>
            <w:tcW w:w="1480" w:type="dxa"/>
            <w:vAlign w:val="bottom"/>
            <w:tcBorders>
              <w:top w:val="single" w:sz="8" w:color="auto"/>
              <w:bottom w:val="single" w:sz="8" w:color="auto"/>
            </w:tcBorders>
            <w:gridSpan w:val="4"/>
          </w:tcPr>
          <w:p>
            <w:pPr>
              <w:jc w:val="right"/>
              <w:ind w:right="220"/>
              <w:spacing w:after="0" w:line="142" w:lineRule="exact"/>
              <w:rPr>
                <w:sz w:val="20"/>
                <w:szCs w:val="20"/>
                <w:color w:val="auto"/>
              </w:rPr>
            </w:pPr>
            <w:r>
              <w:rPr>
                <w:rFonts w:ascii="Arial" w:cs="Arial" w:eastAsia="Arial" w:hAnsi="Arial"/>
                <w:sz w:val="14"/>
                <w:szCs w:val="14"/>
                <w:b w:val="1"/>
                <w:bCs w:val="1"/>
                <w:color w:val="auto"/>
                <w:w w:val="91"/>
              </w:rPr>
              <w:t>Reconciliation items</w:t>
            </w:r>
          </w:p>
        </w:tc>
        <w:tc>
          <w:tcPr>
            <w:tcW w:w="1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Amortization of</w:t>
            </w: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Equity based</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488"/>
              <w:spacing w:after="0" w:line="149" w:lineRule="exact"/>
              <w:rPr>
                <w:sz w:val="20"/>
                <w:szCs w:val="20"/>
                <w:color w:val="auto"/>
              </w:rPr>
            </w:pPr>
            <w:r>
              <w:rPr>
                <w:rFonts w:ascii="Arial" w:cs="Arial" w:eastAsia="Arial" w:hAnsi="Arial"/>
                <w:sz w:val="14"/>
                <w:szCs w:val="14"/>
                <w:b w:val="1"/>
                <w:bCs w:val="1"/>
                <w:color w:val="auto"/>
                <w:w w:val="93"/>
              </w:rPr>
              <w:t>purchased</w:t>
            </w:r>
          </w:p>
        </w:tc>
        <w:tc>
          <w:tcPr>
            <w:tcW w:w="10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GAAP</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508"/>
              <w:spacing w:after="0" w:line="149" w:lineRule="exact"/>
              <w:rPr>
                <w:sz w:val="20"/>
                <w:szCs w:val="20"/>
                <w:color w:val="auto"/>
              </w:rPr>
            </w:pPr>
            <w:r>
              <w:rPr>
                <w:rFonts w:ascii="Arial" w:cs="Arial" w:eastAsia="Arial" w:hAnsi="Arial"/>
                <w:sz w:val="14"/>
                <w:szCs w:val="14"/>
                <w:b w:val="1"/>
                <w:bCs w:val="1"/>
                <w:color w:val="auto"/>
                <w:w w:val="96"/>
              </w:rPr>
              <w:t>intangible</w:t>
            </w: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60" w:type="dxa"/>
            <w:vAlign w:val="bottom"/>
          </w:tcPr>
          <w:p>
            <w:pPr>
              <w:spacing w:after="0"/>
              <w:rPr>
                <w:sz w:val="12"/>
                <w:szCs w:val="12"/>
                <w:color w:val="auto"/>
              </w:rPr>
            </w:pP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Tax effect</w:t>
            </w:r>
          </w:p>
        </w:tc>
        <w:tc>
          <w:tcPr>
            <w:tcW w:w="160" w:type="dxa"/>
            <w:vAlign w:val="bottom"/>
          </w:tcPr>
          <w:p>
            <w:pPr>
              <w:spacing w:after="0"/>
              <w:rPr>
                <w:sz w:val="12"/>
                <w:szCs w:val="12"/>
                <w:color w:val="auto"/>
              </w:rPr>
            </w:pPr>
          </w:p>
        </w:tc>
        <w:tc>
          <w:tcPr>
            <w:tcW w:w="9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assets and other</w:t>
            </w:r>
          </w:p>
        </w:tc>
        <w:tc>
          <w:tcPr>
            <w:tcW w:w="14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expense</w:t>
            </w:r>
          </w:p>
        </w:tc>
        <w:tc>
          <w:tcPr>
            <w:tcW w:w="16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1,140,687</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(8,923)</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1,131,764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125,429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222,397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0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(12,772)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209,625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27,848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(27,848)</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1,516,361</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(27,848)</w:t>
            </w:r>
          </w:p>
        </w:tc>
        <w:tc>
          <w:tcPr>
            <w:tcW w:w="4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(23,500)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1,465,013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244,538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27,848</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29,434</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4"/>
              </w:rPr>
              <w:t>8,726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211,792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27,848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23,500</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(8,726)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As of</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38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92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short-term interest-bearing investments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1,292,489</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1,424,465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Accounts receivable, net, including unbilled of $103,752 and $134,523, respectively</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732,803</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715,837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taxes receivable</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165,031</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134,865</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2,325,188</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2,423,974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200" w:type="dxa"/>
            <w:vAlign w:val="bottom"/>
            <w:gridSpan w:val="2"/>
          </w:tcPr>
          <w:p>
            <w:pPr>
              <w:spacing w:after="0"/>
              <w:rPr>
                <w:sz w:val="20"/>
                <w:szCs w:val="20"/>
                <w:color w:val="auto"/>
              </w:rPr>
            </w:pPr>
            <w:r>
              <w:rPr>
                <w:rFonts w:ascii="Arial" w:cs="Arial" w:eastAsia="Arial" w:hAnsi="Arial"/>
                <w:sz w:val="18"/>
                <w:szCs w:val="18"/>
                <w:color w:val="auto"/>
              </w:rPr>
              <w:t>Equipment and leasehold improvements, net</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285,402</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288,956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 net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2,085,788</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2,106,452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347,517</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365,895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5,043,895</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5,185,277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Accounts payable, accruals and other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800,848</w:t>
            </w:r>
          </w:p>
        </w:tc>
        <w:tc>
          <w:tcPr>
            <w:tcW w:w="40" w:type="dxa"/>
            <w:vAlign w:val="bottom"/>
          </w:tcPr>
          <w:p>
            <w:pPr>
              <w:spacing w:after="0"/>
              <w:rPr>
                <w:sz w:val="18"/>
                <w:szCs w:val="18"/>
                <w:color w:val="auto"/>
              </w:rPr>
            </w:pP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785,548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Short-term financing arrangements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185,234</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156,743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taxes payable</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63,633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1,049,715</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1,200,747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540,856</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588,694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Shareholders’ equity</w:t>
            </w: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3,453,324</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3,395,836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5,043,895</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5,185,277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5"/>
              </w:rPr>
              <w:t>Six months ended March 31,</w:t>
            </w:r>
          </w:p>
        </w:tc>
      </w:tr>
      <w:tr>
        <w:trPr>
          <w:trHeight w:val="142"/>
        </w:trPr>
        <w:tc>
          <w:tcPr>
            <w:tcW w:w="20" w:type="dxa"/>
            <w:vAlign w:val="bottom"/>
          </w:tcPr>
          <w:p>
            <w:pPr>
              <w:spacing w:after="0"/>
              <w:rPr>
                <w:sz w:val="12"/>
                <w:szCs w:val="12"/>
                <w:color w:val="auto"/>
              </w:rPr>
            </w:pPr>
          </w:p>
        </w:tc>
        <w:tc>
          <w:tcPr>
            <w:tcW w:w="9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247,251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211,792</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83,303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76,739</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Equity-based compensation expense</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23,723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23,500</w:t>
            </w: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(27,260)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9,690</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tax benefit from equity-based compensation</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(438)</w:t>
            </w: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Loss from short-term interest-bearing investments</w:t>
            </w: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679</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(14,623)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(30,503)</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(6,424)</w:t>
            </w: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14,898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(14,867)</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expenses and accrued personnel</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36,041</w:t>
            </w:r>
          </w:p>
        </w:tc>
      </w:tr>
      <w:tr>
        <w:trPr>
          <w:trHeight w:val="216"/>
        </w:trPr>
        <w:tc>
          <w:tcPr>
            <w:tcW w:w="2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18,762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17,529</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18,363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(16,273)</w:t>
            </w:r>
          </w:p>
        </w:tc>
      </w:tr>
      <w:tr>
        <w:trPr>
          <w:trHeight w:val="223"/>
        </w:trPr>
        <w:tc>
          <w:tcPr>
            <w:tcW w:w="20" w:type="dxa"/>
            <w:vAlign w:val="bottom"/>
          </w:tcPr>
          <w:p>
            <w:pPr>
              <w:spacing w:after="0"/>
              <w:rPr>
                <w:sz w:val="19"/>
                <w:szCs w:val="19"/>
                <w:color w:val="auto"/>
              </w:rPr>
            </w:pPr>
          </w:p>
        </w:tc>
        <w:tc>
          <w:tcPr>
            <w:tcW w:w="922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(29,388)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10,088</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343,634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317,553</w:t>
            </w:r>
          </w:p>
        </w:tc>
        <w:tc>
          <w:tcPr>
            <w:tcW w:w="100" w:type="dxa"/>
            <w:vAlign w:val="bottom"/>
            <w:shd w:val="clear" w:color="auto" w:fill="CCEEFF"/>
          </w:tcPr>
          <w:p>
            <w:pPr>
              <w:spacing w:after="0"/>
              <w:rPr>
                <w:sz w:val="18"/>
                <w:szCs w:val="18"/>
                <w:color w:val="auto"/>
              </w:rPr>
            </w:pPr>
          </w:p>
        </w:tc>
      </w:tr>
      <w:tr>
        <w:trPr>
          <w:trHeight w:val="223"/>
        </w:trPr>
        <w:tc>
          <w:tcPr>
            <w:tcW w:w="924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Payments for purchase of equipment and leasehold improvements, net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(59,334)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(51,971)</w:t>
            </w: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123,073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178,462</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interest-bearing investments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(121,585)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(189,691)</w:t>
            </w: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Net cash paid for acquisitions</w:t>
            </w: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(8,099)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(173,643)</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3,151</w:t>
            </w:r>
          </w:p>
        </w:tc>
      </w:tr>
      <w:tr>
        <w:trPr>
          <w:trHeight w:val="230"/>
        </w:trPr>
        <w:tc>
          <w:tcPr>
            <w:tcW w:w="924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(65,436)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(233,692)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Payments under financing arrangements</w:t>
            </w: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(210,000)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(200,000)</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(212,195)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(168,933)</w:t>
            </w: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Proceeds from employee stock options exercised</w:t>
            </w: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58,116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98,327</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Payments of dividends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(48,377)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(41,564)</w:t>
            </w: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Excess tax benefit from equity-based compensation</w:t>
            </w: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3,628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438</w:t>
            </w: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w:t>
            </w:r>
          </w:p>
        </w:tc>
      </w:tr>
      <w:tr>
        <w:trPr>
          <w:trHeight w:val="230"/>
        </w:trPr>
        <w:tc>
          <w:tcPr>
            <w:tcW w:w="924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(408,833)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(312,013)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(130,635)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(228,152)</w:t>
            </w: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1,103,269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1,014,192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972,634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786,040</w:t>
            </w: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Supplementary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center"/>
              <w:ind w:right="380"/>
              <w:spacing w:after="0"/>
              <w:rPr>
                <w:sz w:val="20"/>
                <w:szCs w:val="20"/>
                <w:color w:val="auto"/>
              </w:rPr>
            </w:pPr>
            <w:r>
              <w:rPr>
                <w:rFonts w:ascii="Arial" w:cs="Arial" w:eastAsia="Arial" w:hAnsi="Arial"/>
                <w:sz w:val="14"/>
                <w:szCs w:val="14"/>
                <w:b w:val="1"/>
                <w:bCs w:val="1"/>
                <w:color w:val="auto"/>
                <w:w w:val="91"/>
              </w:rPr>
              <w:t>Three months ended</w:t>
            </w:r>
          </w:p>
        </w:tc>
        <w:tc>
          <w:tcPr>
            <w:tcW w:w="5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240" w:type="dxa"/>
            <w:vAlign w:val="bottom"/>
          </w:tcPr>
          <w:p>
            <w:pPr>
              <w:spacing w:after="0"/>
              <w:rPr>
                <w:sz w:val="10"/>
                <w:szCs w:val="10"/>
                <w:color w:val="auto"/>
              </w:rPr>
            </w:pPr>
          </w:p>
        </w:tc>
        <w:tc>
          <w:tcPr>
            <w:tcW w:w="9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420" w:type="dxa"/>
            <w:vAlign w:val="bottom"/>
          </w:tcPr>
          <w:p>
            <w:pPr>
              <w:spacing w:after="0"/>
              <w:rPr>
                <w:sz w:val="10"/>
                <w:szCs w:val="10"/>
                <w:color w:val="auto"/>
              </w:rPr>
            </w:pPr>
          </w:p>
        </w:tc>
        <w:tc>
          <w:tcPr>
            <w:tcW w:w="13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7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June 30,</w:t>
            </w:r>
          </w:p>
        </w:tc>
        <w:tc>
          <w:tcPr>
            <w:tcW w:w="240" w:type="dxa"/>
            <w:vAlign w:val="bottom"/>
          </w:tcPr>
          <w:p>
            <w:pPr>
              <w:spacing w:after="0"/>
              <w:rPr>
                <w:sz w:val="10"/>
                <w:szCs w:val="10"/>
                <w:color w:val="auto"/>
              </w:rPr>
            </w:pPr>
          </w:p>
        </w:tc>
        <w:tc>
          <w:tcPr>
            <w:tcW w:w="6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60" w:type="dxa"/>
            <w:vAlign w:val="bottom"/>
            <w:tcBorders>
              <w:bottom w:val="single" w:sz="8" w:color="CCEEFF"/>
            </w:tcBorders>
          </w:tcPr>
          <w:p>
            <w:pPr>
              <w:spacing w:after="0"/>
              <w:rPr>
                <w:sz w:val="14"/>
                <w:szCs w:val="14"/>
                <w:color w:val="auto"/>
              </w:rPr>
            </w:pPr>
          </w:p>
        </w:tc>
        <w:tc>
          <w:tcPr>
            <w:tcW w:w="18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659.1</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662.7</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$647.2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Europe</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97.6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106.9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105.3</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114.6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132.3</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18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902.6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906.3</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900.3</w:t>
            </w:r>
          </w:p>
        </w:tc>
        <w:tc>
          <w:tcPr>
            <w:tcW w:w="4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902.5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center"/>
              <w:ind w:right="900"/>
              <w:spacing w:after="0"/>
              <w:rPr>
                <w:sz w:val="20"/>
                <w:szCs w:val="20"/>
                <w:color w:val="auto"/>
              </w:rPr>
            </w:pPr>
            <w:r>
              <w:rPr>
                <w:rFonts w:ascii="Arial" w:cs="Arial" w:eastAsia="Arial" w:hAnsi="Arial"/>
                <w:sz w:val="14"/>
                <w:szCs w:val="14"/>
                <w:b w:val="1"/>
                <w:bCs w:val="1"/>
                <w:color w:val="auto"/>
                <w:w w:val="85"/>
              </w:rPr>
              <w:t>As of</w:t>
            </w:r>
          </w:p>
        </w:tc>
        <w:tc>
          <w:tcPr>
            <w:tcW w:w="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240" w:type="dxa"/>
            <w:vAlign w:val="bottom"/>
          </w:tcPr>
          <w:p>
            <w:pPr>
              <w:spacing w:after="0"/>
              <w:rPr>
                <w:sz w:val="10"/>
                <w:szCs w:val="10"/>
                <w:color w:val="auto"/>
              </w:rPr>
            </w:pPr>
          </w:p>
        </w:tc>
        <w:tc>
          <w:tcPr>
            <w:tcW w:w="9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420" w:type="dxa"/>
            <w:vAlign w:val="bottom"/>
          </w:tcPr>
          <w:p>
            <w:pPr>
              <w:spacing w:after="0"/>
              <w:rPr>
                <w:sz w:val="10"/>
                <w:szCs w:val="10"/>
                <w:color w:val="auto"/>
              </w:rPr>
            </w:pPr>
          </w:p>
        </w:tc>
        <w:tc>
          <w:tcPr>
            <w:tcW w:w="13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7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June 30,</w:t>
            </w:r>
          </w:p>
        </w:tc>
        <w:tc>
          <w:tcPr>
            <w:tcW w:w="240" w:type="dxa"/>
            <w:vAlign w:val="bottom"/>
          </w:tcPr>
          <w:p>
            <w:pPr>
              <w:spacing w:after="0"/>
              <w:rPr>
                <w:sz w:val="10"/>
                <w:szCs w:val="10"/>
                <w:color w:val="auto"/>
              </w:rPr>
            </w:pPr>
          </w:p>
        </w:tc>
        <w:tc>
          <w:tcPr>
            <w:tcW w:w="6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60" w:type="dxa"/>
            <w:vAlign w:val="bottom"/>
            <w:tcBorders>
              <w:bottom w:val="single" w:sz="8" w:color="CCEEFF"/>
            </w:tcBorders>
          </w:tcPr>
          <w:p>
            <w:pPr>
              <w:spacing w:after="0"/>
              <w:rPr>
                <w:sz w:val="14"/>
                <w:szCs w:val="14"/>
                <w:color w:val="auto"/>
              </w:rPr>
            </w:pPr>
          </w:p>
        </w:tc>
        <w:tc>
          <w:tcPr>
            <w:tcW w:w="18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Managed Services Revenue</w:t>
            </w:r>
          </w:p>
        </w:tc>
        <w:tc>
          <w:tcPr>
            <w:tcW w:w="18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467.1</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436.4</w:t>
            </w:r>
          </w:p>
        </w:tc>
        <w:tc>
          <w:tcPr>
            <w:tcW w:w="46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438.0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center"/>
              <w:ind w:right="380"/>
              <w:spacing w:after="0"/>
              <w:rPr>
                <w:sz w:val="20"/>
                <w:szCs w:val="20"/>
                <w:color w:val="auto"/>
              </w:rPr>
            </w:pPr>
            <w:r>
              <w:rPr>
                <w:rFonts w:ascii="Arial" w:cs="Arial" w:eastAsia="Arial" w:hAnsi="Arial"/>
                <w:sz w:val="14"/>
                <w:szCs w:val="14"/>
                <w:b w:val="1"/>
                <w:bCs w:val="1"/>
                <w:color w:val="auto"/>
                <w:w w:val="91"/>
              </w:rPr>
              <w:t>Three months ended</w:t>
            </w:r>
          </w:p>
        </w:tc>
        <w:tc>
          <w:tcPr>
            <w:tcW w:w="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240" w:type="dxa"/>
            <w:vAlign w:val="bottom"/>
          </w:tcPr>
          <w:p>
            <w:pPr>
              <w:spacing w:after="0"/>
              <w:rPr>
                <w:sz w:val="10"/>
                <w:szCs w:val="10"/>
                <w:color w:val="auto"/>
              </w:rPr>
            </w:pPr>
          </w:p>
        </w:tc>
        <w:tc>
          <w:tcPr>
            <w:tcW w:w="9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420" w:type="dxa"/>
            <w:vAlign w:val="bottom"/>
          </w:tcPr>
          <w:p>
            <w:pPr>
              <w:spacing w:after="0"/>
              <w:rPr>
                <w:sz w:val="10"/>
                <w:szCs w:val="10"/>
                <w:color w:val="auto"/>
              </w:rPr>
            </w:pPr>
          </w:p>
        </w:tc>
        <w:tc>
          <w:tcPr>
            <w:tcW w:w="13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7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June 30,</w:t>
            </w:r>
          </w:p>
        </w:tc>
        <w:tc>
          <w:tcPr>
            <w:tcW w:w="240" w:type="dxa"/>
            <w:vAlign w:val="bottom"/>
          </w:tcPr>
          <w:p>
            <w:pPr>
              <w:spacing w:after="0"/>
              <w:rPr>
                <w:sz w:val="10"/>
                <w:szCs w:val="10"/>
                <w:color w:val="auto"/>
              </w:rPr>
            </w:pPr>
          </w:p>
        </w:tc>
        <w:tc>
          <w:tcPr>
            <w:tcW w:w="6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60" w:type="dxa"/>
            <w:vAlign w:val="bottom"/>
            <w:tcBorders>
              <w:bottom w:val="single" w:sz="8" w:color="CCEEFF"/>
            </w:tcBorders>
          </w:tcPr>
          <w:p>
            <w:pPr>
              <w:spacing w:after="0"/>
              <w:rPr>
                <w:sz w:val="14"/>
                <w:szCs w:val="14"/>
                <w:color w:val="auto"/>
              </w:rPr>
            </w:pPr>
          </w:p>
        </w:tc>
        <w:tc>
          <w:tcPr>
            <w:tcW w:w="18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Customer Experience Systems</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882.4</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871.5</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$870.8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Directory</w:t>
            </w: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23.9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28.8</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31.7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980" w:type="dxa"/>
            <w:vAlign w:val="bottom"/>
            <w:gridSpan w:val="2"/>
            <w:shd w:val="clear" w:color="auto" w:fill="CCEEFF"/>
          </w:tcPr>
          <w:p>
            <w:pPr>
              <w:ind w:left="186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902.6</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906.3</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900.3</w:t>
            </w:r>
          </w:p>
        </w:tc>
        <w:tc>
          <w:tcPr>
            <w:tcW w:w="7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902.5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center"/>
              <w:ind w:right="900"/>
              <w:spacing w:after="0"/>
              <w:rPr>
                <w:sz w:val="20"/>
                <w:szCs w:val="20"/>
                <w:color w:val="auto"/>
              </w:rPr>
            </w:pPr>
            <w:r>
              <w:rPr>
                <w:rFonts w:ascii="Arial" w:cs="Arial" w:eastAsia="Arial" w:hAnsi="Arial"/>
                <w:sz w:val="14"/>
                <w:szCs w:val="14"/>
                <w:b w:val="1"/>
                <w:bCs w:val="1"/>
                <w:color w:val="auto"/>
                <w:w w:val="85"/>
              </w:rPr>
              <w:t>As of</w:t>
            </w:r>
          </w:p>
        </w:tc>
        <w:tc>
          <w:tcPr>
            <w:tcW w:w="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240" w:type="dxa"/>
            <w:vAlign w:val="bottom"/>
          </w:tcPr>
          <w:p>
            <w:pPr>
              <w:spacing w:after="0"/>
              <w:rPr>
                <w:sz w:val="10"/>
                <w:szCs w:val="10"/>
                <w:color w:val="auto"/>
              </w:rPr>
            </w:pPr>
          </w:p>
        </w:tc>
        <w:tc>
          <w:tcPr>
            <w:tcW w:w="9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420" w:type="dxa"/>
            <w:vAlign w:val="bottom"/>
          </w:tcPr>
          <w:p>
            <w:pPr>
              <w:spacing w:after="0"/>
              <w:rPr>
                <w:sz w:val="10"/>
                <w:szCs w:val="10"/>
                <w:color w:val="auto"/>
              </w:rPr>
            </w:pPr>
          </w:p>
        </w:tc>
        <w:tc>
          <w:tcPr>
            <w:tcW w:w="13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7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June 30,</w:t>
            </w:r>
          </w:p>
        </w:tc>
        <w:tc>
          <w:tcPr>
            <w:tcW w:w="240" w:type="dxa"/>
            <w:vAlign w:val="bottom"/>
          </w:tcPr>
          <w:p>
            <w:pPr>
              <w:spacing w:after="0"/>
              <w:rPr>
                <w:sz w:val="10"/>
                <w:szCs w:val="10"/>
                <w:color w:val="auto"/>
              </w:rPr>
            </w:pPr>
          </w:p>
        </w:tc>
        <w:tc>
          <w:tcPr>
            <w:tcW w:w="6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60" w:type="dxa"/>
            <w:vAlign w:val="bottom"/>
            <w:tcBorders>
              <w:bottom w:val="single" w:sz="8" w:color="CCEEFF"/>
            </w:tcBorders>
          </w:tcPr>
          <w:p>
            <w:pPr>
              <w:spacing w:after="0"/>
              <w:rPr>
                <w:sz w:val="14"/>
                <w:szCs w:val="14"/>
                <w:color w:val="auto"/>
              </w:rPr>
            </w:pPr>
          </w:p>
        </w:tc>
        <w:tc>
          <w:tcPr>
            <w:tcW w:w="18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12-Month Backlog</w:t>
            </w:r>
          </w:p>
        </w:tc>
        <w:tc>
          <w:tcPr>
            <w:tcW w:w="18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46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2,970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 #</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2019-12-07T04:44:17Z</dcterms:created>
  <dcterms:modified xsi:type="dcterms:W3CDTF">2019-12-07T04:44:17Z</dcterms:modified>
</cp:coreProperties>
</file>