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303" w:lineRule="exact"/>
        <w:rPr>
          <w:sz w:val="24"/>
          <w:szCs w:val="24"/>
          <w:color w:val="auto"/>
        </w:rPr>
      </w:pPr>
    </w:p>
    <w:p>
      <w:pPr>
        <w:ind w:left="4700"/>
        <w:spacing w:after="0"/>
        <w:rPr>
          <w:sz w:val="20"/>
          <w:szCs w:val="20"/>
          <w:color w:val="auto"/>
        </w:rPr>
      </w:pPr>
      <w:r>
        <w:rPr>
          <w:rFonts w:ascii="Arial" w:cs="Arial" w:eastAsia="Arial" w:hAnsi="Arial"/>
          <w:sz w:val="18"/>
          <w:szCs w:val="18"/>
          <w:color w:val="auto"/>
        </w:rPr>
        <w:t>For the month of July, 2008.</w:t>
      </w:r>
    </w:p>
    <w:p>
      <w:pPr>
        <w:spacing w:after="0" w:line="33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 1-14840</w:t>
      </w:r>
    </w:p>
    <w:p>
      <w:pPr>
        <w:spacing w:after="0" w:line="196" w:lineRule="exact"/>
        <w:rPr>
          <w:sz w:val="24"/>
          <w:szCs w:val="24"/>
          <w:color w:val="auto"/>
        </w:rPr>
      </w:pPr>
    </w:p>
    <w:p>
      <w:pPr>
        <w:ind w:left="3740"/>
        <w:spacing w:after="0"/>
        <w:rPr>
          <w:sz w:val="20"/>
          <w:szCs w:val="20"/>
          <w:color w:val="auto"/>
        </w:rPr>
      </w:pPr>
      <w:r>
        <w:rPr>
          <w:rFonts w:ascii="Arial" w:cs="Arial" w:eastAsia="Arial" w:hAnsi="Arial"/>
          <w:sz w:val="43"/>
          <w:szCs w:val="43"/>
          <w:b w:val="1"/>
          <w:bCs w:val="1"/>
          <w:color w:val="auto"/>
        </w:rPr>
        <w:t>AMDOCS LIMITED</w:t>
      </w:r>
    </w:p>
    <w:p>
      <w:pPr>
        <w:spacing w:after="0" w:line="358"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Suite 5, Tower Hill House Le Bordage</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St. Peter Port, Island of Guernsey, GY1 3QT Channel Islands</w:t>
      </w:r>
    </w:p>
    <w:p>
      <w:pPr>
        <w:spacing w:after="0" w:line="31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Amdocs, Inc.</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84" w:lineRule="exact"/>
        <w:rPr>
          <w:sz w:val="24"/>
          <w:szCs w:val="24"/>
          <w:color w:val="auto"/>
        </w:rPr>
      </w:pPr>
    </w:p>
    <w:p>
      <w:pPr>
        <w:ind w:left="4380"/>
        <w:spacing w:after="0" w:line="207" w:lineRule="exact"/>
        <w:tabs>
          <w:tab w:leader="none" w:pos="60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11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0" w:lineRule="exact"/>
        <w:rPr>
          <w:sz w:val="24"/>
          <w:szCs w:val="24"/>
          <w:color w:val="auto"/>
        </w:rPr>
      </w:pPr>
    </w:p>
    <w:p>
      <w:pPr>
        <w:ind w:left="498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591185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522" w:right="1039" w:bottom="1440" w:gutter="0" w:footer="0" w:header="0"/>
        </w:sectPr>
      </w:pPr>
    </w:p>
    <w:bookmarkStart w:id="1" w:name="page2"/>
    <w:bookmarkEnd w:id="1"/>
    <w:p>
      <w:pPr>
        <w:ind w:right="220" w:firstLine="225"/>
        <w:spacing w:after="0" w:line="277" w:lineRule="auto"/>
        <w:rPr>
          <w:sz w:val="20"/>
          <w:szCs w:val="20"/>
          <w:color w:val="auto"/>
        </w:rPr>
      </w:pPr>
      <w:r>
        <w:rPr>
          <w:rFonts w:ascii="Arial" w:cs="Arial" w:eastAsia="Arial" w:hAnsi="Arial"/>
          <w:sz w:val="18"/>
          <w:szCs w:val="18"/>
          <w:color w:val="auto"/>
        </w:rPr>
        <w:t>On July 23, 2008, Amdocs Limited (“Amdocs”) issued a press release announcing financial results for the quarter ended June 30, 2008. A copy of the press release is furnished as Exhibit 99.1 to this Report of Foreign Private Issuer on Form 6-K.</w:t>
      </w:r>
    </w:p>
    <w:p>
      <w:pPr>
        <w:spacing w:after="0" w:line="62"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35" w:right="39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Thomas G. O’Brien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Treasurer and Secretary</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Authorized U.S. Representative</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July 23,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95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20" w:type="dxa"/>
            <w:vAlign w:val="bottom"/>
          </w:tcPr>
          <w:p>
            <w:pPr>
              <w:ind w:left="3260"/>
              <w:spacing w:after="0"/>
              <w:rPr>
                <w:sz w:val="20"/>
                <w:szCs w:val="20"/>
                <w:color w:val="auto"/>
              </w:rPr>
            </w:pPr>
            <w:r>
              <w:rPr>
                <w:rFonts w:ascii="Arial" w:cs="Arial" w:eastAsia="Arial" w:hAnsi="Arial"/>
                <w:sz w:val="18"/>
                <w:szCs w:val="18"/>
                <w:color w:val="auto"/>
              </w:rPr>
              <w:t>EXHIBIT INDEX</w:t>
            </w:r>
          </w:p>
        </w:tc>
      </w:tr>
      <w:tr>
        <w:trPr>
          <w:trHeight w:val="432"/>
        </w:trPr>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EXHIBIT NO.</w:t>
            </w:r>
          </w:p>
        </w:tc>
        <w:tc>
          <w:tcPr>
            <w:tcW w:w="540" w:type="dxa"/>
            <w:vAlign w:val="bottom"/>
          </w:tcPr>
          <w:p>
            <w:pPr>
              <w:spacing w:after="0"/>
              <w:rPr>
                <w:sz w:val="24"/>
                <w:szCs w:val="24"/>
                <w:color w:val="auto"/>
              </w:rPr>
            </w:pPr>
          </w:p>
        </w:tc>
        <w:tc>
          <w:tcPr>
            <w:tcW w:w="9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24"/>
        </w:trPr>
        <w:tc>
          <w:tcPr>
            <w:tcW w:w="1260" w:type="dxa"/>
            <w:vAlign w:val="bottom"/>
          </w:tcPr>
          <w:p>
            <w:pPr>
              <w:jc w:val="right"/>
              <w:ind w:right="370"/>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19"/>
                <w:szCs w:val="19"/>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Amdocs Limited Press Release dated July 23, 2008.</w:t>
            </w:r>
          </w:p>
        </w:tc>
      </w:tr>
    </w:tbl>
    <w:p>
      <w:pPr>
        <w:sectPr>
          <w:pgSz w:w="11900" w:h="16838" w:orient="portrait"/>
          <w:cols w:equalWidth="0" w:num="1">
            <w:col w:w="11420"/>
          </w:cols>
          <w:pgMar w:left="240" w:top="962"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tbl>
      <w:tblPr>
        <w:tblLayout w:type="fixed"/>
        <w:tblInd w:w="0" w:type="dxa"/>
        <w:tblCellMar>
          <w:top w:w="0" w:type="dxa"/>
          <w:left w:w="0" w:type="dxa"/>
          <w:bottom w:w="0" w:type="dxa"/>
          <w:right w:w="0" w:type="dxa"/>
        </w:tblCellMar>
      </w:tblPr>
      <w:tr>
        <w:trPr>
          <w:trHeight w:val="382"/>
        </w:trPr>
        <w:tc>
          <w:tcPr>
            <w:tcW w:w="5780" w:type="dxa"/>
            <w:vAlign w:val="bottom"/>
            <w:vMerge w:val="restart"/>
          </w:tcPr>
          <w:p>
            <w:pPr>
              <w:spacing w:after="0"/>
              <w:rPr>
                <w:sz w:val="20"/>
                <w:szCs w:val="20"/>
                <w:color w:val="auto"/>
              </w:rPr>
            </w:pPr>
            <w:r>
              <w:rPr>
                <w:rFonts w:ascii="Arial" w:cs="Arial" w:eastAsia="Arial" w:hAnsi="Arial"/>
                <w:sz w:val="18"/>
                <w:szCs w:val="18"/>
                <w:color w:val="auto"/>
              </w:rPr>
              <w:t>PRESS RELEASE</w:t>
            </w:r>
          </w:p>
        </w:tc>
        <w:tc>
          <w:tcPr>
            <w:tcW w:w="5640" w:type="dxa"/>
            <w:vAlign w:val="bottom"/>
          </w:tcPr>
          <w:p>
            <w:pPr>
              <w:ind w:left="4280"/>
              <w:spacing w:after="0" w:line="382" w:lineRule="exact"/>
              <w:rPr>
                <w:sz w:val="20"/>
                <w:szCs w:val="20"/>
                <w:color w:val="auto"/>
              </w:rPr>
            </w:pPr>
            <w:r>
              <w:rPr>
                <w:rFonts w:ascii="Arial" w:cs="Arial" w:eastAsia="Arial" w:hAnsi="Arial"/>
                <w:sz w:val="36"/>
                <w:szCs w:val="36"/>
                <w:b w:val="1"/>
                <w:bCs w:val="1"/>
                <w:color w:val="auto"/>
                <w:w w:val="98"/>
              </w:rPr>
              <w:t>amdocs</w:t>
            </w:r>
          </w:p>
        </w:tc>
        <w:tc>
          <w:tcPr>
            <w:tcW w:w="0" w:type="dxa"/>
            <w:vAlign w:val="bottom"/>
          </w:tcPr>
          <w:p>
            <w:pPr>
              <w:spacing w:after="0"/>
              <w:rPr>
                <w:sz w:val="1"/>
                <w:szCs w:val="1"/>
                <w:color w:val="auto"/>
              </w:rPr>
            </w:pPr>
          </w:p>
        </w:tc>
      </w:tr>
      <w:tr>
        <w:trPr>
          <w:trHeight w:val="54"/>
        </w:trPr>
        <w:tc>
          <w:tcPr>
            <w:tcW w:w="5780" w:type="dxa"/>
            <w:vAlign w:val="bottom"/>
            <w:vMerge w:val="continue"/>
          </w:tcPr>
          <w:p>
            <w:pPr>
              <w:spacing w:after="0"/>
              <w:rPr>
                <w:sz w:val="4"/>
                <w:szCs w:val="4"/>
                <w:color w:val="auto"/>
              </w:rPr>
            </w:pPr>
          </w:p>
        </w:tc>
        <w:tc>
          <w:tcPr>
            <w:tcW w:w="56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Growth of 15%</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Reports Record Quarterly Revenue of $820 Million, Exceeding Guidance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Key highlights:</w:t>
      </w:r>
    </w:p>
    <w:p>
      <w:pPr>
        <w:spacing w:after="0" w:line="104" w:lineRule="exact"/>
        <w:rPr>
          <w:sz w:val="20"/>
          <w:szCs w:val="20"/>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revenue increased to $820 million, exceeding guidance of $790-$805 million</w:t>
      </w:r>
    </w:p>
    <w:p>
      <w:pPr>
        <w:spacing w:after="0" w:line="117" w:lineRule="exact"/>
        <w:rPr>
          <w:rFonts w:ascii="Arial" w:cs="Arial" w:eastAsia="Arial" w:hAnsi="Arial"/>
          <w:sz w:val="18"/>
          <w:szCs w:val="18"/>
          <w:b w:val="1"/>
          <w:bCs w:val="1"/>
          <w:color w:val="auto"/>
        </w:rPr>
      </w:pPr>
    </w:p>
    <w:p>
      <w:pPr>
        <w:ind w:left="660" w:right="200" w:hanging="436"/>
        <w:spacing w:after="0" w:line="246"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Third quarter diluted non-GAAP EPS, excluding acquisition-related costs and equity-based compensation expense, net of related tax effects, increased to $0.61, in line with guidance of $0.59-$0.61 diluted non-GAAP EPS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Diluted GAAP EPS of $0.46 for the quarter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Free cash flow of $83 million for the quarter</w:t>
      </w:r>
    </w:p>
    <w:p>
      <w:pPr>
        <w:spacing w:after="0" w:line="117" w:lineRule="exact"/>
        <w:rPr>
          <w:rFonts w:ascii="Arial" w:cs="Arial" w:eastAsia="Arial" w:hAnsi="Arial"/>
          <w:sz w:val="18"/>
          <w:szCs w:val="18"/>
          <w:b w:val="1"/>
          <w:bCs w:val="1"/>
          <w:color w:val="auto"/>
        </w:rPr>
      </w:pPr>
    </w:p>
    <w:p>
      <w:pPr>
        <w:jc w:val="both"/>
        <w:ind w:left="660" w:right="2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Fourth quarter fiscal 2008 guidance: Expected revenue of approximately $825-$835 million and diluted non-GAAP EPS of $0.61-$0.63, excluding acquisition-related costs and approximately $0.06-$0.07 per share of equity-based compensation expense, net of related tax effects. Diluted GAAP EPS is expected to be approximately $0.47-$0.50</w:t>
      </w:r>
    </w:p>
    <w:p>
      <w:pPr>
        <w:spacing w:after="0" w:line="73"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b w:val="1"/>
          <w:bCs w:val="1"/>
          <w:color w:val="auto"/>
        </w:rPr>
        <w:t xml:space="preserve">St. Louis, MO – July 23, 2008 </w:t>
      </w:r>
      <w:r>
        <w:rPr>
          <w:rFonts w:ascii="Arial" w:cs="Arial" w:eastAsia="Arial" w:hAnsi="Arial"/>
          <w:sz w:val="18"/>
          <w:szCs w:val="18"/>
          <w:color w:val="auto"/>
        </w:rPr>
        <w:t>– Amdocs Limited (NYSE: DOX) today reported that for its fiscal third quarter ended June 30, 2008,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was $820.3 million, an increase of 15.2% from last year’s third quarter. Net income on a non-GAAP basis was $132.5 million, or $0.61 per diluted share (excluding acquisition-related costs, which include amortization of purchased intangible assets and in-process research and development write-off, and excluding equity-based compensation expense, net of related tax effects, of $31.8 million), compared to non-GAAP net income of $120.6 million, or $0.54 per diluted share, in the third quarter of fiscal 2007 (excluding acquisition-related costs, which include amortization of purchased intangible assets and equity-based compensation expense, net of related tax effects, of $32.4 million). The Company’s GAAP net income was $100.7 million, or $0.46 per diluted share, compared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366395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right="840"/>
        <w:spacing w:after="0" w:line="246" w:lineRule="auto"/>
        <w:rPr>
          <w:sz w:val="20"/>
          <w:szCs w:val="20"/>
          <w:color w:val="auto"/>
        </w:rPr>
      </w:pPr>
      <w:r>
        <w:rPr>
          <w:rFonts w:ascii="Arial" w:cs="Arial" w:eastAsia="Arial" w:hAnsi="Arial"/>
          <w:sz w:val="18"/>
          <w:szCs w:val="18"/>
          <w:color w:val="auto"/>
        </w:rPr>
        <w:t>to GAAP net income of $ 88.2 million, or $0.40 per diluted share, in the third quarter of fiscal 2007. Free cash flow for the quarter was $83.2 million, comprised of cash flow from operations of $115.1 million less $31.9 million in net capital expenditures and other.</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role as a strategic partner with our customers is translating into excellent business results for Amdocs,” said Dov Baharav, chief executive officer of Amdocs Management Limited. “We continue to provide innovative solutions to solve real-world business needs for the leading service providers around the world. Our unique combination of industry-leading integrated products, services and domain expertise provides us with growth opportunities in areas such as managed services and transformational projects in developed markets and in emerging markets around the world. We continue to see strong demand at this time but there are macro-economic uncertainties which may have an impact on our results in the future. We believe that we are well-positioned for future growth.”</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the third quarter Amdocs had numerous wins across lines of business and geographies. The Company had a win in North America with the Amdocs CES — Qpass 7.5 offering and continues to show momentum in broadband cable and satellite with wins for operational support systems (OSS) and mediation solutions. Amdocs had additional OSS success including a win in Asia Pacific, which builds on a strong existing relationship, and in Europe with Slovak Telecom. Amdocs enjoyed success in emerging markets as Bakcell in Azerbaijan selected Amdocs Compact Convergence Suite and another service provider chose Amdocs CRM.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Amdocs expects that revenue for the fourth quarter of fiscal 2008 will be approximately $825-$835 million. Amdocs expects diluted earnings per share on a non-GAAP basis for the fourth quarter to be $ 0.61-$0.63, excluding acquisition-related costs and approximately $0.06-$0.07 per share of equity-based compensation expense, net of related tax effects. Diluted GAAP EPS is expected to be approximately $0.47-$0.50.</w:t>
      </w:r>
    </w:p>
    <w:p>
      <w:pPr>
        <w:spacing w:after="0" w:line="95"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Amdocs will host a conference call on July 23, 2008 at 5 p.m. Eastern Time to discuss the Company’s third quarter results. The call will be carried live on the Internet 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www.InvestorCalendar.com and the Amdocs website, www.amdocs.com.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This release includes non-GAAP diluted earnings per share and other non-GAAP financial measures, including free cash flow, non-GAAP cost of service, non-GAAP research and development, non-GAAP selling, general and administrative, non-GAAP operating income, non-GAAP income taxes and non-GAAP net income. These non-GAAP measures exclude the following items:</w:t>
      </w:r>
    </w:p>
    <w:p>
      <w:pPr>
        <w:spacing w:after="0" w:line="95"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amortization of purchased intangible assets;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in-process research and development write-off and other;</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restructuring charges;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equity-based compensation expense; and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tax effects related to the above.</w:t>
      </w:r>
    </w:p>
    <w:p>
      <w:pPr>
        <w:spacing w:after="0" w:line="10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non-GAAP cost of service, non-GAAP research and development, non-GAAP selling, general and administrative, non-GAAP operating income, non-GAAP income taxes and non-GAAP net income,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9" w:right="339" w:bottom="1440" w:gutter="0" w:footer="0" w:header="0"/>
        </w:sectPr>
      </w:pPr>
    </w:p>
    <w:bookmarkStart w:id="7" w:name="page8"/>
    <w:bookmarkEnd w:id="7"/>
    <w:p>
      <w:pPr>
        <w:ind w:right="160"/>
        <w:spacing w:after="0" w:line="237" w:lineRule="auto"/>
        <w:rPr>
          <w:sz w:val="20"/>
          <w:szCs w:val="20"/>
          <w:color w:val="auto"/>
        </w:rPr>
      </w:pPr>
      <w:r>
        <w:rPr>
          <w:rFonts w:ascii="Arial" w:cs="Arial" w:eastAsia="Arial" w:hAnsi="Arial"/>
          <w:sz w:val="18"/>
          <w:szCs w:val="18"/>
          <w:color w:val="auto"/>
        </w:rPr>
        <w:t>For its internal budgeting process and in monitoring the results of the business, Amdocs’ management uses financial statements that do not include amortization of purchased intangible assets, in-process research and development write-off and other, restructuring charges,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non-cash expenses in reviewing its results and those of its competitors, because the amounts of the expenses between companies can vary greatly depending on the assumptions used by an individual company in determining the amounts of the expenses.</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income taxes and net income), it is useful to investors to understand how these specific line items in the Consolidated Statements of Income are affected by these adjustments.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Amdocs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Amdocs is the market leader in customer experience systems innovation, enabling world-leading service providers to deliver an integrated, innovative and the intentional customer experience</w:t>
      </w:r>
      <w:r>
        <w:rPr>
          <w:rFonts w:ascii="Arial" w:cs="Arial" w:eastAsia="Arial" w:hAnsi="Arial"/>
          <w:sz w:val="15"/>
          <w:szCs w:val="15"/>
          <w:color w:val="auto"/>
        </w:rPr>
        <w:t>TM</w:t>
      </w:r>
      <w:r>
        <w:rPr>
          <w:rFonts w:ascii="Arial" w:cs="Arial" w:eastAsia="Arial" w:hAnsi="Arial"/>
          <w:sz w:val="18"/>
          <w:szCs w:val="18"/>
          <w:color w:val="auto"/>
        </w:rPr>
        <w:t xml:space="preserve"> – at every point of service. Amdocs provides solutions that deliver customer experience excellence, combining the software, service and expertise to help its customers execute their strategies and achieve service, operational and financial excellence. A global company with revenue of $2.84 billion in fiscal 2007, Amdocs has more than 17,000 employees and serves customers in more than 50 countries around the world. For more information, visit Amdocs at </w:t>
      </w:r>
      <w:r>
        <w:rPr>
          <w:rFonts w:ascii="Arial" w:cs="Arial" w:eastAsia="Arial" w:hAnsi="Arial"/>
          <w:sz w:val="18"/>
          <w:szCs w:val="18"/>
          <w:u w:val="single" w:color="auto"/>
          <w:color w:val="auto"/>
        </w:rPr>
        <w:t>www.amdocs.com.</w:t>
      </w:r>
    </w:p>
    <w:p>
      <w:pPr>
        <w:spacing w:after="0" w:line="9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This press release includes information that constitutes forward-looking statements made pursuant to the safe harbor provision of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49" w:right="31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18"/>
          <w:szCs w:val="18"/>
          <w:color w:val="auto"/>
        </w:rPr>
        <w:t>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2007 filed on December 3, 2007 and on Form 6-K furnished on February 11 and May 6, 2008.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Thomas G. O’Brien</w:t>
      </w:r>
    </w:p>
    <w:p>
      <w:pPr>
        <w:spacing w:after="0" w:line="234" w:lineRule="auto"/>
        <w:rPr>
          <w:sz w:val="20"/>
          <w:szCs w:val="20"/>
          <w:color w:val="auto"/>
        </w:rPr>
      </w:pPr>
      <w:r>
        <w:rPr>
          <w:rFonts w:ascii="Arial" w:cs="Arial" w:eastAsia="Arial" w:hAnsi="Arial"/>
          <w:sz w:val="18"/>
          <w:szCs w:val="18"/>
          <w:color w:val="auto"/>
        </w:rPr>
        <w:t>Treasurer and Vice President of Investor Relations</w:t>
      </w:r>
    </w:p>
    <w:p>
      <w:pPr>
        <w:spacing w:after="0" w:line="235" w:lineRule="auto"/>
        <w:rPr>
          <w:sz w:val="20"/>
          <w:szCs w:val="20"/>
          <w:color w:val="auto"/>
        </w:rPr>
      </w:pPr>
      <w:r>
        <w:rPr>
          <w:rFonts w:ascii="Arial" w:cs="Arial" w:eastAsia="Arial" w:hAnsi="Arial"/>
          <w:sz w:val="18"/>
          <w:szCs w:val="18"/>
          <w:color w:val="auto"/>
        </w:rPr>
        <w:t>Amdocs Limited</w:t>
      </w:r>
    </w:p>
    <w:p>
      <w:pPr>
        <w:spacing w:after="0" w:line="235" w:lineRule="auto"/>
        <w:rPr>
          <w:sz w:val="20"/>
          <w:szCs w:val="20"/>
          <w:color w:val="auto"/>
        </w:rPr>
      </w:pPr>
      <w:r>
        <w:rPr>
          <w:rFonts w:ascii="Arial" w:cs="Arial" w:eastAsia="Arial" w:hAnsi="Arial"/>
          <w:sz w:val="18"/>
          <w:szCs w:val="18"/>
          <w:color w:val="auto"/>
        </w:rPr>
        <w:t>314-212-8328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0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Statements of Income</w:t>
      </w:r>
    </w:p>
    <w:p>
      <w:pPr>
        <w:spacing w:after="0" w:line="104"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9"/>
              </w:rPr>
              <w:t>June 30,</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License</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35,244</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43,821</w:t>
            </w:r>
          </w:p>
        </w:tc>
        <w:tc>
          <w:tcPr>
            <w:tcW w:w="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93,570</w:t>
            </w:r>
          </w:p>
        </w:tc>
        <w:tc>
          <w:tcPr>
            <w:tcW w:w="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113,091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Service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785,044</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668,270</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2,243,249</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1,996,393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820,288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712,091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2,336,819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2,109,484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555</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960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2,267</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528,437</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448,795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9"/>
              </w:rPr>
              <w:t>1,493,134</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1,330,776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56,137</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56,727</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168,240</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104,632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94,445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300,963</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274,895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purchased intangible assets</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22,796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19,175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66,302</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55,785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in-process research and development and</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2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1,780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1,780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6,761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714,337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620,102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2,032,686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1,846,191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105,951</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91,989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304,133</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263,293</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Interest income and other, net</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6,159</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14,290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23,797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112,110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w w:val="98"/>
              </w:rPr>
              <w:t>106,279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327,930</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300,221</w:t>
            </w:r>
          </w:p>
        </w:tc>
        <w:tc>
          <w:tcPr>
            <w:tcW w:w="0" w:type="dxa"/>
            <w:vAlign w:val="bottom"/>
          </w:tcPr>
          <w:p>
            <w:pPr>
              <w:spacing w:after="0"/>
              <w:rPr>
                <w:sz w:val="1"/>
                <w:szCs w:val="1"/>
                <w:color w:val="auto"/>
              </w:rPr>
            </w:pPr>
          </w:p>
        </w:tc>
      </w:tr>
      <w:tr>
        <w:trPr>
          <w:trHeight w:val="405"/>
        </w:trPr>
        <w:tc>
          <w:tcPr>
            <w:tcW w:w="60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11,438</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18,098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31,735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31,527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8"/>
              </w:rPr>
              <w:t>100,672</w:t>
            </w: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88,181</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296,195</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268,694</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earnings per share</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0.49</w:t>
            </w: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rPr>
              <w:t>0.42</w:t>
            </w:r>
          </w:p>
        </w:tc>
        <w:tc>
          <w:tcPr>
            <w:tcW w:w="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1.43</w:t>
            </w:r>
          </w:p>
        </w:tc>
        <w:tc>
          <w:tcPr>
            <w:tcW w:w="20" w:type="dxa"/>
            <w:vAlign w:val="bottom"/>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earnings per share (1)</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0.46</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0.40</w:t>
            </w:r>
          </w:p>
        </w:tc>
        <w:tc>
          <w:tcPr>
            <w:tcW w:w="4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gridSpan w:val="2"/>
          </w:tcPr>
          <w:p>
            <w:pPr>
              <w:spacing w:after="0" w:line="196" w:lineRule="exact"/>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8"/>
              </w:rPr>
              <w:t>206,329</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20"/>
              <w:spacing w:after="0" w:line="196" w:lineRule="exact"/>
              <w:rPr>
                <w:sz w:val="20"/>
                <w:szCs w:val="20"/>
                <w:color w:val="auto"/>
              </w:rPr>
            </w:pPr>
            <w:r>
              <w:rPr>
                <w:rFonts w:ascii="Arial" w:cs="Arial" w:eastAsia="Arial" w:hAnsi="Arial"/>
                <w:sz w:val="18"/>
                <w:szCs w:val="18"/>
                <w:color w:val="auto"/>
                <w:w w:val="98"/>
              </w:rPr>
              <w:t>208,262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207,069</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207,332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8"/>
              </w:rPr>
              <w:t>219,120</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w w:val="98"/>
              </w:rPr>
              <w:t>223,775</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220,315</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222,997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right="4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$985 and $2,955, representing interest expense and amortization of issuance costs, were added back to net income for the three and nine months ended June 30, 2008 and 2007,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5"/>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80" w:type="dxa"/>
            <w:vAlign w:val="bottom"/>
            <w:gridSpan w:val="5"/>
          </w:tcPr>
          <w:p>
            <w:pPr>
              <w:jc w:val="right"/>
              <w:ind w:right="83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June 30,</w:t>
            </w: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2007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5"/>
              </w:rPr>
              <w:t>820,288</w:t>
            </w:r>
          </w:p>
        </w:tc>
        <w:tc>
          <w:tcPr>
            <w:tcW w:w="90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8"/>
              </w:rPr>
              <w:t>712,091</w:t>
            </w:r>
          </w:p>
        </w:tc>
        <w:tc>
          <w:tcPr>
            <w:tcW w:w="7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w w:val="99"/>
              </w:rPr>
              <w:t>2,336,819</w:t>
            </w:r>
          </w:p>
        </w:tc>
        <w:tc>
          <w:tcPr>
            <w:tcW w:w="8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73"/>
              <w:spacing w:after="0" w:line="196" w:lineRule="exact"/>
              <w:rPr>
                <w:sz w:val="20"/>
                <w:szCs w:val="20"/>
                <w:color w:val="auto"/>
              </w:rPr>
            </w:pPr>
            <w:r>
              <w:rPr>
                <w:rFonts w:ascii="Arial" w:cs="Arial" w:eastAsia="Arial" w:hAnsi="Arial"/>
                <w:sz w:val="18"/>
                <w:szCs w:val="18"/>
                <w:color w:val="auto"/>
                <w:w w:val="99"/>
              </w:rPr>
              <w:t>2,109,484</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operating income</w:t>
            </w:r>
          </w:p>
        </w:tc>
        <w:tc>
          <w:tcPr>
            <w:tcW w:w="300" w:type="dxa"/>
            <w:vAlign w:val="bottom"/>
          </w:tcPr>
          <w:p>
            <w:pPr>
              <w:spacing w:after="0"/>
              <w:rPr>
                <w:sz w:val="24"/>
                <w:szCs w:val="24"/>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w w:val="95"/>
              </w:rPr>
              <w:t>146,608</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73"/>
              <w:spacing w:after="0"/>
              <w:rPr>
                <w:sz w:val="20"/>
                <w:szCs w:val="20"/>
                <w:color w:val="auto"/>
              </w:rPr>
            </w:pPr>
            <w:r>
              <w:rPr>
                <w:rFonts w:ascii="Arial" w:cs="Arial" w:eastAsia="Arial" w:hAnsi="Arial"/>
                <w:sz w:val="18"/>
                <w:szCs w:val="18"/>
                <w:color w:val="auto"/>
                <w:w w:val="98"/>
              </w:rPr>
              <w:t>123,843</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415,925</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73"/>
              <w:spacing w:after="0"/>
              <w:rPr>
                <w:sz w:val="20"/>
                <w:szCs w:val="20"/>
                <w:color w:val="auto"/>
              </w:rPr>
            </w:pPr>
            <w:r>
              <w:rPr>
                <w:rFonts w:ascii="Arial" w:cs="Arial" w:eastAsia="Arial" w:hAnsi="Arial"/>
                <w:sz w:val="18"/>
                <w:szCs w:val="18"/>
                <w:color w:val="auto"/>
              </w:rPr>
              <w:t>365,809</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net income</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95"/>
              </w:rPr>
              <w:t>132,463</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120,576</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382,400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353,163</w:t>
            </w:r>
          </w:p>
        </w:tc>
        <w:tc>
          <w:tcPr>
            <w:tcW w:w="0" w:type="dxa"/>
            <w:vAlign w:val="bottom"/>
          </w:tcPr>
          <w:p>
            <w:pPr>
              <w:spacing w:after="0"/>
              <w:rPr>
                <w:sz w:val="1"/>
                <w:szCs w:val="1"/>
                <w:color w:val="auto"/>
              </w:rPr>
            </w:pPr>
          </w:p>
        </w:tc>
      </w:tr>
      <w:tr>
        <w:trPr>
          <w:trHeight w:val="419"/>
        </w:trPr>
        <w:tc>
          <w:tcPr>
            <w:tcW w:w="4960" w:type="dxa"/>
            <w:vAlign w:val="bottom"/>
            <w:gridSpan w:val="2"/>
          </w:tcPr>
          <w:p>
            <w:pPr>
              <w:spacing w:after="0"/>
              <w:rPr>
                <w:sz w:val="20"/>
                <w:szCs w:val="20"/>
                <w:color w:val="auto"/>
              </w:rPr>
            </w:pPr>
            <w:r>
              <w:rPr>
                <w:rFonts w:ascii="Arial" w:cs="Arial" w:eastAsia="Arial" w:hAnsi="Arial"/>
                <w:sz w:val="18"/>
                <w:szCs w:val="18"/>
                <w:color w:val="auto"/>
              </w:rPr>
              <w:t>Non-GAAP diluted earnings per share (1)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0.61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73"/>
              <w:spacing w:after="0"/>
              <w:rPr>
                <w:sz w:val="20"/>
                <w:szCs w:val="20"/>
                <w:color w:val="auto"/>
              </w:rPr>
            </w:pPr>
            <w:r>
              <w:rPr>
                <w:rFonts w:ascii="Arial" w:cs="Arial" w:eastAsia="Arial" w:hAnsi="Arial"/>
                <w:sz w:val="18"/>
                <w:szCs w:val="18"/>
                <w:color w:val="auto"/>
              </w:rPr>
              <w:t>0.54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1.75</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9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4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weighted average number of shares outstanding</w:t>
            </w: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w w:val="95"/>
              </w:rPr>
              <w:t>219,120</w:t>
            </w: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w w:val="98"/>
              </w:rPr>
              <w:t>223,775</w:t>
            </w: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5"/>
              <w:spacing w:after="0" w:line="202" w:lineRule="exact"/>
              <w:rPr>
                <w:sz w:val="20"/>
                <w:szCs w:val="20"/>
                <w:color w:val="auto"/>
              </w:rPr>
            </w:pPr>
            <w:r>
              <w:rPr>
                <w:rFonts w:ascii="Arial" w:cs="Arial" w:eastAsia="Arial" w:hAnsi="Arial"/>
                <w:sz w:val="18"/>
                <w:szCs w:val="18"/>
                <w:color w:val="auto"/>
              </w:rPr>
              <w:t>220,315</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73"/>
              <w:spacing w:after="0" w:line="202" w:lineRule="exact"/>
              <w:rPr>
                <w:sz w:val="20"/>
                <w:szCs w:val="20"/>
                <w:color w:val="auto"/>
              </w:rPr>
            </w:pPr>
            <w:r>
              <w:rPr>
                <w:rFonts w:ascii="Arial" w:cs="Arial" w:eastAsia="Arial" w:hAnsi="Arial"/>
                <w:sz w:val="18"/>
                <w:szCs w:val="18"/>
                <w:color w:val="auto"/>
              </w:rPr>
              <w:t>222,997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4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reflect the impact of assumed conversion of the convertible notes, $985 and $2,955, representing interest expense and amortization of issuance costs, were added back to net income for the three and nine months ended June 30, 2008 and 2007, for the purpose of computing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gridSpan w:val="2"/>
          </w:tcPr>
          <w:p>
            <w:pPr>
              <w:jc w:val="center"/>
              <w:ind w:left="134"/>
              <w:spacing w:after="0"/>
              <w:rPr>
                <w:sz w:val="20"/>
                <w:szCs w:val="20"/>
                <w:color w:val="auto"/>
              </w:rPr>
            </w:pPr>
            <w:r>
              <w:rPr>
                <w:rFonts w:ascii="Arial" w:cs="Arial" w:eastAsia="Arial" w:hAnsi="Arial"/>
                <w:sz w:val="14"/>
                <w:szCs w:val="14"/>
                <w:b w:val="1"/>
                <w:bCs w:val="1"/>
                <w:color w:val="auto"/>
              </w:rPr>
              <w:t>Three months ended</w:t>
            </w: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left="134"/>
              <w:spacing w:after="0"/>
              <w:rPr>
                <w:sz w:val="20"/>
                <w:szCs w:val="20"/>
                <w:color w:val="auto"/>
              </w:rPr>
            </w:pPr>
            <w:r>
              <w:rPr>
                <w:rFonts w:ascii="Arial" w:cs="Arial" w:eastAsia="Arial" w:hAnsi="Arial"/>
                <w:sz w:val="14"/>
                <w:szCs w:val="14"/>
                <w:b w:val="1"/>
                <w:bCs w:val="1"/>
                <w:color w:val="auto"/>
              </w:rPr>
              <w:t>June 30, 2008</w:t>
            </w:r>
          </w:p>
        </w:tc>
        <w:tc>
          <w:tcPr>
            <w:tcW w:w="10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left="114"/>
              <w:spacing w:after="0" w:line="155" w:lineRule="exact"/>
              <w:rPr>
                <w:sz w:val="20"/>
                <w:szCs w:val="20"/>
                <w:color w:val="auto"/>
              </w:rPr>
            </w:pPr>
            <w:r>
              <w:rPr>
                <w:rFonts w:ascii="Arial" w:cs="Arial" w:eastAsia="Arial" w:hAnsi="Arial"/>
                <w:sz w:val="14"/>
                <w:szCs w:val="14"/>
                <w:b w:val="1"/>
                <w:bCs w:val="1"/>
                <w:color w:val="auto"/>
              </w:rPr>
              <w:t>Reconciliation items</w:t>
            </w: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0" w:type="dxa"/>
            <w:vAlign w:val="bottom"/>
            <w:gridSpan w:val="2"/>
          </w:tcPr>
          <w:p>
            <w:pPr>
              <w:jc w:val="center"/>
              <w:ind w:left="137"/>
              <w:spacing w:after="0" w:line="143" w:lineRule="exact"/>
              <w:rPr>
                <w:sz w:val="20"/>
                <w:szCs w:val="20"/>
                <w:color w:val="auto"/>
              </w:rPr>
            </w:pPr>
            <w:r>
              <w:rPr>
                <w:rFonts w:ascii="Arial" w:cs="Arial" w:eastAsia="Arial" w:hAnsi="Arial"/>
                <w:sz w:val="14"/>
                <w:szCs w:val="14"/>
                <w:b w:val="1"/>
                <w:bCs w:val="1"/>
                <w:color w:val="auto"/>
              </w:rPr>
              <w:t>Restructuring</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rPr>
              <w:t>charges,</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4"/>
                <w:szCs w:val="14"/>
                <w:color w:val="auto"/>
              </w:rPr>
            </w:pPr>
          </w:p>
        </w:tc>
        <w:tc>
          <w:tcPr>
            <w:tcW w:w="120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rPr>
              <w:t>in-process</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of purchased</w:t>
            </w:r>
          </w:p>
        </w:tc>
        <w:tc>
          <w:tcPr>
            <w:tcW w:w="400" w:type="dxa"/>
            <w:vAlign w:val="bottom"/>
          </w:tcPr>
          <w:p>
            <w:pPr>
              <w:spacing w:after="0"/>
              <w:rPr>
                <w:sz w:val="14"/>
                <w:szCs w:val="14"/>
                <w:color w:val="auto"/>
              </w:rPr>
            </w:pPr>
          </w:p>
        </w:tc>
        <w:tc>
          <w:tcPr>
            <w:tcW w:w="1200" w:type="dxa"/>
            <w:vAlign w:val="bottom"/>
            <w:gridSpan w:val="2"/>
          </w:tcPr>
          <w:p>
            <w:pPr>
              <w:jc w:val="center"/>
              <w:ind w:left="137"/>
              <w:spacing w:after="0"/>
              <w:rPr>
                <w:sz w:val="20"/>
                <w:szCs w:val="20"/>
                <w:color w:val="auto"/>
              </w:rPr>
            </w:pPr>
            <w:r>
              <w:rPr>
                <w:rFonts w:ascii="Arial" w:cs="Arial" w:eastAsia="Arial" w:hAnsi="Arial"/>
                <w:sz w:val="14"/>
                <w:szCs w:val="14"/>
                <w:b w:val="1"/>
                <w:bCs w:val="1"/>
                <w:color w:val="auto"/>
              </w:rPr>
              <w:t>research and</w:t>
            </w:r>
          </w:p>
        </w:tc>
        <w:tc>
          <w:tcPr>
            <w:tcW w:w="194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rPr>
              <w:t>Equity based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2"/>
          </w:tcPr>
          <w:p>
            <w:pPr>
              <w:jc w:val="center"/>
              <w:ind w:left="88"/>
              <w:spacing w:after="0"/>
              <w:rPr>
                <w:sz w:val="20"/>
                <w:szCs w:val="20"/>
                <w:color w:val="auto"/>
              </w:rPr>
            </w:pPr>
            <w:r>
              <w:rPr>
                <w:rFonts w:ascii="Arial" w:cs="Arial" w:eastAsia="Arial" w:hAnsi="Arial"/>
                <w:sz w:val="14"/>
                <w:szCs w:val="14"/>
                <w:b w:val="1"/>
                <w:bCs w:val="1"/>
                <w:color w:val="auto"/>
              </w:rPr>
              <w:t>intangible</w:t>
            </w:r>
          </w:p>
        </w:tc>
        <w:tc>
          <w:tcPr>
            <w:tcW w:w="400" w:type="dxa"/>
            <w:vAlign w:val="bottom"/>
          </w:tcPr>
          <w:p>
            <w:pPr>
              <w:spacing w:after="0"/>
              <w:rPr>
                <w:sz w:val="14"/>
                <w:szCs w:val="14"/>
                <w:color w:val="auto"/>
              </w:rPr>
            </w:pPr>
          </w:p>
        </w:tc>
        <w:tc>
          <w:tcPr>
            <w:tcW w:w="1200" w:type="dxa"/>
            <w:vAlign w:val="bottom"/>
            <w:gridSpan w:val="2"/>
          </w:tcPr>
          <w:p>
            <w:pPr>
              <w:jc w:val="center"/>
              <w:ind w:left="157"/>
              <w:spacing w:after="0"/>
              <w:rPr>
                <w:sz w:val="20"/>
                <w:szCs w:val="20"/>
                <w:color w:val="auto"/>
              </w:rPr>
            </w:pPr>
            <w:r>
              <w:rPr>
                <w:rFonts w:ascii="Arial" w:cs="Arial" w:eastAsia="Arial" w:hAnsi="Arial"/>
                <w:sz w:val="14"/>
                <w:szCs w:val="14"/>
                <w:b w:val="1"/>
                <w:bCs w:val="1"/>
                <w:color w:val="auto"/>
              </w:rPr>
              <w:t>development</w:t>
            </w:r>
          </w:p>
        </w:tc>
        <w:tc>
          <w:tcPr>
            <w:tcW w:w="194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rPr>
              <w:t>compensation</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GAAP</w:t>
            </w: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rPr>
              <w:t>assets</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left="137"/>
              <w:spacing w:after="0"/>
              <w:rPr>
                <w:sz w:val="20"/>
                <w:szCs w:val="20"/>
                <w:color w:val="auto"/>
              </w:rPr>
            </w:pPr>
            <w:r>
              <w:rPr>
                <w:rFonts w:ascii="Arial" w:cs="Arial" w:eastAsia="Arial" w:hAnsi="Arial"/>
                <w:sz w:val="14"/>
                <w:szCs w:val="14"/>
                <w:b w:val="1"/>
                <w:bCs w:val="1"/>
                <w:color w:val="auto"/>
              </w:rPr>
              <w:t>and other</w:t>
            </w:r>
          </w:p>
        </w:tc>
        <w:tc>
          <w:tcPr>
            <w:tcW w:w="9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b w:val="1"/>
                <w:bCs w:val="1"/>
                <w:color w:val="auto"/>
              </w:rPr>
              <w:t>expense</w:t>
            </w:r>
          </w:p>
        </w:tc>
        <w:tc>
          <w:tcPr>
            <w:tcW w:w="12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Tax effect</w:t>
            </w:r>
          </w:p>
        </w:tc>
        <w:tc>
          <w:tcPr>
            <w:tcW w:w="14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555</w:t>
            </w:r>
          </w:p>
        </w:tc>
        <w:tc>
          <w:tcPr>
            <w:tcW w:w="260" w:type="dxa"/>
            <w:vAlign w:val="bottom"/>
          </w:tcPr>
          <w:p>
            <w:pPr>
              <w:spacing w:after="0"/>
              <w:rPr>
                <w:sz w:val="17"/>
                <w:szCs w:val="17"/>
                <w:color w:val="auto"/>
              </w:rPr>
            </w:pPr>
          </w:p>
        </w:tc>
        <w:tc>
          <w:tcPr>
            <w:tcW w:w="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51"/>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ind w:left="44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555</w:t>
            </w: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528,437</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1"/>
              <w:spacing w:after="0" w:line="202" w:lineRule="exact"/>
              <w:rPr>
                <w:sz w:val="20"/>
                <w:szCs w:val="20"/>
                <w:color w:val="auto"/>
              </w:rPr>
            </w:pPr>
            <w:r>
              <w:rPr>
                <w:rFonts w:ascii="Arial" w:cs="Arial" w:eastAsia="Arial" w:hAnsi="Arial"/>
                <w:sz w:val="18"/>
                <w:szCs w:val="18"/>
                <w:color w:val="auto"/>
              </w:rPr>
              <w:t>(5,998)</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8"/>
              </w:rPr>
              <w:t>522,439</w:t>
            </w: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40" w:type="dxa"/>
            <w:vAlign w:val="bottom"/>
          </w:tcPr>
          <w:p>
            <w:pPr>
              <w:spacing w:after="0"/>
              <w:rPr>
                <w:sz w:val="17"/>
                <w:szCs w:val="17"/>
                <w:color w:val="auto"/>
              </w:rPr>
            </w:pPr>
          </w:p>
        </w:tc>
        <w:tc>
          <w:tcPr>
            <w:tcW w:w="86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56,137</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134"/>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040" w:type="dxa"/>
            <w:vAlign w:val="bottom"/>
          </w:tcPr>
          <w:p>
            <w:pPr>
              <w:jc w:val="right"/>
              <w:ind w:right="291"/>
              <w:spacing w:after="0" w:line="203" w:lineRule="exact"/>
              <w:rPr>
                <w:sz w:val="20"/>
                <w:szCs w:val="20"/>
                <w:color w:val="auto"/>
              </w:rPr>
            </w:pPr>
            <w:r>
              <w:rPr>
                <w:rFonts w:ascii="Arial" w:cs="Arial" w:eastAsia="Arial" w:hAnsi="Arial"/>
                <w:sz w:val="18"/>
                <w:szCs w:val="18"/>
                <w:color w:val="auto"/>
              </w:rPr>
              <w:t>(1,104)</w:t>
            </w:r>
          </w:p>
        </w:tc>
        <w:tc>
          <w:tcPr>
            <w:tcW w:w="560" w:type="dxa"/>
            <w:vAlign w:val="bottom"/>
          </w:tcPr>
          <w:p>
            <w:pPr>
              <w:spacing w:after="0"/>
              <w:rPr>
                <w:sz w:val="17"/>
                <w:szCs w:val="17"/>
                <w:color w:val="auto"/>
              </w:rPr>
            </w:pPr>
          </w:p>
        </w:tc>
        <w:tc>
          <w:tcPr>
            <w:tcW w:w="6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55,033</w:t>
            </w: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w w:val="98"/>
              </w:rPr>
              <w:t>104,632</w:t>
            </w: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34"/>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291"/>
              <w:spacing w:after="0" w:line="203" w:lineRule="exact"/>
              <w:rPr>
                <w:sz w:val="20"/>
                <w:szCs w:val="20"/>
                <w:color w:val="auto"/>
              </w:rPr>
            </w:pPr>
            <w:r>
              <w:rPr>
                <w:rFonts w:ascii="Arial" w:cs="Arial" w:eastAsia="Arial" w:hAnsi="Arial"/>
                <w:sz w:val="18"/>
                <w:szCs w:val="18"/>
                <w:color w:val="auto"/>
              </w:rPr>
              <w:t>(8,979)</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95,653</w:t>
            </w:r>
          </w:p>
        </w:tc>
      </w:tr>
      <w:tr>
        <w:trPr>
          <w:trHeight w:val="202"/>
        </w:trPr>
        <w:tc>
          <w:tcPr>
            <w:tcW w:w="20" w:type="dxa"/>
            <w:vAlign w:val="bottom"/>
          </w:tcPr>
          <w:p>
            <w:pPr>
              <w:spacing w:after="0"/>
              <w:rPr>
                <w:sz w:val="17"/>
                <w:szCs w:val="17"/>
                <w:color w:val="auto"/>
              </w:rPr>
            </w:pPr>
          </w:p>
        </w:tc>
        <w:tc>
          <w:tcPr>
            <w:tcW w:w="26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 purchased</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400"/>
              <w:spacing w:after="0" w:line="203" w:lineRule="exact"/>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7"/>
                <w:szCs w:val="17"/>
                <w:color w:val="auto"/>
              </w:rPr>
            </w:pPr>
          </w:p>
        </w:tc>
        <w:tc>
          <w:tcPr>
            <w:tcW w:w="860" w:type="dxa"/>
            <w:vAlign w:val="bottom"/>
          </w:tcPr>
          <w:p>
            <w:pPr>
              <w:jc w:val="right"/>
              <w:ind w:right="112"/>
              <w:spacing w:after="0" w:line="203" w:lineRule="exact"/>
              <w:rPr>
                <w:sz w:val="20"/>
                <w:szCs w:val="20"/>
                <w:color w:val="auto"/>
              </w:rPr>
            </w:pPr>
            <w:r>
              <w:rPr>
                <w:rFonts w:ascii="Arial" w:cs="Arial" w:eastAsia="Arial" w:hAnsi="Arial"/>
                <w:sz w:val="18"/>
                <w:szCs w:val="18"/>
                <w:color w:val="auto"/>
              </w:rPr>
              <w:t>22,796</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ind w:right="52"/>
              <w:spacing w:after="0" w:line="203" w:lineRule="exact"/>
              <w:rPr>
                <w:sz w:val="20"/>
                <w:szCs w:val="20"/>
                <w:color w:val="auto"/>
              </w:rPr>
            </w:pPr>
            <w:r>
              <w:rPr>
                <w:rFonts w:ascii="Arial" w:cs="Arial" w:eastAsia="Arial" w:hAnsi="Arial"/>
                <w:sz w:val="18"/>
                <w:szCs w:val="18"/>
                <w:color w:val="auto"/>
                <w:w w:val="98"/>
              </w:rPr>
              <w:t>(22,796)</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jc w:val="right"/>
              <w:ind w:right="134"/>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040" w:type="dxa"/>
            <w:vAlign w:val="bottom"/>
          </w:tcPr>
          <w:p>
            <w:pPr>
              <w:jc w:val="right"/>
              <w:ind w:right="351"/>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6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6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 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process research and</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development and other</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1,780</w:t>
            </w:r>
          </w:p>
        </w:tc>
        <w:tc>
          <w:tcPr>
            <w:tcW w:w="2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2"/>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74"/>
              <w:spacing w:after="0" w:line="203" w:lineRule="exact"/>
              <w:rPr>
                <w:sz w:val="20"/>
                <w:szCs w:val="20"/>
                <w:color w:val="auto"/>
              </w:rPr>
            </w:pPr>
            <w:r>
              <w:rPr>
                <w:rFonts w:ascii="Arial" w:cs="Arial" w:eastAsia="Arial" w:hAnsi="Arial"/>
                <w:sz w:val="18"/>
                <w:szCs w:val="18"/>
                <w:color w:val="auto"/>
                <w:w w:val="98"/>
              </w:rPr>
              <w:t>(1,780)</w:t>
            </w:r>
          </w:p>
        </w:tc>
        <w:tc>
          <w:tcPr>
            <w:tcW w:w="9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1"/>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w:t>
            </w: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8"/>
              </w:rPr>
              <w:t>714,337</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8"/>
              </w:rPr>
              <w:t>(22,796)</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98"/>
              </w:rPr>
              <w:t>(1,780)</w:t>
            </w: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w w:val="95"/>
              </w:rPr>
              <w:t>(16,081)</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8"/>
              </w:rPr>
              <w:t>673,680</w:t>
            </w:r>
          </w:p>
        </w:tc>
      </w:tr>
      <w:tr>
        <w:trPr>
          <w:trHeight w:val="217"/>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105,951</w:t>
            </w:r>
          </w:p>
        </w:tc>
        <w:tc>
          <w:tcPr>
            <w:tcW w:w="2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22,796</w:t>
            </w:r>
          </w:p>
        </w:tc>
        <w:tc>
          <w:tcPr>
            <w:tcW w:w="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1,780</w:t>
            </w:r>
          </w:p>
        </w:tc>
        <w:tc>
          <w:tcPr>
            <w:tcW w:w="9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16,081</w:t>
            </w:r>
          </w:p>
        </w:tc>
        <w:tc>
          <w:tcPr>
            <w:tcW w:w="5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w w:val="98"/>
              </w:rPr>
              <w:t>146,608</w:t>
            </w:r>
          </w:p>
        </w:tc>
      </w:tr>
      <w:tr>
        <w:trPr>
          <w:trHeight w:val="210"/>
        </w:trPr>
        <w:tc>
          <w:tcPr>
            <w:tcW w:w="2620" w:type="dxa"/>
            <w:vAlign w:val="bottom"/>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11,438</w:t>
            </w: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8,866</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20,304</w:t>
            </w:r>
          </w:p>
        </w:tc>
      </w:tr>
      <w:tr>
        <w:trPr>
          <w:trHeight w:val="217"/>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8"/>
              </w:rPr>
              <w:t>100,672</w:t>
            </w:r>
          </w:p>
        </w:tc>
        <w:tc>
          <w:tcPr>
            <w:tcW w:w="26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22,796</w:t>
            </w:r>
          </w:p>
        </w:tc>
        <w:tc>
          <w:tcPr>
            <w:tcW w:w="4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34"/>
              <w:spacing w:after="0" w:line="202" w:lineRule="exact"/>
              <w:rPr>
                <w:sz w:val="20"/>
                <w:szCs w:val="20"/>
                <w:color w:val="auto"/>
              </w:rPr>
            </w:pPr>
            <w:r>
              <w:rPr>
                <w:rFonts w:ascii="Arial" w:cs="Arial" w:eastAsia="Arial" w:hAnsi="Arial"/>
                <w:sz w:val="18"/>
                <w:szCs w:val="18"/>
                <w:color w:val="auto"/>
              </w:rPr>
              <w:t>1,780</w:t>
            </w:r>
          </w:p>
        </w:tc>
        <w:tc>
          <w:tcPr>
            <w:tcW w:w="1940" w:type="dxa"/>
            <w:vAlign w:val="bottom"/>
            <w:tcBorders>
              <w:bottom w:val="single" w:sz="8" w:color="auto"/>
            </w:tcBorders>
            <w:gridSpan w:val="2"/>
            <w:shd w:val="clear" w:color="auto" w:fill="CCEEFF"/>
          </w:tcPr>
          <w:p>
            <w:pPr>
              <w:jc w:val="right"/>
              <w:ind w:right="351"/>
              <w:spacing w:after="0" w:line="202" w:lineRule="exact"/>
              <w:rPr>
                <w:sz w:val="20"/>
                <w:szCs w:val="20"/>
                <w:color w:val="auto"/>
              </w:rPr>
            </w:pPr>
            <w:r>
              <w:rPr>
                <w:rFonts w:ascii="Arial" w:cs="Arial" w:eastAsia="Arial" w:hAnsi="Arial"/>
                <w:sz w:val="18"/>
                <w:szCs w:val="18"/>
                <w:color w:val="auto"/>
              </w:rPr>
              <w:t>$ 16,081</w:t>
            </w:r>
          </w:p>
        </w:tc>
        <w:tc>
          <w:tcPr>
            <w:tcW w:w="110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$(8,866)</w:t>
            </w:r>
          </w:p>
        </w:tc>
        <w:tc>
          <w:tcPr>
            <w:tcW w:w="1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gridSpan w:val="2"/>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$132,463</w:t>
            </w:r>
          </w:p>
        </w:tc>
      </w:tr>
      <w:tr>
        <w:trPr>
          <w:trHeight w:val="358"/>
        </w:trPr>
        <w:tc>
          <w:tcPr>
            <w:tcW w:w="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40" w:type="dxa"/>
            <w:vAlign w:val="bottom"/>
            <w:gridSpan w:val="2"/>
          </w:tcPr>
          <w:p>
            <w:pPr>
              <w:jc w:val="center"/>
              <w:ind w:right="391"/>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5"/>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ind w:right="391"/>
              <w:spacing w:after="0"/>
              <w:rPr>
                <w:sz w:val="20"/>
                <w:szCs w:val="20"/>
                <w:color w:val="auto"/>
              </w:rPr>
            </w:pPr>
            <w:r>
              <w:rPr>
                <w:rFonts w:ascii="Arial" w:cs="Arial" w:eastAsia="Arial" w:hAnsi="Arial"/>
                <w:sz w:val="14"/>
                <w:szCs w:val="14"/>
                <w:b w:val="1"/>
                <w:bCs w:val="1"/>
                <w:color w:val="auto"/>
              </w:rPr>
              <w:t>June 30, 2007</w:t>
            </w:r>
          </w:p>
        </w:tc>
        <w:tc>
          <w:tcPr>
            <w:tcW w:w="5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jc w:val="center"/>
              <w:ind w:right="411"/>
              <w:spacing w:after="0" w:line="155" w:lineRule="exact"/>
              <w:rPr>
                <w:sz w:val="20"/>
                <w:szCs w:val="20"/>
                <w:color w:val="auto"/>
              </w:rPr>
            </w:pPr>
            <w:r>
              <w:rPr>
                <w:rFonts w:ascii="Arial" w:cs="Arial" w:eastAsia="Arial" w:hAnsi="Arial"/>
                <w:sz w:val="14"/>
                <w:szCs w:val="14"/>
                <w:b w:val="1"/>
                <w:bCs w:val="1"/>
                <w:color w:val="auto"/>
              </w:rPr>
              <w:t>Reconciliation items</w:t>
            </w:r>
          </w:p>
        </w:tc>
        <w:tc>
          <w:tcPr>
            <w:tcW w:w="5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0" w:type="dxa"/>
            <w:vAlign w:val="bottom"/>
            <w:gridSpan w:val="3"/>
          </w:tcPr>
          <w:p>
            <w:pPr>
              <w:jc w:val="center"/>
              <w:ind w:right="114"/>
              <w:spacing w:after="0" w:line="143" w:lineRule="exact"/>
              <w:rPr>
                <w:sz w:val="20"/>
                <w:szCs w:val="20"/>
                <w:color w:val="auto"/>
              </w:rPr>
            </w:pPr>
            <w:r>
              <w:rPr>
                <w:rFonts w:ascii="Arial" w:cs="Arial" w:eastAsia="Arial" w:hAnsi="Arial"/>
                <w:sz w:val="14"/>
                <w:szCs w:val="14"/>
                <w:b w:val="1"/>
                <w:bCs w:val="1"/>
                <w:color w:val="auto"/>
              </w:rPr>
              <w:t>Amortization</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3"/>
          </w:tcPr>
          <w:p>
            <w:pPr>
              <w:jc w:val="center"/>
              <w:ind w:right="134"/>
              <w:spacing w:after="0"/>
              <w:rPr>
                <w:sz w:val="20"/>
                <w:szCs w:val="20"/>
                <w:color w:val="auto"/>
              </w:rPr>
            </w:pPr>
            <w:r>
              <w:rPr>
                <w:rFonts w:ascii="Arial" w:cs="Arial" w:eastAsia="Arial" w:hAnsi="Arial"/>
                <w:sz w:val="14"/>
                <w:szCs w:val="14"/>
                <w:b w:val="1"/>
                <w:bCs w:val="1"/>
                <w:color w:val="auto"/>
              </w:rPr>
              <w:t>of purchased</w:t>
            </w:r>
          </w:p>
        </w:tc>
        <w:tc>
          <w:tcPr>
            <w:tcW w:w="1940" w:type="dxa"/>
            <w:vAlign w:val="bottom"/>
            <w:gridSpan w:val="2"/>
          </w:tcPr>
          <w:p>
            <w:pPr>
              <w:jc w:val="center"/>
              <w:ind w:right="31"/>
              <w:spacing w:after="0"/>
              <w:rPr>
                <w:sz w:val="20"/>
                <w:szCs w:val="20"/>
                <w:color w:val="auto"/>
              </w:rPr>
            </w:pPr>
            <w:r>
              <w:rPr>
                <w:rFonts w:ascii="Arial" w:cs="Arial" w:eastAsia="Arial" w:hAnsi="Arial"/>
                <w:sz w:val="14"/>
                <w:szCs w:val="14"/>
                <w:b w:val="1"/>
                <w:bCs w:val="1"/>
                <w:color w:val="auto"/>
              </w:rPr>
              <w:t>Equity based</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0" w:type="dxa"/>
            <w:vAlign w:val="bottom"/>
            <w:gridSpan w:val="3"/>
          </w:tcPr>
          <w:p>
            <w:pPr>
              <w:jc w:val="center"/>
              <w:ind w:right="114"/>
              <w:spacing w:after="0"/>
              <w:rPr>
                <w:sz w:val="20"/>
                <w:szCs w:val="20"/>
                <w:color w:val="auto"/>
              </w:rPr>
            </w:pPr>
            <w:r>
              <w:rPr>
                <w:rFonts w:ascii="Arial" w:cs="Arial" w:eastAsia="Arial" w:hAnsi="Arial"/>
                <w:sz w:val="14"/>
                <w:szCs w:val="14"/>
                <w:b w:val="1"/>
                <w:bCs w:val="1"/>
                <w:color w:val="auto"/>
              </w:rPr>
              <w:t>intangible</w:t>
            </w:r>
          </w:p>
        </w:tc>
        <w:tc>
          <w:tcPr>
            <w:tcW w:w="194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rPr>
              <w:t>Compensation</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652"/>
              <w:spacing w:after="0"/>
              <w:rPr>
                <w:sz w:val="20"/>
                <w:szCs w:val="20"/>
                <w:color w:val="auto"/>
              </w:rPr>
            </w:pPr>
            <w:r>
              <w:rPr>
                <w:rFonts w:ascii="Arial" w:cs="Arial" w:eastAsia="Arial" w:hAnsi="Arial"/>
                <w:sz w:val="14"/>
                <w:szCs w:val="14"/>
                <w:b w:val="1"/>
                <w:bCs w:val="1"/>
                <w:color w:val="auto"/>
              </w:rPr>
              <w:t>GAAP</w:t>
            </w:r>
          </w:p>
        </w:tc>
        <w:tc>
          <w:tcPr>
            <w:tcW w:w="4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514"/>
              <w:spacing w:after="0"/>
              <w:rPr>
                <w:sz w:val="20"/>
                <w:szCs w:val="20"/>
                <w:color w:val="auto"/>
              </w:rPr>
            </w:pPr>
            <w:r>
              <w:rPr>
                <w:rFonts w:ascii="Arial" w:cs="Arial" w:eastAsia="Arial" w:hAnsi="Arial"/>
                <w:sz w:val="14"/>
                <w:szCs w:val="14"/>
                <w:b w:val="1"/>
                <w:bCs w:val="1"/>
                <w:color w:val="auto"/>
              </w:rPr>
              <w:t>assets</w:t>
            </w:r>
          </w:p>
        </w:tc>
        <w:tc>
          <w:tcPr>
            <w:tcW w:w="194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4"/>
                <w:szCs w:val="14"/>
                <w:b w:val="1"/>
                <w:bCs w:val="1"/>
                <w:color w:val="auto"/>
              </w:rPr>
              <w:t>expense</w:t>
            </w:r>
          </w:p>
        </w:tc>
        <w:tc>
          <w:tcPr>
            <w:tcW w:w="12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Tax effect</w:t>
            </w:r>
          </w:p>
        </w:tc>
        <w:tc>
          <w:tcPr>
            <w:tcW w:w="140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6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512"/>
              <w:spacing w:after="0" w:line="202" w:lineRule="exact"/>
              <w:rPr>
                <w:sz w:val="20"/>
                <w:szCs w:val="20"/>
                <w:color w:val="auto"/>
              </w:rPr>
            </w:pPr>
            <w:r>
              <w:rPr>
                <w:rFonts w:ascii="Arial" w:cs="Arial" w:eastAsia="Arial" w:hAnsi="Arial"/>
                <w:sz w:val="18"/>
                <w:szCs w:val="18"/>
                <w:color w:val="auto"/>
              </w:rPr>
              <w:t>960</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14"/>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218"/>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631"/>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960</w:t>
            </w: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w w:val="98"/>
              </w:rPr>
              <w:t>448,795</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(6,587)</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442,208</w:t>
            </w:r>
          </w:p>
        </w:tc>
      </w:tr>
      <w:tr>
        <w:trPr>
          <w:trHeight w:val="203"/>
        </w:trPr>
        <w:tc>
          <w:tcPr>
            <w:tcW w:w="20" w:type="dxa"/>
            <w:vAlign w:val="bottom"/>
          </w:tcPr>
          <w:p>
            <w:pPr>
              <w:spacing w:after="0"/>
              <w:rPr>
                <w:sz w:val="17"/>
                <w:szCs w:val="17"/>
                <w:color w:val="auto"/>
              </w:rPr>
            </w:pPr>
          </w:p>
        </w:tc>
        <w:tc>
          <w:tcPr>
            <w:tcW w:w="26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right"/>
              <w:ind w:right="512"/>
              <w:spacing w:after="0" w:line="202" w:lineRule="exact"/>
              <w:rPr>
                <w:sz w:val="20"/>
                <w:szCs w:val="20"/>
                <w:color w:val="auto"/>
              </w:rPr>
            </w:pPr>
            <w:r>
              <w:rPr>
                <w:rFonts w:ascii="Arial" w:cs="Arial" w:eastAsia="Arial" w:hAnsi="Arial"/>
                <w:sz w:val="18"/>
                <w:szCs w:val="18"/>
                <w:color w:val="auto"/>
              </w:rPr>
              <w:t>56,727</w:t>
            </w:r>
          </w:p>
        </w:tc>
        <w:tc>
          <w:tcPr>
            <w:tcW w:w="400" w:type="dxa"/>
            <w:vAlign w:val="bottom"/>
          </w:tcPr>
          <w:p>
            <w:pPr>
              <w:spacing w:after="0"/>
              <w:rPr>
                <w:sz w:val="17"/>
                <w:szCs w:val="17"/>
                <w:color w:val="auto"/>
              </w:rPr>
            </w:pPr>
          </w:p>
        </w:tc>
        <w:tc>
          <w:tcPr>
            <w:tcW w:w="1200" w:type="dxa"/>
            <w:vAlign w:val="bottom"/>
            <w:gridSpan w:val="2"/>
          </w:tcPr>
          <w:p>
            <w:pPr>
              <w:jc w:val="right"/>
              <w:ind w:right="514"/>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571"/>
              <w:spacing w:after="0" w:line="202" w:lineRule="exact"/>
              <w:rPr>
                <w:sz w:val="20"/>
                <w:szCs w:val="20"/>
                <w:color w:val="auto"/>
              </w:rPr>
            </w:pPr>
            <w:r>
              <w:rPr>
                <w:rFonts w:ascii="Arial" w:cs="Arial" w:eastAsia="Arial" w:hAnsi="Arial"/>
                <w:sz w:val="18"/>
                <w:szCs w:val="18"/>
                <w:color w:val="auto"/>
              </w:rPr>
              <w:t>(1,734)</w:t>
            </w:r>
          </w:p>
        </w:tc>
        <w:tc>
          <w:tcPr>
            <w:tcW w:w="560" w:type="dxa"/>
            <w:vAlign w:val="bottom"/>
          </w:tcPr>
          <w:p>
            <w:pPr>
              <w:spacing w:after="0"/>
              <w:rPr>
                <w:sz w:val="17"/>
                <w:szCs w:val="17"/>
                <w:color w:val="auto"/>
              </w:rPr>
            </w:pPr>
          </w:p>
        </w:tc>
        <w:tc>
          <w:tcPr>
            <w:tcW w:w="680" w:type="dxa"/>
            <w:vAlign w:val="bottom"/>
            <w:gridSpan w:val="2"/>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86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54,993</w:t>
            </w:r>
          </w:p>
        </w:tc>
      </w:tr>
      <w:tr>
        <w:trPr>
          <w:trHeight w:val="203"/>
        </w:trPr>
        <w:tc>
          <w:tcPr>
            <w:tcW w:w="20" w:type="dxa"/>
            <w:vAlign w:val="bottom"/>
          </w:tcPr>
          <w:p>
            <w:pPr>
              <w:spacing w:after="0"/>
              <w:rPr>
                <w:sz w:val="17"/>
                <w:szCs w:val="17"/>
                <w:color w:val="auto"/>
              </w:rPr>
            </w:pPr>
          </w:p>
        </w:tc>
        <w:tc>
          <w:tcPr>
            <w:tcW w:w="3700" w:type="dxa"/>
            <w:vAlign w:val="bottom"/>
            <w:gridSpan w:val="3"/>
            <w:shd w:val="clear" w:color="auto" w:fill="CCEEFF"/>
          </w:tcPr>
          <w:p>
            <w:pPr>
              <w:ind w:left="200"/>
              <w:spacing w:after="0" w:line="202" w:lineRule="exact"/>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94,445</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(4,358)</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90,087</w:t>
            </w:r>
          </w:p>
        </w:tc>
      </w:tr>
      <w:tr>
        <w:trPr>
          <w:trHeight w:val="202"/>
        </w:trPr>
        <w:tc>
          <w:tcPr>
            <w:tcW w:w="20" w:type="dxa"/>
            <w:vAlign w:val="bottom"/>
          </w:tcPr>
          <w:p>
            <w:pPr>
              <w:spacing w:after="0"/>
              <w:rPr>
                <w:sz w:val="17"/>
                <w:szCs w:val="17"/>
                <w:color w:val="auto"/>
              </w:rPr>
            </w:pPr>
          </w:p>
        </w:tc>
        <w:tc>
          <w:tcPr>
            <w:tcW w:w="370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Amortization of purchased intangible</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260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12"/>
              <w:spacing w:after="0" w:line="203" w:lineRule="exact"/>
              <w:rPr>
                <w:sz w:val="20"/>
                <w:szCs w:val="20"/>
                <w:color w:val="auto"/>
              </w:rPr>
            </w:pPr>
            <w:r>
              <w:rPr>
                <w:rFonts w:ascii="Arial" w:cs="Arial" w:eastAsia="Arial" w:hAnsi="Arial"/>
                <w:sz w:val="18"/>
                <w:szCs w:val="18"/>
                <w:color w:val="auto"/>
              </w:rPr>
              <w:t>19,175</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54"/>
              <w:spacing w:after="0" w:line="203" w:lineRule="exact"/>
              <w:rPr>
                <w:sz w:val="20"/>
                <w:szCs w:val="20"/>
                <w:color w:val="auto"/>
              </w:rPr>
            </w:pPr>
            <w:r>
              <w:rPr>
                <w:rFonts w:ascii="Arial" w:cs="Arial" w:eastAsia="Arial" w:hAnsi="Arial"/>
                <w:sz w:val="18"/>
                <w:szCs w:val="18"/>
                <w:color w:val="auto"/>
                <w:w w:val="95"/>
              </w:rPr>
              <w:t>(19,175)</w:t>
            </w: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31"/>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w w:val="98"/>
              </w:rPr>
              <w:t>620,102</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w w:val="95"/>
              </w:rPr>
              <w:t>(19,175)</w:t>
            </w:r>
          </w:p>
        </w:tc>
        <w:tc>
          <w:tcPr>
            <w:tcW w:w="1940" w:type="dxa"/>
            <w:vAlign w:val="bottom"/>
            <w:tcBorders>
              <w:bottom w:val="single" w:sz="8" w:color="auto"/>
            </w:tcBorders>
            <w:gridSpan w:val="2"/>
            <w:shd w:val="clear" w:color="auto" w:fill="CCEEFF"/>
          </w:tcPr>
          <w:p>
            <w:pPr>
              <w:jc w:val="right"/>
              <w:ind w:right="571"/>
              <w:spacing w:after="0" w:line="202" w:lineRule="exact"/>
              <w:rPr>
                <w:sz w:val="20"/>
                <w:szCs w:val="20"/>
                <w:color w:val="auto"/>
              </w:rPr>
            </w:pPr>
            <w:r>
              <w:rPr>
                <w:rFonts w:ascii="Arial" w:cs="Arial" w:eastAsia="Arial" w:hAnsi="Arial"/>
                <w:sz w:val="18"/>
                <w:szCs w:val="18"/>
                <w:color w:val="auto"/>
              </w:rPr>
              <w:t>(12,679)</w:t>
            </w:r>
          </w:p>
        </w:tc>
        <w:tc>
          <w:tcPr>
            <w:tcW w:w="5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46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588,248</w:t>
            </w:r>
          </w:p>
        </w:tc>
      </w:tr>
      <w:tr>
        <w:trPr>
          <w:trHeight w:val="210"/>
        </w:trPr>
        <w:tc>
          <w:tcPr>
            <w:tcW w:w="2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spacing w:after="0"/>
              <w:rPr>
                <w:sz w:val="18"/>
                <w:szCs w:val="18"/>
                <w:color w:val="auto"/>
              </w:rPr>
            </w:pPr>
          </w:p>
        </w:tc>
        <w:tc>
          <w:tcPr>
            <w:tcW w:w="1400" w:type="dxa"/>
            <w:vAlign w:val="bottom"/>
            <w:tcBorders>
              <w:bottom w:val="single" w:sz="8" w:color="auto"/>
            </w:tcBorders>
            <w:gridSpan w:val="2"/>
          </w:tcPr>
          <w:p>
            <w:pPr>
              <w:spacing w:after="0"/>
              <w:rPr>
                <w:sz w:val="18"/>
                <w:szCs w:val="18"/>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8"/>
                <w:szCs w:val="18"/>
                <w:color w:val="auto"/>
              </w:rPr>
              <w:t>91,989</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8"/>
                <w:szCs w:val="18"/>
                <w:color w:val="auto"/>
              </w:rPr>
              <w:t>19,175</w:t>
            </w:r>
          </w:p>
        </w:tc>
        <w:tc>
          <w:tcPr>
            <w:tcW w:w="19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8"/>
                <w:szCs w:val="18"/>
                <w:color w:val="auto"/>
              </w:rPr>
              <w:t>12,679</w:t>
            </w:r>
          </w:p>
        </w:tc>
        <w:tc>
          <w:tcPr>
            <w:tcW w:w="5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123,843</w:t>
            </w:r>
          </w:p>
        </w:tc>
      </w:tr>
      <w:tr>
        <w:trPr>
          <w:trHeight w:val="217"/>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gridSpan w:val="3"/>
            <w:shd w:val="clear" w:color="auto" w:fill="CCEEFF"/>
          </w:tcPr>
          <w:p>
            <w:pPr>
              <w:jc w:val="right"/>
              <w:ind w:right="512"/>
              <w:spacing w:after="0" w:line="202" w:lineRule="exact"/>
              <w:rPr>
                <w:sz w:val="20"/>
                <w:szCs w:val="20"/>
                <w:color w:val="auto"/>
              </w:rPr>
            </w:pPr>
            <w:r>
              <w:rPr>
                <w:rFonts w:ascii="Arial" w:cs="Arial" w:eastAsia="Arial" w:hAnsi="Arial"/>
                <w:sz w:val="18"/>
                <w:szCs w:val="18"/>
                <w:color w:val="auto"/>
              </w:rPr>
              <w:t>18,098</w:t>
            </w:r>
          </w:p>
        </w:tc>
        <w:tc>
          <w:tcPr>
            <w:tcW w:w="40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gridSpan w:val="2"/>
            <w:shd w:val="clear" w:color="auto" w:fill="CCEEFF"/>
          </w:tcPr>
          <w:p>
            <w:pPr>
              <w:jc w:val="right"/>
              <w:ind w:right="514"/>
              <w:spacing w:after="0" w:line="202"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631"/>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(541)</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17,557</w:t>
            </w:r>
          </w:p>
        </w:tc>
      </w:tr>
      <w:tr>
        <w:trPr>
          <w:trHeight w:val="210"/>
        </w:trPr>
        <w:tc>
          <w:tcPr>
            <w:tcW w:w="2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spacing w:after="0"/>
              <w:rPr>
                <w:sz w:val="18"/>
                <w:szCs w:val="18"/>
                <w:color w:val="auto"/>
              </w:rPr>
            </w:pPr>
          </w:p>
        </w:tc>
        <w:tc>
          <w:tcPr>
            <w:tcW w:w="1600" w:type="dxa"/>
            <w:vAlign w:val="bottom"/>
            <w:tcBorders>
              <w:bottom w:val="single" w:sz="8" w:color="auto"/>
            </w:tcBorders>
            <w:gridSpan w:val="3"/>
          </w:tcPr>
          <w:p>
            <w:pPr>
              <w:spacing w:after="0"/>
              <w:rPr>
                <w:sz w:val="18"/>
                <w:szCs w:val="18"/>
                <w:color w:val="auto"/>
              </w:rPr>
            </w:pPr>
          </w:p>
        </w:tc>
        <w:tc>
          <w:tcPr>
            <w:tcW w:w="1940" w:type="dxa"/>
            <w:vAlign w:val="bottom"/>
            <w:tcBorders>
              <w:bottom w:val="single" w:sz="8" w:color="auto"/>
            </w:tcBorders>
            <w:gridSpan w:val="2"/>
          </w:tcPr>
          <w:p>
            <w:pPr>
              <w:spacing w:after="0"/>
              <w:rPr>
                <w:sz w:val="18"/>
                <w:szCs w:val="18"/>
                <w:color w:val="auto"/>
              </w:rPr>
            </w:pPr>
          </w:p>
        </w:tc>
        <w:tc>
          <w:tcPr>
            <w:tcW w:w="1100" w:type="dxa"/>
            <w:vAlign w:val="bottom"/>
            <w:tcBorders>
              <w:bottom w:val="single" w:sz="8" w:color="auto"/>
            </w:tcBorders>
            <w:gridSpan w:val="2"/>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spacing w:after="0"/>
              <w:rPr>
                <w:sz w:val="18"/>
                <w:szCs w:val="18"/>
                <w:color w:val="auto"/>
              </w:rPr>
            </w:pPr>
          </w:p>
        </w:tc>
      </w:tr>
      <w:tr>
        <w:trPr>
          <w:trHeight w:val="210"/>
        </w:trPr>
        <w:tc>
          <w:tcPr>
            <w:tcW w:w="2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8"/>
                <w:szCs w:val="18"/>
                <w:color w:val="auto"/>
              </w:rPr>
              <w:t>88,181</w:t>
            </w:r>
          </w:p>
        </w:tc>
        <w:tc>
          <w:tcPr>
            <w:tcW w:w="160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8"/>
                <w:szCs w:val="18"/>
                <w:color w:val="auto"/>
              </w:rPr>
              <w:t>$ 19,175</w:t>
            </w:r>
          </w:p>
        </w:tc>
        <w:tc>
          <w:tcPr>
            <w:tcW w:w="1940" w:type="dxa"/>
            <w:vAlign w:val="bottom"/>
            <w:tcBorders>
              <w:bottom w:val="single" w:sz="8" w:color="auto"/>
            </w:tcBorders>
            <w:gridSpan w:val="2"/>
          </w:tcPr>
          <w:p>
            <w:pPr>
              <w:jc w:val="right"/>
              <w:ind w:right="631"/>
              <w:spacing w:after="0"/>
              <w:rPr>
                <w:sz w:val="20"/>
                <w:szCs w:val="20"/>
                <w:color w:val="auto"/>
              </w:rPr>
            </w:pPr>
            <w:r>
              <w:rPr>
                <w:rFonts w:ascii="Arial" w:cs="Arial" w:eastAsia="Arial" w:hAnsi="Arial"/>
                <w:sz w:val="18"/>
                <w:szCs w:val="18"/>
                <w:color w:val="auto"/>
              </w:rPr>
              <w:t>$ 12,679</w:t>
            </w:r>
          </w:p>
        </w:tc>
        <w:tc>
          <w:tcPr>
            <w:tcW w:w="11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$ 541</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$120,576</w:t>
            </w:r>
          </w:p>
        </w:tc>
      </w:tr>
      <w:tr>
        <w:trPr>
          <w:trHeight w:val="625"/>
        </w:trPr>
        <w:tc>
          <w:tcPr>
            <w:tcW w:w="20" w:type="dxa"/>
            <w:vAlign w:val="bottom"/>
          </w:tcPr>
          <w:p>
            <w:pPr>
              <w:spacing w:after="0"/>
              <w:rPr>
                <w:sz w:val="24"/>
                <w:szCs w:val="24"/>
                <w:color w:val="auto"/>
              </w:rPr>
            </w:pPr>
          </w:p>
        </w:tc>
        <w:tc>
          <w:tcPr>
            <w:tcW w:w="260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20" w:type="dxa"/>
            <w:vAlign w:val="bottom"/>
            <w:gridSpan w:val="3"/>
          </w:tcPr>
          <w:p>
            <w:pPr>
              <w:jc w:val="center"/>
              <w:ind w:right="692"/>
              <w:spacing w:after="0"/>
              <w:rPr>
                <w:sz w:val="20"/>
                <w:szCs w:val="20"/>
                <w:color w:val="auto"/>
              </w:rPr>
            </w:pPr>
            <w:r>
              <w:rPr>
                <w:rFonts w:ascii="Arial" w:cs="Arial" w:eastAsia="Arial" w:hAnsi="Arial"/>
                <w:sz w:val="14"/>
                <w:szCs w:val="14"/>
                <w:b w:val="1"/>
                <w:bCs w:val="1"/>
                <w:color w:val="auto"/>
              </w:rPr>
              <w:t>Nine months ended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left="254"/>
              <w:spacing w:after="0"/>
              <w:rPr>
                <w:sz w:val="20"/>
                <w:szCs w:val="20"/>
                <w:color w:val="auto"/>
              </w:rPr>
            </w:pPr>
            <w:r>
              <w:rPr>
                <w:rFonts w:ascii="Arial" w:cs="Arial" w:eastAsia="Arial" w:hAnsi="Arial"/>
                <w:sz w:val="14"/>
                <w:szCs w:val="14"/>
                <w:b w:val="1"/>
                <w:bCs w:val="1"/>
                <w:color w:val="auto"/>
              </w:rPr>
              <w:t>June 30, 2008</w:t>
            </w:r>
          </w:p>
        </w:tc>
        <w:tc>
          <w:tcPr>
            <w:tcW w:w="11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3"/>
          </w:tcPr>
          <w:p>
            <w:pPr>
              <w:jc w:val="center"/>
              <w:ind w:right="712"/>
              <w:spacing w:after="0" w:line="155" w:lineRule="exact"/>
              <w:rPr>
                <w:sz w:val="20"/>
                <w:szCs w:val="20"/>
                <w:color w:val="auto"/>
              </w:rPr>
            </w:pPr>
            <w:r>
              <w:rPr>
                <w:rFonts w:ascii="Arial" w:cs="Arial" w:eastAsia="Arial" w:hAnsi="Arial"/>
                <w:sz w:val="14"/>
                <w:szCs w:val="14"/>
                <w:b w:val="1"/>
                <w:bCs w:val="1"/>
                <w:color w:val="auto"/>
              </w:rPr>
              <w:t>Reconciliation items</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Restructuring</w:t>
            </w: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charges,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Amortization</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in-process</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of purchased</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research and</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based</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60" w:type="dxa"/>
            <w:vAlign w:val="bottom"/>
            <w:gridSpan w:val="2"/>
          </w:tcPr>
          <w:p>
            <w:pPr>
              <w:jc w:val="center"/>
              <w:ind w:right="12"/>
              <w:spacing w:after="0"/>
              <w:rPr>
                <w:sz w:val="20"/>
                <w:szCs w:val="20"/>
                <w:color w:val="auto"/>
              </w:rPr>
            </w:pPr>
            <w:r>
              <w:rPr>
                <w:rFonts w:ascii="Arial" w:cs="Arial" w:eastAsia="Arial" w:hAnsi="Arial"/>
                <w:sz w:val="14"/>
                <w:szCs w:val="14"/>
                <w:b w:val="1"/>
                <w:bCs w:val="1"/>
                <w:color w:val="auto"/>
              </w:rPr>
              <w:t>intangible</w:t>
            </w: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development</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GAAP</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rPr>
              <w:t>assets</w:t>
            </w: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and other</w:t>
            </w:r>
          </w:p>
        </w:tc>
        <w:tc>
          <w:tcPr>
            <w:tcW w:w="5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99"/>
              </w:rPr>
              <w:t>expense</w:t>
            </w:r>
          </w:p>
        </w:tc>
        <w:tc>
          <w:tcPr>
            <w:tcW w:w="12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Tax effect</w:t>
            </w:r>
          </w:p>
        </w:tc>
        <w:tc>
          <w:tcPr>
            <w:tcW w:w="5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Non-GAAP</w:t>
            </w: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2,267</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412"/>
              <w:spacing w:after="0" w:line="202"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2,267</w:t>
            </w: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w w:val="97"/>
              </w:rPr>
              <w:t>1,493,134</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w w:val="98"/>
              </w:rPr>
              <w:t>(17,711)</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9"/>
              </w:rPr>
              <w:t>1,475,423</w:t>
            </w:r>
          </w:p>
        </w:tc>
      </w:tr>
      <w:tr>
        <w:trPr>
          <w:trHeight w:val="202"/>
        </w:trPr>
        <w:tc>
          <w:tcPr>
            <w:tcW w:w="20" w:type="dxa"/>
            <w:vAlign w:val="bottom"/>
          </w:tcPr>
          <w:p>
            <w:pPr>
              <w:spacing w:after="0"/>
              <w:rPr>
                <w:sz w:val="17"/>
                <w:szCs w:val="17"/>
                <w:color w:val="auto"/>
              </w:rPr>
            </w:pPr>
          </w:p>
        </w:tc>
        <w:tc>
          <w:tcPr>
            <w:tcW w:w="246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168,240</w:t>
            </w:r>
          </w:p>
        </w:tc>
        <w:tc>
          <w:tcPr>
            <w:tcW w:w="380" w:type="dxa"/>
            <w:vAlign w:val="bottom"/>
          </w:tcPr>
          <w:p>
            <w:pPr>
              <w:spacing w:after="0"/>
              <w:rPr>
                <w:sz w:val="17"/>
                <w:szCs w:val="17"/>
                <w:color w:val="auto"/>
              </w:rPr>
            </w:pPr>
          </w:p>
        </w:tc>
        <w:tc>
          <w:tcPr>
            <w:tcW w:w="108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1060" w:type="dxa"/>
            <w:vAlign w:val="bottom"/>
          </w:tcPr>
          <w:p>
            <w:pPr>
              <w:jc w:val="right"/>
              <w:ind w:right="454"/>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(3,626)</w:t>
            </w:r>
          </w:p>
        </w:tc>
        <w:tc>
          <w:tcPr>
            <w:tcW w:w="42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0" w:type="dxa"/>
            <w:vAlign w:val="bottom"/>
          </w:tcPr>
          <w:p>
            <w:pPr>
              <w:jc w:val="right"/>
              <w:ind w:right="92"/>
              <w:spacing w:after="0" w:line="203" w:lineRule="exact"/>
              <w:rPr>
                <w:sz w:val="20"/>
                <w:szCs w:val="20"/>
                <w:color w:val="auto"/>
              </w:rPr>
            </w:pPr>
            <w:r>
              <w:rPr>
                <w:rFonts w:ascii="Arial" w:cs="Arial" w:eastAsia="Arial" w:hAnsi="Arial"/>
                <w:sz w:val="18"/>
                <w:szCs w:val="18"/>
                <w:color w:val="auto"/>
              </w:rPr>
              <w:t>164,614</w:t>
            </w: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300,963</w:t>
            </w: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454"/>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w w:val="98"/>
              </w:rPr>
              <w:t>(22,373)</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278,590</w:t>
            </w:r>
          </w:p>
        </w:tc>
      </w:tr>
      <w:tr>
        <w:trPr>
          <w:trHeight w:val="202"/>
        </w:trPr>
        <w:tc>
          <w:tcPr>
            <w:tcW w:w="20" w:type="dxa"/>
            <w:vAlign w:val="bottom"/>
          </w:tcPr>
          <w:p>
            <w:pPr>
              <w:spacing w:after="0"/>
              <w:rPr>
                <w:sz w:val="17"/>
                <w:szCs w:val="17"/>
                <w:color w:val="auto"/>
              </w:rPr>
            </w:pPr>
          </w:p>
        </w:tc>
        <w:tc>
          <w:tcPr>
            <w:tcW w:w="246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20" w:type="dxa"/>
            <w:vAlign w:val="bottom"/>
          </w:tcPr>
          <w:p>
            <w:pPr>
              <w:spacing w:after="0"/>
              <w:rPr>
                <w:sz w:val="17"/>
                <w:szCs w:val="17"/>
                <w:color w:val="auto"/>
              </w:rPr>
            </w:pPr>
          </w:p>
        </w:tc>
        <w:tc>
          <w:tcPr>
            <w:tcW w:w="1260" w:type="dxa"/>
            <w:vAlign w:val="bottom"/>
          </w:tcPr>
          <w:p>
            <w:pPr>
              <w:jc w:val="right"/>
              <w:ind w:right="372"/>
              <w:spacing w:after="0" w:line="203" w:lineRule="exact"/>
              <w:rPr>
                <w:sz w:val="20"/>
                <w:szCs w:val="20"/>
                <w:color w:val="auto"/>
              </w:rPr>
            </w:pPr>
            <w:r>
              <w:rPr>
                <w:rFonts w:ascii="Arial" w:cs="Arial" w:eastAsia="Arial" w:hAnsi="Arial"/>
                <w:sz w:val="18"/>
                <w:szCs w:val="18"/>
                <w:color w:val="auto"/>
              </w:rPr>
              <w:t>66,302</w:t>
            </w:r>
          </w:p>
        </w:tc>
        <w:tc>
          <w:tcPr>
            <w:tcW w:w="380" w:type="dxa"/>
            <w:vAlign w:val="bottom"/>
          </w:tcPr>
          <w:p>
            <w:pPr>
              <w:spacing w:after="0"/>
              <w:rPr>
                <w:sz w:val="17"/>
                <w:szCs w:val="17"/>
                <w:color w:val="auto"/>
              </w:rPr>
            </w:pPr>
          </w:p>
        </w:tc>
        <w:tc>
          <w:tcPr>
            <w:tcW w:w="1080" w:type="dxa"/>
            <w:vAlign w:val="bottom"/>
          </w:tcPr>
          <w:p>
            <w:pPr>
              <w:jc w:val="right"/>
              <w:ind w:right="312"/>
              <w:spacing w:after="0" w:line="203" w:lineRule="exact"/>
              <w:rPr>
                <w:sz w:val="20"/>
                <w:szCs w:val="20"/>
                <w:color w:val="auto"/>
              </w:rPr>
            </w:pPr>
            <w:r>
              <w:rPr>
                <w:rFonts w:ascii="Arial" w:cs="Arial" w:eastAsia="Arial" w:hAnsi="Arial"/>
                <w:sz w:val="18"/>
                <w:szCs w:val="18"/>
                <w:color w:val="auto"/>
                <w:w w:val="98"/>
              </w:rPr>
              <w:t>(66,302)</w:t>
            </w:r>
          </w:p>
        </w:tc>
        <w:tc>
          <w:tcPr>
            <w:tcW w:w="560" w:type="dxa"/>
            <w:vAlign w:val="bottom"/>
          </w:tcPr>
          <w:p>
            <w:pPr>
              <w:spacing w:after="0"/>
              <w:rPr>
                <w:sz w:val="17"/>
                <w:szCs w:val="17"/>
                <w:color w:val="auto"/>
              </w:rPr>
            </w:pPr>
          </w:p>
        </w:tc>
        <w:tc>
          <w:tcPr>
            <w:tcW w:w="1060" w:type="dxa"/>
            <w:vAlign w:val="bottom"/>
          </w:tcPr>
          <w:p>
            <w:pPr>
              <w:jc w:val="right"/>
              <w:ind w:right="454"/>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20" w:type="dxa"/>
            <w:vAlign w:val="bottom"/>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development and</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1,780</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394"/>
              <w:spacing w:after="0" w:line="203" w:lineRule="exact"/>
              <w:rPr>
                <w:sz w:val="20"/>
                <w:szCs w:val="20"/>
                <w:color w:val="auto"/>
              </w:rPr>
            </w:pPr>
            <w:r>
              <w:rPr>
                <w:rFonts w:ascii="Arial" w:cs="Arial" w:eastAsia="Arial" w:hAnsi="Arial"/>
                <w:sz w:val="18"/>
                <w:szCs w:val="18"/>
                <w:color w:val="auto"/>
                <w:w w:val="98"/>
              </w:rPr>
              <w:t>(1,780)</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r>
      <w:tr>
        <w:trPr>
          <w:trHeight w:val="210"/>
        </w:trPr>
        <w:tc>
          <w:tcPr>
            <w:tcW w:w="24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w w:val="97"/>
              </w:rPr>
              <w:t>2,032,686</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w w:val="98"/>
              </w:rPr>
              <w:t>(66,302)</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w w:val="98"/>
              </w:rPr>
              <w:t>(1,780)</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8"/>
              </w:rPr>
              <w:t>(43,710)</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1,920,894</w:t>
            </w:r>
          </w:p>
        </w:tc>
      </w:t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304,133</w:t>
            </w:r>
          </w:p>
        </w:tc>
        <w:tc>
          <w:tcPr>
            <w:tcW w:w="3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66,302</w:t>
            </w:r>
          </w:p>
        </w:tc>
        <w:tc>
          <w:tcPr>
            <w:tcW w:w="5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1,780</w:t>
            </w:r>
          </w:p>
        </w:tc>
        <w:tc>
          <w:tcPr>
            <w:tcW w:w="5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43,710</w:t>
            </w:r>
          </w:p>
        </w:tc>
        <w:tc>
          <w:tcPr>
            <w:tcW w:w="4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415,925</w:t>
            </w:r>
          </w:p>
        </w:tc>
      </w:tr>
      <w:tr>
        <w:trPr>
          <w:trHeight w:val="210"/>
        </w:trPr>
        <w:tc>
          <w:tcPr>
            <w:tcW w:w="2480" w:type="dxa"/>
            <w:vAlign w:val="bottom"/>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0"/>
        </w:trPr>
        <w:tc>
          <w:tcPr>
            <w:tcW w:w="24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31,735</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25,587</w:t>
            </w: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57,322</w:t>
            </w:r>
          </w:p>
        </w:tc>
      </w:tr>
      <w:tr>
        <w:trPr>
          <w:trHeight w:val="217"/>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2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296,195</w:t>
            </w:r>
          </w:p>
        </w:tc>
        <w:tc>
          <w:tcPr>
            <w:tcW w:w="3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66,302</w:t>
            </w: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454"/>
              <w:spacing w:after="0" w:line="202" w:lineRule="exact"/>
              <w:rPr>
                <w:sz w:val="20"/>
                <w:szCs w:val="20"/>
                <w:color w:val="auto"/>
              </w:rPr>
            </w:pPr>
            <w:r>
              <w:rPr>
                <w:rFonts w:ascii="Arial" w:cs="Arial" w:eastAsia="Arial" w:hAnsi="Arial"/>
                <w:sz w:val="18"/>
                <w:szCs w:val="18"/>
                <w:color w:val="auto"/>
              </w:rPr>
              <w:t>1,780</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412"/>
              <w:spacing w:after="0" w:line="202" w:lineRule="exact"/>
              <w:rPr>
                <w:sz w:val="20"/>
                <w:szCs w:val="20"/>
                <w:color w:val="auto"/>
              </w:rPr>
            </w:pPr>
            <w:r>
              <w:rPr>
                <w:rFonts w:ascii="Arial" w:cs="Arial" w:eastAsia="Arial" w:hAnsi="Arial"/>
                <w:sz w:val="18"/>
                <w:szCs w:val="18"/>
                <w:color w:val="auto"/>
              </w:rPr>
              <w:t>43,710</w:t>
            </w: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8"/>
              </w:rPr>
              <w:t>(25,587)</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382,400</w:t>
            </w:r>
          </w:p>
        </w:tc>
      </w:tr>
      <w:tr>
        <w:trPr>
          <w:trHeight w:val="625"/>
        </w:trPr>
        <w:tc>
          <w:tcPr>
            <w:tcW w:w="20" w:type="dxa"/>
            <w:vAlign w:val="bottom"/>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Nine months ended</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left="174"/>
              <w:spacing w:after="0"/>
              <w:rPr>
                <w:sz w:val="20"/>
                <w:szCs w:val="20"/>
                <w:color w:val="auto"/>
              </w:rPr>
            </w:pPr>
            <w:r>
              <w:rPr>
                <w:rFonts w:ascii="Arial" w:cs="Arial" w:eastAsia="Arial" w:hAnsi="Arial"/>
                <w:sz w:val="14"/>
                <w:szCs w:val="14"/>
                <w:b w:val="1"/>
                <w:bCs w:val="1"/>
                <w:color w:val="auto"/>
              </w:rPr>
              <w:t>June 30, 2007</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Reconciliation items</w:t>
            </w:r>
          </w:p>
        </w:tc>
        <w:tc>
          <w:tcPr>
            <w:tcW w:w="1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60" w:type="dxa"/>
            <w:vAlign w:val="bottom"/>
            <w:gridSpan w:val="2"/>
          </w:tcPr>
          <w:p>
            <w:pPr>
              <w:jc w:val="center"/>
              <w:ind w:right="194"/>
              <w:spacing w:after="0" w:line="143" w:lineRule="exact"/>
              <w:rPr>
                <w:sz w:val="20"/>
                <w:szCs w:val="20"/>
                <w:color w:val="auto"/>
              </w:rPr>
            </w:pPr>
            <w:r>
              <w:rPr>
                <w:rFonts w:ascii="Arial" w:cs="Arial" w:eastAsia="Arial" w:hAnsi="Arial"/>
                <w:sz w:val="14"/>
                <w:szCs w:val="14"/>
                <w:b w:val="1"/>
                <w:bCs w:val="1"/>
                <w:color w:val="auto"/>
              </w:rPr>
              <w:t>Restructuring</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rPr>
              <w:t>charges,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6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rPr>
              <w:t>in-process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rPr>
              <w:t>Amortization of</w:t>
            </w:r>
          </w:p>
        </w:tc>
        <w:tc>
          <w:tcPr>
            <w:tcW w:w="186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rPr>
              <w:t>research and</w:t>
            </w:r>
          </w:p>
        </w:tc>
        <w:tc>
          <w:tcPr>
            <w:tcW w:w="13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rPr>
              <w:t>Equity based</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gridSpan w:val="2"/>
          </w:tcPr>
          <w:p>
            <w:pPr>
              <w:jc w:val="center"/>
              <w:ind w:right="10"/>
              <w:spacing w:after="0"/>
              <w:rPr>
                <w:sz w:val="20"/>
                <w:szCs w:val="20"/>
                <w:color w:val="auto"/>
              </w:rPr>
            </w:pPr>
            <w:r>
              <w:rPr>
                <w:rFonts w:ascii="Arial" w:cs="Arial" w:eastAsia="Arial" w:hAnsi="Arial"/>
                <w:sz w:val="14"/>
                <w:szCs w:val="14"/>
                <w:b w:val="1"/>
                <w:bCs w:val="1"/>
                <w:color w:val="auto"/>
              </w:rPr>
              <w:t>purchased</w:t>
            </w:r>
          </w:p>
        </w:tc>
        <w:tc>
          <w:tcPr>
            <w:tcW w:w="1860" w:type="dxa"/>
            <w:vAlign w:val="bottom"/>
            <w:gridSpan w:val="2"/>
          </w:tcPr>
          <w:p>
            <w:pPr>
              <w:jc w:val="center"/>
              <w:ind w:right="194"/>
              <w:spacing w:after="0"/>
              <w:rPr>
                <w:sz w:val="20"/>
                <w:szCs w:val="20"/>
                <w:color w:val="auto"/>
              </w:rPr>
            </w:pPr>
            <w:r>
              <w:rPr>
                <w:rFonts w:ascii="Arial" w:cs="Arial" w:eastAsia="Arial" w:hAnsi="Arial"/>
                <w:sz w:val="14"/>
                <w:szCs w:val="14"/>
                <w:b w:val="1"/>
                <w:bCs w:val="1"/>
                <w:color w:val="auto"/>
              </w:rPr>
              <w:t>development</w:t>
            </w:r>
          </w:p>
        </w:tc>
        <w:tc>
          <w:tcPr>
            <w:tcW w:w="1340" w:type="dxa"/>
            <w:vAlign w:val="bottom"/>
            <w:gridSpan w:val="2"/>
          </w:tcPr>
          <w:p>
            <w:pPr>
              <w:jc w:val="center"/>
              <w:ind w:right="152"/>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GAAP</w:t>
            </w:r>
          </w:p>
        </w:tc>
        <w:tc>
          <w:tcPr>
            <w:tcW w:w="17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4"/>
                <w:szCs w:val="14"/>
                <w:b w:val="1"/>
                <w:bCs w:val="1"/>
                <w:color w:val="auto"/>
              </w:rPr>
              <w:t>intangible assets</w:t>
            </w:r>
          </w:p>
        </w:tc>
        <w:tc>
          <w:tcPr>
            <w:tcW w:w="1860" w:type="dxa"/>
            <w:vAlign w:val="bottom"/>
            <w:tcBorders>
              <w:bottom w:val="single" w:sz="8" w:color="auto"/>
            </w:tcBorders>
            <w:gridSpan w:val="2"/>
          </w:tcPr>
          <w:p>
            <w:pPr>
              <w:jc w:val="center"/>
              <w:ind w:right="194"/>
              <w:spacing w:after="0"/>
              <w:rPr>
                <w:sz w:val="20"/>
                <w:szCs w:val="20"/>
                <w:color w:val="auto"/>
              </w:rPr>
            </w:pPr>
            <w:r>
              <w:rPr>
                <w:rFonts w:ascii="Arial" w:cs="Arial" w:eastAsia="Arial" w:hAnsi="Arial"/>
                <w:sz w:val="14"/>
                <w:szCs w:val="14"/>
                <w:b w:val="1"/>
                <w:bCs w:val="1"/>
                <w:color w:val="auto"/>
              </w:rPr>
              <w:t>and other</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92"/>
              <w:spacing w:after="0"/>
              <w:rPr>
                <w:sz w:val="20"/>
                <w:szCs w:val="20"/>
                <w:color w:val="auto"/>
              </w:rPr>
            </w:pPr>
            <w:r>
              <w:rPr>
                <w:rFonts w:ascii="Arial" w:cs="Arial" w:eastAsia="Arial" w:hAnsi="Arial"/>
                <w:sz w:val="14"/>
                <w:szCs w:val="14"/>
                <w:b w:val="1"/>
                <w:bCs w:val="1"/>
                <w:color w:val="auto"/>
              </w:rPr>
              <w:t>expense</w:t>
            </w:r>
          </w:p>
        </w:tc>
        <w:tc>
          <w:tcPr>
            <w:tcW w:w="12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Tax effect</w:t>
            </w:r>
          </w:p>
        </w:tc>
        <w:tc>
          <w:tcPr>
            <w:tcW w:w="4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ind w:left="200"/>
              <w:spacing w:after="0" w:line="202" w:lineRule="exact"/>
              <w:rPr>
                <w:sz w:val="20"/>
                <w:szCs w:val="20"/>
                <w:color w:val="auto"/>
              </w:rPr>
            </w:pPr>
            <w:r>
              <w:rPr>
                <w:rFonts w:ascii="Arial" w:cs="Arial" w:eastAsia="Arial" w:hAnsi="Arial"/>
                <w:sz w:val="18"/>
                <w:szCs w:val="18"/>
                <w:color w:val="auto"/>
              </w:rPr>
              <w:t>Cost of license</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352"/>
              <w:spacing w:after="0" w:line="202" w:lineRule="exact"/>
              <w:rPr>
                <w:sz w:val="20"/>
                <w:szCs w:val="20"/>
                <w:color w:val="auto"/>
              </w:rPr>
            </w:pPr>
            <w:r>
              <w:rPr>
                <w:rFonts w:ascii="Arial" w:cs="Arial" w:eastAsia="Arial" w:hAnsi="Arial"/>
                <w:sz w:val="18"/>
                <w:szCs w:val="18"/>
                <w:color w:val="auto"/>
              </w:rPr>
              <w:t>3,045</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73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392"/>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3,045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Cost of service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w w:val="97"/>
              </w:rPr>
              <w:t>1,330,776</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34"/>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w w:val="98"/>
              </w:rPr>
              <w:t>(18,914)</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7"/>
              </w:rPr>
              <w:t>1,311,862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200"/>
              <w:spacing w:after="0" w:line="201" w:lineRule="exact"/>
              <w:rPr>
                <w:sz w:val="20"/>
                <w:szCs w:val="20"/>
                <w:color w:val="auto"/>
              </w:rPr>
            </w:pPr>
            <w:r>
              <w:rPr>
                <w:rFonts w:ascii="Arial" w:cs="Arial" w:eastAsia="Arial" w:hAnsi="Arial"/>
                <w:sz w:val="18"/>
                <w:szCs w:val="18"/>
                <w:color w:val="auto"/>
              </w:rPr>
              <w:t>Research and</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ind w:left="400"/>
              <w:spacing w:after="0" w:line="203" w:lineRule="exact"/>
              <w:rPr>
                <w:sz w:val="20"/>
                <w:szCs w:val="20"/>
                <w:color w:val="auto"/>
              </w:rPr>
            </w:pPr>
            <w:r>
              <w:rPr>
                <w:rFonts w:ascii="Arial" w:cs="Arial" w:eastAsia="Arial" w:hAnsi="Arial"/>
                <w:sz w:val="18"/>
                <w:szCs w:val="18"/>
                <w:color w:val="auto"/>
              </w:rPr>
              <w:t>development</w:t>
            </w:r>
          </w:p>
        </w:tc>
        <w:tc>
          <w:tcPr>
            <w:tcW w:w="200" w:type="dxa"/>
            <w:vAlign w:val="bottom"/>
          </w:tcPr>
          <w:p>
            <w:pPr>
              <w:spacing w:after="0"/>
              <w:rPr>
                <w:sz w:val="17"/>
                <w:szCs w:val="17"/>
                <w:color w:val="auto"/>
              </w:rPr>
            </w:pPr>
          </w:p>
        </w:tc>
        <w:tc>
          <w:tcPr>
            <w:tcW w:w="124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174,929</w:t>
            </w:r>
          </w:p>
        </w:tc>
        <w:tc>
          <w:tcPr>
            <w:tcW w:w="500" w:type="dxa"/>
            <w:vAlign w:val="bottom"/>
          </w:tcPr>
          <w:p>
            <w:pPr>
              <w:spacing w:after="0"/>
              <w:rPr>
                <w:sz w:val="17"/>
                <w:szCs w:val="17"/>
                <w:color w:val="auto"/>
              </w:rPr>
            </w:pPr>
          </w:p>
        </w:tc>
        <w:tc>
          <w:tcPr>
            <w:tcW w:w="1220" w:type="dxa"/>
            <w:vAlign w:val="bottom"/>
          </w:tcPr>
          <w:p>
            <w:pPr>
              <w:jc w:val="right"/>
              <w:ind w:right="510"/>
              <w:spacing w:after="0" w:line="203"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320" w:type="dxa"/>
            <w:vAlign w:val="bottom"/>
          </w:tcPr>
          <w:p>
            <w:pPr>
              <w:jc w:val="right"/>
              <w:ind w:right="734"/>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ind w:right="332"/>
              <w:spacing w:after="0" w:line="203" w:lineRule="exact"/>
              <w:rPr>
                <w:sz w:val="20"/>
                <w:szCs w:val="20"/>
                <w:color w:val="auto"/>
              </w:rPr>
            </w:pPr>
            <w:r>
              <w:rPr>
                <w:rFonts w:ascii="Arial" w:cs="Arial" w:eastAsia="Arial" w:hAnsi="Arial"/>
                <w:sz w:val="18"/>
                <w:szCs w:val="18"/>
                <w:color w:val="auto"/>
              </w:rPr>
              <w:t>(5,099)</w:t>
            </w:r>
          </w:p>
        </w:tc>
        <w:tc>
          <w:tcPr>
            <w:tcW w:w="40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169,830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administrative</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rPr>
              <w:t>274,895</w:t>
            </w: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1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734"/>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332"/>
              <w:spacing w:after="0" w:line="203" w:lineRule="exact"/>
              <w:rPr>
                <w:sz w:val="20"/>
                <w:szCs w:val="20"/>
                <w:color w:val="auto"/>
              </w:rPr>
            </w:pPr>
            <w:r>
              <w:rPr>
                <w:rFonts w:ascii="Arial" w:cs="Arial" w:eastAsia="Arial" w:hAnsi="Arial"/>
                <w:sz w:val="18"/>
                <w:szCs w:val="18"/>
                <w:color w:val="auto"/>
                <w:w w:val="98"/>
              </w:rPr>
              <w:t>(15,957)</w:t>
            </w: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258,938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200"/>
              <w:spacing w:after="0" w:line="201" w:lineRule="exact"/>
              <w:rPr>
                <w:sz w:val="20"/>
                <w:szCs w:val="20"/>
                <w:color w:val="auto"/>
              </w:rPr>
            </w:pPr>
            <w:r>
              <w:rPr>
                <w:rFonts w:ascii="Arial" w:cs="Arial" w:eastAsia="Arial" w:hAnsi="Arial"/>
                <w:sz w:val="18"/>
                <w:szCs w:val="18"/>
                <w:color w:val="auto"/>
              </w:rPr>
              <w:t>Amortization of</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ind w:left="400"/>
              <w:spacing w:after="0" w:line="202" w:lineRule="exact"/>
              <w:rPr>
                <w:sz w:val="20"/>
                <w:szCs w:val="20"/>
                <w:color w:val="auto"/>
              </w:rPr>
            </w:pPr>
            <w:r>
              <w:rPr>
                <w:rFonts w:ascii="Arial" w:cs="Arial" w:eastAsia="Arial" w:hAnsi="Arial"/>
                <w:sz w:val="18"/>
                <w:szCs w:val="18"/>
                <w:color w:val="auto"/>
              </w:rPr>
              <w:t>purchased intangible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tcPr>
          <w:p>
            <w:pPr>
              <w:ind w:left="400"/>
              <w:spacing w:after="0" w:line="203" w:lineRule="exact"/>
              <w:rPr>
                <w:sz w:val="20"/>
                <w:szCs w:val="20"/>
                <w:color w:val="auto"/>
              </w:rPr>
            </w:pPr>
            <w:r>
              <w:rPr>
                <w:rFonts w:ascii="Arial" w:cs="Arial" w:eastAsia="Arial" w:hAnsi="Arial"/>
                <w:sz w:val="18"/>
                <w:szCs w:val="18"/>
                <w:color w:val="auto"/>
              </w:rPr>
              <w:t>assets</w:t>
            </w:r>
          </w:p>
        </w:tc>
        <w:tc>
          <w:tcPr>
            <w:tcW w:w="200" w:type="dxa"/>
            <w:vAlign w:val="bottom"/>
          </w:tcPr>
          <w:p>
            <w:pPr>
              <w:spacing w:after="0"/>
              <w:rPr>
                <w:sz w:val="17"/>
                <w:szCs w:val="17"/>
                <w:color w:val="auto"/>
              </w:rPr>
            </w:pPr>
          </w:p>
        </w:tc>
        <w:tc>
          <w:tcPr>
            <w:tcW w:w="1240" w:type="dxa"/>
            <w:vAlign w:val="bottom"/>
          </w:tcPr>
          <w:p>
            <w:pPr>
              <w:jc w:val="right"/>
              <w:ind w:right="352"/>
              <w:spacing w:after="0" w:line="203" w:lineRule="exact"/>
              <w:rPr>
                <w:sz w:val="20"/>
                <w:szCs w:val="20"/>
                <w:color w:val="auto"/>
              </w:rPr>
            </w:pPr>
            <w:r>
              <w:rPr>
                <w:rFonts w:ascii="Arial" w:cs="Arial" w:eastAsia="Arial" w:hAnsi="Arial"/>
                <w:sz w:val="18"/>
                <w:szCs w:val="18"/>
                <w:color w:val="auto"/>
              </w:rPr>
              <w:t>55,785</w:t>
            </w:r>
          </w:p>
        </w:tc>
        <w:tc>
          <w:tcPr>
            <w:tcW w:w="500" w:type="dxa"/>
            <w:vAlign w:val="bottom"/>
          </w:tcPr>
          <w:p>
            <w:pPr>
              <w:spacing w:after="0"/>
              <w:rPr>
                <w:sz w:val="17"/>
                <w:szCs w:val="17"/>
                <w:color w:val="auto"/>
              </w:rPr>
            </w:pPr>
          </w:p>
        </w:tc>
        <w:tc>
          <w:tcPr>
            <w:tcW w:w="1220" w:type="dxa"/>
            <w:vAlign w:val="bottom"/>
          </w:tcPr>
          <w:p>
            <w:pPr>
              <w:jc w:val="right"/>
              <w:ind w:right="450"/>
              <w:spacing w:after="0" w:line="203" w:lineRule="exact"/>
              <w:rPr>
                <w:sz w:val="20"/>
                <w:szCs w:val="20"/>
                <w:color w:val="auto"/>
              </w:rPr>
            </w:pPr>
            <w:r>
              <w:rPr>
                <w:rFonts w:ascii="Arial" w:cs="Arial" w:eastAsia="Arial" w:hAnsi="Arial"/>
                <w:sz w:val="18"/>
                <w:szCs w:val="18"/>
                <w:color w:val="auto"/>
                <w:w w:val="98"/>
              </w:rPr>
              <w:t>(55,785)</w:t>
            </w:r>
          </w:p>
        </w:tc>
        <w:tc>
          <w:tcPr>
            <w:tcW w:w="540" w:type="dxa"/>
            <w:vAlign w:val="bottom"/>
          </w:tcPr>
          <w:p>
            <w:pPr>
              <w:spacing w:after="0"/>
              <w:rPr>
                <w:sz w:val="17"/>
                <w:szCs w:val="17"/>
                <w:color w:val="auto"/>
              </w:rPr>
            </w:pPr>
          </w:p>
        </w:tc>
        <w:tc>
          <w:tcPr>
            <w:tcW w:w="1320" w:type="dxa"/>
            <w:vAlign w:val="bottom"/>
          </w:tcPr>
          <w:p>
            <w:pPr>
              <w:jc w:val="right"/>
              <w:ind w:right="734"/>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100" w:type="dxa"/>
            <w:vAlign w:val="bottom"/>
          </w:tcPr>
          <w:p>
            <w:pPr>
              <w:jc w:val="right"/>
              <w:ind w:right="392"/>
              <w:spacing w:after="0" w:line="203"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8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980" w:type="dxa"/>
            <w:vAlign w:val="bottom"/>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Restructuring charges,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in-process research</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and development and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52"/>
              <w:spacing w:after="0" w:line="203" w:lineRule="exact"/>
              <w:rPr>
                <w:sz w:val="20"/>
                <w:szCs w:val="20"/>
                <w:color w:val="auto"/>
              </w:rPr>
            </w:pPr>
            <w:r>
              <w:rPr>
                <w:rFonts w:ascii="Arial" w:cs="Arial" w:eastAsia="Arial" w:hAnsi="Arial"/>
                <w:sz w:val="18"/>
                <w:szCs w:val="18"/>
                <w:color w:val="auto"/>
              </w:rPr>
              <w:t>6,761</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1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74"/>
              <w:spacing w:after="0" w:line="203" w:lineRule="exact"/>
              <w:rPr>
                <w:sz w:val="20"/>
                <w:szCs w:val="20"/>
                <w:color w:val="auto"/>
              </w:rPr>
            </w:pPr>
            <w:r>
              <w:rPr>
                <w:rFonts w:ascii="Arial" w:cs="Arial" w:eastAsia="Arial" w:hAnsi="Arial"/>
                <w:sz w:val="18"/>
                <w:szCs w:val="18"/>
                <w:color w:val="auto"/>
                <w:w w:val="94"/>
              </w:rPr>
              <w:t>(6,761)</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2"/>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4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w w:val="97"/>
              </w:rPr>
              <w:t>1,846,191</w:t>
            </w: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8"/>
              </w:rPr>
              <w:t>(55,785)</w:t>
            </w:r>
          </w:p>
        </w:tc>
        <w:tc>
          <w:tcPr>
            <w:tcW w:w="5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4"/>
              </w:rPr>
              <w:t>(6,761)</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8"/>
              </w:rPr>
              <w:t>(39,970)</w:t>
            </w: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7"/>
              </w:rPr>
              <w:t>1,743,675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263,293</w:t>
            </w:r>
          </w:p>
        </w:tc>
        <w:tc>
          <w:tcPr>
            <w:tcW w:w="5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55,785</w:t>
            </w:r>
          </w:p>
        </w:tc>
        <w:tc>
          <w:tcPr>
            <w:tcW w:w="5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734"/>
              <w:spacing w:after="0" w:line="202" w:lineRule="exact"/>
              <w:rPr>
                <w:sz w:val="20"/>
                <w:szCs w:val="20"/>
                <w:color w:val="auto"/>
              </w:rPr>
            </w:pPr>
            <w:r>
              <w:rPr>
                <w:rFonts w:ascii="Arial" w:cs="Arial" w:eastAsia="Arial" w:hAnsi="Arial"/>
                <w:sz w:val="18"/>
                <w:szCs w:val="18"/>
                <w:color w:val="auto"/>
              </w:rPr>
              <w:t>6,761</w:t>
            </w:r>
          </w:p>
        </w:tc>
        <w:tc>
          <w:tcPr>
            <w:tcW w:w="2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39,970</w:t>
            </w: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365,809</w:t>
            </w:r>
          </w:p>
        </w:tc>
        <w:tc>
          <w:tcPr>
            <w:tcW w:w="0" w:type="dxa"/>
            <w:vAlign w:val="bottom"/>
          </w:tcPr>
          <w:p>
            <w:pPr>
              <w:spacing w:after="0"/>
              <w:rPr>
                <w:sz w:val="1"/>
                <w:szCs w:val="1"/>
                <w:color w:val="auto"/>
              </w:rPr>
            </w:pPr>
          </w:p>
        </w:tc>
      </w:tr>
      <w:tr>
        <w:trPr>
          <w:trHeight w:val="412"/>
        </w:trPr>
        <w:tc>
          <w:tcPr>
            <w:tcW w:w="24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31,527</w:t>
            </w:r>
          </w:p>
        </w:tc>
        <w:tc>
          <w:tcPr>
            <w:tcW w:w="5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18,047</w:t>
            </w:r>
          </w:p>
        </w:tc>
        <w:tc>
          <w:tcPr>
            <w:tcW w:w="4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49,574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2"/>
              <w:spacing w:after="0" w:line="202" w:lineRule="exact"/>
              <w:rPr>
                <w:sz w:val="20"/>
                <w:szCs w:val="20"/>
                <w:color w:val="auto"/>
              </w:rPr>
            </w:pPr>
            <w:r>
              <w:rPr>
                <w:rFonts w:ascii="Arial" w:cs="Arial" w:eastAsia="Arial" w:hAnsi="Arial"/>
                <w:sz w:val="18"/>
                <w:szCs w:val="18"/>
                <w:color w:val="auto"/>
              </w:rPr>
              <w:t>268,694</w:t>
            </w: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55,785</w:t>
            </w: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734"/>
              <w:spacing w:after="0" w:line="202" w:lineRule="exact"/>
              <w:rPr>
                <w:sz w:val="20"/>
                <w:szCs w:val="20"/>
                <w:color w:val="auto"/>
              </w:rPr>
            </w:pPr>
            <w:r>
              <w:rPr>
                <w:rFonts w:ascii="Arial" w:cs="Arial" w:eastAsia="Arial" w:hAnsi="Arial"/>
                <w:sz w:val="18"/>
                <w:szCs w:val="18"/>
                <w:color w:val="auto"/>
              </w:rPr>
              <w:t>6,761</w:t>
            </w:r>
          </w:p>
        </w:tc>
        <w:tc>
          <w:tcPr>
            <w:tcW w:w="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392"/>
              <w:spacing w:after="0" w:line="202" w:lineRule="exact"/>
              <w:rPr>
                <w:sz w:val="20"/>
                <w:szCs w:val="20"/>
                <w:color w:val="auto"/>
              </w:rPr>
            </w:pPr>
            <w:r>
              <w:rPr>
                <w:rFonts w:ascii="Arial" w:cs="Arial" w:eastAsia="Arial" w:hAnsi="Arial"/>
                <w:sz w:val="18"/>
                <w:szCs w:val="18"/>
                <w:color w:val="auto"/>
              </w:rPr>
              <w:t>39,970</w:t>
            </w:r>
          </w:p>
        </w:tc>
        <w:tc>
          <w:tcPr>
            <w:tcW w:w="4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98"/>
              </w:rPr>
              <w:t>(18,047)</w:t>
            </w: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353,163</w:t>
            </w: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92"/>
              <w:spacing w:after="0" w:line="143" w:lineRule="exact"/>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2"/>
                <w:szCs w:val="12"/>
                <w:color w:val="auto"/>
              </w:rPr>
            </w:pPr>
          </w:p>
        </w:tc>
        <w:tc>
          <w:tcPr>
            <w:tcW w:w="9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interest-bearing investments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1,180,405</w:t>
            </w:r>
          </w:p>
        </w:tc>
        <w:tc>
          <w:tcPr>
            <w:tcW w:w="7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1,179,280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Accounts receivable, net, including unbilled of $35,744 and $43,870 respectively (*)</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588,667</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473,847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receivable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98,605</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104,050</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1,971,727</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1,869,496</w:t>
            </w:r>
          </w:p>
        </w:tc>
        <w:tc>
          <w:tcPr>
            <w:tcW w:w="0" w:type="dxa"/>
            <w:vAlign w:val="bottom"/>
          </w:tcPr>
          <w:p>
            <w:pPr>
              <w:spacing w:after="0"/>
              <w:rPr>
                <w:sz w:val="1"/>
                <w:szCs w:val="1"/>
                <w:color w:val="auto"/>
              </w:rPr>
            </w:pPr>
          </w:p>
        </w:tc>
      </w:tr>
      <w:tr>
        <w:trPr>
          <w:trHeight w:val="405"/>
        </w:trPr>
        <w:tc>
          <w:tcPr>
            <w:tcW w:w="8780" w:type="dxa"/>
            <w:vAlign w:val="bottom"/>
            <w:gridSpan w:val="2"/>
          </w:tcPr>
          <w:p>
            <w:pPr>
              <w:spacing w:after="0"/>
              <w:rPr>
                <w:sz w:val="20"/>
                <w:szCs w:val="20"/>
                <w:color w:val="auto"/>
              </w:rPr>
            </w:pPr>
            <w:r>
              <w:rPr>
                <w:rFonts w:ascii="Arial" w:cs="Arial" w:eastAsia="Arial" w:hAnsi="Arial"/>
                <w:sz w:val="18"/>
                <w:szCs w:val="18"/>
                <w:color w:val="auto"/>
              </w:rPr>
              <w:t>Equipment, vehicles and leasehold improvements, net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304,146</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283,839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and other intangible assets, net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1,794,893</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1,792,588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Other noncurrent assets (*)</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493,225</w:t>
            </w:r>
          </w:p>
        </w:tc>
        <w:tc>
          <w:tcPr>
            <w:tcW w:w="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399,427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4,563,991</w:t>
            </w:r>
          </w:p>
        </w:tc>
        <w:tc>
          <w:tcPr>
            <w:tcW w:w="7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4,345,350</w:t>
            </w: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Accounts payable and accruals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584,424</w:t>
            </w:r>
          </w:p>
        </w:tc>
        <w:tc>
          <w:tcPr>
            <w:tcW w:w="780" w:type="dxa"/>
            <w:vAlign w:val="bottom"/>
            <w:gridSpan w:val="2"/>
          </w:tcPr>
          <w:p>
            <w:pPr>
              <w:ind w:left="64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592,937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Short-term portion of capital lease obligations and other financing arrangements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2,033</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Deferred revenue (*)</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188,336</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174,526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and taxes payable</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39,591</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205,960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814,384</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975,478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0.50% Convertible notes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line="202" w:lineRule="exact"/>
              <w:rPr>
                <w:sz w:val="20"/>
                <w:szCs w:val="20"/>
                <w:color w:val="auto"/>
              </w:rPr>
            </w:pPr>
            <w:r>
              <w:rPr>
                <w:rFonts w:ascii="Arial" w:cs="Arial" w:eastAsia="Arial" w:hAnsi="Arial"/>
                <w:sz w:val="18"/>
                <w:szCs w:val="18"/>
                <w:color w:val="auto"/>
              </w:rPr>
              <w:t>Noncurrent liabilities and other</w:t>
            </w: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500,238</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319,629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2,799,369</w:t>
            </w:r>
          </w:p>
        </w:tc>
        <w:tc>
          <w:tcPr>
            <w:tcW w:w="6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2,600,243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8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4,563,991</w:t>
            </w:r>
          </w:p>
        </w:tc>
        <w:tc>
          <w:tcPr>
            <w:tcW w:w="7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4,345,350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7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amounts in prior period financial statements have been reclassified to conform to the current period presentation.</w:t>
      </w:r>
    </w:p>
    <w:sectPr>
      <w:pgSz w:w="11900" w:h="16838" w:orient="portrait"/>
      <w:cols w:equalWidth="0" w:num="1">
        <w:col w:w="11420"/>
      </w:cols>
      <w:pgMar w:left="240" w:top="9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2019-12-14T20:53:49Z</dcterms:created>
  <dcterms:modified xsi:type="dcterms:W3CDTF">2019-12-14T20:53:49Z</dcterms:modified>
</cp:coreProperties>
</file>