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FORM 20-F/A</w:t>
      </w:r>
    </w:p>
    <w:p>
      <w:pPr>
        <w:spacing w:after="0" w:line="3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133350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0" w:lineRule="exact"/>
        <w:rPr>
          <w:sz w:val="24"/>
          <w:szCs w:val="24"/>
          <w:color w:val="auto"/>
        </w:rPr>
      </w:pPr>
    </w:p>
    <w:p>
      <w:pPr>
        <w:ind w:left="5600" w:right="2660" w:hanging="5396"/>
        <w:spacing w:after="0" w:line="386" w:lineRule="auto"/>
        <w:tabs>
          <w:tab w:leader="none" w:pos="63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22" w:lineRule="exact"/>
        <w:rPr>
          <w:sz w:val="24"/>
          <w:szCs w:val="24"/>
          <w:color w:val="auto"/>
        </w:rPr>
      </w:pPr>
    </w:p>
    <w:p>
      <w:pPr>
        <w:ind w:left="4340" w:right="3480" w:hanging="4136"/>
        <w:spacing w:after="0" w:line="392" w:lineRule="auto"/>
        <w:tabs>
          <w:tab w:leader="none" w:pos="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September 30, 2019</w:t>
      </w:r>
    </w:p>
    <w:p>
      <w:pPr>
        <w:ind w:left="56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4220"/>
        <w:spacing w:after="0"/>
        <w:tabs>
          <w:tab w:leader="none" w:pos="6560" w:val="left"/>
          <w:tab w:leader="none" w:pos="71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8"/>
          <w:szCs w:val="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0</wp:posOffset>
            </wp:positionV>
            <wp:extent cx="669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7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3920" w:right="2840" w:hanging="3716"/>
        <w:spacing w:after="0" w:line="392" w:lineRule="auto"/>
        <w:tabs>
          <w:tab w:leader="none" w:pos="64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w:t>
      </w:r>
    </w:p>
    <w:p>
      <w:pPr>
        <w:ind w:left="46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144780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0"/>
          <w:szCs w:val="40"/>
          <w:b w:val="1"/>
          <w:bCs w:val="1"/>
          <w:color w:val="auto"/>
        </w:rPr>
        <w:t>AMDOCS LIMITED</w:t>
      </w:r>
    </w:p>
    <w:p>
      <w:pPr>
        <w:spacing w:after="0" w:line="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133350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Island of Guernsey</w:t>
      </w:r>
    </w:p>
    <w:p>
      <w:pPr>
        <w:jc w:val="center"/>
        <w:ind w:right="-279"/>
        <w:spacing w:after="0" w:line="229" w:lineRule="auto"/>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jc w:val="center"/>
        <w:ind w:right="-279"/>
        <w:spacing w:after="0" w:line="222" w:lineRule="auto"/>
        <w:rPr>
          <w:sz w:val="20"/>
          <w:szCs w:val="20"/>
          <w:color w:val="auto"/>
        </w:rPr>
      </w:pPr>
      <w:r>
        <w:rPr>
          <w:rFonts w:ascii="Times New Roman" w:cs="Times New Roman" w:eastAsia="Times New Roman" w:hAnsi="Times New Roman"/>
          <w:sz w:val="14"/>
          <w:szCs w:val="14"/>
          <w:b w:val="1"/>
          <w:bCs w:val="1"/>
          <w:color w:val="auto"/>
        </w:rPr>
        <w:t>Hirzel House, Smith Street,</w:t>
      </w:r>
    </w:p>
    <w:p>
      <w:pPr>
        <w:jc w:val="center"/>
        <w:ind w:right="-279"/>
        <w:spacing w:after="0" w:line="221" w:lineRule="auto"/>
        <w:rPr>
          <w:sz w:val="20"/>
          <w:szCs w:val="20"/>
          <w:color w:val="auto"/>
        </w:rPr>
      </w:pPr>
      <w:r>
        <w:rPr>
          <w:rFonts w:ascii="Times New Roman" w:cs="Times New Roman" w:eastAsia="Times New Roman" w:hAnsi="Times New Roman"/>
          <w:sz w:val="14"/>
          <w:szCs w:val="14"/>
          <w:b w:val="1"/>
          <w:bCs w:val="1"/>
          <w:color w:val="auto"/>
        </w:rPr>
        <w:t>St. Peter Port, Guernsey, GY1 2NG</w:t>
      </w:r>
    </w:p>
    <w:p>
      <w:pPr>
        <w:jc w:val="center"/>
        <w:ind w:right="-279"/>
        <w:spacing w:after="0" w:line="222" w:lineRule="auto"/>
        <w:rPr>
          <w:sz w:val="20"/>
          <w:szCs w:val="20"/>
          <w:color w:val="auto"/>
        </w:rPr>
      </w:pPr>
      <w:r>
        <w:rPr>
          <w:rFonts w:ascii="Times New Roman" w:cs="Times New Roman" w:eastAsia="Times New Roman" w:hAnsi="Times New Roman"/>
          <w:sz w:val="14"/>
          <w:szCs w:val="14"/>
          <w:b w:val="1"/>
          <w:bCs w:val="1"/>
          <w:color w:val="auto"/>
        </w:rPr>
        <w:t>Amdocs, Inc.</w:t>
      </w:r>
    </w:p>
    <w:p>
      <w:pPr>
        <w:jc w:val="center"/>
        <w:ind w:right="-279"/>
        <w:spacing w:after="0" w:line="221" w:lineRule="auto"/>
        <w:rPr>
          <w:sz w:val="20"/>
          <w:szCs w:val="20"/>
          <w:color w:val="auto"/>
        </w:rPr>
      </w:pPr>
      <w:r>
        <w:rPr>
          <w:rFonts w:ascii="Times New Roman" w:cs="Times New Roman" w:eastAsia="Times New Roman" w:hAnsi="Times New Roman"/>
          <w:sz w:val="14"/>
          <w:szCs w:val="14"/>
          <w:b w:val="1"/>
          <w:bCs w:val="1"/>
          <w:color w:val="auto"/>
        </w:rPr>
        <w:t>1390 Timberlake Manor Parkway, Chesterfield, Missouri 63017</w:t>
      </w: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7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Matthew E. Smith</w:t>
      </w:r>
    </w:p>
    <w:p>
      <w:pPr>
        <w:jc w:val="center"/>
        <w:ind w:right="-279"/>
        <w:spacing w:after="0" w:line="229" w:lineRule="auto"/>
        <w:rPr>
          <w:sz w:val="20"/>
          <w:szCs w:val="20"/>
          <w:color w:val="auto"/>
        </w:rPr>
      </w:pPr>
      <w:r>
        <w:rPr>
          <w:rFonts w:ascii="Times New Roman" w:cs="Times New Roman" w:eastAsia="Times New Roman" w:hAnsi="Times New Roman"/>
          <w:sz w:val="14"/>
          <w:szCs w:val="14"/>
          <w:b w:val="1"/>
          <w:bCs w:val="1"/>
          <w:color w:val="auto"/>
        </w:rPr>
        <w:t>Amdocs, Inc.</w:t>
      </w:r>
    </w:p>
    <w:p>
      <w:pPr>
        <w:jc w:val="center"/>
        <w:ind w:right="-279"/>
        <w:spacing w:after="0" w:line="222" w:lineRule="auto"/>
        <w:rPr>
          <w:sz w:val="20"/>
          <w:szCs w:val="20"/>
          <w:color w:val="auto"/>
        </w:rPr>
      </w:pPr>
      <w:r>
        <w:rPr>
          <w:rFonts w:ascii="Times New Roman" w:cs="Times New Roman" w:eastAsia="Times New Roman" w:hAnsi="Times New Roman"/>
          <w:sz w:val="14"/>
          <w:szCs w:val="14"/>
          <w:b w:val="1"/>
          <w:bCs w:val="1"/>
          <w:color w:val="auto"/>
        </w:rPr>
        <w:t>1390 Timberlake Manor Parkway, Chesterfield, Missouri 63017</w:t>
      </w:r>
    </w:p>
    <w:p>
      <w:pPr>
        <w:jc w:val="center"/>
        <w:ind w:right="-279"/>
        <w:spacing w:after="0" w:line="221" w:lineRule="auto"/>
        <w:rPr>
          <w:sz w:val="20"/>
          <w:szCs w:val="20"/>
          <w:color w:val="auto"/>
        </w:rPr>
      </w:pPr>
      <w:r>
        <w:rPr>
          <w:rFonts w:ascii="Times New Roman" w:cs="Times New Roman" w:eastAsia="Times New Roman" w:hAnsi="Times New Roman"/>
          <w:sz w:val="14"/>
          <w:szCs w:val="14"/>
          <w:b w:val="1"/>
          <w:bCs w:val="1"/>
          <w:color w:val="auto"/>
        </w:rPr>
        <w:t>Telephone: 314-212-8328</w:t>
      </w:r>
    </w:p>
    <w:p>
      <w:pPr>
        <w:jc w:val="center"/>
        <w:ind w:right="-279"/>
        <w:spacing w:after="0" w:line="222" w:lineRule="auto"/>
        <w:rPr>
          <w:sz w:val="20"/>
          <w:szCs w:val="20"/>
          <w:color w:val="auto"/>
        </w:rPr>
      </w:pPr>
      <w:r>
        <w:rPr>
          <w:rFonts w:ascii="Times New Roman" w:cs="Times New Roman" w:eastAsia="Times New Roman" w:hAnsi="Times New Roman"/>
          <w:sz w:val="14"/>
          <w:szCs w:val="14"/>
          <w:b w:val="1"/>
          <w:bCs w:val="1"/>
          <w:color w:val="auto"/>
        </w:rPr>
        <w:t>Email: dox_info@amdocs.com</w:t>
      </w: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7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100" w:lineRule="exact"/>
        <w:rPr>
          <w:sz w:val="24"/>
          <w:szCs w:val="24"/>
          <w:color w:val="auto"/>
        </w:rPr>
      </w:pPr>
    </w:p>
    <w:tbl>
      <w:tblPr>
        <w:tblLayout w:type="fixed"/>
        <w:tblInd w:w="1960" w:type="dxa"/>
        <w:tblCellMar>
          <w:top w:w="0" w:type="dxa"/>
          <w:left w:w="0" w:type="dxa"/>
          <w:bottom w:w="0" w:type="dxa"/>
          <w:right w:w="0" w:type="dxa"/>
        </w:tblCellMar>
      </w:tblPr>
      <w:tr>
        <w:trPr>
          <w:trHeight w:val="168"/>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7"/>
              </w:rPr>
              <w:t>Ordinary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9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185"/>
        </w:trPr>
        <w:tc>
          <w:tcPr>
            <w:tcW w:w="520" w:type="dxa"/>
            <w:vAlign w:val="bottom"/>
            <w:vMerge w:val="continue"/>
          </w:tcPr>
          <w:p>
            <w:pPr>
              <w:spacing w:after="0"/>
              <w:rPr>
                <w:sz w:val="16"/>
                <w:szCs w:val="16"/>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par value £0.01</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133350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133350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40"/>
          </w:cols>
          <w:pgMar w:left="240" w:top="226" w:right="519" w:bottom="450" w:gutter="0" w:footer="0" w:header="0"/>
        </w:sectPr>
      </w:pPr>
    </w:p>
    <w:p>
      <w:pPr>
        <w:spacing w:after="0" w:line="20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134,773,123(1)</w:t>
      </w:r>
    </w:p>
    <w:p>
      <w:pPr>
        <w:spacing w:after="0" w:line="20" w:lineRule="exact"/>
        <w:rPr>
          <w:sz w:val="24"/>
          <w:szCs w:val="24"/>
          <w:color w:val="auto"/>
        </w:rPr>
      </w:pPr>
    </w:p>
    <w:p>
      <w:pPr>
        <w:sectPr>
          <w:pgSz w:w="11900" w:h="16838" w:orient="portrait"/>
          <w:cols w:equalWidth="0" w:num="2">
            <w:col w:w="7380" w:space="720"/>
            <w:col w:w="3040"/>
          </w:cols>
          <w:pgMar w:left="240" w:top="226" w:right="519" w:bottom="450" w:gutter="0" w:footer="0" w:header="0"/>
          <w:type w:val="continuous"/>
        </w:sectPr>
      </w:pPr>
    </w:p>
    <w:p>
      <w:pPr>
        <w:ind w:left="2600"/>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(Number of shares)</w:t>
      </w:r>
    </w:p>
    <w:p>
      <w:pPr>
        <w:spacing w:after="0" w:line="65" w:lineRule="exact"/>
        <w:rPr>
          <w:sz w:val="24"/>
          <w:szCs w:val="24"/>
          <w:color w:val="auto"/>
        </w:rPr>
      </w:pPr>
    </w:p>
    <w:p>
      <w:pPr>
        <w:sectPr>
          <w:pgSz w:w="11900" w:h="16838" w:orient="portrait"/>
          <w:cols w:equalWidth="0" w:num="2">
            <w:col w:w="7320" w:space="720"/>
            <w:col w:w="3100"/>
          </w:cols>
          <w:pgMar w:left="240" w:top="226" w:right="519" w:bottom="450" w:gutter="0" w:footer="0" w:header="0"/>
          <w:type w:val="continuous"/>
        </w:sectPr>
      </w:pPr>
    </w:p>
    <w:p>
      <w:pPr>
        <w:spacing w:after="0" w:line="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3" w:lineRule="exact"/>
        <w:rPr>
          <w:sz w:val="24"/>
          <w:szCs w:val="24"/>
          <w:color w:val="auto"/>
        </w:rPr>
      </w:pPr>
    </w:p>
    <w:p>
      <w:pPr>
        <w:sectPr>
          <w:pgSz w:w="11900" w:h="16838" w:orient="portrait"/>
          <w:cols w:equalWidth="0" w:num="5">
            <w:col w:w="7300" w:space="120"/>
            <w:col w:w="220" w:space="80"/>
            <w:col w:w="120" w:space="140"/>
            <w:col w:w="180" w:space="80"/>
            <w:col w:w="2900"/>
          </w:cols>
          <w:pgMar w:left="240" w:top="226" w:right="519" w:bottom="450" w:gutter="0" w:footer="0" w:header="0"/>
          <w:type w:val="continuous"/>
        </w:sectPr>
      </w:pPr>
    </w:p>
    <w:p>
      <w:pPr>
        <w:ind w:left="200" w:right="240" w:firstLine="331"/>
        <w:spacing w:after="0" w:line="182"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200" w:firstLine="331"/>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200" w:right="100" w:firstLine="33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Times New Roman" w:cs="Times New Roman" w:eastAsia="Times New Roman" w:hAnsi="Times New Roman"/>
          <w:sz w:val="14"/>
          <w:szCs w:val="14"/>
          <w:color w:val="auto"/>
        </w:rPr>
        <w:t>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ind w:left="200" w:right="600" w:firstLine="331"/>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44" w:lineRule="exact"/>
        <w:rPr>
          <w:sz w:val="24"/>
          <w:szCs w:val="24"/>
          <w:color w:val="auto"/>
        </w:rPr>
      </w:pPr>
    </w:p>
    <w:p>
      <w:pPr>
        <w:ind w:left="1800"/>
        <w:spacing w:after="0" w:line="161" w:lineRule="exact"/>
        <w:tabs>
          <w:tab w:leader="none" w:pos="3900" w:val="left"/>
          <w:tab w:leader="none" w:pos="5720" w:val="left"/>
          <w:tab w:leader="none" w:pos="77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ind w:left="200" w:right="440" w:firstLine="33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86" w:lineRule="exact"/>
        <w:rPr>
          <w:sz w:val="24"/>
          <w:szCs w:val="24"/>
          <w:color w:val="auto"/>
        </w:rPr>
      </w:pPr>
    </w:p>
    <w:tbl>
      <w:tblPr>
        <w:tblLayout w:type="fixed"/>
        <w:tblInd w:w="540" w:type="dxa"/>
        <w:tblCellMar>
          <w:top w:w="0" w:type="dxa"/>
          <w:left w:w="0" w:type="dxa"/>
          <w:bottom w:w="0" w:type="dxa"/>
          <w:right w:w="0" w:type="dxa"/>
        </w:tblCellMar>
      </w:tblPr>
      <w:tr>
        <w:trPr>
          <w:trHeight w:val="168"/>
        </w:trPr>
        <w:tc>
          <w:tcPr>
            <w:tcW w:w="2660" w:type="dxa"/>
            <w:vAlign w:val="bottom"/>
          </w:tcPr>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5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1580" w:type="dxa"/>
            <w:vAlign w:val="bottom"/>
          </w:tcPr>
          <w:p>
            <w:pPr>
              <w:ind w:left="1040"/>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tc>
      </w:tr>
      <w:tr>
        <w:trPr>
          <w:trHeight w:val="226"/>
        </w:trPr>
        <w:tc>
          <w:tcPr>
            <w:tcW w:w="2660" w:type="dxa"/>
            <w:vAlign w:val="bottom"/>
          </w:tcPr>
          <w:p>
            <w:pPr>
              <w:spacing w:after="0"/>
              <w:rPr>
                <w:sz w:val="19"/>
                <w:szCs w:val="19"/>
                <w:color w:val="auto"/>
              </w:rPr>
            </w:pPr>
          </w:p>
        </w:tc>
        <w:tc>
          <w:tcPr>
            <w:tcW w:w="5460" w:type="dxa"/>
            <w:vAlign w:val="bottom"/>
          </w:tcPr>
          <w:p>
            <w:pPr>
              <w:jc w:val="center"/>
              <w:ind w:right="28"/>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1580" w:type="dxa"/>
            <w:vAlign w:val="bottom"/>
          </w:tcPr>
          <w:p>
            <w:pPr>
              <w:spacing w:after="0"/>
              <w:rPr>
                <w:sz w:val="19"/>
                <w:szCs w:val="19"/>
                <w:color w:val="auto"/>
              </w:rPr>
            </w:pPr>
          </w:p>
        </w:tc>
      </w:tr>
      <w:tr>
        <w:trPr>
          <w:trHeight w:val="265"/>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tc>
        <w:tc>
          <w:tcPr>
            <w:tcW w:w="158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68" w:lineRule="exact"/>
        <w:rPr>
          <w:sz w:val="24"/>
          <w:szCs w:val="24"/>
          <w:color w:val="auto"/>
        </w:rPr>
      </w:pPr>
    </w:p>
    <w:p>
      <w:pPr>
        <w:ind w:left="520" w:right="20" w:hanging="316"/>
        <w:spacing w:after="0" w:line="262"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142,374,728 shares held in treasury. Does not include 6,941,175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133985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226" w:right="519" w:bottom="45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7"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Amdocs Limited (the “Company”) is filing this Amendment No. 1 (this “Amendment No. 1”) to its Annual Report on Form 20-F for the fiscal year ended September 30, 2019 (the “Form 20-F”), which was filed with the Securities and Exchange Commission on December 16, 2019, to submit Interactive Data Files (as defined in Rule 11 of Regulation S-T) in Inline XBRL format in accordance with Rules 405 and 406 of Regulation S-T.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Except as set forth above, this Amendment No. 1 does not modify or update any of the disclosures in the Form 20-F.</w:t>
      </w:r>
    </w:p>
    <w:p>
      <w:pPr>
        <w:sectPr>
          <w:pgSz w:w="11900" w:h="16838" w:orient="portrait"/>
          <w:cols w:equalWidth="0" w:num="1">
            <w:col w:w="10820"/>
          </w:cols>
          <w:pgMar w:left="240" w:top="401" w:right="8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0" w:type="dxa"/>
            <w:vAlign w:val="bottom"/>
            <w:vMerge w:val="restart"/>
          </w:tcPr>
          <w:p>
            <w:pPr>
              <w:spacing w:after="0"/>
              <w:rPr>
                <w:rFonts w:ascii="Times New Roman" w:cs="Times New Roman" w:eastAsia="Times New Roman" w:hAnsi="Times New Roman"/>
                <w:sz w:val="18"/>
                <w:szCs w:val="18"/>
                <w:color w:val="0000EE"/>
                <w:w w:val="91"/>
              </w:rPr>
            </w:pPr>
            <w:hyperlink w:anchor="page5">
              <w:r>
                <w:rPr>
                  <w:rFonts w:ascii="Times New Roman" w:cs="Times New Roman" w:eastAsia="Times New Roman" w:hAnsi="Times New Roman"/>
                  <w:sz w:val="18"/>
                  <w:szCs w:val="18"/>
                  <w:color w:val="0000EE"/>
                  <w:w w:val="91"/>
                </w:rPr>
                <w:t>PART I</w:t>
              </w:r>
            </w:hyperlink>
          </w:p>
        </w:tc>
        <w:tc>
          <w:tcPr>
            <w:tcW w:w="1100" w:type="dxa"/>
            <w:vAlign w:val="bottom"/>
            <w:gridSpan w:val="3"/>
            <w:vMerge w:val="restart"/>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18"/>
        </w:trPr>
        <w:tc>
          <w:tcPr>
            <w:tcW w:w="1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7320" w:type="dxa"/>
            <w:vAlign w:val="bottom"/>
            <w:gridSpan w:val="2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Identity of Directors, Senior Management and Advisers</w:t>
              </w:r>
            </w:hyperlink>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3320" w:type="dxa"/>
            <w:vAlign w:val="bottom"/>
            <w:gridSpan w:val="5"/>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Key Information</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Information on the Company</w:t>
              </w:r>
            </w:hyperlink>
          </w:p>
        </w:tc>
        <w:tc>
          <w:tcPr>
            <w:tcW w:w="5220" w:type="dxa"/>
            <w:vAlign w:val="bottom"/>
            <w:gridSpan w:val="14"/>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Unresolved Staff Comments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3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Operating and Financial Review and Prospects</w:t>
              </w:r>
            </w:hyperlink>
          </w:p>
        </w:tc>
        <w:tc>
          <w:tcPr>
            <w:tcW w:w="3940" w:type="dxa"/>
            <w:vAlign w:val="bottom"/>
            <w:gridSpan w:val="9"/>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Directors, Senior Management and Employees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Major Shareholders and Related Party Transactions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Financial Information</w:t>
              </w:r>
            </w:hyperlink>
          </w:p>
        </w:tc>
        <w:tc>
          <w:tcPr>
            <w:tcW w:w="2120" w:type="dxa"/>
            <w:vAlign w:val="bottom"/>
            <w:tcBorders>
              <w:top w:val="single" w:sz="8" w:color="0000EE"/>
            </w:tcBorders>
            <w:gridSpan w:val="12"/>
          </w:tcPr>
          <w:p>
            <w:pPr>
              <w:spacing w:after="0"/>
              <w:rPr>
                <w:sz w:val="17"/>
                <w:szCs w:val="17"/>
                <w:color w:val="auto"/>
              </w:rPr>
            </w:pPr>
          </w:p>
        </w:tc>
        <w:tc>
          <w:tcPr>
            <w:tcW w:w="3620" w:type="dxa"/>
            <w:vAlign w:val="bottom"/>
            <w:gridSpan w:val="7"/>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The Offer and Listing</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1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Additional Information</w:t>
              </w:r>
            </w:hyperlink>
          </w:p>
        </w:tc>
        <w:tc>
          <w:tcPr>
            <w:tcW w:w="5640" w:type="dxa"/>
            <w:vAlign w:val="bottom"/>
            <w:gridSpan w:val="17"/>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Quantitative and Qualitative Disclosures About Market Risk</w:t>
              </w:r>
            </w:hyperlink>
          </w:p>
        </w:tc>
        <w:tc>
          <w:tcPr>
            <w:tcW w:w="2960" w:type="dxa"/>
            <w:vAlign w:val="bottom"/>
            <w:gridSpan w:val="4"/>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Description of Securities Other Than Equity Securities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12"/>
        </w:trPr>
        <w:tc>
          <w:tcPr>
            <w:tcW w:w="1640" w:type="dxa"/>
            <w:vAlign w:val="bottom"/>
            <w:gridSpan w:val="4"/>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PART II</w:t>
              </w:r>
            </w:hyperlink>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7320" w:type="dxa"/>
            <w:vAlign w:val="bottom"/>
            <w:gridSpan w:val="25"/>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Defaults, Dividend Arrearages and Delinquencies</w:t>
              </w:r>
            </w:hyperlink>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Material Modifications to the Rights of Security Holders and Use of Proceeds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56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Controls and Procedures</w:t>
              </w:r>
            </w:hyperlink>
          </w:p>
        </w:tc>
        <w:tc>
          <w:tcPr>
            <w:tcW w:w="1720" w:type="dxa"/>
            <w:vAlign w:val="bottom"/>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2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Audit Committee Financial Expert</w:t>
              </w:r>
            </w:hyperlink>
          </w:p>
        </w:tc>
        <w:tc>
          <w:tcPr>
            <w:tcW w:w="4820" w:type="dxa"/>
            <w:vAlign w:val="bottom"/>
            <w:gridSpan w:val="13"/>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Code of Ethics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2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Principal Accountant Fees and Services</w:t>
              </w:r>
            </w:hyperlink>
          </w:p>
        </w:tc>
        <w:tc>
          <w:tcPr>
            <w:tcW w:w="4460" w:type="dxa"/>
            <w:vAlign w:val="bottom"/>
            <w:gridSpan w:val="12"/>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Exemption from the Listing Standards for Audit Committees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620" w:type="dxa"/>
            <w:vAlign w:val="bottom"/>
            <w:gridSpan w:val="1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Purchases of Equity Securities by the Issuer and Affiliated Purchasers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16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Corporate Governance</w:t>
              </w:r>
            </w:hyperlink>
          </w:p>
        </w:tc>
        <w:tc>
          <w:tcPr>
            <w:tcW w:w="3380" w:type="dxa"/>
            <w:vAlign w:val="bottom"/>
            <w:tcBorders>
              <w:top w:val="single" w:sz="8" w:color="0000EE"/>
            </w:tcBorders>
            <w:gridSpan w:val="16"/>
          </w:tcPr>
          <w:p>
            <w:pPr>
              <w:spacing w:after="0"/>
              <w:rPr>
                <w:sz w:val="17"/>
                <w:szCs w:val="17"/>
                <w:color w:val="auto"/>
              </w:rPr>
            </w:pPr>
          </w:p>
        </w:tc>
        <w:tc>
          <w:tcPr>
            <w:tcW w:w="2300" w:type="dxa"/>
            <w:vAlign w:val="bottom"/>
            <w:gridSpan w:val="2"/>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Mine Safety Disclosure</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12"/>
        </w:trPr>
        <w:tc>
          <w:tcPr>
            <w:tcW w:w="1640" w:type="dxa"/>
            <w:vAlign w:val="bottom"/>
            <w:gridSpan w:val="4"/>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PART III</w:t>
              </w:r>
            </w:hyperlink>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60" w:type="dxa"/>
            <w:vAlign w:val="bottom"/>
            <w:gridSpan w:val="2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17.</w:t>
            </w:r>
          </w:p>
        </w:tc>
        <w:tc>
          <w:tcPr>
            <w:tcW w:w="1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Statements</w:t>
              </w:r>
            </w:hyperlink>
          </w:p>
        </w:tc>
        <w:tc>
          <w:tcPr>
            <w:tcW w:w="5760" w:type="dxa"/>
            <w:vAlign w:val="bottom"/>
            <w:gridSpan w:val="20"/>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7320" w:type="dxa"/>
            <w:vAlign w:val="bottom"/>
            <w:gridSpan w:val="25"/>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Statements</w:t>
              </w:r>
            </w:hyperlink>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Exhibits</w:t>
              </w:r>
            </w:hyperlink>
          </w:p>
        </w:tc>
        <w:tc>
          <w:tcPr>
            <w:tcW w:w="900" w:type="dxa"/>
            <w:vAlign w:val="bottom"/>
            <w:tcBorders>
              <w:top w:val="single" w:sz="8" w:color="0000EE"/>
            </w:tcBorders>
            <w:gridSpan w:val="3"/>
          </w:tcPr>
          <w:p>
            <w:pPr>
              <w:spacing w:after="0"/>
              <w:rPr>
                <w:sz w:val="17"/>
                <w:szCs w:val="17"/>
                <w:color w:val="auto"/>
              </w:rPr>
            </w:pPr>
          </w:p>
        </w:tc>
        <w:tc>
          <w:tcPr>
            <w:tcW w:w="5820" w:type="dxa"/>
            <w:vAlign w:val="bottom"/>
            <w:gridSpan w:val="21"/>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2019 as “fiscal 2019.”</w:t>
      </w:r>
    </w:p>
    <w:p>
      <w:pPr>
        <w:spacing w:after="0" w:line="188" w:lineRule="exact"/>
        <w:rPr>
          <w:sz w:val="20"/>
          <w:szCs w:val="20"/>
          <w:color w:val="auto"/>
        </w:rPr>
      </w:pPr>
    </w:p>
    <w:p>
      <w:pPr>
        <w:ind w:left="200" w:right="240" w:firstLine="441"/>
        <w:spacing w:after="0" w:line="230" w:lineRule="auto"/>
        <w:rPr>
          <w:sz w:val="20"/>
          <w:szCs w:val="20"/>
          <w:color w:val="auto"/>
        </w:rPr>
      </w:pPr>
      <w:r>
        <w:rPr>
          <w:rFonts w:ascii="Times New Roman" w:cs="Times New Roman" w:eastAsia="Times New Roman" w:hAnsi="Times New Roman"/>
          <w:sz w:val="18"/>
          <w:szCs w:val="18"/>
          <w:color w:val="auto"/>
        </w:rPr>
        <w:t>We own, have rights to or use trademarks or trade names in conjunction with the sale of our products and services, including Amdocs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New World of Customer Experience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240" w:top="401"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7"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86"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240" w:top="401"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IDENTITY OF DIRECTORS, SENIOR MANAGEMENT AND ADVISERS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OFFER STATISTICS AND EXPECTED TIMETABLE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KEY INFORMATION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2019 is derived from our consolidated financial statements, which have been audited by Ernst &amp; Young LLP, our independent registered public accounting firm. You should read the information presented below in conjunction with those statements.</w:t>
      </w:r>
    </w:p>
    <w:p>
      <w:pPr>
        <w:spacing w:after="0" w:line="184"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7"/>
              </w:rPr>
              <w:t>4,086,669</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$3,974,837</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$3,867,155</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$3,718,229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569,746</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428,307</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517,333</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483,141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479,446</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354,396</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436,826</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409,331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3.49</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2.49</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3.47</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2.47</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2.96</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1.105</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0.970</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0.855</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0.755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0.665</w:t>
            </w:r>
          </w:p>
        </w:tc>
        <w:tc>
          <w:tcPr>
            <w:tcW w:w="10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interest-bearing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471,632</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  519,216</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979,608</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$1,095,723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7"/>
              </w:rPr>
              <w:t>5,292,826</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5,347,815</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5,279,380</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5,331,355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5,324,652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7"/>
              </w:rPr>
              <w:t>3,542,466</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3,492,042</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3,574,070</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3,453,561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640" w:right="120" w:hanging="436"/>
        <w:spacing w:after="0" w:line="258"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2012, we instituted a discretionary quarterly cash dividend program in the amount of $0.13 per share, with the first payment in the first quarter of fiscal 2013. In January 2014, January 2015, February 2016, January 2017, January 2018 and January 2019, our shareholders approved increases in the rate of the quarterly cash dividend to $0.155 per share, $0.17 per share, $0.195 per share, $0.22 per share, $0.25 and $0.285, respectively. In November 2019, our Board of Directors approved, subject to shareholders approval at the January 2020 annual general shareholders meeting, an increase in the rate of the quarterly cash dividend to $0.3275 per share.</w:t>
      </w:r>
    </w:p>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401"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640" w:right="80" w:hanging="436"/>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2016 (the “Redemption Date”), we redeemed all of our outstanding convertible notes due 2024 at a redemption price of 100% of the principal amount of the notes, plus accrued and unpaid interest up to, but excluding, the Redemption Date.</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6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4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gridSpan w:val="2"/>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6"/>
                <w:szCs w:val="6"/>
                <w:color w:val="auto"/>
              </w:rPr>
            </w:pPr>
          </w:p>
        </w:tc>
        <w:tc>
          <w:tcPr>
            <w:tcW w:w="960" w:type="dxa"/>
            <w:vAlign w:val="bottom"/>
            <w:gridSpan w:val="2"/>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147,134</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3,322,789</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(4,024,527)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restricted stock,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2017</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4,410</w:t>
            </w:r>
          </w:p>
        </w:tc>
        <w:tc>
          <w:tcPr>
            <w:tcW w:w="3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3,458,887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(4,365,124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 related to employees</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$4,436</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$3,587,625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$(4,784,352)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Employee stock options exercised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shares(1)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restricted stock,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4,452</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3,667,662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(5,182,409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40" w:right="40" w:hanging="436"/>
        <w:spacing w:after="0" w:line="25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Board of Directors can adopt share repurchase plans authorizing the repurchase of our outstanding ordinary shares. On November 8, 2017, our Board of Directors adopted another share repurchase plan for the repurchase of up to an additional $800.0 million of our outstanding ordinary shares with no expiration date. In April 2018, we completed the repurchase of the remaining authorized amount of ordinary shares under the February, 2016 plan and began executing repurchases under the November 2017 plan. In fiscal year 2019, we repurchased approximately 6.7 million ordinary shares at an average price of $59.79 per share (excluding broker and transaction fees). The November 2017 plan permits us to purchase our ordinary shares in open market or privately negotiated transactions at times and prices that we consider appropriate. As of September 30, 2019, we had remaining authority to repurchase up to $239.2 million of our outstanding ordinary shares under the November 2017 plan. On November 12, 2019, our Board of Directors adopted another share repurchase plan for the repurchase of up to an additional $800.0 million of our outstanding ordinary shares with no expiration date which brings the unused authorization as of September 30, 2019 to $1,039.2 million. The authorizations permit us to purchase our ordinary shares in open market or privately negotiated transactions at times and prices that we consider appropriate.</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401" w:right="419" w:bottom="1440" w:gutter="0" w:footer="0" w:header="0"/>
        </w:sectPr>
      </w:pPr>
    </w:p>
    <w:bookmarkStart w:id="6" w:name="page7"/>
    <w:bookmarkEnd w:id="6"/>
    <w:p>
      <w:pPr>
        <w:jc w:val="center"/>
        <w:ind w:right="9860"/>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general global economic and market conditions, particularly those impacting the communications industry.</w:t>
      </w:r>
    </w:p>
    <w:p>
      <w:pPr>
        <w:spacing w:after="0" w:line="12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93"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8" w:lineRule="exact"/>
        <w:rPr>
          <w:sz w:val="20"/>
          <w:szCs w:val="20"/>
          <w:color w:val="auto"/>
        </w:rPr>
      </w:pPr>
    </w:p>
    <w:p>
      <w:pPr>
        <w:ind w:left="4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to changing market conditions and cannot compete successfully with existing or new competitors, our business could be harmed.</w:t>
      </w:r>
    </w:p>
    <w:p>
      <w:pPr>
        <w:spacing w:after="0" w:line="5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84"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188"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with other vendors as well as with in-house IT and network departments of communications companies, depends on a number of factors, including:</w:t>
      </w:r>
    </w:p>
    <w:p>
      <w:pPr>
        <w:spacing w:after="0" w:line="54" w:lineRule="exact"/>
        <w:rPr>
          <w:sz w:val="20"/>
          <w:szCs w:val="20"/>
          <w:color w:val="auto"/>
        </w:rPr>
      </w:pPr>
    </w:p>
    <w:p>
      <w:pPr>
        <w:ind w:left="5660" w:right="2020" w:hanging="4916"/>
        <w:spacing w:after="0" w:line="532" w:lineRule="auto"/>
        <w:tabs>
          <w:tab w:leader="none" w:pos="10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by others of software products and services that are competitive with our products and services, 3</w:t>
      </w:r>
    </w:p>
    <w:p>
      <w:pPr>
        <w:sectPr>
          <w:pgSz w:w="11900" w:h="16838" w:orient="portrait"/>
          <w:cols w:equalWidth="0" w:num="1">
            <w:col w:w="11220"/>
          </w:cols>
          <w:pgMar w:left="240" w:top="401"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hanging="316"/>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others offer competitive software and services,</w:t>
      </w:r>
    </w:p>
    <w:p>
      <w:pPr>
        <w:spacing w:after="0" w:line="98"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competitors to deliver projects at a level of quality that rivals our own,</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responsiveness of our competitors to customer needs, and</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hire, retain and motivate key personnel.</w:t>
      </w:r>
    </w:p>
    <w:p>
      <w:pPr>
        <w:spacing w:after="0" w:line="225"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93" w:lineRule="exact"/>
        <w:rPr>
          <w:sz w:val="20"/>
          <w:szCs w:val="20"/>
          <w:color w:val="auto"/>
        </w:rPr>
      </w:pPr>
    </w:p>
    <w:p>
      <w:pPr>
        <w:jc w:val="both"/>
        <w:ind w:left="420" w:right="8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28"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upon our ability to enhance our existing products and services, to introduce new products, services and features to meet the requirements of our customers, and to adopt to and leverage new technologies and methodologies such as cloud, microservices-based architecture, DevOps,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89"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88" w:lineRule="exact"/>
        <w:rPr>
          <w:sz w:val="20"/>
          <w:szCs w:val="20"/>
          <w:color w:val="auto"/>
        </w:rPr>
      </w:pPr>
    </w:p>
    <w:p>
      <w:pPr>
        <w:jc w:val="both"/>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which may materially affect our business and result in potential legal liability.</w:t>
      </w:r>
    </w:p>
    <w:p>
      <w:pPr>
        <w:spacing w:after="0" w:line="67"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Our products and services, including our cloud offerings, store, retrieve, and manage our customers’ information and data, as well as our own data. We have a reputation for secure and reliable product offerings and</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01"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20"/>
        <w:spacing w:after="0" w:line="251" w:lineRule="auto"/>
        <w:rPr>
          <w:sz w:val="20"/>
          <w:szCs w:val="20"/>
          <w:color w:val="auto"/>
        </w:rPr>
      </w:pPr>
      <w:r>
        <w:rPr>
          <w:rFonts w:ascii="Times New Roman" w:cs="Times New Roman" w:eastAsia="Times New Roman" w:hAnsi="Times New Roman"/>
          <w:sz w:val="18"/>
          <w:szCs w:val="18"/>
          <w:color w:val="auto"/>
        </w:rPr>
        <w:t>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others. Increasing sophistication and frequency of cybersecurity incidents could mean that we might not discover a security breach or a loss of information for a significant amount of time after the breach, and might not be able to anticipate attacks or implement sufficient mitigating measures. Such cybersecurity incidents could include, but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191"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93"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Any of the events described above could cause our customers to make claims against us for damages allegedly resulting from a security breach or service disruption, which could adversely affect our business, results of operation and financial condition.</w:t>
      </w:r>
    </w:p>
    <w:p>
      <w:pPr>
        <w:spacing w:after="0" w:line="16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and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Complying with the GDPR and similar emerging and</w:t>
      </w:r>
    </w:p>
    <w:p>
      <w:pPr>
        <w:spacing w:after="0" w:line="1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240" w:top="401"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80"/>
        <w:spacing w:after="0" w:line="252" w:lineRule="auto"/>
        <w:rPr>
          <w:sz w:val="20"/>
          <w:szCs w:val="20"/>
          <w:color w:val="auto"/>
        </w:rPr>
      </w:pPr>
      <w:r>
        <w:rPr>
          <w:rFonts w:ascii="Times New Roman" w:cs="Times New Roman" w:eastAsia="Times New Roman" w:hAnsi="Times New Roman"/>
          <w:sz w:val="18"/>
          <w:szCs w:val="18"/>
          <w:color w:val="auto"/>
        </w:rPr>
        <w:t>changing privacy and data protection requirements may cause us to incur substantial costs or require us to change our business practices. Additionally, new local privacy laws have been enacted recently as part of an overall trend, including in the Philippines, U.S.A and Brazil.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 In addition, Guernsey has introduced legislation similar in form to the GDPR, the Data Protection (Bailiwick of Guernsey) Law, 2017 (as amended) which will apply globally in a similar fashion as the GDPR to our activities conducted from and within Guernsey.</w:t>
      </w: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significant revenues from our current research and development efforts for several years, if at all.</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293"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5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Our business is dependent on a limited number of significant customers, of which AT&amp;T has historically been our largest. AT&amp;T accounted for 23% and 27% of our revenue in fiscal years 2019 and 2018, respectively. We cannot assure you that our revenues from AT&amp;T will remain the same or grow in future years. Aggregate revenue derived from the multiple business arrangements we have with the ten largest of our significant customers accounted for approximately 65% of our revenue in fiscal year 2019 and 66% in fiscal year 2018.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For example, in April 2018, T-Mobile and Sprint entered into a definitive agreement to merge, subject to regulatory approvals and other closing conditions, and we cannot predict all possible outcomes resulting from the proposed merger, or from other current and potential customer consolidation activities. Revenue from individual customers may fluctuate from time to time based on the commencement, scope and completion of projects or other engagements, the timing and magnitude of which may be affected by market or other conditions.</w:t>
      </w:r>
    </w:p>
    <w:p>
      <w:pPr>
        <w:spacing w:after="0" w:line="193" w:lineRule="exact"/>
        <w:rPr>
          <w:sz w:val="20"/>
          <w:szCs w:val="20"/>
          <w:color w:val="auto"/>
        </w:rPr>
      </w:pPr>
    </w:p>
    <w:p>
      <w:pPr>
        <w:jc w:val="both"/>
        <w:ind w:left="200" w:right="60" w:firstLine="441"/>
        <w:spacing w:after="0" w:line="281" w:lineRule="auto"/>
        <w:rPr>
          <w:sz w:val="20"/>
          <w:szCs w:val="20"/>
          <w:color w:val="auto"/>
        </w:rPr>
      </w:pPr>
      <w:r>
        <w:rPr>
          <w:rFonts w:ascii="Times New Roman" w:cs="Times New Roman" w:eastAsia="Times New Roman" w:hAnsi="Times New Roman"/>
          <w:sz w:val="17"/>
          <w:szCs w:val="17"/>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01"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seek to acquire companies or technologies and cannot assure you that these acquisitions will enhance our products and services or strengthen our competitive position, and they may adversely affect our results of operations.</w:t>
      </w:r>
    </w:p>
    <w:p>
      <w:pPr>
        <w:spacing w:after="0" w:line="7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It is a part of our business strategy to pursue acquisitions and other initiatives in order to offer new products or services or otherwise enhance our market position or strategic strengths. Consistent with this strategy, in recent years we have completed numerous acquisitions and we are actively evaluating potential acquisition opportunities, some of which could be significant, stand alone or in the aggregate. In the future, we intend to continue to pursue acquisitions of other companies, products, services and technologies that we believe will advance our business strategy. However, we may not be able to identify suitable future acquisition candidates, consummate acquisitions on favorable terms or complete otherwise favorable acquisitions because of antitrust, regulatory or other concerns.</w:t>
      </w:r>
    </w:p>
    <w:p>
      <w:pPr>
        <w:spacing w:after="0" w:line="188"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cannot assure you that the acquisitions we have completed, or any future acquisitions that we may make, will enhance our products and services or strengthen our competitive position. Due to the multiple risks and difficulties associated with any acquisition, there can be no assurance that we will be successful in achieving our expected strategic, operating, and financial goals for any such acquisition.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integration of our acquisitions.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Times New Roman" w:cs="Times New Roman" w:eastAsia="Times New Roman" w:hAnsi="Times New Roman"/>
          <w:sz w:val="18"/>
          <w:szCs w:val="18"/>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293"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8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w:t>
      </w: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240" w:top="401"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18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88"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In addition, a national union and a group of our employees had attempted in the past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 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93"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times, we have experienced fluctuations in our quarterly operating results and anticipate that such movements may continue to occur.</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Fluctuations may result from many factors, including:</w:t>
      </w:r>
    </w:p>
    <w:p>
      <w:pPr>
        <w:spacing w:after="0" w:line="99" w:lineRule="exact"/>
        <w:rPr>
          <w:sz w:val="20"/>
          <w:szCs w:val="20"/>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timing and pace of progress of significant customer projects license and service fees, and sales of partners software and hardware,</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significant projects and activities by customers,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changes,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of new markets, regions, customers and domains, and</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225" w:lineRule="exact"/>
        <w:rPr>
          <w:sz w:val="20"/>
          <w:szCs w:val="20"/>
          <w:color w:val="auto"/>
        </w:rPr>
      </w:pPr>
    </w:p>
    <w:p>
      <w:pPr>
        <w:ind w:left="200" w:right="520" w:firstLine="441"/>
        <w:spacing w:after="0" w:line="266" w:lineRule="auto"/>
        <w:rPr>
          <w:sz w:val="20"/>
          <w:szCs w:val="20"/>
          <w:color w:val="auto"/>
        </w:rPr>
      </w:pPr>
      <w:r>
        <w:rPr>
          <w:rFonts w:ascii="Times New Roman" w:cs="Times New Roman" w:eastAsia="Times New Roman" w:hAnsi="Times New Roman"/>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We believe that the placement of customer orders may be concentrated in specific quarterly periods due to the time requirements and budgetary constraints of our customers. Although we recognize a significant portion of</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01"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00"/>
        <w:spacing w:after="0" w:line="254" w:lineRule="auto"/>
        <w:rPr>
          <w:sz w:val="20"/>
          <w:szCs w:val="20"/>
          <w:color w:val="auto"/>
        </w:rPr>
      </w:pPr>
      <w:r>
        <w:rPr>
          <w:rFonts w:ascii="Times New Roman" w:cs="Times New Roman" w:eastAsia="Times New Roman" w:hAnsi="Times New Roman"/>
          <w:sz w:val="18"/>
          <w:szCs w:val="18"/>
          <w:color w:val="auto"/>
        </w:rPr>
        <w:t>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90"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89"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7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8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Volatility and turmoil in the world’s capital markets may adversely affect our investment portfolio and other financial assets.</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Our cash, cash equivalents and short-term interest-bearing investments totaled $472 million, as of September 30, 2019. Our short-term investments, if applicable, generally consist primarily of bank deposits, corporate bonds, money market funds, U.S. government treasuries, and U.S. agency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240" w:top="401"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Declines in the financial condition of banks or other global financial institutions may adversely affect our normal financial operations.</w:t>
      </w: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the credit risk of customers that have been adversely affected by adverse business conditions.</w:t>
      </w:r>
    </w:p>
    <w:p>
      <w:pPr>
        <w:spacing w:after="0" w:line="121"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presence exposes us to risks associated with varied and changing political, cultural, legal and economic conditions worldwide.</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81" w:lineRule="exact"/>
        <w:rPr>
          <w:sz w:val="20"/>
          <w:szCs w:val="20"/>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non-localized products or services and other related services,</w:t>
      </w:r>
    </w:p>
    <w:p>
      <w:pPr>
        <w:spacing w:after="0" w:line="11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varied legal and regulatory requirements across jurisdictions, including those applicable to employees and the terms of employment,</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 converting local currencies or withholding taxes,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restrictions that limit the repatriation of earnings,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w:t>
      </w:r>
    </w:p>
    <w:p>
      <w:pPr>
        <w:spacing w:after="0" w:line="117"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complex foreign and U.S. laws and regulations, including communication, trade sanctions, export controls, and privacy regulations,</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threats of terrorism,</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 inflation,</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on the transfer of funds to and from foreign countries,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some countries,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effective income tax rates and tax policies among countries where we conduct business; and</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manner of the United Kingdom exiting the European Union, as and when it occurs.</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240" w:top="401"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20" w:firstLine="441"/>
        <w:spacing w:after="0" w:line="261" w:lineRule="auto"/>
        <w:rPr>
          <w:sz w:val="20"/>
          <w:szCs w:val="20"/>
          <w:color w:val="auto"/>
        </w:rPr>
      </w:pPr>
      <w:r>
        <w:rPr>
          <w:rFonts w:ascii="Times New Roman" w:cs="Times New Roman" w:eastAsia="Times New Roman" w:hAnsi="Times New Roman"/>
          <w:sz w:val="18"/>
          <w:szCs w:val="18"/>
          <w:color w:val="auto"/>
        </w:rPr>
        <w:t>One or more of these factors could have a material adverse effect on our operations, which could harm our results of operations and financial condition.</w:t>
      </w:r>
    </w:p>
    <w:p>
      <w:pPr>
        <w:spacing w:after="0" w:line="180"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28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51"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As we continue our efforts to expand our business internationally, including in emerging markets such as those in Latin America, Africa,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97" w:lineRule="exact"/>
        <w:rPr>
          <w:sz w:val="20"/>
          <w:szCs w:val="20"/>
          <w:color w:val="auto"/>
        </w:rPr>
      </w:pPr>
    </w:p>
    <w:p>
      <w:pPr>
        <w:ind w:left="4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associated with fluctuations in foreign currency exchange rates that could adversely affect our business.</w:t>
      </w:r>
    </w:p>
    <w:p>
      <w:pPr>
        <w:spacing w:after="0" w:line="5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88" w:lineRule="exact"/>
        <w:rPr>
          <w:sz w:val="20"/>
          <w:szCs w:val="20"/>
          <w:color w:val="auto"/>
        </w:rPr>
      </w:pPr>
    </w:p>
    <w:p>
      <w:pPr>
        <w:ind w:left="200" w:right="240" w:firstLine="441"/>
        <w:spacing w:after="0" w:line="258" w:lineRule="auto"/>
        <w:rPr>
          <w:sz w:val="20"/>
          <w:szCs w:val="20"/>
          <w:color w:val="auto"/>
        </w:rPr>
      </w:pPr>
      <w:r>
        <w:rPr>
          <w:rFonts w:ascii="Times New Roman" w:cs="Times New Roman" w:eastAsia="Times New Roman" w:hAnsi="Times New Roman"/>
          <w:sz w:val="18"/>
          <w:szCs w:val="18"/>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84"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01"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740"/>
        <w:spacing w:after="0" w:line="261" w:lineRule="auto"/>
        <w:rPr>
          <w:sz w:val="20"/>
          <w:szCs w:val="20"/>
          <w:color w:val="auto"/>
        </w:rPr>
      </w:pPr>
      <w:r>
        <w:rPr>
          <w:rFonts w:ascii="Times New Roman" w:cs="Times New Roman" w:eastAsia="Times New Roman" w:hAnsi="Times New Roman"/>
          <w:sz w:val="18"/>
          <w:szCs w:val="18"/>
          <w:color w:val="auto"/>
        </w:rPr>
        <w:t>hedging is prohibitively expensive. We cannot assure you that we will be able to effectively limit all of our exposure to currency exchange rate fluctuations.</w:t>
      </w:r>
    </w:p>
    <w:p>
      <w:pPr>
        <w:spacing w:after="0" w:line="180"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 in the Middle East and other countries may adversely affect our business.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Of the development centers we maintain worldwide, two of our largest development centers are located in Israel and India. In Israel, the centers are located in several different sites, and approximately 20% of our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8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84"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Terrorist activity in India and Pakistan has contributed to tensions between those countries and our operations in India may be adversely affected by future political and other events in the region.</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from misappropriation, our business may be harmed.</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85"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 steps we have taken to protect our proprietary rights may be inadequate. If so, we might not be able to prevent others from using what we regard as our technology to compete with us. Existing trade secret, copyright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01"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20"/>
        <w:spacing w:after="0" w:line="261" w:lineRule="auto"/>
        <w:rPr>
          <w:sz w:val="20"/>
          <w:szCs w:val="20"/>
          <w:color w:val="auto"/>
        </w:rPr>
      </w:pPr>
      <w:r>
        <w:rPr>
          <w:rFonts w:ascii="Times New Roman" w:cs="Times New Roman" w:eastAsia="Times New Roman" w:hAnsi="Times New Roman"/>
          <w:sz w:val="18"/>
          <w:szCs w:val="18"/>
          <w:color w:val="auto"/>
        </w:rPr>
        <w:t>and trademark laws offer only limited protection. In addition, the laws of some foreign countries do not protect our proprietary technology or allow enforcement of confidentiality covenants to the same extent as the laws of the United States.</w:t>
      </w:r>
    </w:p>
    <w:p>
      <w:pPr>
        <w:spacing w:after="0" w:line="180" w:lineRule="exact"/>
        <w:rPr>
          <w:sz w:val="20"/>
          <w:szCs w:val="20"/>
          <w:color w:val="auto"/>
        </w:rPr>
      </w:pPr>
    </w:p>
    <w:p>
      <w:pPr>
        <w:ind w:left="200" w:right="740" w:firstLine="441"/>
        <w:spacing w:after="0" w:line="282" w:lineRule="auto"/>
        <w:rPr>
          <w:sz w:val="20"/>
          <w:szCs w:val="20"/>
          <w:color w:val="auto"/>
        </w:rPr>
      </w:pPr>
      <w:r>
        <w:rPr>
          <w:rFonts w:ascii="Times New Roman" w:cs="Times New Roman" w:eastAsia="Times New Roman" w:hAnsi="Times New Roman"/>
          <w:sz w:val="18"/>
          <w:szCs w:val="18"/>
          <w:color w:val="auto"/>
        </w:rPr>
        <w:t>If we have to resort to legal proceedings to enforce our intellectual property rights, the proceedings could be burdensome, protracted and expensive and could involve a high degree of risk.</w:t>
      </w:r>
    </w:p>
    <w:p>
      <w:pPr>
        <w:spacing w:after="0" w:line="266" w:lineRule="exact"/>
        <w:rPr>
          <w:sz w:val="20"/>
          <w:szCs w:val="20"/>
          <w:color w:val="auto"/>
        </w:rPr>
      </w:pPr>
    </w:p>
    <w:p>
      <w:pPr>
        <w:ind w:left="4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51" w:lineRule="exact"/>
        <w:rPr>
          <w:sz w:val="20"/>
          <w:szCs w:val="20"/>
          <w:color w:val="auto"/>
        </w:rPr>
      </w:pPr>
    </w:p>
    <w:p>
      <w:pPr>
        <w:jc w:val="both"/>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0"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For example, during fiscal year 2019 we paid the settlement amount of $50 million and $5 million in legal and other fees which were accrued as of September 2018, in connection with a lawsuit against certain of our subsidiaries alleging breach of contract and trade secret misappropriation. See “Legal Proceedings” for further details. We also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19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Product defects, software errors, or service failures could adversely affect our business.</w:t>
      </w:r>
    </w:p>
    <w:p>
      <w:pPr>
        <w:spacing w:after="0" w:line="121"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w:t>
      </w: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240" w:top="401"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40"/>
        <w:spacing w:after="0" w:line="254" w:lineRule="auto"/>
        <w:rPr>
          <w:sz w:val="20"/>
          <w:szCs w:val="20"/>
          <w:color w:val="auto"/>
        </w:rPr>
      </w:pPr>
      <w:r>
        <w:rPr>
          <w:rFonts w:ascii="Times New Roman" w:cs="Times New Roman" w:eastAsia="Times New Roman" w:hAnsi="Times New Roman"/>
          <w:sz w:val="18"/>
          <w:szCs w:val="18"/>
          <w:color w:val="auto"/>
        </w:rPr>
        <w:t>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sell our services and subject us to possible litigation.</w:t>
      </w:r>
    </w:p>
    <w:p>
      <w:pPr>
        <w:spacing w:after="0" w:line="12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from.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w:t>
      </w:r>
    </w:p>
    <w:p>
      <w:pPr>
        <w:spacing w:after="0" w:line="303"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51" w:lineRule="exact"/>
        <w:rPr>
          <w:sz w:val="20"/>
          <w:szCs w:val="20"/>
          <w:color w:val="auto"/>
        </w:rPr>
      </w:pPr>
    </w:p>
    <w:p>
      <w:pPr>
        <w:jc w:val="both"/>
        <w:ind w:left="200" w:right="360" w:firstLine="441"/>
        <w:spacing w:after="0" w:line="313" w:lineRule="auto"/>
        <w:rPr>
          <w:sz w:val="20"/>
          <w:szCs w:val="20"/>
          <w:color w:val="auto"/>
        </w:rPr>
      </w:pPr>
      <w:r>
        <w:rPr>
          <w:rFonts w:ascii="Times New Roman" w:cs="Times New Roman" w:eastAsia="Times New Roman" w:hAnsi="Times New Roman"/>
          <w:sz w:val="17"/>
          <w:szCs w:val="17"/>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38"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01"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both"/>
        <w:ind w:left="420" w:right="1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4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effective tax rate of 15.6% for the year ended September 30, 2019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example, there is growing pressure in many jurisdictions and from multinational organizations such as the Organization for Economic</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Cooperation and Development (OECD) and the EU to amend existing international taxation rules in order to align the tax regimes with current global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business practices. Specifically, in October 2015, the OECD published its final package of measures for reform of the international tax rules as a product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its Base Erosion and Profit Shifting (BEPS) initiative, which was endorsed by the G20 finance ministers. Many of the initiatives in the BEPS package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required and resulted in specific amendments to the domestic tax legislation of various jurisdictions and to existing tax treaties. We continuously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monitor these developments. Although many of the BEPS measures have already been implemented or are currently being implemented globally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(including, in certain cases, through adoption of the OECD’s ‘multilateral convention’ to effect changes to tax treaties which entered into force 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July 1, 2018 and through the European Union’s ‘Anti Tax Avoidance’ Directives), it is still difficult in some cases to assess to what extent these changes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would impact our tax liabilities in the jurisdictions in which we conduct our business or to what extent they may impact the way in which we conduct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business or our effective tax rate due to the unpredictability and interdependency of these potential changes. Further, in January 2019 the OECD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announced further work in continuation of the BEPS project, focusing on two ‘pillars’. The first ‘pillar’ attempts to reach an international consensus 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allocation of international taxing rights in light of the challenges posed by the digitization of the economy. The second ‘pillar’ will focus 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remaining BEPS issues. Given these developments, it is generally expected that tax authorities in various jurisdictions in which we operate might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increase their audit activity and might seek to challenge some of the tax positions we have adopted. It is difficult to assess if and to what extent such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challenges, if raised, might impact our effective tax rate. In addition, following the screening by the EU Code of Conduct Group on Business Taxation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(“COCG”) of third country jurisdictions to assess their compliance for tax purposes, Guernsey was found to be a co-operative jurisdiction. However,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COCG has requested that Guernsey, along with a number of other jurisdictions, take further steps to ensure that its tax system does not facilitate offshore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structures which attract profits without real economic activity. Legislation introducing economic substance requirements for companies in the Crown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Dependencies was approved by the respective parliaments in December 2018. The legislation applies to all companies resident for tax purposes in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Crown Dependencies and is effective for accounting periods commencing on or after January 1, 2019. The regulations require companies to demonstrate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that they have sufficient substance in Guernsey via a series of requirements, or tests. Amdocs is monitoring the developments closely to ensure that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Company is compliant with the various requirements.</w:t>
      </w:r>
    </w:p>
    <w:p>
      <w:pPr>
        <w:spacing w:after="0" w:line="207"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Further, the recently enacted U.S. Tax Cuts and Jobs Act of 2017 (the Tax Act) significantly changed how corporations are taxed in the United States. The application of the Tax Act is subject to certain uncertainties. The Tax Act includes certain provisions that may increase our overall tax liabilities. Certain provisions of the Tax Act have applied to us from fiscal year 2018, while other provisions of the Tax Act have become applicable to us from our fiscal year 2019. We have implemented certain steps to optimize our global tax structure, but there can be no assurance that our global tax liabilities would not increase as a result of the Tax Act. In addition, due to the uncertainty involved in applying certain provisions of the Tax Act to our group, we made reasonable estimates for the effects on our financial statements. The U.S. Treasury Department, the Internal Revenue Service and other standards-setting bodies may issue guidance on how the provisions of the Tax Act will be applied that is different from our interpretation. The Tax Act requires complex computations not previously required or produced, and significant judgments and assumptions in the interpretation of the law were made in producing our provisional estimates. As we continue our analyses, and interpret any additional guidance, we may adjust the</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01"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60"/>
        <w:spacing w:after="0" w:line="261" w:lineRule="auto"/>
        <w:rPr>
          <w:sz w:val="20"/>
          <w:szCs w:val="20"/>
          <w:color w:val="auto"/>
        </w:rPr>
      </w:pPr>
      <w:r>
        <w:rPr>
          <w:rFonts w:ascii="Times New Roman" w:cs="Times New Roman" w:eastAsia="Times New Roman" w:hAnsi="Times New Roman"/>
          <w:sz w:val="18"/>
          <w:szCs w:val="18"/>
          <w:color w:val="auto"/>
        </w:rPr>
        <w:t>provisional amounts we have recorded, and those adjustments may materially impact our provision for income taxes in the period in which the adjustments are made.</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and may continue to fluctuate widely.</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4" w:lineRule="exact"/>
        <w:rPr>
          <w:sz w:val="20"/>
          <w:szCs w:val="20"/>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industry and the economy as a whole,</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backlog levels,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any of our key customers,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or new pricing policies by us or our competitors,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communications, media or software industries, including industry consolidation,</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or others in our industry,</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performance or recommendations by financial analysts, institutions and other market professionals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shareholder base, and</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in the Middle East or other areas of the world.</w:t>
      </w:r>
    </w:p>
    <w:p>
      <w:pPr>
        <w:spacing w:after="0" w:line="225"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our shareholders to enforce any judgment obtained in the United States against us or our affiliates.</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INFORMATION ON THE COMPANY</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History, Development and Organizational Structure of Amdocs</w:t>
      </w:r>
    </w:p>
    <w:p>
      <w:pPr>
        <w:spacing w:after="0" w:line="121"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240" w:top="401" w:right="5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60" w:firstLine="441"/>
        <w:spacing w:after="0" w:line="261" w:lineRule="auto"/>
        <w:rPr>
          <w:sz w:val="20"/>
          <w:szCs w:val="20"/>
          <w:color w:val="auto"/>
        </w:rPr>
      </w:pPr>
      <w:r>
        <w:rPr>
          <w:rFonts w:ascii="Times New Roman" w:cs="Times New Roman" w:eastAsia="Times New Roman" w:hAnsi="Times New Roman"/>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180"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76"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software design and development and the media and entertainment domain. In January 2016, we acquired cVidya Networks, Inc., a vendor of revenue assurance and fraud management solutions, which adds to our capabilities in the area of revenue guard and fraud management. Additionally, in September 2016, we acquired Vindicia, Inc., a software-as-a-service subscription management and payment solution provider, BriteBill Group Limited, a provider of personalized digital interactive billing services and Pontis, Inc., a provider of contextual digital engagement solutions, enabling us to expand our digital offerings. In July 2017, we acquired Kenzan Media, LLC, a software engineering services company that provides customized, end-to-end solutions focusing on digital transformation, and platform-as-a-service and cloud-native application development using DevOps and microservices. In November 2017, we acquired projekt202, a leader in experience-driven software design and development. In February 2018, we acquired Vubiquity, a leading provider of premium digital content services and technology solutions, in order to further expand our capabilities in the world of media and entertainment which is increasingly converging with our traditional domain of communications. Also in February 2018, we acquired UXP Systems, a leader in user lifecycle management, to enhance our capabilities around digital identity, user entitlements, personalization, and privacy, including consent management. In August 2019, we acquired TTS Wireless, a provider of mobile network engineering services, specializing in network optimization and planning, to further expand our 5G capabilities and help operators accelerate and simplify deployment of 5G networks with comprehensive network rollout solutions.</w:t>
      </w:r>
    </w:p>
    <w:p>
      <w:pPr>
        <w:spacing w:after="0" w:line="197"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As the result of our organic growth and acquisitions, our workforce has increased over the last three years from an approximate average workforce of 24,237 in fiscal 2017 to 24,516 in fiscal 2019. In the past, our workforce has fluctuated with changes in business conditions.</w:t>
      </w:r>
    </w:p>
    <w:p>
      <w:pPr>
        <w:spacing w:after="0" w:line="162"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principal capital expenditures for fiscal 2019 and 2018 have been for computer equipment in our operating facilities and development centers, for which we spent approximately $110 million and $118 million, respectively and the development of our new campus in Israel for which we spent approximately $7 million (which is net of proceed of $9.7 million relating to refund of betterment levy) and $96 million, respectively. In 2017, our principal capital expenditures have been for computer equipment in our operating facilities and development centers, for which we spent approximately $114 million.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Amdocs also has technology and distribution ties to more than 600 content creators to bring premium content to over 1,000 video distributors worldwide, including Verizon, Turner and Warner Bros.</w:t>
      </w:r>
    </w:p>
    <w:p>
      <w:pPr>
        <w:spacing w:after="0" w:line="189"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Our software and services, which we develop, implement and manage, are designed to meet the business imperatives of our customers. Our offerings are based on a product and services mix, using technologies and</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01"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spacing w:after="0" w:line="252" w:lineRule="auto"/>
        <w:rPr>
          <w:sz w:val="20"/>
          <w:szCs w:val="20"/>
          <w:color w:val="auto"/>
        </w:rPr>
      </w:pPr>
      <w:r>
        <w:rPr>
          <w:rFonts w:ascii="Times New Roman" w:cs="Times New Roman" w:eastAsia="Times New Roman" w:hAnsi="Times New Roman"/>
          <w:sz w:val="18"/>
          <w:szCs w:val="18"/>
          <w:color w:val="auto"/>
        </w:rPr>
        <w:t>methodologies such as cloud, microservices, DevOps, open source, bimodal operations, Site Reliability Engineering (SRE) and increasing amounts of automation through standard information technology (IT) tools, open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to further transform into digital service providers, enhance their entertainment offerings,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89"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88"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and business-to-business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We invest time and resources to identify and address cybersecurity risks, including risks that our customers face with regard to our systems, products or services. We have established policies and procedures, based on industry best practices, to protect the integrity and security of our products and services. We work with our customers and use overlapping controls to defend against cybersecurity attacks and threats on networks, end-user devices, servers, applications, data and our cloud solutions. In addition, we utilize a combination of educational tools to foster a culture of security awareness and responsibility among our workforce.</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addition to the business value we provide to our customers, we also aim to create value for society: we believe we are a leading provider of sustainable products and services. For example, our network functions virtualization and orchestration solutions are designed to help service providers shift away from costly, space and energy-consuming hardware components, by delivering software-driven capabilities; our mobile financial services solutions are designed to help the unbanked and underbanked to manage their finances, transfer money, shop, buy and pay bills using just their phone, and our eSIM platform enables service providers and users to simply and digitally activate connected devices without the production, transportation and manual processes associated with traditional connectivity. We also take consumer privacy and security seriously and have made it a priority to address the impact of our products and services on both, in order to meet consumer expectations, as well as regulatory demands.</w:t>
      </w:r>
    </w:p>
    <w:p>
      <w:pPr>
        <w:spacing w:after="0" w:line="189"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240" w:top="401"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99"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We believe service providers will maintain a strong focus on growing new revenue streams, cost reduction and driving more efficient operations, and that the trends of ongoing digital transformation, network virtualization, and consolidation within the industry will continue. This is due to service providers seeking to become full-service integrated carriers, providing their customers with a rich portfolio of offerings including core communications; media, advertising and entertainment; enterprise enablement; Internet of Things (IoT) and digital lifestyle services. The smartphone and associated communications and entertainment apps, other connected devices such as tablets, e-readers, wearables, and improvements in IoT technology continue to drive unprecedented growth in the demand for multi-modal customer engagement capabilities and data. In response to the demand for digital experiences, service providers are continuing to focus on providing digital services, as well as enriching their offerings with integrated partner services. Service providers are also beginning to introduce 5G, investing in their networks, and virtualizing them, to meet the demand for increased bandwidth, faster pace of innovation for new digital services, as well as to improve their business and operational agility and optimize and monetize their investments in such services.</w:t>
      </w:r>
    </w:p>
    <w:p>
      <w:pPr>
        <w:spacing w:after="0" w:line="186"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OTT-focused players and device manufacturers continue to penetrate the communications market and are also competing for customer attention in the entertainment market, while traditional content creators are looking to stream their content direct-to-consumer (D2C). Additionally, social networks such as Facebook and Twitter, alongside OTT-focused players such as Snapchat and WhatsApp, have become widely-accepted alternatives to traditional voice communications and are also providing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8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To capture new revenue streams, service providers are expanding within existing and non-traditional business models and deploying new network technologies such as 5G. We believe service providers will continue to place an emphasis on network virtualization and on modernization and transformation projects for their networks and operational and business systems as they seek to offer innovative new services for both enterprise customers and individual consumers and monetize these new capabilities.</w:t>
      </w:r>
    </w:p>
    <w:p>
      <w:pPr>
        <w:spacing w:after="0" w:line="180"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Our goal is to provide software and services solutions and support to communications and media companies of all sizes as they strive to deliver digital engagements and remain competitive. We seek to accomplish our goal by pursuing the strategies described below.</w:t>
      </w:r>
    </w:p>
    <w:p>
      <w:pPr>
        <w:spacing w:after="0" w:line="52" w:lineRule="exact"/>
        <w:rPr>
          <w:sz w:val="20"/>
          <w:szCs w:val="20"/>
          <w:color w:val="auto"/>
        </w:rPr>
      </w:pPr>
    </w:p>
    <w:p>
      <w:pPr>
        <w:ind w:left="1060" w:hanging="316"/>
        <w:spacing w:after="0" w:line="256"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the Communications and Media Industry</w:t>
      </w:r>
      <w:r>
        <w:rPr>
          <w:rFonts w:ascii="Times New Roman" w:cs="Times New Roman" w:eastAsia="Times New Roman" w:hAnsi="Times New Roman"/>
          <w:sz w:val="18"/>
          <w:szCs w:val="18"/>
          <w:color w:val="auto"/>
        </w:rPr>
        <w:t>. We focus our resources and efforts primarily on providing customer experience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75" w:lineRule="exact"/>
        <w:rPr>
          <w:rFonts w:ascii="Times New Roman" w:cs="Times New Roman" w:eastAsia="Times New Roman" w:hAnsi="Times New Roman"/>
          <w:sz w:val="18"/>
          <w:szCs w:val="18"/>
          <w:color w:val="auto"/>
        </w:rPr>
      </w:pPr>
    </w:p>
    <w:p>
      <w:pPr>
        <w:jc w:val="both"/>
        <w:ind w:left="1060" w:right="60" w:hanging="316"/>
        <w:spacing w:after="0" w:line="267"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Industry Leaders</w:t>
      </w:r>
      <w:r>
        <w:rPr>
          <w:rFonts w:ascii="Times New Roman" w:cs="Times New Roman" w:eastAsia="Times New Roman" w:hAnsi="Times New Roman"/>
          <w:sz w:val="18"/>
          <w:szCs w:val="18"/>
          <w:color w:val="auto"/>
        </w:rPr>
        <w:t>. We intend to continue to direct our marketing efforts primarily toward communications and media industry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contenders. By targeting such leading service providers, which require the most sophisticated and relevant solutions, we believe that we are better</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240" w:top="401"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80" w:right="20"/>
        <w:spacing w:after="0" w:line="261" w:lineRule="auto"/>
        <w:rPr>
          <w:sz w:val="20"/>
          <w:szCs w:val="20"/>
          <w:color w:val="auto"/>
        </w:rPr>
      </w:pPr>
      <w:r>
        <w:rPr>
          <w:rFonts w:ascii="Times New Roman" w:cs="Times New Roman" w:eastAsia="Times New Roman" w:hAnsi="Times New Roman"/>
          <w:sz w:val="18"/>
          <w:szCs w:val="18"/>
          <w:color w:val="auto"/>
        </w:rPr>
        <w:t>able to remain at the forefront of developments in the industry. We believe that the development of this customer base has helped position us as a market leader.</w:t>
      </w:r>
    </w:p>
    <w:p>
      <w:pPr>
        <w:spacing w:after="0" w:line="70" w:lineRule="exact"/>
        <w:rPr>
          <w:sz w:val="20"/>
          <w:szCs w:val="20"/>
          <w:color w:val="auto"/>
        </w:rPr>
      </w:pPr>
    </w:p>
    <w:p>
      <w:pPr>
        <w:ind w:left="1060" w:right="60" w:hanging="316"/>
        <w:spacing w:after="0" w:line="253"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Expansion into New Geographies and Emerging Markets. </w:t>
      </w:r>
      <w:r>
        <w:rPr>
          <w:rFonts w:ascii="Times New Roman" w:cs="Times New Roman" w:eastAsia="Times New Roman" w:hAnsi="Times New Roman"/>
          <w:sz w:val="18"/>
          <w:szCs w:val="18"/>
          <w:color w:val="auto"/>
        </w:rPr>
        <w:t>We seek to grow our customer base by expanding into new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2019, for example, we succeeded in growing our activities in the Italian market. We are also in the Russian market and expanding our presence in other geographies such as Africa.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2" w:lineRule="exact"/>
        <w:rPr>
          <w:rFonts w:ascii="Times New Roman" w:cs="Times New Roman" w:eastAsia="Times New Roman" w:hAnsi="Times New Roman"/>
          <w:sz w:val="18"/>
          <w:szCs w:val="18"/>
          <w:color w:val="auto"/>
        </w:rPr>
      </w:pPr>
    </w:p>
    <w:p>
      <w:pPr>
        <w:ind w:left="1060" w:right="40" w:hanging="316"/>
        <w:spacing w:after="0" w:line="272" w:lineRule="auto"/>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 Customers with an Open and Dynamic Portfolio. </w:t>
      </w:r>
      <w:r>
        <w:rPr>
          <w:rFonts w:ascii="Times New Roman" w:cs="Times New Roman" w:eastAsia="Times New Roman" w:hAnsi="Times New Roman"/>
          <w:sz w:val="17"/>
          <w:szCs w:val="17"/>
          <w:color w:val="auto"/>
        </w:rPr>
        <w:t>With amdocsONE, we seek to provide our customers with an open and dynamic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available on an open, modular, cloud-native architecture and deployed using best practice DevOps to help them deliver a customer experience that is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and digital services. Integration of our systems is achieved through a central, cloud-native catalog, built on an open, API-first and microservices-based approach to enable third-party integration. We believe that our ability to provide a broad, open, dynamic and modular portfolio helps position us as a strategic partner for our customers as they continue to transform into digital service providers and provides us with multiple avenues for strengthening and expanding our ongoing customer relationships.</w:t>
      </w:r>
    </w:p>
    <w:p>
      <w:pPr>
        <w:spacing w:after="0" w:line="64" w:lineRule="exact"/>
        <w:rPr>
          <w:rFonts w:ascii="Times New Roman" w:cs="Times New Roman" w:eastAsia="Times New Roman" w:hAnsi="Times New Roman"/>
          <w:sz w:val="17"/>
          <w:szCs w:val="17"/>
          <w:color w:val="auto"/>
        </w:rPr>
      </w:pPr>
    </w:p>
    <w:p>
      <w:pPr>
        <w:ind w:left="1060" w:right="100" w:hanging="316"/>
        <w:spacing w:after="0" w:line="254"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Managed Services Capabilities</w:t>
      </w:r>
      <w:r>
        <w:rPr>
          <w:rFonts w:ascii="Times New Roman" w:cs="Times New Roman" w:eastAsia="Times New Roman" w:hAnsi="Times New Roman"/>
          <w:sz w:val="18"/>
          <w:szCs w:val="18"/>
          <w:color w:val="auto"/>
        </w:rPr>
        <w:t>. We seek to assume responsibility for the operation, development and management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Amdocs systems, as well as systems developed by in-house IT departments or by other vendors. Our mandate can extend across the service provider’s entire IT and network environment and encompass key business process operational needs.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as well as improved efficiencies and long-term savings over the day-to-day costs of operating and maintaining these systems, as well as an improved end-user experience, so they can focus on their own internal strengths and strategy to grow their business, leaving system concerns to us. Managed services also benefit us, as they can be a source of predictable revenue and long-term relationships.</w:t>
      </w:r>
    </w:p>
    <w:p>
      <w:pPr>
        <w:spacing w:after="0" w:line="81" w:lineRule="exact"/>
        <w:rPr>
          <w:rFonts w:ascii="Times New Roman" w:cs="Times New Roman" w:eastAsia="Times New Roman" w:hAnsi="Times New Roman"/>
          <w:sz w:val="18"/>
          <w:szCs w:val="18"/>
          <w:color w:val="auto"/>
        </w:rPr>
      </w:pPr>
    </w:p>
    <w:p>
      <w:pPr>
        <w:ind w:left="1060" w:hanging="316"/>
        <w:spacing w:after="0" w:line="25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 and Maintain Long-Term Customer Relationships</w:t>
      </w:r>
      <w:r>
        <w:rPr>
          <w:rFonts w:ascii="Times New Roman" w:cs="Times New Roman" w:eastAsia="Times New Roman" w:hAnsi="Times New Roman"/>
          <w:sz w:val="18"/>
          <w:szCs w:val="18"/>
          <w:color w:val="auto"/>
        </w:rPr>
        <w:t>. We seek to develop and maintain long-term, mutually beneficial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01"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amdocsONE</w:t>
      </w:r>
    </w:p>
    <w:p>
      <w:pPr>
        <w:spacing w:after="0" w:line="9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2018, we relaunched our business offerings as amdocsONE. amdocsONE is designed to meet the challenges facing our customers as they transform into digital service providers within the framework of a hybrid IT environment, which requires them to rapidly introduce new cloud-native applications while still operating legacy systems. It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With amdocsONE’s modular structure, our customers have the flexibility to choose business offerings that address their specific needs and improve their time to market. In the third quarter of fiscal 2019, we released the amdocsONE summer edition, a seasonal update consolidating the latest developments and innovation practices across the various portfolio domains.</w:t>
      </w:r>
    </w:p>
    <w:p>
      <w:pPr>
        <w:spacing w:after="0" w:line="18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As part of amdocsONE, we offer a comprehensive line of services designed to address every stage of a service provider’s lifecycle, from planning, delivery and implementation to ongoing support. Our services include end-to-end systems integration services, managed services, testing (which we refer to as quality engineering), data and intelligence services, cloud services, digital business operations and consulting services. Using artificial intelligence and predictive analytics, as well as automation and machine learning, our managed services enable faster time to market for new services as well as the cost-effective management of existing offerings. Our adoption of SRE methodology helps provide more agile and reliable operations and also includes dedicated tools that automate tasks that would traditionally require various software development skills. Managed services provide multi-year, flexible and tailored managed services across all verticals, managing IT, business processes and applications services, including application development and maintenance, operations, IT and infrastructure hosting, cloud services and legacy modernization. 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 as usual state.</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Meeting our Customers’ Business Imperatives</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amdocsONE consists of a combination of software and services that address service providers’ business and operational needs. Our software and services solutions support the full span of the customer relationship.</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key service provider business imperatives addressed by amdocsONE are:</w:t>
      </w:r>
    </w:p>
    <w:p>
      <w:pPr>
        <w:spacing w:after="0" w:line="115" w:lineRule="exact"/>
        <w:rPr>
          <w:sz w:val="20"/>
          <w:szCs w:val="20"/>
          <w:color w:val="auto"/>
        </w:rPr>
      </w:pPr>
    </w:p>
    <w:p>
      <w:pPr>
        <w:ind w:left="1060" w:right="80" w:hanging="316"/>
        <w:spacing w:after="0" w:line="25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experience and monetization: </w:t>
      </w:r>
      <w:r>
        <w:rPr>
          <w:rFonts w:ascii="Times New Roman" w:cs="Times New Roman" w:eastAsia="Times New Roman" w:hAnsi="Times New Roman"/>
          <w:sz w:val="18"/>
          <w:szCs w:val="18"/>
          <w:color w:val="auto"/>
        </w:rPr>
        <w:t>Our cloud-native modular solutions are designed to address service providers’ need to differentiate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hyper-competitive consumer market, as disruptors continuously emerge, and consumer expectations are ever-changing. We support service providers in their goals to grow loyalty by personalizing care and commerce and to provide a seamless digital experience across all channels. Our digital-native platform is designed to enable service providers to modernize their customer experience and monetization systems on the cloud. Our 5G-ready, cloud-native monetization offerings enable service providers to launch new types of multi-play, multi-partner offers, with the flexible payment methods needed to capture new revenues in the digital economy.</w:t>
      </w:r>
    </w:p>
    <w:p>
      <w:pPr>
        <w:spacing w:after="0" w:line="74" w:lineRule="exact"/>
        <w:rPr>
          <w:rFonts w:ascii="Times New Roman" w:cs="Times New Roman" w:eastAsia="Times New Roman" w:hAnsi="Times New Roman"/>
          <w:sz w:val="18"/>
          <w:szCs w:val="18"/>
          <w:color w:val="auto"/>
        </w:rPr>
      </w:pPr>
    </w:p>
    <w:p>
      <w:pPr>
        <w:ind w:left="1060" w:right="120" w:hanging="316"/>
        <w:spacing w:after="0" w:line="25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and digital services: </w:t>
      </w:r>
      <w:r>
        <w:rPr>
          <w:rFonts w:ascii="Times New Roman" w:cs="Times New Roman" w:eastAsia="Times New Roman" w:hAnsi="Times New Roman"/>
          <w:sz w:val="18"/>
          <w:szCs w:val="18"/>
          <w:color w:val="auto"/>
        </w:rPr>
        <w:t>Our solutions are designed to enable service providers to build rich, premium content offerings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solutions help service providers and premium content owners monetize content through a variety of commercial models. Our solutions enable service providers to monetize OTT offerings by providing full partner lifecycle management, including onboarding, revenue sharing, settlement and reporting, along with a complete set of subscription and digital identity management capabilities.</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01"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hanging="316"/>
        <w:spacing w:after="0" w:line="251"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and connected society: </w:t>
      </w:r>
      <w:r>
        <w:rPr>
          <w:rFonts w:ascii="Times New Roman" w:cs="Times New Roman" w:eastAsia="Times New Roman" w:hAnsi="Times New Roman"/>
          <w:sz w:val="18"/>
          <w:szCs w:val="18"/>
          <w:color w:val="auto"/>
        </w:rPr>
        <w:t>These offerings allow service providers to drive better experiences across their B2B customer journeys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accelerate growth by offering services beyond connectivity. At the sales phase, our lead-to-order solution facilitates, secures and helps process opportunities into orders. Our configure-price-quote systems supports generating accurate and validated quotes and once the customer order is placed, our zero-touch ordering and fulfillment solutions eliminate manual handling and order fallouts. When the order relates to connectivity, our solutions boost the time to activation – whether for traditional connectivity such as fiber, mobile such as eSIM, or new generation connectivity such as SD-WAN. Our NFV/SDN offering includes a large partner ecosystem of virtual network functions (VNFs) and provides upsell opportunities with services such as security, web filtering or vCPE. Our full business enablement suite for enterprise customers also includes functions such as white-label billing, settlement or partner management as well as a large portfolio of competencies to support migration to cloud-native, microservices-based environments.</w:t>
      </w:r>
    </w:p>
    <w:p>
      <w:pPr>
        <w:spacing w:after="0" w:line="84" w:lineRule="exact"/>
        <w:rPr>
          <w:rFonts w:ascii="Times New Roman" w:cs="Times New Roman" w:eastAsia="Times New Roman" w:hAnsi="Times New Roman"/>
          <w:sz w:val="18"/>
          <w:szCs w:val="18"/>
          <w:color w:val="auto"/>
        </w:rPr>
      </w:pPr>
    </w:p>
    <w:p>
      <w:pPr>
        <w:ind w:left="1060" w:hanging="316"/>
        <w:spacing w:after="0" w:line="253"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Open cloud networks: </w:t>
      </w:r>
      <w:r>
        <w:rPr>
          <w:rFonts w:ascii="Times New Roman" w:cs="Times New Roman" w:eastAsia="Times New Roman" w:hAnsi="Times New Roman"/>
          <w:sz w:val="18"/>
          <w:szCs w:val="18"/>
          <w:color w:val="auto"/>
        </w:rPr>
        <w:t>These offerings comprise standards-based software solutions to enable service lifecycle management across hybrid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virtual and cloud networks, allowing service providers to automate network operations and simplify the introduction of NFV and value-added services into existing and next generation networks, including 5G and edge-computing systems. Amdocs NFV powered by ONAP (the Linux Foundation’s Open Network Automation Platform) features software and services capabilities to orchestrate multi-vendor VNFs over virtual infrastructures and public clouds such as Amazon Web Services (AWS) and Microsoft Azure, automating VNF onboarding to enable the design, testing and launching of new network services in weeks rather than months, and supporting a live view of services and resources. The Amdocs Open 5G suite of solutions enables service providers to deploy, manage and monetize 5G networks. We also provide operational support systems for fixed line, broadband, wireless and cable TV networks. The offerings facilitate network operational processes, including network planning and rollout across multiple technologies such as fiber, small cell and LTE, essential for 5G readiness, service fulfillment and assurance, inventory management, order orchestration and activation of new services through automation. Our integrated suite of network optimization software and services is designed to help service providers plan, build, launch, manage and optimize their mobile networks. Vendor and technology agnostic, this offering affords service providers the analytics and services capabilities needed to maximize network investments, accelerate and automate the roll out and upgrade of network technologies, and optimize network performance and capacity.</w:t>
      </w:r>
    </w:p>
    <w:p>
      <w:pPr>
        <w:spacing w:after="0" w:line="78" w:lineRule="exact"/>
        <w:rPr>
          <w:rFonts w:ascii="Times New Roman" w:cs="Times New Roman" w:eastAsia="Times New Roman" w:hAnsi="Times New Roman"/>
          <w:sz w:val="18"/>
          <w:szCs w:val="18"/>
          <w:color w:val="auto"/>
        </w:rPr>
      </w:pPr>
    </w:p>
    <w:p>
      <w:pPr>
        <w:ind w:left="1060" w:right="40" w:hanging="316"/>
        <w:spacing w:after="0" w:line="259"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domains and disruptions: </w:t>
      </w:r>
      <w:r>
        <w:rPr>
          <w:rFonts w:ascii="Times New Roman" w:cs="Times New Roman" w:eastAsia="Times New Roman" w:hAnsi="Times New Roman"/>
          <w:sz w:val="18"/>
          <w:szCs w:val="18"/>
          <w:color w:val="auto"/>
        </w:rPr>
        <w:t>These offerings enable service providers to expand into new domains and disrupt traditional practices.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eSIM cloud platform enables service providers to launch IoT solutions, while our advanced cyber-security service helps protect and manage enterprises. We also enable innovative commerce and payment solutions with our mobile financial services and help service providers become a truly data-driven organization with offerings for data management, data analytics and customer journey management and recommendations.</w:t>
      </w:r>
    </w:p>
    <w:p>
      <w:pPr>
        <w:spacing w:after="0" w:line="71" w:lineRule="exact"/>
        <w:rPr>
          <w:rFonts w:ascii="Times New Roman" w:cs="Times New Roman" w:eastAsia="Times New Roman" w:hAnsi="Times New Roman"/>
          <w:sz w:val="18"/>
          <w:szCs w:val="18"/>
          <w:color w:val="auto"/>
        </w:rPr>
      </w:pPr>
    </w:p>
    <w:p>
      <w:pPr>
        <w:ind w:left="1060" w:right="20" w:hanging="316"/>
        <w:spacing w:after="0" w:line="257"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and hybrid operations: </w:t>
      </w:r>
      <w:r>
        <w:rPr>
          <w:rFonts w:ascii="Times New Roman" w:cs="Times New Roman" w:eastAsia="Times New Roman" w:hAnsi="Times New Roman"/>
          <w:sz w:val="18"/>
          <w:szCs w:val="18"/>
          <w:color w:val="auto"/>
        </w:rPr>
        <w:t>Our solutions are designed to enable service providers to introduce intelligence and automation into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accelerate innovation, agility and efficiency; optimize data for intelligence-driven analytics; effectively manage multi-dimensional, dynamic hybrid operations; embark on their cloud and IT modernization paths and prevent revenue loss. Using open source, third–party solutions and Amdocs’ unique IP, including tools and methodologies around artificial intelligence, SRE, predictive analytics and machine learning, these services span both Amdocs products and third-party software and can be rapidly deployed through DevOps capabilities and are focused on delivering clear business value as well as reducing costs.</w:t>
      </w:r>
    </w:p>
    <w:p>
      <w:pPr>
        <w:spacing w:after="0" w:line="185"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Our broad suite of services, which also form part of amdocsONE, range from advisory services through solution development and business operations to managed services and training, and the extent of services provided varies from customer to customer. Our services engagements can range in size and scope and include advising customers on business and technical strategy, designing and implementing particular business solutions,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240" w:top="401"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spacing w:after="0" w:line="252" w:lineRule="auto"/>
        <w:rPr>
          <w:sz w:val="20"/>
          <w:szCs w:val="20"/>
          <w:color w:val="auto"/>
        </w:rPr>
      </w:pPr>
      <w:r>
        <w:rPr>
          <w:rFonts w:ascii="Times New Roman" w:cs="Times New Roman" w:eastAsia="Times New Roman" w:hAnsi="Times New Roman"/>
          <w:sz w:val="18"/>
          <w:szCs w:val="18"/>
          <w:color w:val="auto"/>
        </w:rPr>
        <w:t>managing specific business operations processes, adopting DevOps, migrating applications to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 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key services are:</w:t>
      </w:r>
    </w:p>
    <w:p>
      <w:pPr>
        <w:spacing w:after="0" w:line="115" w:lineRule="exact"/>
        <w:rPr>
          <w:sz w:val="20"/>
          <w:szCs w:val="20"/>
          <w:color w:val="auto"/>
        </w:rPr>
      </w:pPr>
    </w:p>
    <w:p>
      <w:pPr>
        <w:ind w:left="1060" w:right="80" w:hanging="316"/>
        <w:spacing w:after="0" w:line="259"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Managed Services </w:t>
      </w:r>
      <w:r>
        <w:rPr>
          <w:rFonts w:ascii="Times New Roman" w:cs="Times New Roman" w:eastAsia="Times New Roman" w:hAnsi="Times New Roman"/>
          <w:sz w:val="18"/>
          <w:szCs w:val="18"/>
          <w:color w:val="auto"/>
        </w:rPr>
        <w:t>— We seek to transform traditional managed services towards autonomous operations, while continuing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legacy systems. This includes rapid deployment of new services through DevOps capabilities, modernization of legacy systems, cloud and infrastructure services, while maintaining ongoing IT operations. Using open source, third–party solutions and Amdocs’ unique IP around artificial intelligence, predictive analytics and machine learning, as well as a unique adaptation of SRE methodologies, this suite of services spans both Amdocs products and non-Amdocs, third-party software.</w:t>
      </w:r>
    </w:p>
    <w:p>
      <w:pPr>
        <w:spacing w:after="0" w:line="71" w:lineRule="exact"/>
        <w:rPr>
          <w:rFonts w:ascii="Times New Roman" w:cs="Times New Roman" w:eastAsia="Times New Roman" w:hAnsi="Times New Roman"/>
          <w:sz w:val="18"/>
          <w:szCs w:val="18"/>
          <w:color w:val="auto"/>
        </w:rPr>
      </w:pPr>
    </w:p>
    <w:p>
      <w:pPr>
        <w:ind w:left="1060" w:hanging="316"/>
        <w:spacing w:after="0" w:line="259"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Business Operations </w:t>
      </w:r>
      <w:r>
        <w:rPr>
          <w:rFonts w:ascii="Times New Roman" w:cs="Times New Roman" w:eastAsia="Times New Roman" w:hAnsi="Times New Roman"/>
          <w:sz w:val="18"/>
          <w:szCs w:val="18"/>
          <w:color w:val="auto"/>
        </w:rPr>
        <w:t>— We offer a suite of services for automating and digitalizing business operations, including order to activation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business processes. These services combine domain-specific expertise and advanced technologies such as robotic process automation, predictive analytics, machine learning and technology with real-time, end-to-end visibility over any business process regardless of underlying silos. We aim to improve customer experience, decrease handling time, reduce OPEX and shorten time to introduce digital channels and new services.</w:t>
      </w:r>
    </w:p>
    <w:p>
      <w:pPr>
        <w:spacing w:after="0" w:line="71" w:lineRule="exact"/>
        <w:rPr>
          <w:rFonts w:ascii="Times New Roman" w:cs="Times New Roman" w:eastAsia="Times New Roman" w:hAnsi="Times New Roman"/>
          <w:sz w:val="18"/>
          <w:szCs w:val="18"/>
          <w:color w:val="auto"/>
        </w:rPr>
      </w:pPr>
    </w:p>
    <w:p>
      <w:pPr>
        <w:ind w:left="1060" w:right="140" w:hanging="316"/>
        <w:spacing w:after="0" w:line="267"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Quality Engineering Services </w:t>
      </w:r>
      <w:r>
        <w:rPr>
          <w:rFonts w:ascii="Times New Roman" w:cs="Times New Roman" w:eastAsia="Times New Roman" w:hAnsi="Times New Roman"/>
          <w:sz w:val="18"/>
          <w:szCs w:val="18"/>
          <w:color w:val="auto"/>
        </w:rPr>
        <w:t>— We offer industry-specific quality assurance services, and a global presence, to help our customers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costs, enhance innovation and ensure the desired end-user experience, leveraging our advanced automation, intelligence and machine learning tools that form part of our 36ONE platform.</w:t>
      </w:r>
    </w:p>
    <w:p>
      <w:pPr>
        <w:spacing w:after="0" w:line="65" w:lineRule="exact"/>
        <w:rPr>
          <w:rFonts w:ascii="Times New Roman" w:cs="Times New Roman" w:eastAsia="Times New Roman" w:hAnsi="Times New Roman"/>
          <w:sz w:val="18"/>
          <w:szCs w:val="18"/>
          <w:color w:val="auto"/>
        </w:rPr>
      </w:pPr>
    </w:p>
    <w:p>
      <w:pPr>
        <w:ind w:left="1060" w:right="20" w:hanging="316"/>
        <w:spacing w:after="0" w:line="257"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Services </w:t>
      </w:r>
      <w:r>
        <w:rPr>
          <w:rFonts w:ascii="Times New Roman" w:cs="Times New Roman" w:eastAsia="Times New Roman" w:hAnsi="Times New Roman"/>
          <w:sz w:val="18"/>
          <w:szCs w:val="18"/>
          <w:color w:val="auto"/>
        </w:rPr>
        <w:t>— We provide a set of services to help design, build, implement and manage cloud solutions, including through 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Microsoft Azure. These services include cloud consulting, which is primarily delivered by experts from our Kenzan acquisition. Our cloud migration services move applications and IT systems to the cloud, and also implement changes to processes, culture and teams, enabling our customers to leverage the capabilities of the cloud to meet their business goals. With data migration to the cloud, we help improve the accessibility of data to enable faster, timelier AI-driven analytics. This provides customers with the ability to better leverage their data, with more users having access to more data, thereby enabling greater value to be achieved through analytics.</w:t>
      </w:r>
    </w:p>
    <w:p>
      <w:pPr>
        <w:spacing w:after="0" w:line="74" w:lineRule="exact"/>
        <w:rPr>
          <w:rFonts w:ascii="Times New Roman" w:cs="Times New Roman" w:eastAsia="Times New Roman" w:hAnsi="Times New Roman"/>
          <w:sz w:val="18"/>
          <w:szCs w:val="18"/>
          <w:color w:val="auto"/>
        </w:rPr>
      </w:pPr>
    </w:p>
    <w:p>
      <w:pPr>
        <w:ind w:left="1060" w:right="40" w:hanging="316"/>
        <w:spacing w:after="0" w:line="259"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Consulting Services </w:t>
      </w:r>
      <w:r>
        <w:rPr>
          <w:rFonts w:ascii="Times New Roman" w:cs="Times New Roman" w:eastAsia="Times New Roman" w:hAnsi="Times New Roman"/>
          <w:sz w:val="18"/>
          <w:szCs w:val="18"/>
          <w:color w:val="auto"/>
        </w:rPr>
        <w:t>— We provide business and top-level technology strategy consulting services for both Amdocs and non-Amdocs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Our consultants understand the service provider’s environment and bring with them the experience we accumulated when modernizing our own Amdocs product lines and re-skilling our people to master hybrids of the legacy and the new. Using expertise from recent acquisitions, we also provide experts in specific niches, such as the marketing consultancy practice acquired in the Pontis acquisition, the user experience (UX) experts from projekt202 and the digital software engineering and platform development experts from Kenzan.</w:t>
      </w:r>
    </w:p>
    <w:p>
      <w:pPr>
        <w:spacing w:after="0" w:line="71" w:lineRule="exact"/>
        <w:rPr>
          <w:rFonts w:ascii="Times New Roman" w:cs="Times New Roman" w:eastAsia="Times New Roman" w:hAnsi="Times New Roman"/>
          <w:sz w:val="18"/>
          <w:szCs w:val="18"/>
          <w:color w:val="auto"/>
        </w:rPr>
      </w:pPr>
    </w:p>
    <w:p>
      <w:pPr>
        <w:ind w:left="1060" w:right="260" w:hanging="316"/>
        <w:spacing w:after="0" w:line="261"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Integration Services </w:t>
      </w:r>
      <w:r>
        <w:rPr>
          <w:rFonts w:ascii="Times New Roman" w:cs="Times New Roman" w:eastAsia="Times New Roman" w:hAnsi="Times New Roman"/>
          <w:sz w:val="18"/>
          <w:szCs w:val="18"/>
          <w:color w:val="auto"/>
        </w:rPr>
        <w:t>— We offer integration design and implementation services to help bridge between modern digital channels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existing legacy back-end and third-party systems. We also offer a unique integration platform as a service (IPaaS) solution, which is a cloud, hybrid or on-premise integration platform built specifically for the unique challenges of the communications and media industry, enabling modernization with minimal impact on the systems of record and other legacy systems.</w:t>
      </w:r>
    </w:p>
    <w:p>
      <w:pPr>
        <w:spacing w:after="0" w:line="1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240" w:top="401"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right="100" w:hanging="316"/>
        <w:spacing w:after="0" w:line="254"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&amp; Intelligence Services </w:t>
      </w:r>
      <w:r>
        <w:rPr>
          <w:rFonts w:ascii="Times New Roman" w:cs="Times New Roman" w:eastAsia="Times New Roman" w:hAnsi="Times New Roman"/>
          <w:sz w:val="18"/>
          <w:szCs w:val="18"/>
          <w:color w:val="auto"/>
        </w:rPr>
        <w:t>— We offer advanced, insightful data and analytics services, powered by our IP around customer data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logical data model designed for the communications service provider. From strategy and consulting through optimizing and modernizing data ecosystems and migration to the cloud, our services deliver self-service business intelligence (BI) reporting, dashboards and efficient data monetization.</w:t>
      </w:r>
    </w:p>
    <w:p>
      <w:pPr>
        <w:spacing w:after="0" w:line="186"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 addition, amdocsONE includes revenue guard services designed to ensure faster, more accurate detection and resolution of revenue leakage, fraud and cyber fraud; the BriteBill multi-channel bill presentment platform focused on providing clarity in billing, creating a digital engagement channel with customers, and generating upsell opportunities. We also provide advertising and media offerings for media publishers, TV networks, video streaming providers, advertising agencies and service providers. Our OpenMarket business provides A2P (application-to-person) text messaging solutions.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portfolio architecture allows our applications to work in multiple customer environments.</w:t>
      </w:r>
    </w:p>
    <w:p>
      <w:pPr>
        <w:spacing w:after="0" w:line="225"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To help service providers respond more quickly to changes in their markets, we embrace an open and integrated approach to our technology built on the following key principles:</w:t>
      </w:r>
    </w:p>
    <w:p>
      <w:pPr>
        <w:spacing w:after="0" w:line="52" w:lineRule="exact"/>
        <w:rPr>
          <w:sz w:val="20"/>
          <w:szCs w:val="20"/>
          <w:color w:val="auto"/>
        </w:rPr>
      </w:pPr>
    </w:p>
    <w:p>
      <w:pPr>
        <w:ind w:left="1060" w:right="360" w:hanging="316"/>
        <w:spacing w:after="0" w:line="28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 led</w:t>
      </w:r>
      <w:r>
        <w:rPr>
          <w:rFonts w:ascii="Times New Roman" w:cs="Times New Roman" w:eastAsia="Times New Roman" w:hAnsi="Times New Roman"/>
          <w:sz w:val="18"/>
          <w:szCs w:val="18"/>
          <w:color w:val="auto"/>
        </w:rPr>
        <w:t>. Adopting design-led principles and methodologies across software applications to ensure improved and optimized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w:t>
      </w:r>
    </w:p>
    <w:p>
      <w:pPr>
        <w:spacing w:after="0" w:line="50" w:lineRule="exact"/>
        <w:rPr>
          <w:rFonts w:ascii="Times New Roman" w:cs="Times New Roman" w:eastAsia="Times New Roman" w:hAnsi="Times New Roman"/>
          <w:sz w:val="18"/>
          <w:szCs w:val="18"/>
          <w:color w:val="auto"/>
        </w:rPr>
      </w:pPr>
    </w:p>
    <w:p>
      <w:pPr>
        <w:ind w:left="1060" w:right="320" w:hanging="316"/>
        <w:spacing w:after="0" w:line="267"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API enabled</w:t>
      </w:r>
      <w:r>
        <w:rPr>
          <w:rFonts w:ascii="Times New Roman" w:cs="Times New Roman" w:eastAsia="Times New Roman" w:hAnsi="Times New Roman"/>
          <w:sz w:val="18"/>
          <w:szCs w:val="18"/>
          <w:color w:val="auto"/>
        </w:rPr>
        <w:t>. Leveraging domain-driven design to expose APIs across key applications and ensure consumption and interaction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6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Cloud flexibility</w:t>
      </w:r>
      <w:r>
        <w:rPr>
          <w:rFonts w:ascii="Times New Roman" w:cs="Times New Roman" w:eastAsia="Times New Roman" w:hAnsi="Times New Roman"/>
          <w:sz w:val="18"/>
          <w:szCs w:val="18"/>
          <w:color w:val="auto"/>
        </w:rPr>
        <w:t>. Architected to run in public and on-premise cloud environments.</w:t>
      </w:r>
    </w:p>
    <w:p>
      <w:pPr>
        <w:spacing w:after="0" w:line="117" w:lineRule="exact"/>
        <w:rPr>
          <w:rFonts w:ascii="Times New Roman" w:cs="Times New Roman" w:eastAsia="Times New Roman" w:hAnsi="Times New Roman"/>
          <w:sz w:val="18"/>
          <w:szCs w:val="18"/>
          <w:color w:val="auto"/>
        </w:rPr>
      </w:pPr>
    </w:p>
    <w:p>
      <w:pPr>
        <w:ind w:left="1060" w:right="580" w:hanging="316"/>
        <w:spacing w:after="0" w:line="28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Microservices</w:t>
      </w:r>
      <w:r>
        <w:rPr>
          <w:rFonts w:ascii="Times New Roman" w:cs="Times New Roman" w:eastAsia="Times New Roman" w:hAnsi="Times New Roman"/>
          <w:sz w:val="18"/>
          <w:szCs w:val="18"/>
          <w:color w:val="auto"/>
        </w:rPr>
        <w:t>. Developing highly granular, lightweight distributed software architecture, shipped and delivered using containers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orchestrated using Kubernetes, the industry-leading cluster management for containers.</w:t>
      </w:r>
    </w:p>
    <w:p>
      <w:pPr>
        <w:spacing w:after="0" w:line="50" w:lineRule="exact"/>
        <w:rPr>
          <w:rFonts w:ascii="Times New Roman" w:cs="Times New Roman" w:eastAsia="Times New Roman" w:hAnsi="Times New Roman"/>
          <w:sz w:val="18"/>
          <w:szCs w:val="18"/>
          <w:color w:val="auto"/>
        </w:rPr>
      </w:pPr>
    </w:p>
    <w:p>
      <w:pPr>
        <w:ind w:left="1060" w:right="160" w:hanging="316"/>
        <w:spacing w:after="0" w:line="267"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w:t>
      </w:r>
      <w:r>
        <w:rPr>
          <w:rFonts w:ascii="Times New Roman" w:cs="Times New Roman" w:eastAsia="Times New Roman" w:hAnsi="Times New Roman"/>
          <w:sz w:val="18"/>
          <w:szCs w:val="18"/>
          <w:color w:val="auto"/>
        </w:rPr>
        <w:t>. Designed to take full advantage of the capabilities of the underlying platform, allowing progressive system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proportional with increases in business volumes. Using the same software, our applications can support operations for small and very large service providers.</w:t>
      </w:r>
    </w:p>
    <w:p>
      <w:pPr>
        <w:spacing w:after="0" w:line="65" w:lineRule="exact"/>
        <w:rPr>
          <w:rFonts w:ascii="Times New Roman" w:cs="Times New Roman" w:eastAsia="Times New Roman" w:hAnsi="Times New Roman"/>
          <w:sz w:val="18"/>
          <w:szCs w:val="18"/>
          <w:color w:val="auto"/>
        </w:rPr>
      </w:pPr>
    </w:p>
    <w:p>
      <w:pPr>
        <w:ind w:left="1060" w:right="160" w:hanging="316"/>
        <w:spacing w:after="0" w:line="28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Reliability. </w:t>
      </w:r>
      <w:r>
        <w:rPr>
          <w:rFonts w:ascii="Times New Roman" w:cs="Times New Roman" w:eastAsia="Times New Roman" w:hAnsi="Times New Roman"/>
          <w:sz w:val="18"/>
          <w:szCs w:val="18"/>
          <w:color w:val="auto"/>
        </w:rPr>
        <w:t>System and component architecture supports high availability and redundancy to allow connected and uninterrupted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full network utilization and device load.</w:t>
      </w:r>
    </w:p>
    <w:p>
      <w:pPr>
        <w:spacing w:after="0" w:line="50" w:lineRule="exact"/>
        <w:rPr>
          <w:rFonts w:ascii="Times New Roman" w:cs="Times New Roman" w:eastAsia="Times New Roman" w:hAnsi="Times New Roman"/>
          <w:sz w:val="18"/>
          <w:szCs w:val="18"/>
          <w:color w:val="auto"/>
        </w:rPr>
      </w:pPr>
    </w:p>
    <w:p>
      <w:pPr>
        <w:ind w:left="1060" w:hanging="316"/>
        <w:spacing w:after="0" w:line="267"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Modularity</w:t>
      </w:r>
      <w:r>
        <w:rPr>
          <w:rFonts w:ascii="Times New Roman" w:cs="Times New Roman" w:eastAsia="Times New Roman" w:hAnsi="Times New Roman"/>
          <w:sz w:val="18"/>
          <w:szCs w:val="18"/>
          <w:color w:val="auto"/>
        </w:rPr>
        <w:t>. Applications can be installed on an individual standalone basis, interfacing with the customer’s existing systems, or as part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Amdocs system environment. We believe this modularity provides our customers with a highly flexible solution that is able to incrementally expand with the customer’s growing needs and capabilities.</w:t>
      </w:r>
    </w:p>
    <w:p>
      <w:pPr>
        <w:spacing w:after="0" w:line="65" w:lineRule="exact"/>
        <w:rPr>
          <w:rFonts w:ascii="Times New Roman" w:cs="Times New Roman" w:eastAsia="Times New Roman" w:hAnsi="Times New Roman"/>
          <w:sz w:val="18"/>
          <w:szCs w:val="18"/>
          <w:color w:val="auto"/>
        </w:rPr>
      </w:pPr>
    </w:p>
    <w:p>
      <w:pPr>
        <w:ind w:left="1060" w:right="160" w:hanging="316"/>
        <w:spacing w:after="0" w:line="28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Upgradability and Backwards Compatibility</w:t>
      </w:r>
      <w:r>
        <w:rPr>
          <w:rFonts w:ascii="Times New Roman" w:cs="Times New Roman" w:eastAsia="Times New Roman" w:hAnsi="Times New Roman"/>
          <w:sz w:val="18"/>
          <w:szCs w:val="18"/>
          <w:color w:val="auto"/>
        </w:rPr>
        <w:t>. Version interoperability eliminates risky upgrades and allows for a gradual upgrade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suite elements.</w:t>
      </w:r>
    </w:p>
    <w:p>
      <w:pPr>
        <w:spacing w:after="0" w:line="50" w:lineRule="exact"/>
        <w:rPr>
          <w:rFonts w:ascii="Times New Roman" w:cs="Times New Roman" w:eastAsia="Times New Roman" w:hAnsi="Times New Roman"/>
          <w:sz w:val="18"/>
          <w:szCs w:val="18"/>
          <w:color w:val="auto"/>
        </w:rPr>
      </w:pPr>
    </w:p>
    <w:p>
      <w:pPr>
        <w:ind w:left="1060" w:right="520" w:hanging="316"/>
        <w:spacing w:after="0" w:line="28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Virtualization</w:t>
      </w:r>
      <w:r>
        <w:rPr>
          <w:rFonts w:ascii="Times New Roman" w:cs="Times New Roman" w:eastAsia="Times New Roman" w:hAnsi="Times New Roman"/>
          <w:sz w:val="18"/>
          <w:szCs w:val="18"/>
          <w:color w:val="auto"/>
        </w:rPr>
        <w:t>. Business agility improves with virtualization as it allows introduction of new services rapidly. Moreover, virtualization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reduces cost by improving resource utilization, and by automating processes.</w:t>
      </w:r>
    </w:p>
    <w:p>
      <w:pPr>
        <w:spacing w:after="0" w:line="50" w:lineRule="exact"/>
        <w:rPr>
          <w:rFonts w:ascii="Times New Roman" w:cs="Times New Roman" w:eastAsia="Times New Roman" w:hAnsi="Times New Roman"/>
          <w:sz w:val="18"/>
          <w:szCs w:val="18"/>
          <w:color w:val="auto"/>
        </w:rPr>
      </w:pPr>
    </w:p>
    <w:p>
      <w:pPr>
        <w:ind w:left="1060" w:right="100" w:hanging="316"/>
        <w:spacing w:after="0" w:line="267"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Source Software</w:t>
      </w:r>
      <w:r>
        <w:rPr>
          <w:rFonts w:ascii="Times New Roman" w:cs="Times New Roman" w:eastAsia="Times New Roman" w:hAnsi="Times New Roman"/>
          <w:sz w:val="18"/>
          <w:szCs w:val="18"/>
          <w:color w:val="auto"/>
        </w:rPr>
        <w:t>. Enabling rapid time to market and lower-cost functionality introduction, our software leverages open-source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to encourage standardization and improved quality where possible. Amdocs is playing a central role in the development of The Linux Foundation’s ONAP, an advanced open source solution for the telecommunications industry.</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01"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right="500" w:hanging="316"/>
        <w:spacing w:after="0" w:line="261"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Service-Oriented Architecture. </w:t>
      </w:r>
      <w:r>
        <w:rPr>
          <w:rFonts w:ascii="Times New Roman" w:cs="Times New Roman" w:eastAsia="Times New Roman" w:hAnsi="Times New Roman"/>
          <w:sz w:val="18"/>
          <w:szCs w:val="18"/>
          <w:color w:val="auto"/>
        </w:rPr>
        <w:t>SOA enables improved flow of information, rapid function development, easier scaling and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services.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sales and marketing activities are primarily directed at major communications and media companies.</w:t>
      </w:r>
    </w:p>
    <w:p>
      <w:pPr>
        <w:spacing w:after="0" w:line="225"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As a result of the strategic importance of our amdocsONE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76"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partner companies, such as Amazon Web Services, Microsoft, Intel, Google, Redhat, Dell EMC and VMware, Adobe, Nokia, Hewlett Packard Enterprise and IBM.</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85 countries.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customers include service providers, such as:</w:t>
      </w:r>
    </w:p>
    <w:p>
      <w:pPr>
        <w:sectPr>
          <w:pgSz w:w="11900" w:h="16838" w:orient="portrait"/>
          <w:cols w:equalWidth="0" w:num="1">
            <w:col w:w="11180"/>
          </w:cols>
          <w:pgMar w:left="240" w:top="401" w:right="479" w:bottom="1440" w:gutter="0" w:footer="0" w:header="0"/>
        </w:sect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A1 Bulgaria</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A1 Telekom Austria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Airtel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Altice SFR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Altice USA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America Movil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Astro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AT&amp;T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AT&amp;T Mexico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Bell Canada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Bharat Sanchar Nigam Limited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Botswana Telecommunications Corporation</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Cable &amp; Wireless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Capita Business Services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Cellcom</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CenturyLink</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Charter Communications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Claro Brasil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Claro Chile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Claro Dominican Republic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Claro Puerto Rico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Comcast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Deutsche Telekom</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Digital TV Cable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Luxembourg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Proximus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 Carpet Home Cinema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Reliance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Rogers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Rostelecom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Safaricom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 Italia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Sunrise Telecom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Telefónica 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Telefónica Brasil (Vivo)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Telefónica 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Telefónica 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Telefónica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Telia 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Telia 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Telkomsel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Telstra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TELUS Communications</w:t>
      </w:r>
    </w:p>
    <w:p>
      <w:pPr>
        <w:spacing w:after="0" w:line="200" w:lineRule="exact"/>
        <w:rPr>
          <w:sz w:val="20"/>
          <w:szCs w:val="20"/>
          <w:color w:val="auto"/>
        </w:rPr>
      </w:pPr>
    </w:p>
    <w:p>
      <w:pPr>
        <w:sectPr>
          <w:pgSz w:w="11900" w:h="16838" w:orient="portrait"/>
          <w:cols w:equalWidth="0" w:num="2">
            <w:col w:w="5120" w:space="720"/>
            <w:col w:w="5340"/>
          </w:cols>
          <w:pgMar w:left="240" w:top="401" w:right="479" w:bottom="1440" w:gutter="0" w:footer="0" w:header="0"/>
          <w:type w:val="continuous"/>
        </w:sectPr>
      </w:pPr>
    </w:p>
    <w:p>
      <w:pPr>
        <w:spacing w:after="0" w:line="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240" w:top="401" w:right="47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26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18"/>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Dish Network</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Three Ireland (Hutchison) Limited</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EE</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TIM</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Elisa</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TIM Brasil</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EPIX (an MGM company)</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T-Mobile US</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Eros Now</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True Corporation</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FarEasTone</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Turner</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Foxtel</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UPC Broadband</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Globe Telecom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US Cellular</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J:COM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UTS</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Kazakhtelecom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VEON</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Kcell</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Verizon</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KCOM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Viacom</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KPN</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Virgin Media</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KT Corporation</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Germany</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Kyivstar</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Hungary</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M1</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Idea</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Magyar Telekom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Ireland</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Maxis</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Italy</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MTS</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Qatar</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NFL Digital Media</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Romania</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Oi</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Spain</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Optus</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 UK</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Orange Belgium</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VodafoneZiggo</w:t>
            </w:r>
          </w:p>
        </w:tc>
      </w:tr>
      <w:tr>
        <w:trPr>
          <w:trHeight w:val="216"/>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Orange Spain</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Warner Bros</w:t>
            </w:r>
          </w:p>
        </w:tc>
      </w:tr>
      <w:tr>
        <w:trPr>
          <w:trHeight w:val="234"/>
        </w:trPr>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PLDT</w:t>
            </w:r>
          </w:p>
        </w:tc>
        <w:tc>
          <w:tcPr>
            <w:tcW w:w="4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XL Axiata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Our business is dependent on a limited number of significant customers, of which AT&amp;T has historically been our largest. AT&amp;T accounted for 23% and 27% of our revenue in fiscal 2019 and 2018, respectively. Aggregate revenue derived from the multiple business arrangements we have with the ten largest of our significant customers accounted for approximately 65% of our revenue in fiscal 2019 and 66% in fiscal 2018. See “Risk Factors — </w:t>
      </w:r>
      <w:r>
        <w:rPr>
          <w:rFonts w:ascii="Times New Roman" w:cs="Times New Roman" w:eastAsia="Times New Roman" w:hAnsi="Times New Roman"/>
          <w:sz w:val="18"/>
          <w:szCs w:val="18"/>
          <w:i w:val="1"/>
          <w:iCs w:val="1"/>
          <w:color w:val="auto"/>
        </w:rPr>
        <w:t>Our business is dependent on a limited number of significant customers, and the loss of any one of our significant customers could harm our results of operations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revenue by geographic area. Revenue is attributed to geographic region based on the location of the customer:</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64.2%</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65.9%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14.7%</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14.4%</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12.6%</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21.4%</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21.5%</w:t>
            </w: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market for customer experience solutions in the communications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68" w:lineRule="exact"/>
        <w:rPr>
          <w:sz w:val="20"/>
          <w:szCs w:val="20"/>
          <w:color w:val="auto"/>
        </w:rPr>
      </w:pPr>
    </w:p>
    <w:p>
      <w:pPr>
        <w:ind w:left="1060" w:right="60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BSS/OSS and customer relationship management (CRM)/digital systems, including CSG International, Optiva, Oracle, Pegasystems, Salesforce, Vlocity and SAP;</w:t>
      </w:r>
    </w:p>
    <w:p>
      <w:pPr>
        <w:spacing w:after="0" w:line="53" w:lineRule="exact"/>
        <w:rPr>
          <w:rFonts w:ascii="Times New Roman" w:cs="Times New Roman" w:eastAsia="Times New Roman" w:hAnsi="Times New Roman"/>
          <w:sz w:val="18"/>
          <w:szCs w:val="18"/>
          <w:color w:val="auto"/>
        </w:rPr>
      </w:pPr>
    </w:p>
    <w:p>
      <w:pPr>
        <w:ind w:left="1060" w:right="52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and providers of IT services, such as Accenture, Cognizant, DXC Technology, IBM Global Services, Infosys, Tata Consultancy Services, Tech Mahindra and Wipro (some of whom we also cooperate with in certain opportunities and projects);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240" w:top="392"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right="160" w:hanging="316"/>
        <w:spacing w:after="0" w:line="261"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equipment providers such as Ericsson, Huawei, Nokia Networks, and NEC and its subsidiary Netcracker (some of whom we also cooperate with in certain opportunities and projects and some of whom have also moved into the BSS/OSS space);</w:t>
      </w:r>
    </w:p>
    <w:p>
      <w:pPr>
        <w:spacing w:after="0" w:line="71" w:lineRule="exact"/>
        <w:rPr>
          <w:rFonts w:ascii="Times New Roman" w:cs="Times New Roman" w:eastAsia="Times New Roman" w:hAnsi="Times New Roman"/>
          <w:sz w:val="18"/>
          <w:szCs w:val="18"/>
          <w:color w:val="auto"/>
        </w:rPr>
      </w:pPr>
    </w:p>
    <w:p>
      <w:pPr>
        <w:ind w:left="1060" w:right="40" w:hanging="316"/>
        <w:spacing w:after="0" w:line="266"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domain players, often start-up companies, who compete against particular parts of our portfolio, such as Matrixx, Openet in charging; Hansen (Sigma) in catalog; Aria, Stripe, Zuora in subscription billing; Forgerock and Okta in identity management; Deluxe Entertainment and iNDemand in Media.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the competition in our industry to increase from many of such companies.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we are able to differentiate ourselves from these competitors by, among other things:</w:t>
      </w:r>
    </w:p>
    <w:p>
      <w:pPr>
        <w:spacing w:after="0" w:line="117" w:lineRule="exact"/>
        <w:rPr>
          <w:sz w:val="20"/>
          <w:szCs w:val="20"/>
          <w:color w:val="auto"/>
        </w:rPr>
      </w:pPr>
    </w:p>
    <w:p>
      <w:pPr>
        <w:ind w:left="1060" w:right="100" w:hanging="316"/>
        <w:spacing w:after="0" w:line="266"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our over 35-year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68"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design and develop solutions targeted specifically to the communications and media industry,</w:t>
      </w:r>
    </w:p>
    <w:p>
      <w:pPr>
        <w:spacing w:after="0" w:line="11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enabling our customers to adopt new business models that will improve their ability to drive new revenues, and compete and win in a changing market,</w:t>
      </w:r>
    </w:p>
    <w:p>
      <w:pPr>
        <w:spacing w:after="0" w:line="53" w:lineRule="exact"/>
        <w:rPr>
          <w:rFonts w:ascii="Times New Roman" w:cs="Times New Roman" w:eastAsia="Times New Roman" w:hAnsi="Times New Roman"/>
          <w:sz w:val="18"/>
          <w:szCs w:val="18"/>
          <w:color w:val="auto"/>
        </w:rPr>
      </w:pPr>
    </w:p>
    <w:p>
      <w:pPr>
        <w:ind w:left="1060" w:right="40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flexible and tailored IT and business process outsourcing solutions and delivery models, and</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customers end-to-end accountability from a single vendor.</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 diverse, multi-cultural workforce spread across the globe provides strength and a competitive business advantage.</w:t>
      </w:r>
    </w:p>
    <w:p>
      <w:pPr>
        <w:spacing w:after="0" w:line="189"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See “Directors, Senior Management and Employees — Workforce Personnel” for further details regarding our employees and our relationships with them.</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240" w:top="401"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Plants and Equipment</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1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lease land and buildings for our executive offices, sales, marketing, administrative, development and support centers. We lease an aggregate of approximately 3.4 million square feet worldwide, including significant leases in the United States, Israel, Canada, Cyprus, India, Philippines, United Kingdom and Mexico. The following table summarizes information with respect to the principal facilities leased by us and our subsidiaries as of September 30, 2019:</w:t>
      </w:r>
    </w:p>
    <w:p>
      <w:pPr>
        <w:spacing w:after="0" w:line="16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7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Area</w:t>
            </w:r>
          </w:p>
        </w:tc>
        <w:tc>
          <w:tcPr>
            <w:tcW w:w="0" w:type="dxa"/>
            <w:vAlign w:val="bottom"/>
          </w:tcPr>
          <w:p>
            <w:pPr>
              <w:spacing w:after="0"/>
              <w:rPr>
                <w:sz w:val="1"/>
                <w:szCs w:val="1"/>
                <w:color w:val="auto"/>
              </w:rPr>
            </w:pPr>
          </w:p>
        </w:tc>
      </w:tr>
      <w:tr>
        <w:trPr>
          <w:trHeight w:val="160"/>
        </w:trPr>
        <w:tc>
          <w:tcPr>
            <w:tcW w:w="7460" w:type="dxa"/>
            <w:vAlign w:val="bottom"/>
            <w:gridSpan w:val="3"/>
            <w:vMerge w:val="continue"/>
          </w:tcPr>
          <w:p>
            <w:pPr>
              <w:spacing w:after="0"/>
              <w:rPr>
                <w:sz w:val="13"/>
                <w:szCs w:val="13"/>
                <w:color w:val="auto"/>
              </w:rPr>
            </w:pPr>
          </w:p>
        </w:tc>
        <w:tc>
          <w:tcPr>
            <w:tcW w:w="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Champaign, IL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 Louis, MO</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Burbank,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Seattle, WA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Eldorado Hills,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Ra’anana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Sderot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Nazareth</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Montreal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Toronto</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Ottawa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Cyprus (Limassol)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Pune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Delhi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Mumbai</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locations (21 countries)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Our leases expire on various dates through 2035, not including various options to terminate or extend lease terms. In December 2017, the Company entered into agreements with Union Investments and Development Limited (“Union”) to partner through a legal entity that would be equally owned by the Company and Union for the purpose of acquiring land which the Company intends to use as the site for a new campus in Ra’anana, Israel that we believe will provide an advanced, optimal working environment that can meet the needs of Amdocs Israel and its employees, and support the Company’s future growth. The design for the new campus is in accordance with LEED requirements and includes advanced energy and water saving systems.</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240" w:top="401"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Equipment</w:t>
      </w:r>
    </w:p>
    <w:p>
      <w:pPr>
        <w:spacing w:after="0" w:line="99"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develop amdocsONE solutions over a system of UNIX, Linux, Windows servers owned or leased by us, as well as over cloud providers. We use a variety of software products in our development centers, including products by Microsoft, Oracle, Syncsort, Red Hat, CA, IBM, Hewlett-Packard or others. Our data storage is based mainly on equipment from EMC, NetApp, IBM, Hitachi and Hewlett-Packard.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OPERATING AND FINANCIAL REVIEW AND PROSPECTS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Amdocs is a leading provider of software and services for communications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80" w:lineRule="exact"/>
        <w:rPr>
          <w:sz w:val="20"/>
          <w:szCs w:val="20"/>
          <w:color w:val="auto"/>
        </w:rPr>
      </w:pPr>
    </w:p>
    <w:p>
      <w:pPr>
        <w:ind w:left="200" w:right="400" w:firstLine="441"/>
        <w:spacing w:after="0" w:line="261" w:lineRule="auto"/>
        <w:rPr>
          <w:sz w:val="20"/>
          <w:szCs w:val="20"/>
          <w:color w:val="auto"/>
        </w:rPr>
      </w:pPr>
      <w:r>
        <w:rPr>
          <w:rFonts w:ascii="Times New Roman" w:cs="Times New Roman" w:eastAsia="Times New Roman" w:hAnsi="Times New Roman"/>
          <w:sz w:val="18"/>
          <w:szCs w:val="18"/>
          <w:color w:val="auto"/>
        </w:rPr>
        <w:t>We develop, implement and manage software and services designed to meet the business imperatives of our customers. Our technology, design-led thinking approach and expertise help service providers to further transform into digital service providers, enhance their entertainment offerings, and serve their customers across all channels. amdocsONE, our open and dynamic portfolio, enables service providers to accelerate their continuous digital transformation.</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In a global communications and media industry impacted by unprecedented growth in data demand, an increasing number of connected devices, improvement in IoT technologies, and the rising influence of device makers, social networks and OTT players that bypass traditional service providers, consumers expect immediate and constant connectivity to a wide array of personalized services, information and applications. To capture new revenue streams, service providers are continuing to transform to become digital service providers, investing in their networks to meet the demand for increased bandwidth and are searching for ways to provide new services, particularly around content. We seek to address these market forces through a strategy of innovation from the network and digital business systems to the device and end user, leveraging cloud-native microservices technologies for high velocity time to market, delivering in fast DevOps sprints, with full accountability, to control costs, bring optimal scope and drive agility. Our goal is to supply cost-effective, modular, scalable and open software products and services that provide functionality and flexibility to service providers as they and their markets grow and change.</w:t>
      </w:r>
    </w:p>
    <w:p>
      <w:pPr>
        <w:spacing w:after="0" w:line="189"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In part, we have sought, through acquisitions, to expand our service offerings and customer base and to enhance our ability to provide managed services to our customers. In recent years, we have completed numerous acquisitions (including our fiscal 2017 acquisition of Kenzan, our fiscal 2018 acquisitions of projekt202, UXP Systems and Vubiquity and our fiscal 2019 acquisition of TTS Wireless), which, among other things, we believe will enable us to expand our digital offerings, network capabilities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amdocsONE</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Our amdocsONE portfolio consists of software and services that address service providers’ business and operational needs. Its open, modular and integrated solution set introduces a rich group of capabilities built on cloud-native, microservices and machine-learning technologies, and is delivered based on modern DevOps practices. amdocsONE is designed to meet the business imperatives of our customers who are transforming into</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240" w:top="401"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00"/>
        <w:spacing w:after="0" w:line="261" w:lineRule="auto"/>
        <w:rPr>
          <w:sz w:val="20"/>
          <w:szCs w:val="20"/>
          <w:color w:val="auto"/>
        </w:rPr>
      </w:pPr>
      <w:r>
        <w:rPr>
          <w:rFonts w:ascii="Times New Roman" w:cs="Times New Roman" w:eastAsia="Times New Roman" w:hAnsi="Times New Roman"/>
          <w:sz w:val="18"/>
          <w:szCs w:val="18"/>
          <w:color w:val="auto"/>
        </w:rPr>
        <w:t>digital service providers within the framework of a hybrid IT environment, which requires them to rapidly introduce new cloud-native applications while still operating legacy systems.</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Our comprehensive line of services is designed to address every stage of a service provider’s lifecycle. They include consulting services, managed services, digital business operations, quality engineering services, cloud services, integration services and data and intelligence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4"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fiscal 2019, customers in North America accounted for 63.2% of our revenue, while customers in Europe and the rest of the world accounted for 14.7% and 22.1%, respectively. We maintain development facilities in Brazil, Canada, Cyprus, India, Ireland, Israel, Mexico, the Philippines, the United Kingdom and the United States. Historically, AT&amp;T has been our largest customer, accounting for 23% and 27% of our revenue in fiscal 2019 and 2018, respectively. Aggregate revenue derived from the multiple business arrangements we have with our ten largest customers accounted for approximately 65% of our revenue in fiscal 2019 and 66% in fiscal 2018. We believe that demand for our solutions is primarily driven by the following key factors:</w:t>
      </w:r>
    </w:p>
    <w:p>
      <w:pPr>
        <w:spacing w:after="0" w:line="81" w:lineRule="exact"/>
        <w:rPr>
          <w:sz w:val="20"/>
          <w:szCs w:val="20"/>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within the communications and media industry, including:</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transformation of service providers to digital service providers,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communications and content services,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access to content, information and applications,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Latin America and Southeast Asia,</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lines of business,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service providers in established markets, often including companies with multinational operations,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non-traditional players,</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bundling and blending of communications and entertainment, and</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commoditization and pricing pressure.</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advances, such as:</w:t>
      </w:r>
    </w:p>
    <w:p>
      <w:pPr>
        <w:spacing w:after="0" w:line="117" w:lineRule="exact"/>
        <w:rPr>
          <w:rFonts w:ascii="Times New Roman" w:cs="Times New Roman" w:eastAsia="Times New Roman" w:hAnsi="Times New Roman"/>
          <w:sz w:val="18"/>
          <w:szCs w:val="18"/>
          <w:color w:val="auto"/>
        </w:rPr>
      </w:pPr>
    </w:p>
    <w:p>
      <w:pPr>
        <w:ind w:left="1520" w:right="480" w:hanging="330"/>
        <w:spacing w:after="0" w:line="313" w:lineRule="auto"/>
        <w:tabs>
          <w:tab w:leader="none" w:pos="15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30" w:lineRule="exact"/>
        <w:rPr>
          <w:rFonts w:ascii="Times New Roman" w:cs="Times New Roman" w:eastAsia="Times New Roman" w:hAnsi="Times New Roman"/>
          <w:sz w:val="17"/>
          <w:szCs w:val="17"/>
          <w:color w:val="auto"/>
        </w:rPr>
      </w:pPr>
    </w:p>
    <w:p>
      <w:pPr>
        <w:ind w:left="1520" w:right="140" w:hanging="330"/>
        <w:spacing w:after="0" w:line="282"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service provider business models and opportunities like OTT partnerships, content development and offerings, advertising, enterprise and small- or medium-sized business modernization, and innovative consumer bundling solutions,</w:t>
      </w:r>
    </w:p>
    <w:p>
      <w:pPr>
        <w:spacing w:after="0" w:line="53" w:lineRule="exact"/>
        <w:rPr>
          <w:rFonts w:ascii="Times New Roman" w:cs="Times New Roman" w:eastAsia="Times New Roman" w:hAnsi="Times New Roman"/>
          <w:sz w:val="18"/>
          <w:szCs w:val="18"/>
          <w:color w:val="auto"/>
        </w:rPr>
      </w:pPr>
    </w:p>
    <w:p>
      <w:pPr>
        <w:ind w:left="1520" w:right="200" w:hanging="330"/>
        <w:spacing w:after="0" w:line="282"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evolution in order to support growing technology needs associated with Internet of Things (IoT), autonomous vehicles and augmented and virtual reality,</w:t>
      </w:r>
    </w:p>
    <w:p>
      <w:pPr>
        <w:spacing w:after="0" w:line="53" w:lineRule="exact"/>
        <w:rPr>
          <w:rFonts w:ascii="Times New Roman" w:cs="Times New Roman" w:eastAsia="Times New Roman" w:hAnsi="Times New Roman"/>
          <w:sz w:val="18"/>
          <w:szCs w:val="18"/>
          <w:color w:val="auto"/>
        </w:rPr>
      </w:pPr>
    </w:p>
    <w:p>
      <w:pPr>
        <w:ind w:left="1520" w:right="280" w:hanging="330"/>
        <w:spacing w:after="0" w:line="282"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communications technologies such as 5G wireless technology, eSIM, long range (LoRa), Narrowband IoT (NB-IOT, network functions virtualization (NFV), network automation and edge computing,</w:t>
      </w:r>
    </w:p>
    <w:p>
      <w:pPr>
        <w:spacing w:after="0" w:line="53" w:lineRule="exact"/>
        <w:rPr>
          <w:rFonts w:ascii="Times New Roman" w:cs="Times New Roman" w:eastAsia="Times New Roman" w:hAnsi="Times New Roman"/>
          <w:sz w:val="18"/>
          <w:szCs w:val="18"/>
          <w:color w:val="auto"/>
        </w:rPr>
      </w:pPr>
    </w:p>
    <w:p>
      <w:pPr>
        <w:ind w:left="1520" w:right="720" w:hanging="330"/>
        <w:spacing w:after="0" w:line="282"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initiatives like artificial intelligence, including machine learning (ML) and natural language processing (NLP) and blockchain.</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240" w:top="401"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such as:</w:t>
      </w:r>
    </w:p>
    <w:p>
      <w:pPr>
        <w:spacing w:after="0" w:line="98" w:lineRule="exact"/>
        <w:rPr>
          <w:rFonts w:ascii="Times New Roman" w:cs="Times New Roman" w:eastAsia="Times New Roman" w:hAnsi="Times New Roman"/>
          <w:sz w:val="18"/>
          <w:szCs w:val="18"/>
          <w:color w:val="auto"/>
        </w:rPr>
      </w:pPr>
    </w:p>
    <w:p>
      <w:pPr>
        <w:ind w:left="1520" w:right="240" w:hanging="330"/>
        <w:spacing w:after="0" w:line="282" w:lineRule="auto"/>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service providers to personalize the customer’s experience and provide contextual and personalized engagements at all points in their omni-channel customer journey,</w:t>
      </w:r>
    </w:p>
    <w:p>
      <w:pPr>
        <w:spacing w:after="0" w:line="53" w:lineRule="exact"/>
        <w:rPr>
          <w:rFonts w:ascii="Times New Roman" w:cs="Times New Roman" w:eastAsia="Times New Roman" w:hAnsi="Times New Roman"/>
          <w:sz w:val="18"/>
          <w:szCs w:val="18"/>
          <w:color w:val="auto"/>
        </w:rPr>
      </w:pPr>
    </w:p>
    <w:p>
      <w:pPr>
        <w:ind w:left="1520" w:right="220" w:hanging="330"/>
        <w:spacing w:after="0" w:line="282" w:lineRule="auto"/>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expectations for new, innovative services and applications that are personally relevant and that can be accessed anytime, anywhere and from any device, and</w:t>
      </w:r>
    </w:p>
    <w:p>
      <w:pPr>
        <w:spacing w:after="0" w:line="53"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ever-increasing expectations for service and support, including proactive multi-modal customer care and commerce.</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operational efficiency, including:</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from in-house management to vendor solutions,</w:t>
      </w:r>
    </w:p>
    <w:p>
      <w:pPr>
        <w:spacing w:after="0" w:line="117" w:lineRule="exact"/>
        <w:rPr>
          <w:rFonts w:ascii="Times New Roman" w:cs="Times New Roman" w:eastAsia="Times New Roman" w:hAnsi="Times New Roman"/>
          <w:sz w:val="18"/>
          <w:szCs w:val="18"/>
          <w:color w:val="auto"/>
        </w:rPr>
      </w:pPr>
    </w:p>
    <w:p>
      <w:pPr>
        <w:ind w:left="1520" w:right="160" w:hanging="330"/>
        <w:spacing w:after="0" w:line="282" w:lineRule="auto"/>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needs of service providers to reduce costs and lower total cost of ownership of software systems while retaining high-value customers in a highly competitive environment,</w:t>
      </w:r>
    </w:p>
    <w:p>
      <w:pPr>
        <w:spacing w:after="0" w:line="53" w:lineRule="exact"/>
        <w:rPr>
          <w:rFonts w:ascii="Times New Roman" w:cs="Times New Roman" w:eastAsia="Times New Roman" w:hAnsi="Times New Roman"/>
          <w:sz w:val="18"/>
          <w:szCs w:val="18"/>
          <w:color w:val="auto"/>
        </w:rPr>
      </w:pPr>
    </w:p>
    <w:p>
      <w:pPr>
        <w:ind w:left="1520" w:right="240" w:hanging="330"/>
        <w:spacing w:after="0" w:line="282" w:lineRule="auto"/>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automating, introducing artificial intelligence, and integrating business processes that span service providers’ business systems and network solutions,</w:t>
      </w:r>
    </w:p>
    <w:p>
      <w:pPr>
        <w:spacing w:after="0" w:line="53"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integrating new next-generation networks (and retiring legacy networks) to deploy new technologies, and</w:t>
      </w:r>
    </w:p>
    <w:p>
      <w:pPr>
        <w:spacing w:after="0" w:line="117" w:lineRule="exact"/>
        <w:rPr>
          <w:rFonts w:ascii="Times New Roman" w:cs="Times New Roman" w:eastAsia="Times New Roman" w:hAnsi="Times New Roman"/>
          <w:sz w:val="18"/>
          <w:szCs w:val="18"/>
          <w:color w:val="auto"/>
        </w:rPr>
      </w:pPr>
    </w:p>
    <w:p>
      <w:pPr>
        <w:ind w:left="1520" w:hanging="330"/>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transforming fragmented legacy OSS to introduce new services in a timely and cost-effective manner.</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Revenue from managed services arrangements is a significant part of our business generating substantial, long-term recurring revenue streams and cash flow. Revenue from managed services arrangements accounted for approximately $2.25 billion and $2.05 billion of revenue in fiscal 2019 and 2018,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w:t>
      </w:r>
    </w:p>
    <w:p>
      <w:pPr>
        <w:spacing w:after="0" w:line="121"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and associated technologies, for example, DevOps, Continuous Integration/Continuous Development (CI/CD) and Agile, to ensure we are able to develop and deliver our solutions efficiently and cost-effectively.</w:t>
      </w:r>
    </w:p>
    <w:p>
      <w:pPr>
        <w:spacing w:after="0" w:line="184"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natural language processing and artificial intelligence toward consumer and business satisfaction, marketing effectiveness and network operations and experience; increased focused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w:t>
      </w:r>
    </w:p>
    <w:p>
      <w:pPr>
        <w:spacing w:after="0" w:line="1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240" w:top="401"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success. However, an increase or a decrease in our total revenue would not necessarily result in a proportional increase or decrease in the levels of our research and development expenditures, which could affect our operating margin.</w:t>
      </w:r>
    </w:p>
    <w:p>
      <w:pPr>
        <w:spacing w:after="0" w:line="180"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fiscal years ended September 30, 2019, 2018 and 2017, certain items in our consolidated statements of income reflected as a percentage of revenue (figures may not sum because of rounding):</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3180" w:type="dxa"/>
            <w:vAlign w:val="bottom"/>
            <w:gridSpan w:val="3"/>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64.9</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65.3</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8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80" w:type="dxa"/>
            <w:vAlign w:val="bottom"/>
            <w:gridSpan w:val="3"/>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12.1</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18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Non-recurring charges</w:t>
            </w:r>
          </w:p>
        </w:tc>
        <w:tc>
          <w:tcPr>
            <w:tcW w:w="2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6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6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18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10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01"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30, 2019 and 2018</w:t>
      </w:r>
    </w:p>
    <w:p>
      <w:pPr>
        <w:spacing w:after="0" w:line="9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fiscal year ended September 30, 2019, compared to the fiscal year ended September 30, 2018. Following the table is a discussion and analysis of our business and results of operations for these fiscal years.</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0" w:type="dxa"/>
            <w:vAlign w:val="bottom"/>
          </w:tcPr>
          <w:p>
            <w:pPr>
              <w:spacing w:after="0"/>
              <w:rPr>
                <w:sz w:val="15"/>
                <w:szCs w:val="15"/>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4,086,669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3,974,837</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$ 111,832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2,653,172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2,595,276</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276,615</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(2,679)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481,093</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(11,131)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(85,057)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3,516,923</w:t>
            </w: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3,546,530</w:t>
            </w: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428,307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(4,907)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421,541</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146,346</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479,446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125,050</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0" w:right="1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$111.8 million, or 2.8%, to $4,086.7 million in fiscal year 2019, from $3,974.8 million in fiscal year 2018.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was attributable to increased managed services including managed transformation activities. Revenue for the year ended September 30, 2019 increased by 4.1% compared to fiscal year ended September 30, 2018, excluding approximately 1.3% negative foreign exchange fluctuations impact, and was also positively affected by activities related to acquisitions completed in fiscal year 2018 and to a lesser extent 2019 acquisition.</w:t>
      </w:r>
    </w:p>
    <w:p>
      <w:pPr>
        <w:spacing w:after="0" w:line="184"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In fiscal year 2019, revenue from customers in North America, Europe and the rest of the world accounted for 63.2%, 14.7% and 22.1%, respectively, of total revenue, compared to 64.2%, 14.4% and 21.4%, respectively, in fiscal year 2018. Revenue from customers in North America increased during the fiscal year 2019, while total revenue increased at a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revenue with AT&amp;T. Revenue from customers in Europe increased in fiscal year 2019, despite negative foreign exchange fluctuations, primarily as a result of higher revenue from development and modernization activities while we expand our presence in this region. Revenue from customers in the rest of the world increased in fiscal year 2019, despite negative foreign exchange fluctuations, as a result of our expansion and progress of managed transformations activities for customers in the rest of the world.</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revenue consists primarily of costs associated with providing services to customers, including compensation expense</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costs of third-party products, as well as fee and royalty payments to software suppliers. Cost of revenue increased by $57.9 million, or 2.2%, 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$2,653.2 million in fiscal year 2019, from $2,595.3 million in fiscal year 2018. As a percentage of revenue, cost of revenue decreased to 64.9% in fiscal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year 2019 from 65.3% in fiscal year 2018. The Cost of revenue increase was commensurate with revenue growth, excluding the impact of changes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acquisition-related liabilities measured at fair value recognized in the fiscal years 2019 and 2018 in total amount of $2.2 million and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$17.7 million, respectively.</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240" w:top="401"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$2.7 million, or 1.0%, to $273.9 million in fiscal year 2019, from $276.6 million in fiscal year 2018. Research and development expense decreased as a percentage of revenue from 7.0% in fiscal year 2018, to 6.7% in fiscal year 2019.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$11.4 million, or 2.4%, to $492.5 million in fiscal year 2019, from $481.1 million in fiscal year 2018. The increase in selling, general and administrative expense was primarily attributable to changes in the accounts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80" w:lineRule="exact"/>
        <w:rPr>
          <w:sz w:val="20"/>
          <w:szCs w:val="20"/>
          <w:color w:val="auto"/>
        </w:rPr>
      </w:pPr>
    </w:p>
    <w:p>
      <w:pPr>
        <w:ind w:left="200" w:right="4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 Assets and Other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decreased by $11.1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10.3%, to $97.4 million in fiscal year 2019, from $108.5 million in fiscal year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years 2019 and 2018.</w:t>
      </w:r>
    </w:p>
    <w:p>
      <w:pPr>
        <w:spacing w:after="0" w:line="177" w:lineRule="exact"/>
        <w:rPr>
          <w:sz w:val="20"/>
          <w:szCs w:val="20"/>
          <w:color w:val="auto"/>
        </w:rPr>
      </w:pPr>
    </w:p>
    <w:p>
      <w:pPr>
        <w:ind w:left="200" w:right="14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Non-recurring Charges. </w:t>
      </w:r>
      <w:r>
        <w:rPr>
          <w:rFonts w:ascii="Times New Roman" w:cs="Times New Roman" w:eastAsia="Times New Roman" w:hAnsi="Times New Roman"/>
          <w:sz w:val="18"/>
          <w:szCs w:val="18"/>
          <w:color w:val="auto"/>
        </w:rPr>
        <w:t>There were no non-recurring charges in fiscal year 2019, while there were $85.1 million of such charges in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The non-recurring charges in fiscal year 2018 were primarily associated to a loss incurred to settle a long-running legal dispute and restructuring charges which were primarily associated with recently completed acquisitions and internal business realignment actions in North America. Please see Note 10 to our consolidated financial statements.</w:t>
      </w:r>
    </w:p>
    <w:p>
      <w:pPr>
        <w:spacing w:after="0" w:line="177"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income increased by $141.4 million, or 33.0%, to $569.7 million in fiscal year 2019, from $428.3 million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2018. Operating income increased as a percentage of revenue, from 10.8% in fiscal year 2018 to 13.9% in fiscal year 2019. The increase in operating income was attributable primarily to revenue growth surpassing operating expenses growth in fiscal year 2019 as well as non-recurring charges recognized fiscal year 2018. Negative foreign exchange impacts on our revenue were partially offset by the foreign exchange reduction impact on our operating expense, resulting in a negative impact on our operating income.</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Expense, Net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loss of $6.8 million in fiscal year 2018 to a net loss of</w:t>
      </w:r>
    </w:p>
    <w:p>
      <w:pPr>
        <w:spacing w:after="0" w:line="3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$1.9 million in fiscal year 2019. The decrease in Interest and other expense, was primarily attributable to the realized and unrealized net gains relating to minority equity investments.</w:t>
      </w:r>
    </w:p>
    <w:p>
      <w:pPr>
        <w:spacing w:after="0" w:line="176" w:lineRule="exact"/>
        <w:rPr>
          <w:sz w:val="20"/>
          <w:szCs w:val="20"/>
          <w:color w:val="auto"/>
        </w:rPr>
      </w:pPr>
    </w:p>
    <w:p>
      <w:pPr>
        <w:ind w:left="200" w:right="3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for fiscal year 2019 were $88.4 million on pre-tax income of $567.9 million, resulting in an effective tax rate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15.6%, compared to 15.9% in fiscal year 2018. Our effective tax rate may fluctuate between periods as a result of discrete items that may affect a particular period. Please see Note 11 to our consolidated financial statements.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increased by $125.1 million, or 35.3%, to $479.4 million in fiscal year 2019, from $354.4 million in fiscal year 2018.</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increase in net income was primarily attributable to the increase in Operating Income partially offset by increase in Income Taxes.</w:t>
      </w:r>
    </w:p>
    <w:p>
      <w:pPr>
        <w:spacing w:after="0" w:line="203" w:lineRule="exact"/>
        <w:rPr>
          <w:sz w:val="20"/>
          <w:szCs w:val="20"/>
          <w:color w:val="auto"/>
        </w:rPr>
      </w:pPr>
    </w:p>
    <w:p>
      <w:pPr>
        <w:ind w:left="200" w:right="3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Diluted Earnings Per Share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$1.00, or 40.5%, to $3.47 in fiscal year 2019, from $2.47 in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The increase in diluted earnings per share was primarily attributable to</w:t>
      </w:r>
    </w:p>
    <w:p>
      <w:pPr>
        <w:spacing w:after="0" w:line="1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240" w:top="401"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900"/>
        <w:spacing w:after="0" w:line="261" w:lineRule="auto"/>
        <w:rPr>
          <w:sz w:val="20"/>
          <w:szCs w:val="20"/>
          <w:color w:val="auto"/>
        </w:rPr>
      </w:pPr>
      <w:r>
        <w:rPr>
          <w:rFonts w:ascii="Times New Roman" w:cs="Times New Roman" w:eastAsia="Times New Roman" w:hAnsi="Times New Roman"/>
          <w:sz w:val="18"/>
          <w:szCs w:val="18"/>
          <w:color w:val="auto"/>
        </w:rPr>
        <w:t>the increase in net income as well as to the decrease in the diluted weighted average number of shares outstanding which resulted from share repurchases. Please see also Note 20 to our consolidated financial statements.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30, 2018 and 2017</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fiscal year ended September 30, 2018, compared to the fiscal year ended September 30, 2017. Following the table is a discussion and analysis of our business and results of operations for these fiscal years.</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3,974,837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3,867,155</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2,595,276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2,507,656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3,546,530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3,349,822</w:t>
            </w:r>
          </w:p>
        </w:tc>
        <w:tc>
          <w:tcPr>
            <w:tcW w:w="4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196,708</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512,912</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(91,371)</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(82,430</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0" w:right="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$107.7 million, or 2.8%, to $3,974.8 million in fiscal year 2018, from $3,867.2 million in fiscal year 2017.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increase in revenue, which was net of a revenue decrease from the sale of directory systems, was attributable to increased activity in Europe, and to a lesser extent in the rest of the world. The 2.8% increase in revenue, was positively affected by activity related to acquisitions in fiscal year 2018, as well as approximately half percent from foreign exchange fluctuations.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 attributable to the sale of amdocsONE increased by $121.0 million, or 3.2%, to $3,930.1 million in fiscal year 2018, from</w:t>
      </w:r>
    </w:p>
    <w:p>
      <w:pPr>
        <w:spacing w:after="0" w:line="27"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$3,809.1 million in fiscal year 2017. The majority of increase in revenue was attributable to increased activity in Europe, and to a lesser extent in the rest of the world. Revenue resulting from the sale of amdocsONE represented 98.9% and 98.5% of our total revenue in fiscal years 2018 and 2017, respectively.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 attributable to the sale of directory systems decreased by $13.4 million, or 23.1%, to $44.7 million in fiscal year 2018, from</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$58.1 million in fiscal year 2017. This decrease was primarily attributable to continued slowness in the directory systems market and we anticipate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revenue from the sale of directory systems will continue to decline in fiscal year 2019. Revenue from the sale of directory systems represented 1.1% and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 of our total revenue in fiscal years 2018 and 2017, respectively.</w:t>
      </w:r>
    </w:p>
    <w:p>
      <w:pPr>
        <w:spacing w:after="0" w:line="207" w:lineRule="exact"/>
        <w:rPr>
          <w:sz w:val="20"/>
          <w:szCs w:val="20"/>
          <w:color w:val="auto"/>
        </w:rPr>
      </w:pPr>
    </w:p>
    <w:p>
      <w:pPr>
        <w:ind w:left="200" w:right="340" w:firstLine="441"/>
        <w:spacing w:after="0" w:line="258" w:lineRule="auto"/>
        <w:rPr>
          <w:sz w:val="20"/>
          <w:szCs w:val="20"/>
          <w:color w:val="auto"/>
        </w:rPr>
      </w:pPr>
      <w:r>
        <w:rPr>
          <w:rFonts w:ascii="Times New Roman" w:cs="Times New Roman" w:eastAsia="Times New Roman" w:hAnsi="Times New Roman"/>
          <w:sz w:val="18"/>
          <w:szCs w:val="18"/>
          <w:color w:val="auto"/>
        </w:rPr>
        <w:t>In fiscal year 2018, revenue from customers in North America, Europe and the rest of the world accounted for 64.2%, 14.4% and 21.4%, respectively, of total revenue, compared to 65.9%, 12.6% and 21.5%, respectively, in fiscal year 2017. Revenue from customers in North America slightly increased in fiscal year 2018, while total revenue increased at a higher rate, which resulted in a decrease of revenue from customers in North America as a percentage of total revenue. The decrease in the percentage of revenue from customers in North America was primarily attributable to lower activity with AT&amp;T. The decrease was partially offset by higher revenue from</w:t>
      </w:r>
    </w:p>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240" w:top="401" w:right="4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300"/>
        <w:spacing w:after="0" w:line="254" w:lineRule="auto"/>
        <w:rPr>
          <w:sz w:val="20"/>
          <w:szCs w:val="20"/>
          <w:color w:val="auto"/>
        </w:rPr>
      </w:pPr>
      <w:r>
        <w:rPr>
          <w:rFonts w:ascii="Times New Roman" w:cs="Times New Roman" w:eastAsia="Times New Roman" w:hAnsi="Times New Roman"/>
          <w:sz w:val="18"/>
          <w:szCs w:val="18"/>
          <w:color w:val="auto"/>
        </w:rPr>
        <w:t>other key customers in North America as we support the continuous digital transformation of the region’s communications, Pay TV and media companies and by activities related to fiscal year 2018 acquisitions. The increase in revenue from customers in Europe was primarily attributable to higher revenue from development and modernization activities, while we expand our presence in this region, as well as to positive foreign exchange fluctuations.</w:t>
      </w:r>
    </w:p>
    <w:p>
      <w:pPr>
        <w:spacing w:after="0" w:line="186"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fiscal year 2018, while total revenue increased at a higher rate, which resulted in similar level of revenue from customers in the rest of the world as a percentage of total revenue. The increase in revenue from customers in the rest of the world was driven by increased activity in Asia-Pacific as a result of our progress with new and existing customers which was partially offset by lower revenue from other regions within the rest of the world.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revenue consists primarily of costs associated with providing services to customers, including compensation expense</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costs of third-party products, as well as fee and royalty payments to software suppliers. Cost of revenue increased by $87.6 million, or 3.5%, 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$2,595.3 million in fiscal year 2018, from $2,507.7 million in fiscal year 2017. As a percentage of revenue, cost of revenue increased to 65.3% in fiscal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year 2018 from 64.8% in fiscal year 2017. The decrease in the gross margin in fiscal year 2018 compared to fiscal year 2017 was primarily attributable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a loss resulting from changes in certain acquisition-related liabilities measured at fair value recognized in fiscal year 2018 as well as to an opposite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effect in fiscal year 2017 of a gain resulting from changes in certain acquisition-related liabilities measured at fair value recognized.</w:t>
      </w:r>
    </w:p>
    <w:p>
      <w:pPr>
        <w:spacing w:after="0" w:line="207"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Excluding the changes in certain acquisition-related liabilities measured at fair value mentioned above, we were able to maintain our gross margin in fiscal year 2018.</w:t>
      </w:r>
    </w:p>
    <w:p>
      <w:pPr>
        <w:spacing w:after="0" w:line="158"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$17.5 million, or 6.8%, to $276.6 million in fiscal year 2018, from $259.1 million in fiscal year 2017. Research and development expense increased as a percentage of revenue from 6.7% in fiscal year 2017, to 7.0% in fiscal year 2018. We continue to expand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83" w:lineRule="exact"/>
        <w:rPr>
          <w:sz w:val="20"/>
          <w:szCs w:val="20"/>
          <w:color w:val="auto"/>
        </w:rPr>
      </w:pPr>
    </w:p>
    <w:p>
      <w:pPr>
        <w:ind w:left="200" w:right="4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$8.3 million, or 1.8%, to $481.1 million in fiscal year 2018, from $472.8 million in fiscal year 2017. Selling, general and administrative expense decreased as a percentage of revenue from 12.2% in fiscal year 2017, to 12.1% in fiscal year 2018. Selling, general and administrative expense may fluctuate from time to time, depending upon such factors as changes in our workforce and sales efforts and the results of any operational efficiency programs that we may undertake.</w:t>
      </w:r>
    </w:p>
    <w:p>
      <w:pPr>
        <w:spacing w:after="0" w:line="180" w:lineRule="exact"/>
        <w:rPr>
          <w:sz w:val="20"/>
          <w:szCs w:val="20"/>
          <w:color w:val="auto"/>
        </w:rPr>
      </w:pPr>
    </w:p>
    <w:p>
      <w:pPr>
        <w:ind w:left="200" w:right="14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 Assets and Other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decreased by $1.8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to $108.5 million in fiscal year 2018, from $110.3 million in fiscal year 2017. The decrease in amortization of purchased intangible assets and other was primarily attributable to a decrease in amortization caused by fully amortized intangible assets partially offset by increase of amortization of intangible assets due to the acquisitions completed in fiscal year 2018.</w:t>
      </w:r>
    </w:p>
    <w:p>
      <w:pPr>
        <w:spacing w:after="0" w:line="177" w:lineRule="exact"/>
        <w:rPr>
          <w:sz w:val="20"/>
          <w:szCs w:val="20"/>
          <w:color w:val="auto"/>
        </w:rPr>
      </w:pPr>
    </w:p>
    <w:p>
      <w:pPr>
        <w:jc w:val="both"/>
        <w:ind w:left="200" w:right="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Non-recurring Charges. </w:t>
      </w:r>
      <w:r>
        <w:rPr>
          <w:rFonts w:ascii="Times New Roman" w:cs="Times New Roman" w:eastAsia="Times New Roman" w:hAnsi="Times New Roman"/>
          <w:sz w:val="18"/>
          <w:szCs w:val="18"/>
          <w:color w:val="auto"/>
        </w:rPr>
        <w:t>Non-recurring charges for fiscal year 2018 were $85.1 million, while there were no such charges in the fiscal year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non-recurring charges include a loss incurred to settle a long-running legal dispute and restructuring charges which were primarily associated with recently completed acquisitions and</w:t>
      </w:r>
    </w:p>
    <w:p>
      <w:pPr>
        <w:spacing w:after="0" w:line="1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240" w:top="401"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internal business realignment actions in North America. Please see Note 10 to our consolidated financial statements.</w:t>
      </w:r>
    </w:p>
    <w:p>
      <w:pPr>
        <w:spacing w:after="0" w:line="203" w:lineRule="exact"/>
        <w:rPr>
          <w:sz w:val="20"/>
          <w:szCs w:val="20"/>
          <w:color w:val="auto"/>
        </w:rPr>
      </w:pPr>
    </w:p>
    <w:p>
      <w:pPr>
        <w:ind w:left="200" w:right="1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income decreased by $89.0 million, or 17.2%, to $428.3 million in fiscal year 2018, from $517.3 million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2017. Operating income decreased as a percentage of revenue, from 13.4% in fiscal year 2017 to 10.8% in fiscal year 2018. The decrease in operating income as a percentage of revenue was attributable mainly to operating expenses, particularly to non-recurring charges recognized in fiscal year 2018. Negative foreign exchange impacts on our operating income which resulted from negative impact on our operating expenses, were partially offset by positive foreign exchange impacts on our revenue.</w:t>
      </w:r>
    </w:p>
    <w:p>
      <w:pPr>
        <w:spacing w:after="0" w:line="180" w:lineRule="exact"/>
        <w:rPr>
          <w:sz w:val="20"/>
          <w:szCs w:val="20"/>
          <w:color w:val="auto"/>
        </w:rPr>
      </w:pPr>
    </w:p>
    <w:p>
      <w:pPr>
        <w:jc w:val="both"/>
        <w:ind w:left="200" w:right="10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(Expense) Income, Net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income, net, changed from a net loss of $4.4 million in fiscal year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net loss of $6.8 million in fiscal year 2018. This change in interest and other (expense) income, net, was primarily attributable to foreign exchange impacts.</w:t>
      </w:r>
    </w:p>
    <w:p>
      <w:pPr>
        <w:spacing w:after="0" w:line="171" w:lineRule="exact"/>
        <w:rPr>
          <w:sz w:val="20"/>
          <w:szCs w:val="20"/>
          <w:color w:val="auto"/>
        </w:rPr>
      </w:pPr>
    </w:p>
    <w:p>
      <w:pPr>
        <w:ind w:left="200" w:right="3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for fiscal year 2018 were $67.1 million on pre-tax income of $421.5 million, resulting in an effective tax rate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15.9%, compared to 14.8% in fiscal year 2017. Our effective tax rate may fluctuate between periods as a result of discrete items that may affect a particular period. Please see Note 11 to our consolidated financial statements.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decreased by $82.4 million, or 18.9%, to $354.4 million in fiscal year 2018, from $436.8 million in fiscal year 2017.</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decrease in net income was primarily attributable to non-recurring charges recognized in fiscal year 2018.</w:t>
      </w:r>
    </w:p>
    <w:p>
      <w:pPr>
        <w:spacing w:after="0" w:line="203" w:lineRule="exact"/>
        <w:rPr>
          <w:sz w:val="20"/>
          <w:szCs w:val="20"/>
          <w:color w:val="auto"/>
        </w:rPr>
      </w:pPr>
    </w:p>
    <w:p>
      <w:pPr>
        <w:ind w:left="200" w:right="3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Diluted Earnings Per Share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$0.49, or 16.6%, to $2.47 in fiscal year 2018, from $2.96 in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The decrease in diluted earnings per share was primarily attributable to non-recurring charges, partially offset by the decrease in the diluted weighted average number of shares outstanding, which resulted from share repurchases. Please see also Note 20 to our consolidated financial statements.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$471.6 million as of September 30, 2019, compared to $519.2 million as of September 30, 2018. The decrease was mainly attributable to $398.1 million used to repurchase of our ordinary shares, $147.6 million of cash dividend payment, $128.1 million for capital expenditures, net, $60.6 million acquisition payment, $7.5 million contingent consideration payment from a business acquisition and $4.8 million payment to non-controlling interests, partially offset by $656.4 million in positive cash flow from operations and $41.5 million of proceeds from stock option exercises. Net cash provided by operating activities amounted to $656.4 million and $557.2 in fiscal years 2019 and 2018, respectively.</w:t>
      </w:r>
    </w:p>
    <w:p>
      <w:pPr>
        <w:spacing w:after="0" w:line="185"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Our free cash for fiscal year 2019 was $528.3 million, is calculated as net cash provided by operating activities of $656.4 million for the period less $128.1 million for capital expenditures, net. Our normalized free cash flow for fiscal year 2019 was $613.5 million, is calculated as net cash provided by operating activities of $656.4 million for the period less $128.1 million for capital expenditures, net, excluding $55.0 million of payments related to the settlement of the legal dispute in the U.S. District Court in Oregon, $15.6 million of payments for the non-recurring charges for re-alignment actions in North-America, $7.7 million of payment of acquisition related liabilities and $6.9 million of the capital expenditures associated with the multiyear development of our new campus in Israel, (which is net of proceeds of $9.7 million relating to the refund of betterment levy).</w:t>
      </w:r>
    </w:p>
    <w:p>
      <w:pPr>
        <w:spacing w:after="0" w:line="188"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Free cash flow and normalized free cash flow are non-GAAP financial measures and are not prepared in accordance with, and are not alternatives for, generally accepted accounting principles and may be different from</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240" w:top="401"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color w:val="auto"/>
        </w:rPr>
        <w:t>non-GAAP financial measures with similar names used by other companies. Non-GAAP measures such as free cash flow and normalized free cash flow should only be reviewed in conjunction with the corresponding GAAP measures. We believe that the foregoing non-GAAP financial measures, when used in conjunction with the corresponding GAAP measure provide useful information to investors and management relating to the amount of cash generated by the Company’s business operations.</w:t>
      </w:r>
    </w:p>
    <w:p>
      <w:pPr>
        <w:spacing w:after="0" w:line="186"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Our policy is to retain sufficient cash balances in order to support our growth. We believe that our current cash balances, cash generated from operations, our current lines of credit and our ability to access capital markets will provide sufficient resources to meet our operational needs, fund the construction of the new campus in Israel, fund share repurchases and the payment of cash dividends for at least the next fiscal year.</w:t>
      </w:r>
    </w:p>
    <w:p>
      <w:pPr>
        <w:spacing w:after="0" w:line="176" w:lineRule="exact"/>
        <w:rPr>
          <w:sz w:val="20"/>
          <w:szCs w:val="20"/>
          <w:color w:val="auto"/>
        </w:rPr>
      </w:pPr>
    </w:p>
    <w:p>
      <w:pPr>
        <w:ind w:left="200" w:right="340" w:firstLine="441"/>
        <w:spacing w:after="0" w:line="256" w:lineRule="auto"/>
        <w:rPr>
          <w:sz w:val="20"/>
          <w:szCs w:val="20"/>
          <w:color w:val="auto"/>
        </w:rPr>
      </w:pPr>
      <w:r>
        <w:rPr>
          <w:rFonts w:ascii="Times New Roman" w:cs="Times New Roman" w:eastAsia="Times New Roman" w:hAnsi="Times New Roman"/>
          <w:sz w:val="18"/>
          <w:szCs w:val="18"/>
          <w:color w:val="auto"/>
        </w:rPr>
        <w:t>As a general long-term guideline, we expect to retain a portion of our free cash flow to support the growth of our business, including possible mergers and acquisitions. In fiscal year 2020, we plan to return to shareholders roughly 100%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(see also Note 2 to our consolidated financial statements) through our ongoing share repurchase and dividend program. While having this plan in mind, our actual share repurchase activity and payment of future dividends, if any, may vary quarterly or annually.</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interest-bearing investments are classified as available-for-sale securities. Such short-term interest-bearing investments, if applicable, generally consist primarily of bank deposits, corporate bonds, money market funds, U.S. government treasuries, and U.S. agency securities. We believe we have conservative investment policy guidelines. Our interest-bearing investments are stated at fair value with the unrealized gains or losses reported as a separate component of accumulated other comprehensive (loss)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2019 and 2018 we did not recognize credit losses. Please see Notes 5 and 6 to our consolidated financial statements.</w:t>
      </w:r>
    </w:p>
    <w:p>
      <w:pPr>
        <w:spacing w:after="0" w:line="187"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Letters of Credit and Guarantees. </w:t>
      </w:r>
      <w:r>
        <w:rPr>
          <w:rFonts w:ascii="Times New Roman" w:cs="Times New Roman" w:eastAsia="Times New Roman" w:hAnsi="Times New Roman"/>
          <w:sz w:val="18"/>
          <w:szCs w:val="18"/>
          <w:color w:val="auto"/>
        </w:rPr>
        <w:t>In 2011, we entered into an unsecured $500.0 million five-year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In March 2017, we borrowed an aggregate of $200.0 million under the facility and repaid it in April 2017. In March 2018, we borrowed an aggregate of $120.0 million under the facility and repaid it in April 2018. As of September 30, 2019, we were in compliance with the financial covenants under the revolving credit facility and had no outstanding borrowings under this facility.</w:t>
      </w:r>
    </w:p>
    <w:p>
      <w:pPr>
        <w:spacing w:after="0" w:line="187"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we had additional uncommitted lines of credit available for general corporate and other specific purposes and had outstanding letters of credit and bank guarantees from various banks totaling $91.3 million. These were supported by a combination of the uncommitted lines of credit that we maintain with various banks.</w:t>
      </w:r>
    </w:p>
    <w:p>
      <w:pPr>
        <w:spacing w:after="0" w:line="174" w:lineRule="exact"/>
        <w:rPr>
          <w:sz w:val="20"/>
          <w:szCs w:val="20"/>
          <w:color w:val="auto"/>
        </w:rPr>
      </w:pPr>
    </w:p>
    <w:p>
      <w:pPr>
        <w:jc w:val="both"/>
        <w:ind w:left="200" w:right="2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fiscal year 2019, we acquired TTS Wireless for approximately $50.0 million in cash and potential additional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achievement of certain performance metrics. During fiscal year 2018, we acquired three technology companies to expand our digital and media offering: Vubiquity, projekt202 and UXP Systems (“UXP”), for the aggregate purchase price of $355.1 million in cash.</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240" w:top="401"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0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80% to 90% of our capital expenditures (excluding the investment in our new campus in Israel)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computer equipment, and the remainder is attributable mainly to leasehold improvements. Our capital expenditures were approximately $128.1 million and included proceeds, of mainly $9.7 million relating to refund of betterment levy in fiscal year 2019. Our fiscal year 2019 capital expenditures were mainly attributable to investments in our operating facilities and our development centers around the world. Regarding our expected investment in our new campus in Israel, please see Note 2 to our consolidated financial statements.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From time to time, our Board of Directors can adopt share repurchase plans authorizing the repurchase of our outstanding</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ordinary shares. On November 8, 2017, our Board of Directors adopted another share repurchase plan for the repurchase of up to an additional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$800.0 million of our outstanding ordinary shares with no expiration date. In April 2018, we completed the repurchase of the remaining authorized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amount of ordinary shares under the February, 2016 plan and began executing repurchases under the November 2017 plan. In fiscal year 2019, we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repurchased approximately 6.7 million ordinary shares at an average price of $59.79 per share (excluding broker and transaction fees). The November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2017 plan permits us to purchase our ordinary shares in open market or privately negotiated transactions at times and prices that we consider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appropriate. As of September 30, 2019, we had remaining authority to repurchase up to $239.2 million of our outstanding ordinary shares under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2017 plan. On November 12, 2019, our Board of Directors adopted another share repurchase plan for the repurchase of up to an additional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$800.0 million of our outstanding ordinary shares with no expiration date which brings the unused authorization as of September 30, 2019 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$1,039.2 million. The authorizations permit us to purchase our ordinary shares in open market or privately negotiated transactions at times and prices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that we consider appropriate.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fiscal years 2019, 2018 and 2017:</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3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1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7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2300" w:type="dxa"/>
            <w:vAlign w:val="bottom"/>
            <w:gridSpan w:val="2"/>
            <w:vMerge w:val="continue"/>
          </w:tcPr>
          <w:p>
            <w:pPr>
              <w:spacing w:after="0"/>
              <w:rPr>
                <w:sz w:val="15"/>
                <w:szCs w:val="15"/>
                <w:color w:val="auto"/>
              </w:rPr>
            </w:pPr>
          </w:p>
        </w:tc>
        <w:tc>
          <w:tcPr>
            <w:tcW w:w="23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180" w:type="dxa"/>
            <w:vAlign w:val="bottom"/>
            <w:vMerge w:val="continue"/>
          </w:tcPr>
          <w:p>
            <w:pPr>
              <w:spacing w:after="0"/>
              <w:rPr>
                <w:sz w:val="15"/>
                <w:szCs w:val="15"/>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7, 2019</w:t>
            </w:r>
          </w:p>
        </w:tc>
        <w:tc>
          <w:tcPr>
            <w:tcW w:w="13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0.285</w:t>
            </w:r>
          </w:p>
        </w:tc>
        <w:tc>
          <w:tcPr>
            <w:tcW w:w="21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30, 2019</w:t>
            </w:r>
          </w:p>
        </w:tc>
        <w:tc>
          <w:tcPr>
            <w:tcW w:w="6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38.4</w:t>
            </w:r>
          </w:p>
        </w:tc>
        <w:tc>
          <w:tcPr>
            <w:tcW w:w="1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October 25, 2019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14, 2019</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0.285</w:t>
            </w: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28, 2019</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38.7</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2019</w:t>
            </w: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0.285</w:t>
            </w:r>
          </w:p>
        </w:tc>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29, 2019</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39.1</w:t>
            </w:r>
          </w:p>
        </w:tc>
        <w:tc>
          <w:tcPr>
            <w:tcW w:w="1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2018</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0.250</w:t>
            </w: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2018</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34.8</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January 18,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2018</w:t>
            </w:r>
          </w:p>
        </w:tc>
        <w:tc>
          <w:tcPr>
            <w:tcW w:w="13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0.250</w:t>
            </w:r>
          </w:p>
        </w:tc>
        <w:tc>
          <w:tcPr>
            <w:tcW w:w="21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28, 2018</w:t>
            </w:r>
          </w:p>
        </w:tc>
        <w:tc>
          <w:tcPr>
            <w:tcW w:w="6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35.0</w:t>
            </w:r>
          </w:p>
        </w:tc>
        <w:tc>
          <w:tcPr>
            <w:tcW w:w="1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October 19, 2018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10, 2018</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0.250</w:t>
            </w: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29, 2018</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35.4</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2018</w:t>
            </w: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0.250</w:t>
            </w:r>
          </w:p>
        </w:tc>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30, 2018</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35.6</w:t>
            </w:r>
          </w:p>
        </w:tc>
        <w:tc>
          <w:tcPr>
            <w:tcW w:w="1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April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2017</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0.220</w:t>
            </w: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29, 2017</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31.6</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January 19,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3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0.220</w:t>
            </w:r>
          </w:p>
        </w:tc>
        <w:tc>
          <w:tcPr>
            <w:tcW w:w="21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29, 2017</w:t>
            </w:r>
          </w:p>
        </w:tc>
        <w:tc>
          <w:tcPr>
            <w:tcW w:w="6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31.7</w:t>
            </w:r>
          </w:p>
        </w:tc>
        <w:tc>
          <w:tcPr>
            <w:tcW w:w="1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October 23, 2017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9, 2017</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0.220</w:t>
            </w: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30, 2017</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32.0</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2017</w:t>
            </w: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0.220</w:t>
            </w:r>
          </w:p>
        </w:tc>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31, 2017</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32.2</w:t>
            </w:r>
          </w:p>
        </w:tc>
        <w:tc>
          <w:tcPr>
            <w:tcW w:w="1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April 14, 2017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8, 2016</w:t>
            </w:r>
          </w:p>
        </w:tc>
        <w:tc>
          <w:tcPr>
            <w:tcW w:w="1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0.195</w:t>
            </w:r>
          </w:p>
        </w:tc>
        <w:tc>
          <w:tcPr>
            <w:tcW w:w="2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December 30, 2016</w:t>
            </w: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28.6</w:t>
            </w:r>
          </w:p>
        </w:tc>
        <w:tc>
          <w:tcPr>
            <w:tcW w:w="1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January 13,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On November 12, 2019, our Board of Directors approved a quarterly dividend payment of $0.285 per share and set December 31, 2019 as the record date for determining the shareholders entitled to receive the dividend, which is payable on January 24, 2020. On November 12, 2019, our Board of Directors also approved, subject to shareholder approval at the January 2020 annual general meeting of shareholders, an increase in the quarterly cash dividend to $0.3275 per share, anticipated to be paid in April 2020.</w:t>
      </w:r>
    </w:p>
    <w:p>
      <w:pPr>
        <w:spacing w:after="0" w:line="180"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240" w:top="401"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60"/>
        <w:spacing w:after="0" w:line="255" w:lineRule="auto"/>
        <w:rPr>
          <w:sz w:val="20"/>
          <w:szCs w:val="20"/>
          <w:color w:val="auto"/>
        </w:rPr>
      </w:pPr>
      <w:r>
        <w:rPr>
          <w:rFonts w:ascii="Times New Roman" w:cs="Times New Roman" w:eastAsia="Times New Roman" w:hAnsi="Times New Roman"/>
          <w:sz w:val="18"/>
          <w:szCs w:val="18"/>
          <w:color w:val="auto"/>
        </w:rPr>
        <w:t>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2019, and the effect such obligations are expected to have on our liquidity and cash flows in future periods (in millions):</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3"/>
          </w:tcPr>
          <w:p>
            <w:pPr>
              <w:ind w:left="4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460" w:type="dxa"/>
            <w:vAlign w:val="bottom"/>
          </w:tcPr>
          <w:p>
            <w:pPr>
              <w:spacing w:after="0"/>
              <w:rPr>
                <w:sz w:val="10"/>
                <w:szCs w:val="10"/>
                <w:color w:val="auto"/>
              </w:rPr>
            </w:pPr>
          </w:p>
        </w:tc>
        <w:tc>
          <w:tcPr>
            <w:tcW w:w="7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80" w:type="dxa"/>
            <w:vAlign w:val="bottom"/>
            <w:gridSpan w:val="3"/>
            <w:vMerge w:val="continue"/>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8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Pension funding</w:t>
            </w:r>
          </w:p>
        </w:tc>
        <w:tc>
          <w:tcPr>
            <w:tcW w:w="27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 operating leases</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46.9</w:t>
            </w: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r>
              <w:rPr>
                <w:rFonts w:ascii="Times New Roman" w:cs="Times New Roman" w:eastAsia="Times New Roman" w:hAnsi="Times New Roman"/>
                <w:sz w:val="18"/>
                <w:szCs w:val="18"/>
                <w:u w:val="single" w:color="auto"/>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300" w:firstLine="441"/>
        <w:spacing w:after="0" w:line="257" w:lineRule="auto"/>
        <w:rPr>
          <w:sz w:val="20"/>
          <w:szCs w:val="20"/>
          <w:color w:val="auto"/>
        </w:rPr>
      </w:pPr>
      <w:r>
        <w:rPr>
          <w:rFonts w:ascii="Times New Roman" w:cs="Times New Roman" w:eastAsia="Times New Roman" w:hAnsi="Times New Roman"/>
          <w:sz w:val="18"/>
          <w:szCs w:val="18"/>
          <w:color w:val="auto"/>
        </w:rPr>
        <w:t>As discussed in Note 2 to our consolidated financial statements, we purchased specific land to use as the future site of the new campus in Ra’anana, Israel and we are obligated to construct the campus. The total net investment we expect to make in connection with the construction of the new campus is estimated to be up to $350 million over a period of four to five years, starting with fiscal year 2018, out of which approximately</w:t>
      </w:r>
    </w:p>
    <w:p>
      <w:pPr>
        <w:spacing w:after="0" w:line="2"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color w:val="auto"/>
        </w:rPr>
        <w:t>$96 million was incurred in fiscal years 2018 by both us and our partner Union at equal portions (i.e. our net investment was approximately $48 million) and $7 million was incurred by us in fiscal year 2019. We expect to incur up to $120 million in fiscal year 2020. Due to the difficulty in determining the exact timing of the net investment in the years beyond fiscal year 2020, the obligations to construct the campus are not included in the above table. Please see Note 2 to our consolidated financial statements.</w:t>
      </w:r>
    </w:p>
    <w:p>
      <w:pPr>
        <w:spacing w:after="0" w:line="186"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for uncertain tax positions was $169.3 million as of September 30, 2019. Payment of these obligations would result from settlements with taxing authorities. Due to the difficulty in determining the timing of resolution of audits, these obligations are not included in the above table.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p>
      <w:pPr>
        <w:spacing w:after="0" w:line="121" w:lineRule="exact"/>
        <w:rPr>
          <w:sz w:val="20"/>
          <w:szCs w:val="20"/>
          <w:color w:val="auto"/>
        </w:rPr>
      </w:pPr>
    </w:p>
    <w:p>
      <w:pPr>
        <w:ind w:left="200" w:right="56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we had deferred tax assets of $85.5 million, which were offset by valuation allowances due to the uncertainty of realizing any tax benefit for such credits and losses. These deferred tax assets derived primarily from tax credits, net capital and operating loss carryforwards related to some of our subsidiaries, see Note 11.</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w:t>
      </w:r>
    </w:p>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240" w:top="401" w:right="4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circumstances, the results of which form the basis for making judgments about the carrying values of assets and liabilities that are not readily apparent.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Actual results could differ materially from the estimates under different assumptions or conditions.</w:t>
      </w:r>
    </w:p>
    <w:p>
      <w:pPr>
        <w:spacing w:after="0" w:line="207"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68" w:lineRule="exact"/>
        <w:rPr>
          <w:sz w:val="20"/>
          <w:szCs w:val="20"/>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contract accounting</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accounting</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 assets and long-lived assets-impairment assessment</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and hedge accounting</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reserves</w:t>
      </w:r>
    </w:p>
    <w:p>
      <w:pPr>
        <w:spacing w:after="0" w:line="225"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Contract Accounting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117" w:lineRule="exact"/>
        <w:rPr>
          <w:sz w:val="20"/>
          <w:szCs w:val="20"/>
          <w:color w:val="auto"/>
        </w:rPr>
      </w:pPr>
    </w:p>
    <w:p>
      <w:pPr>
        <w:ind w:left="1060" w:right="12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117" w:lineRule="exact"/>
        <w:rPr>
          <w:rFonts w:ascii="Times New Roman" w:cs="Times New Roman" w:eastAsia="Times New Roman" w:hAnsi="Times New Roman"/>
          <w:sz w:val="18"/>
          <w:szCs w:val="18"/>
          <w:color w:val="auto"/>
        </w:rPr>
      </w:pPr>
    </w:p>
    <w:p>
      <w:pPr>
        <w:ind w:left="1060" w:right="36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62"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Revenue is recognized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projects. Revenue from customization, implementation, modification and integration services is also recognized over the course of the projects. When total cost estimates exceed revenue in such project, the estimated losses are recognized immediately based upon the cost applicable to the project.</w:t>
      </w:r>
    </w:p>
    <w:p>
      <w:pPr>
        <w:spacing w:after="0" w:line="184" w:lineRule="exact"/>
        <w:rPr>
          <w:sz w:val="20"/>
          <w:szCs w:val="20"/>
          <w:color w:val="auto"/>
        </w:rPr>
      </w:pPr>
    </w:p>
    <w:p>
      <w:pPr>
        <w:ind w:left="200" w:right="620" w:firstLine="441"/>
        <w:spacing w:after="0" w:line="313" w:lineRule="auto"/>
        <w:rPr>
          <w:sz w:val="20"/>
          <w:szCs w:val="20"/>
          <w:color w:val="auto"/>
        </w:rPr>
      </w:pPr>
      <w:r>
        <w:rPr>
          <w:rFonts w:ascii="Times New Roman" w:cs="Times New Roman" w:eastAsia="Times New Roman" w:hAnsi="Times New Roman"/>
          <w:sz w:val="17"/>
          <w:szCs w:val="17"/>
          <w:color w:val="auto"/>
        </w:rPr>
        <w:t>Contingent subsequent license fee revenue is recognized upon completion of specified conditions in each contract, based on a customer’s subscriber or transaction volume or other measurements when greater than the level specified in the contract for the initial license fee.</w:t>
      </w:r>
    </w:p>
    <w:p>
      <w:pPr>
        <w:spacing w:after="0" w:line="1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240" w:top="401" w:right="5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Revenue from managed services arrangement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Typically, managed services arrangements include management of data center operations and IT infrastructure, which include third-party hardware and software, application management and ongoing support, management of end-to-end business processes, and managed transformation that includes both a transformation project as well as taking over managed services responsibility.</w:t>
      </w:r>
    </w:p>
    <w:p>
      <w:pPr>
        <w:spacing w:after="0" w:line="176"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Revenue from services that do not involve significant ongoing obligations is recognized as services are rendered. Revenue from other 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76"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Revenue from third-party hardware sales is recognized upon delivery or installation, and revenue from third-party software sales is recognized upon delivery. Maintenance revenue is recognized ratably over the term of the maintenance agreement Revenue from third-party hardware and software sales is recorded at gross amount for transactions in which we control the third-party hardware and software before transferring them to the customer. In specific circumstances where we do not meet the above criteria, we recognize revenue on a net basis. In certain arrangements, we may earn revenue from other third-party services which is recorded at a gross amount as we control the services before transferring them to the customer.</w:t>
      </w:r>
    </w:p>
    <w:p>
      <w:pPr>
        <w:spacing w:after="0" w:line="184"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We follow very specific and detailed guidelines, several of which are discussed above, in measuring revenue; however, certain judgments affect the application of our revenue recognition policy:</w:t>
      </w:r>
    </w:p>
    <w:p>
      <w:pPr>
        <w:spacing w:after="0" w:line="162"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162" w:lineRule="exact"/>
        <w:rPr>
          <w:sz w:val="20"/>
          <w:szCs w:val="20"/>
          <w:color w:val="auto"/>
        </w:rPr>
      </w:pPr>
    </w:p>
    <w:p>
      <w:pPr>
        <w:ind w:left="200" w:right="220" w:firstLine="441"/>
        <w:spacing w:after="0" w:line="261" w:lineRule="auto"/>
        <w:rPr>
          <w:sz w:val="20"/>
          <w:szCs w:val="20"/>
          <w:color w:val="auto"/>
        </w:rPr>
      </w:pPr>
      <w:r>
        <w:rPr>
          <w:rFonts w:ascii="Times New Roman" w:cs="Times New Roman" w:eastAsia="Times New Roman" w:hAnsi="Times New Roman"/>
          <w:sz w:val="18"/>
          <w:szCs w:val="18"/>
          <w:color w:val="auto"/>
        </w:rPr>
        <w:t>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80"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a fee is not collectible, we exclude the relevant fee from transaction price.</w:t>
      </w:r>
    </w:p>
    <w:p>
      <w:pPr>
        <w:spacing w:after="0" w:line="176"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we offer our services in accordance with ASC 606. The determination of SSP requires the exercise of judgement. If a specific performance obligation is sold for a broad range of amounts (that is, the selling price is highly variable) or if we have not yet established a price for that good or service, and the good or service has not previously been sold on a standalone basis (that is, the selling price is uncertain), we apply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240" w:top="401"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For transactions which involve third-party hardware, software and services, the determination of revenue recognition based on the gross amount or on a net basis requires the exercise of judgement in considering whether we control the third-party hardware, software or services prior to fulfilling the performance obligation.</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 Accounting</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8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18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88"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1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240" w:top="401"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40"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87"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93"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 — Impairment Assessment</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8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2019, 2018 or 2017.</w:t>
      </w:r>
    </w:p>
    <w:p>
      <w:pPr>
        <w:spacing w:after="0" w:line="176"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We test long-lived assets, including definite life intangible assets, for impairment in the event an indication of impairment exists. Impairment indicators include any significant changes in the manner of our use of the</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240" w:top="401"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20"/>
        <w:spacing w:after="0" w:line="254" w:lineRule="auto"/>
        <w:rPr>
          <w:sz w:val="20"/>
          <w:szCs w:val="20"/>
          <w:color w:val="auto"/>
        </w:rPr>
      </w:pPr>
      <w:r>
        <w:rPr>
          <w:rFonts w:ascii="Times New Roman" w:cs="Times New Roman" w:eastAsia="Times New Roman" w:hAnsi="Times New Roman"/>
          <w:sz w:val="18"/>
          <w:szCs w:val="18"/>
          <w:color w:val="auto"/>
        </w:rPr>
        <w:t>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2019, 2018 or 2017.</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 and Hedge Accounting</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During fiscal years 2019, 2018 and 2017,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18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62"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Reserves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for estimated losses resulting from accounts receivable for which their collection is not reasonably assured. We evaluate accounts receivable to determine if they ultimately will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the fee is not collectible at the time the transaction is consummated, we exclude the relevant fee from the transaction price. If we estimate that our customers’ ability and intent to make payments have been impaired, additional allowances may be required.</w:t>
      </w:r>
    </w:p>
    <w:p>
      <w:pPr>
        <w:spacing w:after="0" w:line="188"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240" w:top="401"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DIRECTORS, SENIOR MANAGEMENT AND EMPLOYEES</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December 5, 2019, our directors and officers were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6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2"/>
        </w:trPr>
        <w:tc>
          <w:tcPr>
            <w:tcW w:w="24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Robert A. Minicucci(1)(2)</w:t>
            </w:r>
          </w:p>
        </w:tc>
        <w:tc>
          <w:tcPr>
            <w:tcW w:w="900" w:type="dxa"/>
            <w:vAlign w:val="bottom"/>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67</w:t>
            </w:r>
          </w:p>
        </w:tc>
        <w:tc>
          <w:tcPr>
            <w:tcW w:w="766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Chairman of the Board</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Adrian Gardner(1)</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Audit Committee</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Julian A. Brodsky(3)</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James S. Kahan(3)</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Nominating and Corporate Governance Committee</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Richard T.C. LeFave(1)(2)(4)</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Giora Yaron(4)</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Technology and Innovation Committee</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Ariane de Rothschild(3)</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Rafael de la Vega(2)</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Management Resources and Compensation Committee</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Eli Gelman(4)</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John A. MacDonald(2)(4)</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Shuky Sheffer</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President and Chief Executive Officer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Tamar Rapaport-Dagim</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Rajat Raheja</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Division President, Amdocs Development Center India Pvt. Ltd.</w:t>
            </w: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Matthew Smith</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8" w:lineRule="exact"/>
        <w:rPr>
          <w:sz w:val="20"/>
          <w:szCs w:val="20"/>
          <w:color w:val="auto"/>
        </w:rPr>
      </w:pPr>
    </w:p>
    <w:p>
      <w:pPr>
        <w:ind w:left="520" w:hanging="316"/>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6" w:lineRule="exact"/>
        <w:rPr>
          <w:rFonts w:ascii="Times New Roman" w:cs="Times New Roman" w:eastAsia="Times New Roman" w:hAnsi="Times New Roman"/>
          <w:sz w:val="16"/>
          <w:szCs w:val="16"/>
          <w:color w:val="auto"/>
        </w:rPr>
      </w:pPr>
    </w:p>
    <w:p>
      <w:pPr>
        <w:ind w:left="520" w:hanging="316"/>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Management Resources and Compensation Committee</w:t>
      </w:r>
    </w:p>
    <w:p>
      <w:pPr>
        <w:spacing w:after="0" w:line="18" w:lineRule="exact"/>
        <w:rPr>
          <w:rFonts w:ascii="Times New Roman" w:cs="Times New Roman" w:eastAsia="Times New Roman" w:hAnsi="Times New Roman"/>
          <w:sz w:val="16"/>
          <w:szCs w:val="16"/>
          <w:color w:val="auto"/>
        </w:rPr>
      </w:pPr>
    </w:p>
    <w:p>
      <w:pPr>
        <w:ind w:left="520" w:hanging="316"/>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18" w:lineRule="exact"/>
        <w:rPr>
          <w:rFonts w:ascii="Times New Roman" w:cs="Times New Roman" w:eastAsia="Times New Roman" w:hAnsi="Times New Roman"/>
          <w:sz w:val="16"/>
          <w:szCs w:val="16"/>
          <w:color w:val="auto"/>
        </w:rPr>
      </w:pPr>
    </w:p>
    <w:p>
      <w:pPr>
        <w:ind w:left="520" w:hanging="316"/>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Technology and Innovation Committee</w:t>
      </w:r>
    </w:p>
    <w:p>
      <w:pPr>
        <w:spacing w:after="0" w:line="222"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86"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From 2016 to 2019, Mr. Gardner served as Chief Financial Officer of Ipes Holdings Limited, a provider of outsourced services to</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240" w:top="401" w:right="4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40"/>
        <w:spacing w:after="0" w:line="251" w:lineRule="auto"/>
        <w:rPr>
          <w:sz w:val="20"/>
          <w:szCs w:val="20"/>
          <w:color w:val="auto"/>
        </w:rPr>
      </w:pPr>
      <w:r>
        <w:rPr>
          <w:rFonts w:ascii="Times New Roman" w:cs="Times New Roman" w:eastAsia="Times New Roman" w:hAnsi="Times New Roman"/>
          <w:sz w:val="18"/>
          <w:szCs w:val="18"/>
          <w:color w:val="auto"/>
        </w:rPr>
        <w:t>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94"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Ventures (formerly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188" w:lineRule="exact"/>
        <w:rPr>
          <w:sz w:val="20"/>
          <w:szCs w:val="20"/>
          <w:color w:val="auto"/>
        </w:rPr>
      </w:pPr>
    </w:p>
    <w:p>
      <w:pPr>
        <w:ind w:left="200" w:right="20" w:firstLine="441"/>
        <w:spacing w:after="0" w:line="273" w:lineRule="auto"/>
        <w:rPr>
          <w:sz w:val="20"/>
          <w:szCs w:val="20"/>
          <w:color w:val="auto"/>
        </w:rPr>
      </w:pPr>
      <w:r>
        <w:rPr>
          <w:rFonts w:ascii="Times New Roman" w:cs="Times New Roman" w:eastAsia="Times New Roman" w:hAnsi="Times New Roman"/>
          <w:sz w:val="17"/>
          <w:szCs w:val="17"/>
          <w:color w:val="auto"/>
        </w:rPr>
        <w:t>James S. Kahan has been a director of Amdocs since 1998 and is Chairman of the Nominating and Corporate Governance Committee. From 1983 until his retirement in 2007, he worked at SBC Communications Inc.,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 Mr. Kahan’s long service at SBC Communications Inc.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7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Mr. LeFave has held the CISO position and duties for a U.S.-based manufacturing firm and attended Harvard Business School courses in Board Compensation and Audit Committee strategies. We believe Mr. LeFave’s qualifications to sit on our board include his extensive experience and leadership in the information technology and telecommunications industry.</w:t>
      </w:r>
    </w:p>
    <w:p>
      <w:pPr>
        <w:spacing w:after="0" w:line="18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Giora Yaron has been a director of Amdocs since 2009 and is Chairman of the Technology and Innovation Committee.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240" w:top="401"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00"/>
        <w:spacing w:after="0" w:line="252" w:lineRule="auto"/>
        <w:rPr>
          <w:sz w:val="20"/>
          <w:szCs w:val="20"/>
          <w:color w:val="auto"/>
        </w:rPr>
      </w:pPr>
      <w:r>
        <w:rPr>
          <w:rFonts w:ascii="Times New Roman" w:cs="Times New Roman" w:eastAsia="Times New Roman" w:hAnsi="Times New Roman"/>
          <w:sz w:val="18"/>
          <w:szCs w:val="18"/>
          <w:color w:val="auto"/>
        </w:rPr>
        <w:t>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8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Baroness Ariane de Rothschild has been a director of Amdocs since January 2018. Since January 2015, she has served as the Chairwoman of the Executive Committee of Edmond de Rothschild Group. Since 2009, Baroness de Rothschild has served as the vice-president of Edmond de Rothschild Group’s supervisory board and has also served as the vice-president of the Edmond de Rothschild Holding SA since 1999. Baroness de Rothschild now holds various board positions across Holding Benjamin &amp; Edmond de Rothschild Pregny, Compagnie Benjamin de Rothschild Conseil S.A., Siaci Saint-Honoré Insurance Broker, and Barons and Baronne Associés. We believe Baroness de Rothschild’s qualifications to sit on our Board of Directors include her strong financial and banking expertise and her international business experience.</w:t>
      </w:r>
    </w:p>
    <w:p>
      <w:pPr>
        <w:spacing w:after="0" w:line="188" w:lineRule="exact"/>
        <w:rPr>
          <w:sz w:val="20"/>
          <w:szCs w:val="20"/>
          <w:color w:val="auto"/>
        </w:rPr>
      </w:pPr>
    </w:p>
    <w:p>
      <w:pPr>
        <w:ind w:left="200" w:right="20" w:firstLine="441"/>
        <w:spacing w:after="0" w:line="270" w:lineRule="auto"/>
        <w:rPr>
          <w:sz w:val="20"/>
          <w:szCs w:val="20"/>
          <w:color w:val="auto"/>
        </w:rPr>
      </w:pPr>
      <w:r>
        <w:rPr>
          <w:rFonts w:ascii="Times New Roman" w:cs="Times New Roman" w:eastAsia="Times New Roman" w:hAnsi="Times New Roman"/>
          <w:sz w:val="17"/>
          <w:szCs w:val="17"/>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74"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Eli Gelman has been a director of Amdocs since 2002. Since January 2019 Mr. Gelman serves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93"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John A. MacDonald has been a director of Amdocs since 2019. Mr. MacDonald is an experienced senior executive who has worked at some of Canada’s largest technology organizations and serves as a board member</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240" w:top="401"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spacing w:after="0" w:line="252" w:lineRule="auto"/>
        <w:rPr>
          <w:sz w:val="20"/>
          <w:szCs w:val="20"/>
          <w:color w:val="auto"/>
        </w:rPr>
      </w:pPr>
      <w:r>
        <w:rPr>
          <w:rFonts w:ascii="Times New Roman" w:cs="Times New Roman" w:eastAsia="Times New Roman" w:hAnsi="Times New Roman"/>
          <w:sz w:val="18"/>
          <w:szCs w:val="18"/>
          <w:color w:val="auto"/>
        </w:rPr>
        <w:t>of Rogers Communications Inc. and BookJane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includes his extensive experience and leadership in the telecommunications industry.</w:t>
      </w:r>
    </w:p>
    <w:p>
      <w:pPr>
        <w:spacing w:after="0" w:line="19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4"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Tamar Rapaport-Dagim has been our Chief Financial Officer since 2007, and our Chief Operating Officer since October 1, 2018.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80"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76"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During fiscal 2019,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 Employee Director and who is not the chairman of such committee received an annual cash payment of $30,000. Each member of our Management Resources and Compensation Committee who is a Non-Employee Director and who is not a committee chairman received an annual cash payment of $20,000. Each member of our Nominating and Corporate Governance and Technology and Innovation Committees who is a Non-Employee Director and who is not a committee chairman received an annual cash payment of $15,000. The Chairman of our Audit Committee received an annual cash payment of $42,500 and the Chairman of our Management Resources and Compensation Committee received an annual cash payment of $32,500. The Chairmen of our Nominating and Corporate Governance and Technology and Innovation Committees each received an annual cash payment of $27,500. Each Non-Employee Director received an annual grant of restricted shares at a total value of $245,000. The Chairman of the Board of Directors received an additional annual amount equal to $200,000 awarded in the form of restricted shares. The restricted share awards to our Non-Employee Directors vest quarterly. The price per share for the purpose of determining the value of the grants to our Non-Employee</w:t>
      </w:r>
    </w:p>
    <w:p>
      <w:pPr>
        <w:spacing w:after="0" w:line="1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240" w:top="401"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both"/>
        <w:ind w:left="200" w:right="500"/>
        <w:spacing w:after="0" w:line="255" w:lineRule="auto"/>
        <w:rPr>
          <w:sz w:val="20"/>
          <w:szCs w:val="20"/>
          <w:color w:val="auto"/>
        </w:rPr>
      </w:pPr>
      <w:r>
        <w:rPr>
          <w:rFonts w:ascii="Times New Roman" w:cs="Times New Roman" w:eastAsia="Times New Roman" w:hAnsi="Times New Roman"/>
          <w:sz w:val="18"/>
          <w:szCs w:val="18"/>
          <w:color w:val="auto"/>
        </w:rPr>
        <w:t>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186"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A total of 16 persons who served either as directors or officers of Amdocs during all or part of fiscal 2019 received remuneration from Amdocs. The aggregate remuneration paid or accrued by us to such persons in fiscal 2019 was approximately $5.4 million, compared to $7 million in each of fiscal 2018 and fiscal 2017, respectively,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2019, we granted to such persons options to purchase an aggregate of 176,757 ordinary shares at a weighted average price of $66.05 per share with vesting generally over four-year terms and expiring ten years from the date of grant, and an aggregate of 127,802 restricted shares typically subject to three to four-year vesting and often times, achievement of certain performance thresholds, and in the case of our directors, subject to quarterly vesting. All options and restricted share awards were granted pursuant to our 1998 Stock Option and Incentive Plan, as amended. See discussion below — “Share Ownership — Employee Stock Option and Incentive Plan.”</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Board Practices</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Eleven directors currently serve on our Board of Directors, ten of whom were elected at our annual meeting of shareholders on January 31, 2019, and one director, Mr. John A. MacDonald, elected by the Board of Directors on August 5, 2019.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Julian A. Brodsky was granted a waiver to continue as director past the age of 73 years in fiscal year 2019 in light of Mr. Brodsky’s vast experience in the Multiple System Operators (“MSO”) market which is in the midst of a major modernization cycle.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 Mr. Julian Brodsky will retire from our Board of Directors on January 31, 2020 and will serve as “director emeritus” and provide us certain advisory services, see “Item 7. Major Shareholders and Related Party Transactions — Related Party Transactions.”</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225"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Minicucci,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240" w:top="401"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20"/>
        <w:spacing w:after="0" w:line="251" w:lineRule="auto"/>
        <w:rPr>
          <w:sz w:val="20"/>
          <w:szCs w:val="20"/>
          <w:color w:val="auto"/>
        </w:rPr>
      </w:pPr>
      <w:r>
        <w:rPr>
          <w:rFonts w:ascii="Times New Roman" w:cs="Times New Roman" w:eastAsia="Times New Roman" w:hAnsi="Times New Roman"/>
          <w:sz w:val="18"/>
          <w:szCs w:val="18"/>
          <w:color w:val="auto"/>
        </w:rPr>
        <w:t xml:space="preserve">promulgated by the SEC, and that each member of the Audit Committee is financially literate as required by the rules of Nasdaq. In particular, we believe that the professional experiences of Messrs. Gardner, LeFave and Minicucci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5 years provides a foundation of cyber awareness to the Audit Committee and also believe that Mr. LeFave’s post-graduate training at Harvard Business School in Audit Committee and Board compensation best practices provides valuable contributions to the Committee. Similarly, we believe that Mr. Minucucci’s experience as chief financial officer to a public company and treasurer of another public company have provided him with strong business acumen and strategic and financial expertise that benefits the Committee. The Audit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9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Kahan (Chair), Brodsky and Baroness de Rothschild,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85"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88"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Dr. Yaron (Chair), Gelman, LeFave and MacDonald.</w:t>
      </w:r>
    </w:p>
    <w:p>
      <w:pPr>
        <w:spacing w:after="0" w:line="176"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240" w:top="401"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Workforce Personnel</w:t>
      </w:r>
    </w:p>
    <w:p>
      <w:pPr>
        <w:spacing w:after="0" w:line="99" w:lineRule="exact"/>
        <w:rPr>
          <w:sz w:val="20"/>
          <w:szCs w:val="20"/>
          <w:color w:val="auto"/>
        </w:rPr>
      </w:pPr>
    </w:p>
    <w:p>
      <w:pPr>
        <w:ind w:left="200" w:right="7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7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and Information Technology, Sales and Marketing</w:t>
            </w: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5,598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6,063</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APAC</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11,472</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10,851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10,650</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Administration</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1,572</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8"/>
                <w:szCs w:val="18"/>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Workforce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0"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A small number of our employees in Canada and Bulgaria,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Hungary and in Finland.</w:t>
      </w:r>
    </w:p>
    <w:p>
      <w:pPr>
        <w:spacing w:after="0" w:line="180"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Times New Roman" w:cs="Times New Roman" w:eastAsia="Times New Roman" w:hAnsi="Times New Roman"/>
          <w:sz w:val="18"/>
          <w:szCs w:val="18"/>
          <w:i w:val="1"/>
          <w:iCs w:val="1"/>
          <w:color w:val="auto"/>
        </w:rPr>
        <w:t>The skilled and highly qualified workforce that we need to develop, implement and modify our solutions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difficult to hire, train and retain, and we could face increased costs to attract and retain our skilled workforce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consider our relationship with our employees to be good and have never experienced an organized labor dispute, strike or work stoppage.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Directors and Senior Management and Certain Key Employees</w:t>
      </w:r>
    </w:p>
    <w:p>
      <w:pPr>
        <w:spacing w:after="0" w:line="121" w:lineRule="exact"/>
        <w:rPr>
          <w:sz w:val="20"/>
          <w:szCs w:val="20"/>
          <w:color w:val="auto"/>
        </w:rPr>
      </w:pPr>
    </w:p>
    <w:p>
      <w:pPr>
        <w:jc w:val="both"/>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As of December 5, 2019, the aggregate number of our ordinary shares beneficially owned by our directors and executive officers was 2,413,335 shares. As of December 5, 2019, none of our directors or members of senior management beneficially owned 1% or more of our outstanding ordinary shares.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240" w:top="401"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Our Board of Directors adopted, and our shareholders approved, our 1998 Stock Option and Incentive Plan, as amended, which we refer to as the Equity Incentive Plan, pursuant to which up to 67,550,000 of our ordinary shares may be issued.</w:t>
      </w:r>
    </w:p>
    <w:p>
      <w:pPr>
        <w:spacing w:after="0" w:line="162"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2019, of the 67,550,000 ordinary shares available for issuance under the Equity Incentive Plan, 55,555,012 ordinary shares had been issued as a result of option exercises and restricted share issuances. As of September 30, 2019, 5,053,813 ordinary shares remained available for future grants, subject to a sublimit applicable to the award of restricted shares or awards dominated in stock units. As of December 5, 2019, there were outstanding options to purchase an aggregate of 6,962,052 ordinary shares at exercise prices ranging from $27.47 to $69.30 per share and 105,393 shares are subject to outstanding restricted stock units.</w:t>
      </w:r>
    </w:p>
    <w:p>
      <w:pPr>
        <w:spacing w:after="0" w:line="189"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MAJOR SHAREHOLDERS AND RELATED PARTY TRANSACTIONS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specified information with respect to the beneficial ownership of the ordinary shares as of December 5, 2019 of</w:t>
      </w:r>
    </w:p>
    <w:p>
      <w:pPr>
        <w:spacing w:after="0" w:line="27" w:lineRule="exact"/>
        <w:rPr>
          <w:sz w:val="20"/>
          <w:szCs w:val="20"/>
          <w:color w:val="auto"/>
        </w:rPr>
      </w:pPr>
    </w:p>
    <w:p>
      <w:pPr>
        <w:ind w:left="200" w:firstLine="4"/>
        <w:spacing w:after="0" w:line="252" w:lineRule="auto"/>
        <w:tabs>
          <w:tab w:leader="none" w:pos="4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134,737,409 ordinary shares outstanding as of December 5, 2019, net of shares held in treasury. Information concerning shareholders other than our directors and officers is based on periodic public filings made by such shareholders and may not necessarily be accurate as of December 5, 2019. None of our major shareholders have voting rights that are different from those of any other shareholder.</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20" w:type="dxa"/>
            <w:vAlign w:val="bottom"/>
            <w:gridSpan w:val="3"/>
            <w:vMerge w:val="continue"/>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54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FMR LLC(1)</w:t>
            </w:r>
          </w:p>
        </w:tc>
        <w:tc>
          <w:tcPr>
            <w:tcW w:w="20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18,209,168</w:t>
            </w:r>
          </w:p>
        </w:tc>
        <w:tc>
          <w:tcPr>
            <w:tcW w:w="7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Janus Henderson Group plc(2)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7,616,644</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officers as a group (14 persons)(3)</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2,413,335</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01"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640" w:right="160" w:hanging="436"/>
        <w:spacing w:after="0" w:line="25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13, 2019, as of December 31, 2018, FMR had sole power to vote or direct the vote over 1,444,363 shares and sole power to dispose or direct the disposition of 18,209,168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3" w:lineRule="exact"/>
        <w:rPr>
          <w:rFonts w:ascii="Times New Roman" w:cs="Times New Roman" w:eastAsia="Times New Roman" w:hAnsi="Times New Roman"/>
          <w:sz w:val="18"/>
          <w:szCs w:val="18"/>
          <w:color w:val="auto"/>
        </w:rPr>
      </w:pPr>
    </w:p>
    <w:p>
      <w:pPr>
        <w:ind w:left="640" w:right="20" w:hanging="436"/>
        <w:spacing w:after="0" w:line="250"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Janus Henderson Group plc, or Janus Henderson, with the SEC on February 11, 2019, as of December 31, 2018, Janus had an indirect 97.11% ownership stake in IntechInvestment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7,482,934 shares or 5.3%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18,831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JCIL may be deemed to be the beneficial owner of 95,600 shares or</w:t>
      </w:r>
    </w:p>
    <w:p>
      <w:pPr>
        <w:spacing w:after="0" w:line="7" w:lineRule="exact"/>
        <w:rPr>
          <w:rFonts w:ascii="Times New Roman" w:cs="Times New Roman" w:eastAsia="Times New Roman" w:hAnsi="Times New Roman"/>
          <w:sz w:val="18"/>
          <w:szCs w:val="18"/>
          <w:color w:val="auto"/>
        </w:rPr>
      </w:pPr>
    </w:p>
    <w:p>
      <w:pPr>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of the shares outstanding of Amdocs Common Stock held by such Managed Portfolios. However, JCIL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1" w:lineRule="exact"/>
        <w:rPr>
          <w:rFonts w:ascii="Times New Roman" w:cs="Times New Roman" w:eastAsia="Times New Roman" w:hAnsi="Times New Roman"/>
          <w:sz w:val="18"/>
          <w:szCs w:val="18"/>
          <w:color w:val="auto"/>
        </w:rPr>
      </w:pPr>
    </w:p>
    <w:p>
      <w:pPr>
        <w:ind w:left="640" w:right="20" w:hanging="436"/>
        <w:spacing w:after="0" w:line="26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5, 2019. As of such date, none of our directors or executive officers beneficially owned 1% or more of our outstanding ordinary shares.</w:t>
      </w:r>
    </w:p>
    <w:p>
      <w:pPr>
        <w:spacing w:after="0" w:line="180" w:lineRule="exact"/>
        <w:rPr>
          <w:sz w:val="20"/>
          <w:szCs w:val="20"/>
          <w:color w:val="auto"/>
        </w:rPr>
      </w:pPr>
    </w:p>
    <w:p>
      <w:pPr>
        <w:jc w:val="both"/>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As of December 5, 2019, our ordinary shares were held by 1,741 record holders. Based on a review of the information provided to us by our transfer agent, 798 record holders, holding approximately 89% of our outstanding ordinary shares held of record, were residents of the United States.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Mr. Julian Brodsky will retire from our Board of Directors on January 31, 2020. We will enter into an agreement with Mr. Brodsky pursuant to which Mr. Brodsky will serve as “director emeritus” and provide us certain advisory services, and we will pay Mr. Brodsky an annual total payment equal to $255,000 in equity and $80,000 in cash.</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INFORMATION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See “Financial Statements” for our audited Consolidated Financial Statements and Financial Statement Schedule filed as part of this Annual Report.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240" w:top="401"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99"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Since 2014, we have been defending a lawsuit against certain of our subsidiaries in the U.S. District Court in Oregon alleging breach of contract and trade secret misappropriation. According to the suit, we improperly utilized information received in connection with our electronic payment processing solution, which is one of several components of our mobile financial services offerings. During fiscal year 2016, the District Court denied our motions to dismiss and to compel arbitration with respect to certain of the claims, and the proceedings continued. The District Court scheduled a tentative jury trial date for late October 2018. We filed a motion for summary judgment with the District Court during fiscal year 2018 and the District Court partially granted the motion with respect to two trade secrets. In October 2018, while continuing to deny the plaintiff’s allegations, we entered into a settlement agreement with the plaintiff, which included a $50 million settlement payment by us, in consideration for a mutual release of each party and its respective customers with no admission of liability or fault. As a result of the settlement, the lawsuit was dismissed with prejudice on November 13, 2018. During fiscal year 2019 we paid the settlement amount of $50 million and $5 million in legal and other fees which were accrued as of September 30, 2018.</w:t>
      </w:r>
    </w:p>
    <w:p>
      <w:pPr>
        <w:spacing w:after="0" w:line="186"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Certain of our subsidiaries are currently in a dispute with a state-owned telecom enterprise in Ecuador, which appears to have political aspects. Our counterparty has claimed monetary damages. The dispute is over contracts, under which we were providing certain services, which have been terminated by the counterparty in connection with such dispute and which are under scrutiny by certain local governmental authorities. We believe we have solid arguments and vigorously defending our rights. To date, however, such defense efforts, including motions alleging constitutional defects, have encountered a dismissive approach by the Ecuadorian Courts, with reasoning that we believe is inconsistent with applicable law. We are unable to reasonably estimate the ultimate outcome of the above dispute.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THE OFFER AND LISTING</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ADDITIONAL INFORMATION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Memorandum and Articles of Incorporation</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76" w:lineRule="exact"/>
        <w:rPr>
          <w:sz w:val="20"/>
          <w:szCs w:val="20"/>
          <w:color w:val="auto"/>
        </w:rPr>
      </w:pPr>
    </w:p>
    <w:p>
      <w:pPr>
        <w:jc w:val="both"/>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240" w:top="401"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220" w:firstLine="441"/>
        <w:spacing w:after="0" w:line="261" w:lineRule="auto"/>
        <w:rPr>
          <w:sz w:val="20"/>
          <w:szCs w:val="20"/>
          <w:color w:val="auto"/>
        </w:rPr>
      </w:pPr>
      <w:r>
        <w:rPr>
          <w:rFonts w:ascii="Times New Roman" w:cs="Times New Roman" w:eastAsia="Times New Roman" w:hAnsi="Times New Roman"/>
          <w:sz w:val="18"/>
          <w:szCs w:val="18"/>
          <w:color w:val="auto"/>
        </w:rPr>
        <w:t>The Articles grant the Board of Directors all the powers necessary for managing, directing and supervising the management of the business and affairs of Amdocs Limited.</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8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issue a maximum of (i) 25,000,000 preferred shares and (ii) 700,000,000 ordinary shares, consisting of voting and non-voting ordinary shares without further shareholder approval. As of September 30, 2019, 134,773,123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19" w:lineRule="exact"/>
        <w:rPr>
          <w:sz w:val="20"/>
          <w:szCs w:val="20"/>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w:t>
      </w:r>
      <w:r>
        <w:rPr>
          <w:rFonts w:ascii="Times New Roman" w:cs="Times New Roman" w:eastAsia="Times New Roman" w:hAnsi="Times New Roman"/>
          <w:sz w:val="18"/>
          <w:szCs w:val="18"/>
          <w:color w:val="auto"/>
        </w:rPr>
        <w:t>— the preferred shares may be issued from time to time in one or more series of any number of shares up to the amount authorized.</w:t>
      </w:r>
    </w:p>
    <w:p>
      <w:pPr>
        <w:spacing w:after="0" w:line="117" w:lineRule="exact"/>
        <w:rPr>
          <w:rFonts w:ascii="Times New Roman" w:cs="Times New Roman" w:eastAsia="Times New Roman" w:hAnsi="Times New Roman"/>
          <w:sz w:val="18"/>
          <w:szCs w:val="18"/>
          <w:color w:val="auto"/>
        </w:rPr>
      </w:pPr>
    </w:p>
    <w:p>
      <w:pPr>
        <w:ind w:left="1060" w:right="120" w:hanging="316"/>
        <w:spacing w:after="0" w:line="267"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to Issue Preferred Shares </w:t>
      </w:r>
      <w:r>
        <w:rPr>
          <w:rFonts w:ascii="Times New Roman" w:cs="Times New Roman" w:eastAsia="Times New Roman" w:hAnsi="Times New Roman"/>
          <w:sz w:val="18"/>
          <w:szCs w:val="18"/>
          <w:color w:val="auto"/>
        </w:rPr>
        <w:t>— authority is vested in the directors from time to time to authorize the issue of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preferred shares and to provide for the designations, powers, preferences and relative participating, optional or other special rights and qualifications, limitations or restrictions thereon.</w:t>
      </w:r>
    </w:p>
    <w:p>
      <w:pPr>
        <w:spacing w:after="0" w:line="65" w:lineRule="exact"/>
        <w:rPr>
          <w:rFonts w:ascii="Times New Roman" w:cs="Times New Roman" w:eastAsia="Times New Roman" w:hAnsi="Times New Roman"/>
          <w:sz w:val="18"/>
          <w:szCs w:val="18"/>
          <w:color w:val="auto"/>
        </w:rPr>
      </w:pPr>
    </w:p>
    <w:p>
      <w:pPr>
        <w:ind w:left="1060" w:right="100" w:hanging="316"/>
        <w:spacing w:after="0" w:line="284"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Relative Rights </w:t>
      </w:r>
      <w:r>
        <w:rPr>
          <w:rFonts w:ascii="Times New Roman" w:cs="Times New Roman" w:eastAsia="Times New Roman" w:hAnsi="Times New Roman"/>
          <w:sz w:val="18"/>
          <w:szCs w:val="18"/>
          <w:color w:val="auto"/>
        </w:rPr>
        <w:t>— all shares of any one series of preferred shares must be identical with each other in all respects, except that shares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series issued at different times may differ as to the dates from which dividends shall accrue.</w:t>
      </w:r>
    </w:p>
    <w:p>
      <w:pPr>
        <w:spacing w:after="0" w:line="50" w:lineRule="exact"/>
        <w:rPr>
          <w:rFonts w:ascii="Times New Roman" w:cs="Times New Roman" w:eastAsia="Times New Roman" w:hAnsi="Times New Roman"/>
          <w:sz w:val="18"/>
          <w:szCs w:val="18"/>
          <w:color w:val="auto"/>
        </w:rPr>
      </w:pPr>
    </w:p>
    <w:p>
      <w:pPr>
        <w:ind w:left="1060" w:right="20" w:hanging="316"/>
        <w:spacing w:after="0" w:line="256"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any liquidation, dissolution or winding-up of Amdocs Limited, the holders of preferred shares are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75" w:lineRule="exact"/>
        <w:rPr>
          <w:rFonts w:ascii="Times New Roman" w:cs="Times New Roman" w:eastAsia="Times New Roman" w:hAnsi="Times New Roman"/>
          <w:sz w:val="18"/>
          <w:szCs w:val="18"/>
          <w:color w:val="auto"/>
        </w:rPr>
      </w:pPr>
    </w:p>
    <w:p>
      <w:pPr>
        <w:ind w:left="1060" w:right="380" w:hanging="316"/>
        <w:spacing w:after="0" w:line="267"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except as otherwise provided for by the directors upon the issue of any new series of preferred shares,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have no right or power to vote on any question or in any proceeding or to be represented at, or to receive notice of, any meeting of shareholders.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Non-Voting Ordinary Shares</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Memorandum and Articles, the ordinary shares and non-voting ordinary shares are identical and entitle holders thereof to the same rights and privileges.</w:t>
      </w:r>
    </w:p>
    <w:p>
      <w:pPr>
        <w:spacing w:after="0" w:line="52" w:lineRule="exact"/>
        <w:rPr>
          <w:sz w:val="20"/>
          <w:szCs w:val="20"/>
          <w:color w:val="auto"/>
        </w:rPr>
      </w:pPr>
    </w:p>
    <w:p>
      <w:pPr>
        <w:ind w:left="1060" w:right="160" w:hanging="316"/>
        <w:spacing w:after="0" w:line="284"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when and as dividends are declared on our shares, the holders of voting ordinary shares and non-voting shares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share for share, in such dividends except that if</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240" w:top="401"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80" w:right="80"/>
        <w:spacing w:after="0" w:line="261" w:lineRule="auto"/>
        <w:rPr>
          <w:sz w:val="20"/>
          <w:szCs w:val="20"/>
          <w:color w:val="auto"/>
        </w:rPr>
      </w:pPr>
      <w:r>
        <w:rPr>
          <w:rFonts w:ascii="Times New Roman" w:cs="Times New Roman" w:eastAsia="Times New Roman" w:hAnsi="Times New Roman"/>
          <w:sz w:val="18"/>
          <w:szCs w:val="18"/>
          <w:color w:val="auto"/>
        </w:rPr>
        <w:t>dividends are declared that are payable in voting ordinary shares or non-voting ordinary shares, dividends must be declared that are payable at the same rate in both classes of shares.</w:t>
      </w:r>
    </w:p>
    <w:p>
      <w:pPr>
        <w:spacing w:after="0" w:line="70" w:lineRule="exact"/>
        <w:rPr>
          <w:sz w:val="20"/>
          <w:szCs w:val="20"/>
          <w:color w:val="auto"/>
        </w:rPr>
      </w:pPr>
    </w:p>
    <w:p>
      <w:pPr>
        <w:ind w:left="1060" w:right="40" w:hanging="316"/>
        <w:spacing w:after="0" w:line="267"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Non-Voting Ordinary Shares into Voting Ordinary Shares </w:t>
      </w:r>
      <w:r>
        <w:rPr>
          <w:rFonts w:ascii="Times New Roman" w:cs="Times New Roman" w:eastAsia="Times New Roman" w:hAnsi="Times New Roman"/>
          <w:sz w:val="18"/>
          <w:szCs w:val="18"/>
          <w:color w:val="auto"/>
        </w:rPr>
        <w:t>— upon the transfer of non-voting ordinary shares from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to any third party not affiliated with such original holder, non-voting ordinary shares are redesignated in our books as voting ordinary shares and automatically convert into the same number of voting ordinary shares.</w:t>
      </w:r>
    </w:p>
    <w:p>
      <w:pPr>
        <w:spacing w:after="0" w:line="65" w:lineRule="exact"/>
        <w:rPr>
          <w:rFonts w:ascii="Times New Roman" w:cs="Times New Roman" w:eastAsia="Times New Roman" w:hAnsi="Times New Roman"/>
          <w:sz w:val="18"/>
          <w:szCs w:val="18"/>
          <w:color w:val="auto"/>
        </w:rPr>
      </w:pPr>
    </w:p>
    <w:p>
      <w:pPr>
        <w:ind w:left="1060" w:right="120" w:hanging="316"/>
        <w:spacing w:after="0" w:line="284"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upon any liquidation, dissolution or winding-up, any assets remaining after creditors and the holders of any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paid in full shall be distributed to the holders of voting ordinary shares and non-voting ordinary shares equally share for share.</w:t>
      </w:r>
    </w:p>
    <w:p>
      <w:pPr>
        <w:spacing w:after="0" w:line="50" w:lineRule="exact"/>
        <w:rPr>
          <w:rFonts w:ascii="Times New Roman" w:cs="Times New Roman" w:eastAsia="Times New Roman" w:hAnsi="Times New Roman"/>
          <w:sz w:val="18"/>
          <w:szCs w:val="18"/>
          <w:color w:val="auto"/>
        </w:rPr>
      </w:pPr>
    </w:p>
    <w:p>
      <w:pPr>
        <w:ind w:left="1060" w:right="160" w:hanging="316"/>
        <w:spacing w:after="0" w:line="284"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the holders of voting ordinary shares are entitled to vote on all matters to be voted on by the shareholders, and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non-voting ordinary shares are not entitled to any voting rights.</w:t>
      </w:r>
    </w:p>
    <w:p>
      <w:pPr>
        <w:spacing w:after="0" w:line="50" w:lineRule="exact"/>
        <w:rPr>
          <w:rFonts w:ascii="Times New Roman" w:cs="Times New Roman" w:eastAsia="Times New Roman" w:hAnsi="Times New Roman"/>
          <w:sz w:val="18"/>
          <w:szCs w:val="18"/>
          <w:color w:val="auto"/>
        </w:rPr>
      </w:pPr>
    </w:p>
    <w:p>
      <w:pPr>
        <w:ind w:left="1060" w:right="280" w:hanging="316"/>
        <w:spacing w:after="0" w:line="284"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Preferences </w:t>
      </w:r>
      <w:r>
        <w:rPr>
          <w:rFonts w:ascii="Times New Roman" w:cs="Times New Roman" w:eastAsia="Times New Roman" w:hAnsi="Times New Roman"/>
          <w:sz w:val="18"/>
          <w:szCs w:val="18"/>
          <w:color w:val="auto"/>
        </w:rPr>
        <w:t>— the voting ordinary shares and non-voting ordinary shares are subject to all the powers, rights, privileges, preferences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priorities of the preferred shares as are set out in the Articles.</w:t>
      </w:r>
    </w:p>
    <w:p>
      <w:pPr>
        <w:spacing w:after="0" w:line="160"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4"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68" w:lineRule="exact"/>
        <w:rPr>
          <w:sz w:val="20"/>
          <w:szCs w:val="20"/>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imposed in criminal proceedings;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fines;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criminal proceedings resulting in a conviction;</w:t>
      </w:r>
    </w:p>
    <w:p>
      <w:pPr>
        <w:spacing w:after="0" w:line="117" w:lineRule="exact"/>
        <w:rPr>
          <w:rFonts w:ascii="Times New Roman" w:cs="Times New Roman" w:eastAsia="Times New Roman" w:hAnsi="Times New Roman"/>
          <w:sz w:val="18"/>
          <w:szCs w:val="18"/>
          <w:color w:val="auto"/>
        </w:rPr>
      </w:pPr>
    </w:p>
    <w:p>
      <w:pPr>
        <w:ind w:left="1060" w:right="500" w:hanging="316"/>
        <w:spacing w:after="0" w:line="282"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civil proceedings brought by Amdocs Limited or an affiliated company in which judgment is rendered against the director; and</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unsuccessfully seeking judicial relief from claims of a breach of duty.</w:t>
      </w:r>
    </w:p>
    <w:p>
      <w:pPr>
        <w:spacing w:after="0" w:line="22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provisions in the Memorandum or Articles that provide for a classified board of directors or for cumulative voting for directors.</w:t>
      </w:r>
    </w:p>
    <w:p>
      <w:pPr>
        <w:spacing w:after="0" w:line="225"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240" w:top="401"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80"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8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8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4"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76" w:lineRule="exact"/>
        <w:rPr>
          <w:sz w:val="20"/>
          <w:szCs w:val="20"/>
          <w:color w:val="auto"/>
        </w:rPr>
      </w:pPr>
    </w:p>
    <w:p>
      <w:pPr>
        <w:jc w:val="both"/>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A shareholder is entitled to appoint another person as his proxy to exercise all or any of his rights to attend and to speak and vote at a meeting of Amdocs Limited.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Amdocs Limited may pass resolutions by way of written resolution.</w:t>
      </w:r>
    </w:p>
    <w:p>
      <w:pPr>
        <w:spacing w:after="0" w:line="225"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There are no limitations on the rights to own securities, including the rights of non-resident or foreign shareholders to hold or exercise voting rights on the securities.</w:t>
      </w:r>
    </w:p>
    <w:p>
      <w:pPr>
        <w:spacing w:after="0" w:line="162" w:lineRule="exact"/>
        <w:rPr>
          <w:sz w:val="20"/>
          <w:szCs w:val="20"/>
          <w:color w:val="auto"/>
        </w:rPr>
      </w:pPr>
    </w:p>
    <w:p>
      <w:pPr>
        <w:ind w:left="200" w:right="320" w:firstLine="441"/>
        <w:spacing w:after="0" w:line="313" w:lineRule="auto"/>
        <w:rPr>
          <w:sz w:val="20"/>
          <w:szCs w:val="20"/>
          <w:color w:val="auto"/>
        </w:rPr>
      </w:pPr>
      <w:r>
        <w:rPr>
          <w:rFonts w:ascii="Times New Roman" w:cs="Times New Roman" w:eastAsia="Times New Roman" w:hAnsi="Times New Roman"/>
          <w:sz w:val="17"/>
          <w:szCs w:val="17"/>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38"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240" w:top="401"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directors may reduce our share capital or any other capital subject to us satisfying the solvency requirements set out in the Companies Law.</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December 2017, we entered into an Amended and Restated Credit Agreement among us, certain of our subsidiaries, the lenders from time to</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time party thereto, JPMorgan Chase Bank, N.A., as administrative agent, J.P. Morgan Europe Limited, as London agent, and JPMorgan Chase Bank,</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 Toronto branch, as Canadian agent, providing for an unsecured $500 million five-year revolving credit facility with a syndicate of banks.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facility is available for general corporate purposes, including acquisitions and repurchases of our ordinary shares that we may consider from time 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time, and has a maturity date in December 2022. The Amended and Restated Credit Agreement replaces our Credit Agreement, dated as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12, 2014, by and among us, certain of our subsidiaries, JPMorgan Chase Bank, N.A., as administrative agent, J.P. Morgan Europe Limited, as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London agent, and JPMorgan Chase Bank, N.A., Toronto branch, as Canadian agent. A copy of the Amended and Restated Credit Agreement is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included as Exhibit 4.c to this Annual Report.</w:t>
      </w:r>
    </w:p>
    <w:p>
      <w:pPr>
        <w:spacing w:after="0" w:line="207" w:lineRule="exact"/>
        <w:rPr>
          <w:sz w:val="20"/>
          <w:szCs w:val="20"/>
          <w:color w:val="auto"/>
        </w:rPr>
      </w:pPr>
    </w:p>
    <w:p>
      <w:pPr>
        <w:jc w:val="both"/>
        <w:ind w:left="200" w:right="580" w:firstLine="441"/>
        <w:spacing w:after="0" w:line="261" w:lineRule="auto"/>
        <w:rPr>
          <w:sz w:val="20"/>
          <w:szCs w:val="20"/>
          <w:color w:val="auto"/>
        </w:rPr>
      </w:pPr>
      <w:r>
        <w:rPr>
          <w:rFonts w:ascii="Times New Roman" w:cs="Times New Roman" w:eastAsia="Times New Roman" w:hAnsi="Times New Roman"/>
          <w:sz w:val="18"/>
          <w:szCs w:val="18"/>
          <w:color w:val="auto"/>
        </w:rPr>
        <w:t>In February 2017, we entered into a Master Services Agreement with AT&amp;T Services, Inc., which replaces in its entirety the Software and Professional Services that we entered into with AT&amp;T Services, Inc. effective August 7, 2003. The agreement provides that Amdocs will provide software and services to AT&amp;T as specified therein and remains in effect until September 30, 2021. A copy of the Master Services Agreement is included as Exhibit 4.a.1 to this Annual Report.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past two years, we have not entered into any material contracts other than contracts entered into in the ordinary course of our business.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121" w:lineRule="exact"/>
        <w:rPr>
          <w:sz w:val="20"/>
          <w:szCs w:val="20"/>
          <w:color w:val="auto"/>
        </w:rPr>
      </w:pPr>
    </w:p>
    <w:p>
      <w:pPr>
        <w:jc w:val="both"/>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effective tax rate was 15.6% for fiscal 2019, compared to 15.9% for fiscal 2018 and 14.8% for fiscal 2017.</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continuously assessing, of the recent tax reform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Tax legislation in Guernsey subjects us to the standard rate of corporate income tax for a Guernsey resident company of zero percent.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240" w:top="401"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Certain Indian Tax Considerations</w:t>
      </w:r>
    </w:p>
    <w:p>
      <w:pPr>
        <w:spacing w:after="0" w:line="99"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Through subsidiaries, we operate development centers and a business processing operations center in India. In 2019, the corporate tax rate applicable in India on trading activities was 34.94% for development center and reduced corporate tax at 27.82% for business processing operations having gross turnover up to a prescribed threshold. Our main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88" w:lineRule="exact"/>
        <w:rPr>
          <w:sz w:val="20"/>
          <w:szCs w:val="20"/>
          <w:color w:val="auto"/>
        </w:rPr>
      </w:pPr>
    </w:p>
    <w:p>
      <w:pPr>
        <w:jc w:val="both"/>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During the year 2016-17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As of April 1, 2011, the Minimum Alternative Tax, or MAT, became applicable to all of our PLC Indian operations. The MAT is levied on book profits at the effective rate of 21.55% and can be carried forward for 15 years to be credited against corporate income taxes. As for the LLP, as a result of the conversion certain accumulated tax credits will not be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8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Our main Indian subsidiary is subject to a separate tax entitlement under which its operating units are exempt from tax on the respective tax incentive-eligible activity for the first five years of operations and enjoys a 50% reduction on its corporate income tax for such activity for the following five years. Further, an additional 50% deduction is available for another 5 years, if 50% of the profits of the unit are credited to a specific reserve provided that such reserve is utilized for the purpose of investments in plant &amp; machinery within three years from the end of the year in which reserve is created. If such reserve is not utilized for the purpose specified in the Indian Tax Laws, the same will be deemed as income in the year immediately following the period of three years in which the reserve is made.</w:t>
      </w:r>
    </w:p>
    <w:p>
      <w:pPr>
        <w:spacing w:after="0" w:line="188"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Further, in 2018 a new operation was commenced in another subsidiary in India with effect from May 1, 2018. The activity conducted by this entity is generally entitled to a 100 % reduction on its corporate income tax for the first five years of operation and a 50% reduction for the following 5 years. MAT is levied on book profits at an effective rate of 20.58% and can be carried forward for 15 years to be credited against corporate income taxes.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Certain Israeli Tax Considerations</w:t>
      </w:r>
    </w:p>
    <w:p>
      <w:pPr>
        <w:spacing w:after="0" w:line="119"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Our primary Israeli subsidiary, Amdocs (Israel) Limited, operates one of our largest development centers. Discussed below are certain Israeli tax considerations relating to this subsidiary.</w:t>
      </w:r>
    </w:p>
    <w:p>
      <w:pPr>
        <w:spacing w:after="0" w:line="160" w:lineRule="exact"/>
        <w:rPr>
          <w:sz w:val="20"/>
          <w:szCs w:val="20"/>
          <w:color w:val="auto"/>
        </w:rPr>
      </w:pPr>
    </w:p>
    <w:p>
      <w:pPr>
        <w:ind w:left="200" w:right="1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Corporate Taxation in Israel. </w:t>
      </w:r>
      <w:r>
        <w:rPr>
          <w:rFonts w:ascii="Times New Roman" w:cs="Times New Roman" w:eastAsia="Times New Roman" w:hAnsi="Times New Roman"/>
          <w:sz w:val="18"/>
          <w:szCs w:val="18"/>
          <w:color w:val="auto"/>
        </w:rPr>
        <w:t>The general corporate tax rate on taxable income is 23%. However, the effective tax rate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of an Israeli company that is eligible for tax benefits by virtue of the Law for the Encouragement of Capital Investments may be considerably lower.</w:t>
      </w:r>
    </w:p>
    <w:p>
      <w:pPr>
        <w:spacing w:after="0" w:line="174" w:lineRule="exact"/>
        <w:rPr>
          <w:sz w:val="20"/>
          <w:szCs w:val="20"/>
          <w:color w:val="auto"/>
        </w:rPr>
      </w:pPr>
    </w:p>
    <w:p>
      <w:pPr>
        <w:ind w:left="200" w:right="2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Law for the Encouragement of Capital Investments, 1959. </w:t>
      </w:r>
      <w:r>
        <w:rPr>
          <w:rFonts w:ascii="Times New Roman" w:cs="Times New Roman" w:eastAsia="Times New Roman" w:hAnsi="Times New Roman"/>
          <w:sz w:val="18"/>
          <w:szCs w:val="18"/>
          <w:color w:val="auto"/>
        </w:rPr>
        <w:t>Certain production and development facilities of our primary Israeli subsidiary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80"/>
          </w:cols>
          <w:pgMar w:left="240" w:top="401"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20" w:firstLine="441"/>
        <w:spacing w:after="0" w:line="277" w:lineRule="auto"/>
        <w:rPr>
          <w:sz w:val="20"/>
          <w:szCs w:val="20"/>
          <w:color w:val="auto"/>
        </w:rPr>
      </w:pPr>
      <w:r>
        <w:rPr>
          <w:rFonts w:ascii="Times New Roman" w:cs="Times New Roman" w:eastAsia="Times New Roman" w:hAnsi="Times New Roman"/>
          <w:sz w:val="17"/>
          <w:szCs w:val="17"/>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Tax Benefits.</w:t>
      </w:r>
    </w:p>
    <w:p>
      <w:pPr>
        <w:spacing w:after="0" w:line="119" w:lineRule="exact"/>
        <w:rPr>
          <w:sz w:val="20"/>
          <w:szCs w:val="20"/>
          <w:color w:val="auto"/>
        </w:rPr>
      </w:pPr>
    </w:p>
    <w:p>
      <w:pPr>
        <w:ind w:left="200" w:right="80" w:firstLine="441"/>
        <w:spacing w:after="0" w:line="253" w:lineRule="auto"/>
        <w:rPr>
          <w:sz w:val="20"/>
          <w:szCs w:val="20"/>
          <w:color w:val="auto"/>
        </w:rPr>
      </w:pPr>
      <w:r>
        <w:rPr>
          <w:rFonts w:ascii="Times New Roman" w:cs="Times New Roman" w:eastAsia="Times New Roman" w:hAnsi="Times New Roman"/>
          <w:sz w:val="18"/>
          <w:szCs w:val="18"/>
          <w:color w:val="auto"/>
        </w:rPr>
        <w:t>Our primary Israeli subsidiary has elected the alternative benefits’ route with respect to its existing Approved Enterprise and its expansions, pursuant to which it enjoys,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exempt income generated during the tax 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89"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Dividends paid out of income derived by an Approved Enterprise are subject to withholding tax at a reduced rate (15%,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recent years changes were introduced to the Investment Law, specifically a major amendment of the Investment Law in 2011 and 2017.</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2011 amendment (“Preferred Enterprise”)</w:t>
      </w:r>
    </w:p>
    <w:p>
      <w:pPr>
        <w:spacing w:after="0" w:line="119"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Our primary Israeli subsidiary has not yet made such election.</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2017 amendment (“Preferred Technological Enterprises”)</w:t>
      </w:r>
    </w:p>
    <w:p>
      <w:pPr>
        <w:spacing w:after="0" w:line="11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Amendment 73 to the Investment Law, which came into effect January 1, 2017, was followed by regulations promulgated on May 28, 2017, which incorporated the “Nexus Principles,” based on OECD guidelines recently published as part of the Base Erosion and Profit Shifting (BEPS) project, into Israeli law. The OECD has since then confirmed that the regime adopted by Israel is “not harmful”.</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240" w:top="401"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new incentives regime applies to “Preferred Technological Enterprises” that meet certain conditions.</w:t>
      </w:r>
    </w:p>
    <w:p>
      <w:pPr>
        <w:spacing w:after="0" w:line="207" w:lineRule="exact"/>
        <w:rPr>
          <w:sz w:val="20"/>
          <w:szCs w:val="20"/>
          <w:color w:val="auto"/>
        </w:rPr>
      </w:pPr>
    </w:p>
    <w:p>
      <w:pPr>
        <w:jc w:val="both"/>
        <w:ind w:left="200" w:right="280" w:firstLine="441"/>
        <w:spacing w:after="0" w:line="289" w:lineRule="auto"/>
        <w:rPr>
          <w:sz w:val="20"/>
          <w:szCs w:val="20"/>
          <w:color w:val="auto"/>
        </w:rPr>
      </w:pPr>
      <w:r>
        <w:rPr>
          <w:rFonts w:ascii="Times New Roman" w:cs="Times New Roman" w:eastAsia="Times New Roman" w:hAnsi="Times New Roman"/>
          <w:sz w:val="17"/>
          <w:szCs w:val="17"/>
          <w:color w:val="auto"/>
        </w:rPr>
        <w:t>The corporate tax rate applicable to the Preferred Technological Income generated by a Special Preferred Technological Enterprise (companies which are part of a group with annual consolidated revenue in excess of NIS 10 billion - approximately US$2.9 billion at current exchange rates -) is 6%. The reduced tax rate applies only with respect to the revenue attributable to the portion of intellectual property developed in Israel.</w:t>
      </w:r>
    </w:p>
    <w:p>
      <w:pPr>
        <w:spacing w:after="0" w:line="158"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w:t>
      </w:r>
    </w:p>
    <w:p>
      <w:pPr>
        <w:spacing w:after="0" w:line="176"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In 2019, our primary Israeli subsidiary continues to apply the benefits under the terms of the law as provided prior to the 2011 amendment. We are continuously evaluating the potential benefits of applying the 2011 and 2017 amendments.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Of Ordinary Shares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left="200" w:right="20" w:firstLine="441"/>
        <w:spacing w:after="0" w:line="271" w:lineRule="auto"/>
        <w:rPr>
          <w:sz w:val="20"/>
          <w:szCs w:val="20"/>
          <w:color w:val="auto"/>
        </w:rPr>
      </w:pPr>
      <w:r>
        <w:rPr>
          <w:rFonts w:ascii="Times New Roman" w:cs="Times New Roman" w:eastAsia="Times New Roman" w:hAnsi="Times New Roman"/>
          <w:sz w:val="17"/>
          <w:szCs w:val="17"/>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74"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Certain United States Federal Income Tax Considerations</w:t>
      </w:r>
    </w:p>
    <w:p>
      <w:pPr>
        <w:spacing w:after="0" w:line="11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162" w:lineRule="exact"/>
        <w:rPr>
          <w:sz w:val="20"/>
          <w:szCs w:val="20"/>
          <w:color w:val="auto"/>
        </w:rPr>
      </w:pPr>
    </w:p>
    <w:p>
      <w:pPr>
        <w:ind w:left="1280" w:hanging="212"/>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340" w:hanging="272"/>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of any state thereof;</w:t>
      </w:r>
    </w:p>
    <w:p>
      <w:pPr>
        <w:spacing w:after="0" w:line="117" w:lineRule="exact"/>
        <w:rPr>
          <w:rFonts w:ascii="Times New Roman" w:cs="Times New Roman" w:eastAsia="Times New Roman" w:hAnsi="Times New Roman"/>
          <w:sz w:val="18"/>
          <w:szCs w:val="18"/>
          <w:color w:val="auto"/>
        </w:rPr>
      </w:pPr>
    </w:p>
    <w:p>
      <w:pPr>
        <w:ind w:left="1380" w:hanging="312"/>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17" w:lineRule="exact"/>
        <w:rPr>
          <w:rFonts w:ascii="Times New Roman" w:cs="Times New Roman" w:eastAsia="Times New Roman" w:hAnsi="Times New Roman"/>
          <w:sz w:val="18"/>
          <w:szCs w:val="18"/>
          <w:color w:val="auto"/>
        </w:rPr>
      </w:pPr>
    </w:p>
    <w:p>
      <w:pPr>
        <w:ind w:left="640" w:right="280" w:firstLine="428"/>
        <w:spacing w:after="0" w:line="282" w:lineRule="auto"/>
        <w:tabs>
          <w:tab w:leader="none" w:pos="13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240" w:top="401"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80"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8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17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8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160" w:lineRule="exact"/>
        <w:rPr>
          <w:sz w:val="20"/>
          <w:szCs w:val="20"/>
          <w:color w:val="auto"/>
        </w:rPr>
      </w:pPr>
    </w:p>
    <w:p>
      <w:pPr>
        <w:ind w:left="200" w:right="1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Disposition of Ordinary Shares. </w:t>
      </w:r>
      <w:r>
        <w:rPr>
          <w:rFonts w:ascii="Times New Roman" w:cs="Times New Roman" w:eastAsia="Times New Roman" w:hAnsi="Times New Roman"/>
          <w:sz w:val="18"/>
          <w:szCs w:val="18"/>
          <w:color w:val="auto"/>
        </w:rPr>
        <w:t>Subject to the PFIC rules described below, upon the sale, exchange or other disposition of our ordinary shares,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generally will recognize capital gain or loss in an amount equal to the difference between the amount realized on the disposition by such U.S. holder and its tax basis in the</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240" w:top="401"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80"/>
        <w:spacing w:after="0" w:line="254" w:lineRule="auto"/>
        <w:rPr>
          <w:sz w:val="20"/>
          <w:szCs w:val="20"/>
          <w:color w:val="auto"/>
        </w:rPr>
      </w:pPr>
      <w:r>
        <w:rPr>
          <w:rFonts w:ascii="Times New Roman" w:cs="Times New Roman" w:eastAsia="Times New Roman" w:hAnsi="Times New Roman"/>
          <w:sz w:val="18"/>
          <w:szCs w:val="18"/>
          <w:color w:val="auto"/>
        </w:rPr>
        <w:t>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w:t>
      </w:r>
    </w:p>
    <w:p>
      <w:pPr>
        <w:spacing w:after="0" w:line="184"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Passive Foreign Investment Company Considerations. </w:t>
      </w:r>
      <w:r>
        <w:rPr>
          <w:rFonts w:ascii="Times New Roman" w:cs="Times New Roman" w:eastAsia="Times New Roman" w:hAnsi="Times New Roman"/>
          <w:sz w:val="18"/>
          <w:szCs w:val="18"/>
          <w:color w:val="auto"/>
        </w:rPr>
        <w:t>If, for any taxable year, 75% or more of our gross income consists of certain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8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2019.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addition, if we were a PFIC for any taxable year in which we make a distribution or the preceding taxable year, the preferential rules 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“qualified dividend income” described above would not apply. If a U.S. holder owns ordinary shares during any year in which we are a PFIC, the U.S.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holder generally must file annual reports to the IRS.</w:t>
      </w:r>
    </w:p>
    <w:p>
      <w:pPr>
        <w:spacing w:after="0" w:line="20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U.S. holders generally will be subject to information reporting requirements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(currently at a 24%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our ordinary shares not held through a custodial account with a financial institution or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ind w:left="200" w:right="40" w:firstLine="441"/>
        <w:spacing w:after="0" w:line="289" w:lineRule="auto"/>
        <w:rPr>
          <w:sz w:val="20"/>
          <w:szCs w:val="20"/>
          <w:color w:val="auto"/>
        </w:rPr>
      </w:pPr>
      <w:r>
        <w:rPr>
          <w:rFonts w:ascii="Times New Roman" w:cs="Times New Roman" w:eastAsia="Times New Roman" w:hAnsi="Times New Roman"/>
          <w:sz w:val="17"/>
          <w:szCs w:val="17"/>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240" w:top="401"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Some of this information may also be found on our website at </w:t>
      </w:r>
      <w:r>
        <w:rPr>
          <w:rFonts w:ascii="Times New Roman" w:cs="Times New Roman" w:eastAsia="Times New Roman" w:hAnsi="Times New Roman"/>
          <w:sz w:val="18"/>
          <w:szCs w:val="18"/>
          <w:i w:val="1"/>
          <w:iCs w:val="1"/>
          <w:color w:val="auto"/>
        </w:rPr>
        <w:t>www.amdocs.com.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may request copies of our reports, at no cost, by writing to or telephoning us as follows: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314-212-8328</w:t>
      </w:r>
    </w:p>
    <w:p>
      <w:pPr>
        <w:spacing w:after="0" w:line="311" w:lineRule="exact"/>
        <w:rPr>
          <w:sz w:val="20"/>
          <w:szCs w:val="20"/>
          <w:color w:val="auto"/>
        </w:rPr>
      </w:pPr>
    </w:p>
    <w:p>
      <w:pPr>
        <w:ind w:left="200" w:right="40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QUANTITATIVE AND QUALITATIVE DISCLOSURES ABOUT MARKET RISK</w:t>
      </w:r>
      <w:r>
        <w:rPr>
          <w:rFonts w:ascii="Times New Roman" w:cs="Times New Roman" w:eastAsia="Times New Roman" w:hAnsi="Times New Roman"/>
          <w:sz w:val="18"/>
          <w:szCs w:val="18"/>
          <w:b w:val="1"/>
          <w:bCs w:val="1"/>
          <w:color w:val="auto"/>
        </w:rPr>
        <w:t xml:space="preserve"> Foreign Currency Risk</w:t>
      </w:r>
    </w:p>
    <w:p>
      <w:pPr>
        <w:jc w:val="both"/>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During fiscal year 2019, approximately 70% to 80% of our revenue and approximately 50% to 60% of our operating expenses were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Israeli shekels and Indian rupees. We also use such contracts to hedge the net impact of the variability in exchange rates on certain balance sheet items such as accounts receivable and employee related accruals denominated primarily in Israeli shekels, Indian rupees and European Euros,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89" w:lineRule="exact"/>
        <w:rPr>
          <w:sz w:val="20"/>
          <w:szCs w:val="20"/>
          <w:color w:val="auto"/>
        </w:rPr>
      </w:pPr>
    </w:p>
    <w:p>
      <w:pPr>
        <w:jc w:val="both"/>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and fair value of our derivative instruments as of September 30, 2019. Notional values are in U.S. dollars and are translated and calculated based on forward rates as of September 30, 2019, for forward contracts, and based on spot rates as of September 30, 2019 for options.</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26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w w:val="99"/>
              </w:rPr>
              <w:t>Notional Value*</w:t>
            </w:r>
          </w:p>
        </w:tc>
        <w:tc>
          <w:tcPr>
            <w:tcW w:w="194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 (in millions)</w:t>
            </w: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640" w:right="200" w:hanging="436"/>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240" w:top="401"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Our interest expenses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corporate bonds, money market funds, U.S. government treasuries, and U.S. agency securities.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DESCRIPTION OF SECURITIES OTHER THAN EQUITY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DEFAULTS, DIVIDEND ARREARAGES AND DELINQUENCIES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2019, which is included herein.</w:t>
      </w:r>
    </w:p>
    <w:p>
      <w:pPr>
        <w:spacing w:after="0" w:line="197"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year ended September 30, 2019 that has materially affected, or is reasonably likely to materially affect, our internal control over financial reporting.</w:t>
      </w:r>
    </w:p>
    <w:p>
      <w:pPr>
        <w:spacing w:after="0" w:line="176"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240" w:top="401"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16A. </w:t>
      </w:r>
      <w:r>
        <w:rPr>
          <w:rFonts w:ascii="Times New Roman" w:cs="Times New Roman" w:eastAsia="Times New Roman" w:hAnsi="Times New Roman"/>
          <w:sz w:val="18"/>
          <w:szCs w:val="18"/>
          <w:b w:val="1"/>
          <w:bCs w:val="1"/>
          <w:i w:val="1"/>
          <w:iCs w:val="1"/>
          <w:color w:val="auto"/>
        </w:rPr>
        <w:t>AUDIT COMMITTEE FINANCIAL EXPERT</w:t>
      </w:r>
    </w:p>
    <w:p>
      <w:pPr>
        <w:spacing w:after="0" w:line="99" w:lineRule="exact"/>
        <w:rPr>
          <w:sz w:val="20"/>
          <w:szCs w:val="20"/>
          <w:color w:val="auto"/>
        </w:rPr>
      </w:pPr>
    </w:p>
    <w:p>
      <w:pPr>
        <w:ind w:left="200" w:right="820" w:firstLine="441"/>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16B. </w:t>
      </w: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74" w:lineRule="exact"/>
        <w:rPr>
          <w:sz w:val="20"/>
          <w:szCs w:val="20"/>
          <w:color w:val="auto"/>
        </w:rPr>
      </w:pPr>
    </w:p>
    <w:p>
      <w:pPr>
        <w:jc w:val="both"/>
        <w:ind w:left="200" w:right="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or you may request a copy of our code of ethics, at no cost, by writing to or telephoning us as follows:</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314-212-8328</w:t>
      </w:r>
    </w:p>
    <w:p>
      <w:pPr>
        <w:spacing w:after="0" w:line="207"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We intend to post on our website within five business days all disclosures that are required by law or Nasdaq rules concerning any amendments to, or waivers from, any provision of the code.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16C.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Ernst &amp; Young billed us approximately $3.8 million for audit services for fiscal 2019, including fees associated with the annual audit and reviews of our quarterly financial results submitted on Form 6-K, consultations on various accounting issues and performance of local statutory audits. Ernst &amp; Young billed us approximately $4.0 million for audit services for fiscal 2018.</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$1.5 million for audit-related services for fiscal 2019. Audit-related services principally include SOC 1 report issuances and due diligence examinations. Ernst &amp; Young billed us approximately $2.3 million for audit-related services for fiscal 2018.</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$1.8 million for tax advice, including fees associated with tax compliance, tax advice and tax planning services for fiscal 2019. Ernst &amp; Young billed us approximately $1.6 million for tax advice in fiscal 2018.</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Ernst &amp; Young did not bill us for services other than Audit Fees, Audit-Related Fees and Tax Fees described above for fiscal 2019 or fiscal 2018.</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240" w:top="401"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Pre-Approval Policies for Non-Audit Services</w:t>
      </w:r>
    </w:p>
    <w:p>
      <w:pPr>
        <w:spacing w:after="0" w:line="9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0"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2019, our Audit Committee approved all of the services provided by Ernst &amp; Young.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16D. </w:t>
      </w:r>
      <w:r>
        <w:rPr>
          <w:rFonts w:ascii="Times New Roman" w:cs="Times New Roman" w:eastAsia="Times New Roman" w:hAnsi="Times New Roman"/>
          <w:sz w:val="18"/>
          <w:szCs w:val="18"/>
          <w:b w:val="1"/>
          <w:bCs w:val="1"/>
          <w:i w:val="1"/>
          <w:iCs w:val="1"/>
          <w:color w:val="auto"/>
        </w:rPr>
        <w:t>EXEMPTION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16E. </w:t>
      </w: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fiscal year ended September 30, 2019 of equity securities that are registered by us pursuant to Section 12 of the Exchange Act: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gridSpan w:val="2"/>
          </w:tcPr>
          <w:p>
            <w:pPr>
              <w:jc w:val="center"/>
              <w:ind w:left="67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760" w:type="dxa"/>
            <w:vAlign w:val="bottom"/>
          </w:tcPr>
          <w:p>
            <w:pPr>
              <w:spacing w:after="0"/>
              <w:rPr>
                <w:sz w:val="12"/>
                <w:szCs w:val="12"/>
                <w:color w:val="auto"/>
              </w:rPr>
            </w:pPr>
          </w:p>
        </w:tc>
        <w:tc>
          <w:tcPr>
            <w:tcW w:w="1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0" w:type="dxa"/>
            <w:vAlign w:val="bottom"/>
            <w:gridSpan w:val="2"/>
          </w:tcPr>
          <w:p>
            <w:pPr>
              <w:jc w:val="center"/>
              <w:ind w:left="1051"/>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9"/>
        </w:trPr>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80" w:type="dxa"/>
            <w:vAlign w:val="bottom"/>
            <w:gridSpan w:val="4"/>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60"/>
        </w:trPr>
        <w:tc>
          <w:tcPr>
            <w:tcW w:w="242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8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Share(1)</w:t>
            </w:r>
          </w:p>
        </w:tc>
        <w:tc>
          <w:tcPr>
            <w:tcW w:w="78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10/1/18-10/31/18</w:t>
            </w:r>
          </w:p>
        </w:tc>
        <w:tc>
          <w:tcPr>
            <w:tcW w:w="1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408,629</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63.34</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408,629</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611,244,191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11/1/18-11/30/18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549,168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549,168</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575,645,377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12/1/18-12/31/18</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621,986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621,986</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01/1/19-01/31/19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512,003</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508,370,524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02/1/19-02/28/19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631,061</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473,057,105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03/1/19-03/31/19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1,002,877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1,002,877</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417,970,342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04/1/19-04/30/19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423,146</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394,971,008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05/1/19-05/31/19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463,771</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368,437,600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06/1/19-06/30/19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644,541</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329,170,948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07/1/19-07/31/19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347,700</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307,221,984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08/1/19-08/31/19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561,900</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09/1/19-09/30/19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489,041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489,041</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6,655,823</w:t>
            </w: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6,655,823</w:t>
            </w:r>
          </w:p>
        </w:tc>
        <w:tc>
          <w:tcPr>
            <w:tcW w:w="880" w:type="dxa"/>
            <w:vAlign w:val="bottom"/>
            <w:tcBorders>
              <w:top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239,171,042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40" w:hanging="43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ind w:left="640" w:right="360" w:hanging="436"/>
        <w:spacing w:after="0" w:line="25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2017, our Board of Directors adopted a share repurchase plan authorizing the repurchase of up to $800.0 million of our outstanding ordinary shares and on November 12, 2019,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that we consider appropriate.</w:t>
      </w:r>
    </w:p>
    <w:p>
      <w:pPr>
        <w:spacing w:after="0" w:line="1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240" w:top="401" w:right="4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16F. </w:t>
      </w:r>
      <w:r>
        <w:rPr>
          <w:rFonts w:ascii="Times New Roman" w:cs="Times New Roman" w:eastAsia="Times New Roman" w:hAnsi="Times New Roman"/>
          <w:sz w:val="18"/>
          <w:szCs w:val="18"/>
          <w:b w:val="1"/>
          <w:bCs w:val="1"/>
          <w:i w:val="1"/>
          <w:iCs w:val="1"/>
          <w:color w:val="auto"/>
        </w:rPr>
        <w:t>CHANGE IN REGISTRANT’S CERTIFYING ACCOUNTANT</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16G. </w:t>
      </w:r>
      <w:r>
        <w:rPr>
          <w:rFonts w:ascii="Times New Roman" w:cs="Times New Roman" w:eastAsia="Times New Roman" w:hAnsi="Times New Roman"/>
          <w:sz w:val="18"/>
          <w:szCs w:val="18"/>
          <w:b w:val="1"/>
          <w:bCs w:val="1"/>
          <w:i w:val="1"/>
          <w:iCs w:val="1"/>
          <w:color w:val="auto"/>
        </w:rPr>
        <w:t>CORPORATE GOVERNANCE</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2018, and to our website at www.amdocs.com.</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16H. </w:t>
      </w:r>
      <w:r>
        <w:rPr>
          <w:rFonts w:ascii="Times New Roman" w:cs="Times New Roman" w:eastAsia="Times New Roman" w:hAnsi="Times New Roman"/>
          <w:sz w:val="18"/>
          <w:szCs w:val="18"/>
          <w:b w:val="1"/>
          <w:bCs w:val="1"/>
          <w:i w:val="1"/>
          <w:iCs w:val="1"/>
          <w:color w:val="auto"/>
        </w:rPr>
        <w:t>MINE SAFETY DISCLOSURE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18. </w:t>
      </w:r>
      <w:r>
        <w:rPr>
          <w:rFonts w:ascii="Times New Roman" w:cs="Times New Roman" w:eastAsia="Times New Roman" w:hAnsi="Times New Roman"/>
          <w:sz w:val="18"/>
          <w:szCs w:val="18"/>
          <w:b w:val="1"/>
          <w:bCs w:val="1"/>
          <w:i w:val="1"/>
          <w:iCs w:val="1"/>
          <w:color w:val="auto"/>
        </w:rPr>
        <w:t>FINANCIAL STATEMENTS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Schedule</w:t>
      </w:r>
    </w:p>
    <w:p>
      <w:pPr>
        <w:spacing w:after="0" w:line="121"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Financial Statement Schedule of Amdocs Limited, with respect to financial results for the fiscal years ended September 30, 2019, 2018 and 2019, are included at the end of this Annual Report: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Audited Financial Statements of Amdocs Limited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September 30, 2019 and 2018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Income for the fiscal years ended September 30, 2019, 2018 and 2017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2019, 2018 and 2017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Changes in Equity for the fiscal years ended September 30, 2019, 2018 and 2017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2019, 2018 and 2017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 Schedules of Amdocs Limited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other schedules have been omitted since they are either not required or not applicable, or the information has otherwise been included.</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19.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exhibits listed hereof are filed herewith in response to this Item.</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00"/>
          </w:cols>
          <w:pgMar w:left="240" w:top="401"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gridSpan w:val="20"/>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bottom w:val="single" w:sz="8" w:color="auto"/>
            </w:tcBorders>
            <w:gridSpan w:val="4"/>
            <w:vMerge w:val="continue"/>
          </w:tcPr>
          <w:p>
            <w:pPr>
              <w:spacing w:after="0"/>
              <w:rPr>
                <w:sz w:val="15"/>
                <w:szCs w:val="15"/>
                <w:color w:val="auto"/>
              </w:rPr>
            </w:pPr>
          </w:p>
        </w:tc>
        <w:tc>
          <w:tcPr>
            <w:tcW w:w="448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Pr>
          <w:p>
            <w:pPr>
              <w:spacing w:after="0"/>
              <w:rPr>
                <w:sz w:val="24"/>
                <w:szCs w:val="24"/>
                <w:color w:val="auto"/>
              </w:rPr>
            </w:pPr>
          </w:p>
        </w:tc>
        <w:tc>
          <w:tcPr>
            <w:tcW w:w="94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Memorandum of Incorporation of Amdocs Limited (incorporated by reference to Exhibit 99.1 to Amdocs’</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6-K filed January 26, 2009)</w:t>
              </w:r>
            </w:hyperlink>
          </w:p>
        </w:tc>
        <w:tc>
          <w:tcPr>
            <w:tcW w:w="73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24"/>
                <w:szCs w:val="24"/>
                <w:color w:val="auto"/>
              </w:rPr>
            </w:pPr>
          </w:p>
        </w:tc>
        <w:tc>
          <w:tcPr>
            <w:tcW w:w="94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Amended and Restated Articles of Incorporation of Amdocs Limited (incorporated by reference to Exhibit 1.2 to Amdocs’ Annual</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Report on Form 20-F, filed December 7, 2010)</w:t>
              </w:r>
            </w:hyperlink>
          </w:p>
        </w:tc>
        <w:tc>
          <w:tcPr>
            <w:tcW w:w="6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4"/>
                <w:szCs w:val="24"/>
                <w:color w:val="auto"/>
              </w:rPr>
            </w:pPr>
          </w:p>
        </w:tc>
        <w:tc>
          <w:tcPr>
            <w:tcW w:w="9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Description of rights of each applicable class of securities registered under Section 12 of the Securities Exchange Act of 1934</w:t>
              </w:r>
            </w:hyperlink>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4.a.1†</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Agreement between Amdocs, Inc. and AT&amp;T Services, Inc. for Software and Professional Services, effective February 28, 2017</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by reference to Exhibit 4.b.6 to Amdocs’ Annual Report on Form 20-F, filed December 11, 2017)</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4.a.2†</w:t>
            </w:r>
          </w:p>
        </w:tc>
        <w:tc>
          <w:tcPr>
            <w:tcW w:w="9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Supplemental Agreement dated September 30, 2018 to the Agreement for Software and Professional Services effective February 28,</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40" w:type="dxa"/>
            <w:vAlign w:val="bottom"/>
            <w:gridSpan w:val="2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2017 that is filed as Exhibit 4.a.1 hereto (incorporated by reference to Exhibit 4.a.2. to Amdocs’ Annual Report on Form 20-F, filed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December 10, 2018).</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4.a.3†*</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Amendment No. 1 to Agreement between Amdocs, Inc. and AT&amp;T Services, Inc. for Software and Professional Services, effective</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November 8, 2018</w:t>
              </w:r>
            </w:hyperlink>
          </w:p>
        </w:tc>
        <w:tc>
          <w:tcPr>
            <w:tcW w:w="8060" w:type="dxa"/>
            <w:vAlign w:val="bottom"/>
            <w:tcBorders>
              <w:top w:val="single" w:sz="8" w:color="0000EE"/>
            </w:tcBorders>
            <w:gridSpan w:val="21"/>
          </w:tcPr>
          <w:p>
            <w:pPr>
              <w:spacing w:after="0"/>
              <w:rPr>
                <w:sz w:val="17"/>
                <w:szCs w:val="17"/>
                <w:color w:val="auto"/>
              </w:rPr>
            </w:pP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4.a.4†*</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2 to Agreement between Amdocs, Inc. and AT&amp;T Services, Inc. for Software and Professional Services, effective</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December 27, 2018</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4.b</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Amdocs Limited 1998 Stock Option and Incentive Plan, as amended (incorporated by reference to Exhibit 99.1 to Amdocs’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9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Registration Statement on Form S-8, filed on February 12, 2018)</w:t>
              </w:r>
            </w:hyperlink>
          </w:p>
        </w:tc>
        <w:tc>
          <w:tcPr>
            <w:tcW w:w="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9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4.c</w:t>
            </w:r>
          </w:p>
        </w:tc>
        <w:tc>
          <w:tcPr>
            <w:tcW w:w="9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Amended and Restated Credit Agreement, dated as of December 11, 2017, among Amdocs Limited, certain of its subsidiaries, the</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40" w:type="dxa"/>
            <w:vAlign w:val="bottom"/>
            <w:gridSpan w:val="2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lenders from time to time party thereto, JPMorgan Chase Bank, N.A., as administrative agent, J.P. Morgan Europe Limited, as London</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agent, and JPMorgan Chase Bank, N.A., Toronto branch, as Canadian agent (incorporated by reference to Exhibit 4.d to Amdocs’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Annual Report on Form 20-F, filed on December 11, 2017)</w:t>
              </w:r>
            </w:hyperlink>
          </w:p>
        </w:tc>
        <w:tc>
          <w:tcPr>
            <w:tcW w:w="5080" w:type="dxa"/>
            <w:vAlign w:val="bottom"/>
            <w:tcBorders>
              <w:top w:val="single" w:sz="8" w:color="0000EE"/>
            </w:tcBorders>
            <w:gridSpan w:val="12"/>
          </w:tcPr>
          <w:p>
            <w:pPr>
              <w:spacing w:after="0"/>
              <w:rPr>
                <w:sz w:val="17"/>
                <w:szCs w:val="17"/>
                <w:color w:val="auto"/>
              </w:rPr>
            </w:pP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24"/>
                <w:szCs w:val="24"/>
                <w:color w:val="auto"/>
              </w:rPr>
            </w:pPr>
          </w:p>
        </w:tc>
        <w:tc>
          <w:tcPr>
            <w:tcW w:w="9740" w:type="dxa"/>
            <w:vAlign w:val="bottom"/>
            <w:gridSpan w:val="26"/>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Subsidiaries of Amdocs Limited</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560" w:type="dxa"/>
            <w:vAlign w:val="bottom"/>
            <w:tcBorders>
              <w:left w:val="single" w:sz="8" w:color="0000EE"/>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12.1*</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Certification of Chief Executive Officer pursuant to Rule 13a-14(a)/15d-14(a)</w:t>
              </w:r>
            </w:hyperlink>
          </w:p>
        </w:tc>
        <w:tc>
          <w:tcPr>
            <w:tcW w:w="0" w:type="dxa"/>
            <w:vAlign w:val="bottom"/>
          </w:tcPr>
          <w:p>
            <w:pPr>
              <w:spacing w:after="0"/>
              <w:rPr>
                <w:sz w:val="1"/>
                <w:szCs w:val="1"/>
                <w:color w:val="auto"/>
              </w:rPr>
            </w:pPr>
          </w:p>
        </w:tc>
      </w:tr>
      <w:tr>
        <w:trPr>
          <w:trHeight w:val="304"/>
        </w:trPr>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12.2*</w:t>
            </w:r>
          </w:p>
        </w:tc>
        <w:tc>
          <w:tcPr>
            <w:tcW w:w="55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Certification of Chief Financial Officer pursuant to Rule 13a-14(a)/15d-14(a)</w:t>
              </w:r>
            </w:hyperlink>
          </w:p>
        </w:tc>
        <w:tc>
          <w:tcPr>
            <w:tcW w:w="40" w:type="dxa"/>
            <w:vAlign w:val="bottom"/>
            <w:tcBorders>
              <w:top w:val="single" w:sz="8" w:color="0000EE"/>
            </w:tcBorders>
          </w:tcPr>
          <w:p>
            <w:pPr>
              <w:spacing w:after="0"/>
              <w:rPr>
                <w:sz w:val="24"/>
                <w:szCs w:val="24"/>
                <w:color w:val="auto"/>
              </w:rPr>
            </w:pPr>
          </w:p>
        </w:tc>
        <w:tc>
          <w:tcPr>
            <w:tcW w:w="4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13.1*</w:t>
            </w:r>
          </w:p>
        </w:tc>
        <w:tc>
          <w:tcPr>
            <w:tcW w:w="4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Certification of Chief Executive Officer pursuant to 18 U.S.C. 1350</w:t>
              </w:r>
            </w:hyperlink>
          </w:p>
        </w:tc>
        <w:tc>
          <w:tcPr>
            <w:tcW w:w="48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13.2*</w:t>
            </w:r>
          </w:p>
        </w:tc>
        <w:tc>
          <w:tcPr>
            <w:tcW w:w="9740" w:type="dxa"/>
            <w:vAlign w:val="bottom"/>
            <w:gridSpan w:val="2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Certification of Chief Financial Officer pursuant to 18 U.S.C. 1350</w:t>
              </w:r>
            </w:hyperlink>
          </w:p>
        </w:tc>
        <w:tc>
          <w:tcPr>
            <w:tcW w:w="0" w:type="dxa"/>
            <w:vAlign w:val="bottom"/>
          </w:tcPr>
          <w:p>
            <w:pPr>
              <w:spacing w:after="0"/>
              <w:rPr>
                <w:sz w:val="1"/>
                <w:szCs w:val="1"/>
                <w:color w:val="auto"/>
              </w:rPr>
            </w:pPr>
          </w:p>
        </w:tc>
      </w:tr>
      <w:tr>
        <w:trPr>
          <w:trHeight w:val="304"/>
        </w:trPr>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14.1*</w:t>
            </w:r>
          </w:p>
        </w:tc>
        <w:tc>
          <w:tcPr>
            <w:tcW w:w="48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Consent of Ernst &amp; Young LLP</w:t>
              </w:r>
            </w:hyperlink>
          </w:p>
        </w:tc>
        <w:tc>
          <w:tcPr>
            <w:tcW w:w="4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3"/>
              </w:rPr>
              <w:t>100.1</w:t>
            </w:r>
          </w:p>
        </w:tc>
        <w:tc>
          <w:tcPr>
            <w:tcW w:w="680" w:type="dxa"/>
            <w:vAlign w:val="bottom"/>
          </w:tcPr>
          <w:p>
            <w:pPr>
              <w:spacing w:after="0"/>
              <w:rPr>
                <w:sz w:val="24"/>
                <w:szCs w:val="24"/>
                <w:color w:val="auto"/>
              </w:rPr>
            </w:pPr>
          </w:p>
        </w:tc>
        <w:tc>
          <w:tcPr>
            <w:tcW w:w="9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Amdocs Limited’s Annual Report on Form 20-F for the year ended September 30, 2019,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Consolidated Balance Sheets as of September 30, 2019 and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w w:val="99"/>
              </w:rPr>
              <w:t>2018, (ii) Consolidated Statements of Income for the years ended September 30, 2019, 2018 and 2017, (iii) Consolidated Statements of</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Comprehensive Income for the years ended September 30, 2019, 2018 and 2017, (iv) Consolidated Statements of Changes in Equity</w:t>
            </w:r>
          </w:p>
        </w:tc>
        <w:tc>
          <w:tcPr>
            <w:tcW w:w="0" w:type="dxa"/>
            <w:vAlign w:val="bottom"/>
          </w:tcPr>
          <w:p>
            <w:pPr>
              <w:spacing w:after="0"/>
              <w:rPr>
                <w:sz w:val="1"/>
                <w:szCs w:val="1"/>
                <w:color w:val="auto"/>
              </w:rPr>
            </w:pPr>
          </w:p>
        </w:tc>
      </w:tr>
    </w:tbl>
    <w:p>
      <w:pPr>
        <w:ind w:left="1440" w:right="380"/>
        <w:spacing w:after="0" w:line="261" w:lineRule="auto"/>
        <w:rPr>
          <w:sz w:val="20"/>
          <w:szCs w:val="20"/>
          <w:color w:val="auto"/>
        </w:rPr>
      </w:pPr>
      <w:r>
        <w:rPr>
          <w:rFonts w:ascii="Times New Roman" w:cs="Times New Roman" w:eastAsia="Times New Roman" w:hAnsi="Times New Roman"/>
          <w:sz w:val="18"/>
          <w:szCs w:val="18"/>
          <w:color w:val="auto"/>
        </w:rPr>
        <w:t>for the fiscal years ended September 30, 2019, 2018 and 2017, (v) the Consolidated Statements of Cash Flows for the years ended September 30, 2019, 2018 and 2017, and (vi) Notes to Consolidated Financial Statements</w:t>
      </w:r>
    </w:p>
    <w:p>
      <w:pPr>
        <w:spacing w:after="0" w:line="72" w:lineRule="exact"/>
        <w:rPr>
          <w:sz w:val="20"/>
          <w:szCs w:val="20"/>
          <w:color w:val="auto"/>
        </w:rPr>
      </w:pPr>
    </w:p>
    <w:p>
      <w:pPr>
        <w:ind w:left="1440" w:hanging="1182"/>
        <w:spacing w:after="0"/>
        <w:tabs>
          <w:tab w:leader="none" w:pos="1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84" w:lineRule="exact"/>
        <w:rPr>
          <w:rFonts w:ascii="Times New Roman" w:cs="Times New Roman" w:eastAsia="Times New Roman" w:hAnsi="Times New Roman"/>
          <w:sz w:val="18"/>
          <w:szCs w:val="18"/>
          <w:color w:val="auto"/>
        </w:rPr>
      </w:pPr>
    </w:p>
    <w:p>
      <w:pPr>
        <w:ind w:left="420" w:right="200" w:hanging="216"/>
        <w:spacing w:after="0" w:line="261" w:lineRule="auto"/>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-299085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80"/>
          </w:cols>
          <w:pgMar w:left="240" w:top="401"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Amendment No. 1 to its Annual Report on Form 20-F for the fiscal year ended September 30, 2019 on its behalf.</w:t>
      </w:r>
    </w:p>
    <w:p>
      <w:pPr>
        <w:spacing w:after="0" w:line="16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5641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December 19, 2019</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460"/>
          </w:cols>
          <w:pgMar w:left="240" w:top="401" w:right="11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05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40" w:type="dxa"/>
            <w:vAlign w:val="bottom"/>
            <w:gridSpan w:val="11"/>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0180" w:type="dxa"/>
            <w:vAlign w:val="bottom"/>
            <w:gridSpan w:val="10"/>
          </w:tcPr>
          <w:p>
            <w:pPr>
              <w:spacing w:after="0" w:line="194"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Management’s Report on Internal Control Over Financial Reporting</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Reports of Independent Registered Public Accounting Firm</w:t>
              </w:r>
            </w:hyperlink>
          </w:p>
        </w:tc>
        <w:tc>
          <w:tcPr>
            <w:tcW w:w="600" w:type="dxa"/>
            <w:vAlign w:val="bottom"/>
            <w:tcBorders>
              <w:top w:val="single" w:sz="8" w:color="0000EE"/>
            </w:tcBorders>
            <w:gridSpan w:val="2"/>
          </w:tcPr>
          <w:p>
            <w:pPr>
              <w:spacing w:after="0"/>
              <w:rPr>
                <w:sz w:val="17"/>
                <w:szCs w:val="17"/>
                <w:color w:val="auto"/>
              </w:rPr>
            </w:pPr>
          </w:p>
        </w:tc>
        <w:tc>
          <w:tcPr>
            <w:tcW w:w="52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Balance Sheets as of September 30, 2019 and 2018</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Consolidated Statements of Income for the fiscal years ended September 30, 2019, 2018 and 2017</w:t>
              </w:r>
            </w:hyperlink>
          </w:p>
        </w:tc>
        <w:tc>
          <w:tcPr>
            <w:tcW w:w="31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Comprehensive Income for the fiscal years ended September 30, 2019, 2018 and 2017</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Changes in Equity for the fiscal years ended September 30, 2019, 2018 and 2017</w:t>
              </w:r>
            </w:hyperlink>
          </w:p>
        </w:tc>
        <w:tc>
          <w:tcPr>
            <w:tcW w:w="19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Consolidated Statements of Cash Flows for the fiscal years ended September 30, 2019, 2018 and 2017</w:t>
              </w:r>
            </w:hyperlink>
          </w:p>
        </w:tc>
        <w:tc>
          <w:tcPr>
            <w:tcW w:w="480" w:type="dxa"/>
            <w:vAlign w:val="bottom"/>
            <w:tcBorders>
              <w:top w:val="single" w:sz="8" w:color="0000EE"/>
            </w:tcBorders>
          </w:tcPr>
          <w:p>
            <w:pPr>
              <w:spacing w:after="0"/>
              <w:rPr>
                <w:sz w:val="17"/>
                <w:szCs w:val="17"/>
                <w:color w:val="auto"/>
              </w:rPr>
            </w:pPr>
          </w:p>
        </w:tc>
        <w:tc>
          <w:tcPr>
            <w:tcW w:w="23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Notes to the Consolidated Financial Statements</w:t>
              </w:r>
            </w:hyperlink>
          </w:p>
        </w:tc>
        <w:tc>
          <w:tcPr>
            <w:tcW w:w="67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218"/>
        </w:trPr>
        <w:tc>
          <w:tcPr>
            <w:tcW w:w="105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0180" w:type="dxa"/>
            <w:vAlign w:val="bottom"/>
            <w:gridSpan w:val="10"/>
          </w:tcPr>
          <w:p>
            <w:pPr>
              <w:spacing w:after="0" w:line="194"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Valuation and Qualifying Accounts</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F-47</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01"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7"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60" w:right="160" w:hanging="316"/>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1060" w:right="280" w:hanging="316"/>
        <w:spacing w:after="0" w:line="266"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8" w:lineRule="exact"/>
        <w:rPr>
          <w:rFonts w:ascii="Times New Roman" w:cs="Times New Roman" w:eastAsia="Times New Roman" w:hAnsi="Times New Roman"/>
          <w:sz w:val="18"/>
          <w:szCs w:val="18"/>
          <w:color w:val="auto"/>
        </w:rPr>
      </w:pPr>
    </w:p>
    <w:p>
      <w:pPr>
        <w:ind w:left="1060" w:right="360" w:hanging="316"/>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September 30, 2019. In making this assessment, the Company’s management used the criteria set forth by the Committee of Sponsoring Organizations of the Treadway Commission (2013 framework) in Internal Control-Integrated Framework.</w:t>
      </w:r>
    </w:p>
    <w:p>
      <w:pPr>
        <w:spacing w:after="0" w:line="176"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as of September 30, 2019, the Company’s internal control over financial reporting is effective based on those criteria.</w:t>
      </w:r>
    </w:p>
    <w:p>
      <w:pPr>
        <w:spacing w:after="0" w:line="162"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00"/>
          </w:cols>
          <w:pgMar w:left="240" w:top="401"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Amdocs Limited (the “Company”) as of September 30, 2019 and 2018, the related consolidated statements of income, comprehensive income, changes in equity and cash flows for each of the three years in the period ended September 30, 2019,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2019 and 2018, and the results of its operations and its cash flows for each of the three years in the period ended September 30, 2019, in conformity with U.S. generally accepted accounting principles.</w:t>
      </w:r>
    </w:p>
    <w:p>
      <w:pPr>
        <w:spacing w:after="0" w:line="188"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2019, based on criteria established in Internal Control-Integrated Framework issued by the Committee of Sponsoring Organizations of the Treadway Commission (2013 framework), and our report dated December 16, 2019 expressed an unqualified opinion thereon.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projects</w:t>
      </w:r>
    </w:p>
    <w:p>
      <w:pPr>
        <w:sectPr>
          <w:pgSz w:w="11900" w:h="16838" w:orient="portrait"/>
          <w:cols w:equalWidth="0" w:num="1">
            <w:col w:w="11180"/>
          </w:cols>
          <w:pgMar w:left="240" w:top="401" w:right="479" w:bottom="1440" w:gutter="0" w:footer="0" w:header="0"/>
        </w:sect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Description of</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Company’s software solutions usually require significant customization, modification, implementation and</w:t>
      </w:r>
    </w:p>
    <w:p>
      <w:pPr>
        <w:spacing w:after="0" w:line="162" w:lineRule="exact"/>
        <w:rPr>
          <w:sz w:val="20"/>
          <w:szCs w:val="20"/>
          <w:color w:val="auto"/>
        </w:rPr>
      </w:pPr>
    </w:p>
    <w:p>
      <w:pPr>
        <w:sectPr>
          <w:pgSz w:w="11900" w:h="16838" w:orient="portrait"/>
          <w:cols w:equalWidth="0" w:num="2">
            <w:col w:w="1460" w:space="720"/>
            <w:col w:w="9000"/>
          </w:cols>
          <w:pgMar w:left="240" w:top="401" w:right="47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80"/>
          </w:cols>
          <w:pgMar w:left="240" w:top="401" w:right="47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180" w:right="600"/>
        <w:spacing w:after="0" w:line="261" w:lineRule="auto"/>
        <w:rPr>
          <w:sz w:val="20"/>
          <w:szCs w:val="20"/>
          <w:color w:val="auto"/>
        </w:rPr>
      </w:pPr>
      <w:r>
        <w:rPr>
          <w:rFonts w:ascii="Times New Roman" w:cs="Times New Roman" w:eastAsia="Times New Roman" w:hAnsi="Times New Roman"/>
          <w:sz w:val="18"/>
          <w:szCs w:val="18"/>
          <w:color w:val="auto"/>
        </w:rPr>
        <w:t>integration. As a result, a significant portion of the Company’s project revenue is recognized over time, based on the percentage that incurred labor effort to date bears to total projected labor effort.</w:t>
      </w:r>
    </w:p>
    <w:p>
      <w:pPr>
        <w:spacing w:after="0" w:line="220" w:lineRule="exact"/>
        <w:rPr>
          <w:sz w:val="20"/>
          <w:szCs w:val="20"/>
          <w:color w:val="auto"/>
        </w:rPr>
      </w:pPr>
    </w:p>
    <w:p>
      <w:pPr>
        <w:ind w:left="2180"/>
        <w:spacing w:after="0" w:line="258" w:lineRule="auto"/>
        <w:rPr>
          <w:sz w:val="20"/>
          <w:szCs w:val="20"/>
          <w:color w:val="auto"/>
        </w:rPr>
      </w:pPr>
      <w:r>
        <w:rPr>
          <w:rFonts w:ascii="Times New Roman" w:cs="Times New Roman" w:eastAsia="Times New Roman" w:hAnsi="Times New Roman"/>
          <w:sz w:val="18"/>
          <w:szCs w:val="18"/>
          <w:color w:val="auto"/>
        </w:rPr>
        <w:t>Auditing the recognition of the Company’s project revenue was especially subjective and complex because of the significant estimation required by management to determine the total projected labor effort to complete a project. Determining the estimate of labor effort requires the knowledge of project-specific circumstances, including the specific terms and conditions of the contract, remaining performance obligations, changes to the project schedule, and complexity of the project. Changes in this estimate can have a material effect on when revenue is recognized.</w:t>
      </w:r>
    </w:p>
    <w:p>
      <w:pPr>
        <w:sectPr>
          <w:pgSz w:w="11900" w:h="16838" w:orient="portrait"/>
          <w:cols w:equalWidth="0" w:num="1">
            <w:col w:w="11180"/>
          </w:cols>
          <w:pgMar w:left="240" w:top="401" w:right="479" w:bottom="1440" w:gutter="0" w:footer="0" w:header="0"/>
        </w:sectPr>
      </w:pP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How We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projected</w:t>
      </w:r>
    </w:p>
    <w:p>
      <w:pPr>
        <w:spacing w:after="0" w:line="39" w:lineRule="exact"/>
        <w:rPr>
          <w:sz w:val="20"/>
          <w:szCs w:val="20"/>
          <w:color w:val="auto"/>
        </w:rPr>
      </w:pPr>
    </w:p>
    <w:p>
      <w:pPr>
        <w:sectPr>
          <w:pgSz w:w="11900" w:h="16838" w:orient="portrait"/>
          <w:cols w:equalWidth="0" w:num="2">
            <w:col w:w="1460" w:space="720"/>
            <w:col w:w="9000"/>
          </w:cols>
          <w:pgMar w:left="240" w:top="401" w:right="479" w:bottom="1440" w:gutter="0" w:footer="0" w:header="0"/>
          <w:type w:val="continuous"/>
        </w:sectPr>
      </w:pPr>
    </w:p>
    <w:p>
      <w:pPr>
        <w:ind w:left="200"/>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Addressed the Matter in</w:t>
      </w:r>
      <w:r>
        <w:rPr>
          <w:sz w:val="20"/>
          <w:szCs w:val="20"/>
          <w:color w:val="auto"/>
        </w:rPr>
        <w:tab/>
      </w:r>
      <w:r>
        <w:rPr>
          <w:rFonts w:ascii="Times New Roman" w:cs="Times New Roman" w:eastAsia="Times New Roman" w:hAnsi="Times New Roman"/>
          <w:sz w:val="17"/>
          <w:szCs w:val="17"/>
          <w:color w:val="auto"/>
        </w:rPr>
        <w:t>labor effort estimation process. For example, for a sample of projects, we tested controls over management’s review of the</w:t>
      </w:r>
    </w:p>
    <w:p>
      <w:pPr>
        <w:sectPr>
          <w:pgSz w:w="11900" w:h="16838" w:orient="portrait"/>
          <w:cols w:equalWidth="0" w:num="1">
            <w:col w:w="11180"/>
          </w:cols>
          <w:pgMar w:left="240" w:top="401" w:right="479" w:bottom="1440" w:gutter="0" w:footer="0" w:header="0"/>
          <w:type w:val="continuous"/>
        </w:sectPr>
      </w:pP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Our Audit</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Times New Roman" w:cs="Times New Roman" w:eastAsia="Times New Roman" w:hAnsi="Times New Roman"/>
          <w:sz w:val="18"/>
          <w:szCs w:val="18"/>
          <w:color w:val="auto"/>
        </w:rPr>
        <w:t>initial estimate of total projected labor effort to complete the project, as well as the ongoing evaluation of those estimates. Additionally, for a sample of completed projects, we tested the retrospective review controls performed by management to assess the reasonableness of the estimated labor effort throughout the life of the project.</w:t>
      </w:r>
    </w:p>
    <w:p>
      <w:pPr>
        <w:spacing w:after="0" w:line="200" w:lineRule="exact"/>
        <w:rPr>
          <w:sz w:val="20"/>
          <w:szCs w:val="20"/>
          <w:color w:val="auto"/>
        </w:rPr>
      </w:pPr>
    </w:p>
    <w:p>
      <w:pPr>
        <w:sectPr>
          <w:pgSz w:w="11900" w:h="16838" w:orient="portrait"/>
          <w:cols w:equalWidth="0" w:num="2">
            <w:col w:w="1460" w:space="720"/>
            <w:col w:w="9000"/>
          </w:cols>
          <w:pgMar w:left="240" w:top="401" w:right="479" w:bottom="1440" w:gutter="0" w:footer="0" w:header="0"/>
          <w:type w:val="continuous"/>
        </w:sectPr>
      </w:pPr>
    </w:p>
    <w:p>
      <w:pPr>
        <w:spacing w:after="0" w:line="27" w:lineRule="exact"/>
        <w:rPr>
          <w:sz w:val="20"/>
          <w:szCs w:val="20"/>
          <w:color w:val="auto"/>
        </w:rPr>
      </w:pPr>
    </w:p>
    <w:p>
      <w:pPr>
        <w:ind w:left="2180" w:right="12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evaluating the significant assumptions and the accuracy and completeness of the underlying data used in management’s estimate. For example, for a sample of contracts, we tested management’s estimate of total projected labor effort through a combination of analytical procedures, such as comparison of the estimated labor effort period over period and inspection of contracts to understand the specific terms and conditions as well as the remaining obligations in the contract. For selected contracts, we also met with various executives throughout the organization, including project managers, to obtain an understanding of project status and other factors considered in developing the estimate of remaining labor effort including project challenges, completed milestones, customer change orders and delays. In addition, we performed a retrospective review of actual labor effort incurred compared to previously estimated projected labor effort to evaluate the Company’s historical ability to accurately estimate expected labor effort.</w:t>
      </w:r>
    </w:p>
    <w:p>
      <w:pPr>
        <w:spacing w:after="0" w:line="18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ectPr>
          <w:pgSz w:w="11900" w:h="16838" w:orient="portrait"/>
          <w:cols w:equalWidth="0" w:num="1">
            <w:col w:w="11180"/>
          </w:cols>
          <w:pgMar w:left="240" w:top="401" w:right="479" w:bottom="1440" w:gutter="0" w:footer="0" w:header="0"/>
          <w:type w:val="continuous"/>
        </w:sect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Description of</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discussed in Notes 2 and 11 to the consolidated financial statements, the Company operates in a multinational tax environment and is subject to tax treaty arrangements and transfer pricing guidelines for intercompany transactions. The Company uses significant judgment to (1) determine whether, based on the technical merits, a tax position is more likely than not to be sustained and (2) measure the amount of tax benefit that qualifies for recognition. As of September 30, 2019, the total amount of unrecognized tax benefits for uncertain tax positions was $169.3 million.</w:t>
      </w:r>
    </w:p>
    <w:p>
      <w:pPr>
        <w:spacing w:after="0" w:line="200" w:lineRule="exact"/>
        <w:rPr>
          <w:sz w:val="20"/>
          <w:szCs w:val="20"/>
          <w:color w:val="auto"/>
        </w:rPr>
      </w:pPr>
    </w:p>
    <w:p>
      <w:pPr>
        <w:sectPr>
          <w:pgSz w:w="11900" w:h="16838" w:orient="portrait"/>
          <w:cols w:equalWidth="0" w:num="2">
            <w:col w:w="1460" w:space="720"/>
            <w:col w:w="9000"/>
          </w:cols>
          <w:pgMar w:left="240" w:top="401" w:right="479" w:bottom="1440" w:gutter="0" w:footer="0" w:header="0"/>
          <w:type w:val="continuous"/>
        </w:sectPr>
      </w:pPr>
    </w:p>
    <w:p>
      <w:pPr>
        <w:spacing w:after="0" w:line="24" w:lineRule="exact"/>
        <w:rPr>
          <w:sz w:val="20"/>
          <w:szCs w:val="20"/>
          <w:color w:val="auto"/>
        </w:rPr>
      </w:pPr>
    </w:p>
    <w:p>
      <w:pPr>
        <w:ind w:left="2180" w:right="40"/>
        <w:spacing w:after="0" w:line="256" w:lineRule="auto"/>
        <w:rPr>
          <w:sz w:val="20"/>
          <w:szCs w:val="20"/>
          <w:color w:val="auto"/>
        </w:rPr>
      </w:pPr>
      <w:r>
        <w:rPr>
          <w:rFonts w:ascii="Times New Roman" w:cs="Times New Roman" w:eastAsia="Times New Roman" w:hAnsi="Times New Roman"/>
          <w:sz w:val="18"/>
          <w:szCs w:val="18"/>
          <w:color w:val="auto"/>
        </w:rPr>
        <w:t>Auditing management’s analysis of the Company’s uncertain tax positions was especially subjective and complex due to the significant judgments made by management to determine the provisions for tax uncertainties. These provisions are based on interpretations of complex tax laws and legal rulings across various jurisdictions in which the Company operates and determination of arm’s length pricing for certain intercompany transactions. The assumptions underlying the provisions for uncertain tax positions include the potential tax exposure resulting from management’s interpretations and the determination of the cumulative probability that the uncertain tax position will be upheld upon regulatory examination.</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80"/>
          </w:cols>
          <w:pgMar w:left="240" w:top="401" w:right="47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420" w:type="dxa"/>
            <w:vAlign w:val="bottom"/>
          </w:tcPr>
          <w:p>
            <w:pPr>
              <w:spacing w:after="0"/>
              <w:rPr>
                <w:sz w:val="17"/>
                <w:szCs w:val="17"/>
                <w:color w:val="auto"/>
              </w:rPr>
            </w:pPr>
          </w:p>
        </w:tc>
        <w:tc>
          <w:tcPr>
            <w:tcW w:w="9220" w:type="dxa"/>
            <w:vAlign w:val="bottom"/>
          </w:tcPr>
          <w:p>
            <w:pPr>
              <w:spacing w:after="0"/>
              <w:rPr>
                <w:sz w:val="17"/>
                <w:szCs w:val="17"/>
                <w:color w:val="auto"/>
              </w:rPr>
            </w:pPr>
          </w:p>
        </w:tc>
      </w:tr>
      <w:tr>
        <w:trPr>
          <w:trHeight w:val="432"/>
        </w:trPr>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 of controls over the Company’s</w:t>
            </w:r>
          </w:p>
        </w:tc>
      </w:tr>
      <w:tr>
        <w:trPr>
          <w:trHeight w:val="216"/>
        </w:trPr>
        <w:tc>
          <w:tcPr>
            <w:tcW w:w="1100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Addressed the Matter in   </w:t>
            </w:r>
            <w:r>
              <w:rPr>
                <w:rFonts w:ascii="Times New Roman" w:cs="Times New Roman" w:eastAsia="Times New Roman" w:hAnsi="Times New Roman"/>
                <w:sz w:val="18"/>
                <w:szCs w:val="18"/>
                <w:color w:val="auto"/>
              </w:rPr>
              <w:t>process to assess and review their uncertain tax positions. For example, we tested the controls over the review of</w:t>
            </w:r>
          </w:p>
        </w:tc>
      </w:tr>
      <w:tr>
        <w:trPr>
          <w:trHeight w:val="218"/>
        </w:trPr>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Our Audit</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assumptions used in the estimation calculation such as the Company’s review over existing and potential tax controversies</w:t>
            </w:r>
          </w:p>
        </w:tc>
      </w:tr>
      <w:tr>
        <w:trPr>
          <w:trHeight w:val="234"/>
        </w:trPr>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tax audit results, and the computation of the impact to uncertain tax positions and tax reserves.</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ind w:left="2180"/>
        <w:spacing w:after="0" w:line="254" w:lineRule="auto"/>
        <w:rPr>
          <w:sz w:val="20"/>
          <w:szCs w:val="20"/>
          <w:color w:val="auto"/>
        </w:rPr>
      </w:pPr>
      <w:r>
        <w:rPr>
          <w:rFonts w:ascii="Times New Roman" w:cs="Times New Roman" w:eastAsia="Times New Roman" w:hAnsi="Times New Roman"/>
          <w:sz w:val="18"/>
          <w:szCs w:val="18"/>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the income tax opinions. Our audit procedures also included, among others, evaluating the assumptions the Company used to develop its uncertain tax positions and related unrecognized income tax benefit amounts by jurisdiction and testing the completeness and accuracy of the underlying data used by the Company to calculate its uncertain tax positions. For certain tax positions related to intercompany transactions, we assessed the assumptions and pricing method used in setting arm’s length prices and the documentation to support the pricing. We also evaluated the adequacy of the Company’s financial statement disclosures related to these tax matters.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1988.</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16, 2019</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240" w:top="392" w:right="5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have audited Amdocs Limited’s internal control over financial reporting as of September 30, 2019, based on criteria established in Internal Control —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2019, based on the COSO criteria.</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2019 and 2018, the related consolidated statements of income, comprehensive income, changes in equity and cash flows for each of the three years in the period ended September 30, 2019, and the related notes and the financial statement schedule listed in the Index at Item 18 of Part III and our report dated December 16, 2019 expressed an unqualified opinion thereon.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60"/>
          </w:cols>
          <w:pgMar w:left="240" w:top="401" w:right="4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16, 2019</w:t>
      </w:r>
    </w:p>
    <w:p>
      <w:pPr>
        <w:spacing w:after="0" w:line="20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00"/>
          </w:cols>
          <w:pgMar w:left="240" w:top="401" w:right="7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ind w:left="51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471,632</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216,084</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229,999</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2,444,895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420,369</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5,292,826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5,347,815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3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176,508</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647,657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personnel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118,182</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1,207,930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207,508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1,750,360</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1,855,773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 issued and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4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277,148 and 275,896 issued and 134,773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140,177 outstanding, in 2019 and 2018,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3,587,625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at cost — 142,375 and 135,719 ordinary shares in 2019 and 2018,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(5,182,409)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(4,784,352)</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(32,731)</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5,012,799</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4,673,901</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3,542,466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3,492,042</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5,292,826</w:t>
            </w:r>
          </w:p>
        </w:tc>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5,347,815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240" w:top="401" w:right="4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4,086,669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3,974,837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3,867,155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2,653,172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2,595,276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2,507,656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273,936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3,516,923</w:t>
            </w: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3,546,530</w:t>
            </w:r>
          </w:p>
        </w:tc>
        <w:tc>
          <w:tcPr>
            <w:tcW w:w="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3,349,822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88,441</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479,446</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7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3.47</w:t>
            </w: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240" w:top="401" w:right="41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78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$479,446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$ 436,826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30,553</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actuarial (loss) gain on defined benefit plan(3)</w:t>
            </w:r>
          </w:p>
        </w:tc>
        <w:tc>
          <w:tcPr>
            <w:tcW w:w="2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509,630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302,875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$ 449,521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9" w:lineRule="exact"/>
        <w:rPr>
          <w:sz w:val="20"/>
          <w:szCs w:val="20"/>
          <w:color w:val="auto"/>
        </w:rPr>
      </w:pPr>
    </w:p>
    <w:p>
      <w:pPr>
        <w:ind w:left="640" w:hanging="43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benefit of $(2,458), $4,482 and $651 for the fiscal years ended September 30, 2019, 2018 and 2017, respectively.</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benefit (expense) of $0, $9 and $(4) for the fiscal years ended September 30, 2019, 2018 and 2017, respectively.</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benefit (expense) of $1,080, $(254) and $(697) for the fiscal years ended September 30, 2019, 2018 and 2017, respectively.</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240" w:top="401" w:right="4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Amdocs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60" w:type="dxa"/>
            <w:vAlign w:val="bottom"/>
            <w:gridSpan w:val="5"/>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Limited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160" w:type="dxa"/>
            <w:vAlign w:val="bottom"/>
            <w:tcBorders>
              <w:bottom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7"/>
                <w:szCs w:val="7"/>
                <w:color w:val="auto"/>
              </w:rPr>
            </w:pPr>
          </w:p>
        </w:tc>
        <w:tc>
          <w:tcPr>
            <w:tcW w:w="780" w:type="dxa"/>
            <w:vAlign w:val="bottom"/>
            <w:gridSpan w:val="2"/>
            <w:vMerge w:val="restart"/>
          </w:tcPr>
          <w:p>
            <w:pPr>
              <w:jc w:val="right"/>
              <w:ind w:right="161"/>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7"/>
                <w:szCs w:val="7"/>
                <w:color w:val="auto"/>
              </w:rPr>
            </w:pPr>
          </w:p>
        </w:tc>
        <w:tc>
          <w:tcPr>
            <w:tcW w:w="720" w:type="dxa"/>
            <w:vAlign w:val="bottom"/>
            <w:gridSpan w:val="2"/>
            <w:vMerge w:val="restart"/>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40" w:type="dxa"/>
            <w:vAlign w:val="bottom"/>
            <w:gridSpan w:val="4"/>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 w:type="dxa"/>
            <w:vAlign w:val="bottom"/>
          </w:tcPr>
          <w:p>
            <w:pPr>
              <w:spacing w:after="0"/>
              <w:rPr>
                <w:sz w:val="7"/>
                <w:szCs w:val="7"/>
                <w:color w:val="auto"/>
              </w:rPr>
            </w:pPr>
          </w:p>
        </w:tc>
        <w:tc>
          <w:tcPr>
            <w:tcW w:w="72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80" w:type="dxa"/>
            <w:vAlign w:val="bottom"/>
          </w:tcPr>
          <w:p>
            <w:pPr>
              <w:spacing w:after="0"/>
              <w:rPr>
                <w:sz w:val="7"/>
                <w:szCs w:val="7"/>
                <w:color w:val="auto"/>
              </w:rPr>
            </w:pPr>
          </w:p>
        </w:tc>
        <w:tc>
          <w:tcPr>
            <w:tcW w:w="700" w:type="dxa"/>
            <w:vAlign w:val="bottom"/>
            <w:gridSpan w:val="2"/>
            <w:vMerge w:val="restart"/>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780" w:type="dxa"/>
            <w:vAlign w:val="bottom"/>
            <w:gridSpan w:val="2"/>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Income(1)</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interests(2)</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2016</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147,134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4,377</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$3,322,789</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$(4,024,527)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$4,144,827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3,453,561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$3,453,561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449,521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449,521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 options exercised</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87,948</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shares</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(340,597)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(340,597)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equity-based awards</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($0.855 per ordinary share)</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(124,546)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(124,546)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 related to employees</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44,539</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2017</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4,410</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$3,458,887</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$(4,365,124)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$4,457,107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3,574,070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$3,574,070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income(2)</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(51,521)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(51,521)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302,875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302,875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stock options exercised</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81,262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shares</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(419,228)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(419,228)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($0.970 per ordinary share)</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(137,602)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(137,602)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323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 related to employees</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47,476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43,163</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2018</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140,177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4,436</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$3,587,625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$(4,784,352)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(32,731)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$4,673,901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3,448,879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43,163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$3,492,042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adjustment(3)</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income(2)</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479,446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479,446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479,446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509,630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509,630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stock options exercised</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874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shares</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(398,057)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(398,057)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($1.105 per ordinary share)</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(150,982)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(150,982)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 related to employees</w:t>
            </w:r>
          </w:p>
        </w:tc>
        <w:tc>
          <w:tcPr>
            <w:tcW w:w="5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5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2019</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134,773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3,667,662</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94"/>
              </w:rPr>
              <w:t>$</w:t>
            </w:r>
            <w:r>
              <w:rPr>
                <w:rFonts w:ascii="Times New Roman" w:cs="Times New Roman" w:eastAsia="Times New Roman" w:hAnsi="Times New Roman"/>
                <w:sz w:val="14"/>
                <w:szCs w:val="14"/>
                <w:color w:val="auto"/>
                <w:w w:val="94"/>
              </w:rPr>
              <w:t>(5,182,409</w:t>
            </w:r>
          </w:p>
        </w:tc>
        <w:tc>
          <w:tcPr>
            <w:tcW w:w="12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5,012,799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3,499,957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42,509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3,542,466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520" w:right="180" w:hanging="316"/>
        <w:spacing w:after="0" w:line="229"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2019, 2018 and 2017, accumulated other comprehensive (loss) income is comprised of unrealized gain (loss) on derivatives, net of tax, of $3,945, $(26,608) and $24,508 , unrealized loss on short-term interest-bearing investments, net of tax, of $0, $(1,592) and $(410) and unrealized loss on defined benefit plan, net of tax, of $(6,492), $(4,531) and $(5,308).</w:t>
      </w:r>
    </w:p>
    <w:p>
      <w:pPr>
        <w:ind w:left="520" w:hanging="316"/>
        <w:spacing w:after="0" w:line="221"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years 2019 and 2018, all of the Company’s net income is attributable to Amdocs Limited as the net income attributable to the Non-controlling interests is negligible.</w:t>
      </w:r>
    </w:p>
    <w:p>
      <w:pPr>
        <w:ind w:left="520" w:right="520" w:hanging="316"/>
        <w:spacing w:after="0" w:line="239"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240" w:top="401" w:right="4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9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479,446</w:t>
            </w:r>
          </w:p>
        </w:tc>
        <w:tc>
          <w:tcPr>
            <w:tcW w:w="160" w:type="dxa"/>
            <w:vAlign w:val="bottom"/>
          </w:tcPr>
          <w:p>
            <w:pPr>
              <w:spacing w:after="0"/>
              <w:rPr>
                <w:sz w:val="14"/>
                <w:szCs w:val="14"/>
                <w:color w:val="auto"/>
              </w:rPr>
            </w:pP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354,396</w:t>
            </w:r>
          </w:p>
        </w:tc>
        <w:tc>
          <w:tcPr>
            <w:tcW w:w="180" w:type="dxa"/>
            <w:vAlign w:val="bottom"/>
          </w:tcPr>
          <w:p>
            <w:pPr>
              <w:spacing w:after="0"/>
              <w:rPr>
                <w:sz w:val="14"/>
                <w:szCs w:val="14"/>
                <w:color w:val="auto"/>
              </w:rPr>
            </w:pP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436,826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net income to net cash provided by operating activities: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205,772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211,224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38,550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47,476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44,539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(13,950)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Excess tax benefit from equity-based compensation</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Loss from short-term interest-bearing investments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changes in operating assets and liabilities, net of amounts acquired:</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6,589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(66,451)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25,907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(18,736)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11,002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noncurrent assets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(52,667)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accrued personnel</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(60,042)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25,348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72,049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(37,855)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(50,230)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Income taxes payable, net</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6,025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(31,036)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noncurrent liabilities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(8,718)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656,377</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557,249</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636,112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property and equipment, net(1)</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(128,086)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(231,146)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(133,392)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short-term interest-bearing investments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101,287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303,090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278,066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short-term interest-bearing investments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(76,037)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(281,983)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cash paid for acquisitions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(60,572)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(355,142)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(29,940)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8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(86,756)</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(362,392)</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(185,313)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Borrowings under financing arrangements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Payments under financing arrangements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Repurchase of shares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(398,057)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(419,228)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(340,597)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employee stock option exercises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41,483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81,280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87,586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of dividends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(147,616)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(134,292)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(121,503)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Investment by noncontrolling interests, net(1)</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(4,776)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47,013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 of contingent consideration from a business acquisition</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(7,470)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Excess tax benefit from equity-based compensation and other</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(458)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8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(516,772)</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(425,685)</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(569,848)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52,849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(230,828)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(119,049)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418,783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649,611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768,660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year</w:t>
            </w:r>
          </w:p>
        </w:tc>
        <w:tc>
          <w:tcPr>
            <w:tcW w:w="18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471,632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418,783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649,611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 and Income Taxes Paid</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paid for:</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Income taxes, net of refunds</w:t>
            </w:r>
          </w:p>
        </w:tc>
        <w:tc>
          <w:tcPr>
            <w:tcW w:w="19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75,790</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55,938</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67,544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Interest(2)</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520" w:hanging="316"/>
        <w:spacing w:after="0"/>
        <w:tabs>
          <w:tab w:leader="none" w:pos="5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under “Purchase of property and equipment, net”, include proceeds of $9,676 relating to refund of betterment levy for the year ended September 30, 2019</w:t>
      </w:r>
    </w:p>
    <w:p>
      <w:pPr>
        <w:spacing w:after="0" w:line="5" w:lineRule="exact"/>
        <w:rPr>
          <w:rFonts w:ascii="Times New Roman" w:cs="Times New Roman" w:eastAsia="Times New Roman" w:hAnsi="Times New Roman"/>
          <w:sz w:val="15"/>
          <w:szCs w:val="15"/>
          <w:color w:val="auto"/>
        </w:rPr>
      </w:pPr>
    </w:p>
    <w:p>
      <w:pPr>
        <w:ind w:left="520" w:right="220"/>
        <w:spacing w:after="0" w:line="22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($4,776 of which was a refund to the noncontrolling interest), proceeds from sale of property and equipment of $151, $459 and $57 for the year ended September 30, 2019, 2018 and 2017, respectively.</w:t>
      </w:r>
    </w:p>
    <w:p>
      <w:pPr>
        <w:ind w:left="520" w:hanging="316"/>
        <w:spacing w:after="0"/>
        <w:tabs>
          <w:tab w:leader="none" w:pos="5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under “Interest”, include payments of interest to financial institution, tax authorities and other.</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240" w:top="401" w:right="4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 — Nature of Entity</w:t>
      </w:r>
    </w:p>
    <w:p>
      <w:pPr>
        <w:spacing w:after="0" w:line="121"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Company is a Guernsey corporation,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200" w:right="800" w:firstLine="44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or GAAP and are denominated in U.S. Dollars.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62"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years 2019 and 2018 the new entity had negligible earnings or losses and, therefore, an immaterial effect on consolidated financial statements of Amdocs Limited.</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00"/>
          </w:cols>
          <w:pgMar w:left="240" w:top="401"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12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interest-bearing investments with insignificant interest rate risk and maturities from acquisition date of 90 days or less.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short-term interest-bearing investments as available-for-sale securities. Such short-term interest-bearing investments, if applicable, generally consist primarily of bank deposits, corporate bonds, money market funds, U.S. government treasuries, and U.S. agency securities, which are stated at market value. Unrealized gains and losses are comprised of the difference between market value and amortized costs of such securities and are reflected, net of tax, as “accumulated other comprehensive (loss) income” in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76" w:lineRule="exact"/>
        <w:rPr>
          <w:sz w:val="20"/>
          <w:szCs w:val="20"/>
          <w:color w:val="auto"/>
        </w:rPr>
      </w:pPr>
    </w:p>
    <w:p>
      <w:pPr>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240" w:top="401"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Company capitalizes the expenditures related to the new campus in Israel, which are classified as building and land. Amortization will begin when the new campus is ready for use and will be amortized on the straight-line basis over the estimated useful life.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89"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62"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76"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Comprehensive income, net of related taxes where applicable, includes, in addition to net income:</w:t>
      </w:r>
    </w:p>
    <w:p>
      <w:pPr>
        <w:spacing w:after="0" w:line="117" w:lineRule="exact"/>
        <w:rPr>
          <w:sz w:val="20"/>
          <w:szCs w:val="20"/>
          <w:color w:val="auto"/>
        </w:rPr>
      </w:pPr>
    </w:p>
    <w:p>
      <w:pPr>
        <w:ind w:left="1300" w:hanging="21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available-for-sale securities;</w:t>
      </w:r>
    </w:p>
    <w:p>
      <w:pPr>
        <w:spacing w:after="0" w:line="117" w:lineRule="exact"/>
        <w:rPr>
          <w:rFonts w:ascii="Times New Roman" w:cs="Times New Roman" w:eastAsia="Times New Roman" w:hAnsi="Times New Roman"/>
          <w:sz w:val="18"/>
          <w:szCs w:val="18"/>
          <w:color w:val="auto"/>
        </w:rPr>
      </w:pPr>
    </w:p>
    <w:p>
      <w:pPr>
        <w:ind w:left="1360" w:hanging="275"/>
        <w:spacing w:after="0"/>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cash flow hedges; and</w:t>
      </w:r>
    </w:p>
    <w:p>
      <w:pPr>
        <w:spacing w:after="0" w:line="117" w:lineRule="exact"/>
        <w:rPr>
          <w:rFonts w:ascii="Times New Roman" w:cs="Times New Roman" w:eastAsia="Times New Roman" w:hAnsi="Times New Roman"/>
          <w:sz w:val="18"/>
          <w:szCs w:val="18"/>
          <w:color w:val="auto"/>
        </w:rPr>
      </w:pPr>
    </w:p>
    <w:p>
      <w:pPr>
        <w:ind w:left="1400" w:hanging="315"/>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actuarial gains and losses on defined benefit plans.</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60"/>
          </w:cols>
          <w:pgMar w:left="240" w:top="401" w:right="4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Any earn-out which is not considered a contingent consideration is recognized as compensation expense over expected service period.</w:t>
      </w:r>
    </w:p>
    <w:p>
      <w:pPr>
        <w:spacing w:after="0" w:line="18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88"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93"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00"/>
          </w:cols>
          <w:pgMar w:left="240" w:top="401"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 See Note 11 to the consolidated financial statements.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6"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primary revenue categories, related performance obligations, and associated recognition patterns are as follows:</w:t>
      </w:r>
    </w:p>
    <w:p>
      <w:pPr>
        <w:spacing w:after="0" w:line="115"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projects </w:t>
      </w:r>
      <w:r>
        <w:rPr>
          <w:rFonts w:ascii="Times New Roman" w:cs="Times New Roman" w:eastAsia="Times New Roman" w:hAnsi="Times New Roman"/>
          <w:sz w:val="18"/>
          <w:szCs w:val="18"/>
          <w:color w:val="auto"/>
        </w:rPr>
        <w:t>— The Company usually sells its software licenses as part of an overall solution offered to a customer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87"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6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subsequent license fee </w:t>
      </w:r>
      <w:r>
        <w:rPr>
          <w:rFonts w:ascii="Times New Roman" w:cs="Times New Roman" w:eastAsia="Times New Roman" w:hAnsi="Times New Roman"/>
          <w:sz w:val="18"/>
          <w:szCs w:val="18"/>
          <w:color w:val="auto"/>
        </w:rPr>
        <w:t>— Subsequent license fee revenue is recognized when the customer has access to the license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0" w:lineRule="exact"/>
        <w:rPr>
          <w:sz w:val="20"/>
          <w:szCs w:val="20"/>
          <w:color w:val="auto"/>
        </w:rPr>
      </w:pPr>
    </w:p>
    <w:p>
      <w:pPr>
        <w:ind w:left="200" w:right="6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term-based license and perpetual license </w:t>
      </w:r>
      <w:r>
        <w:rPr>
          <w:rFonts w:ascii="Times New Roman" w:cs="Times New Roman" w:eastAsia="Times New Roman" w:hAnsi="Times New Roman"/>
          <w:sz w:val="18"/>
          <w:szCs w:val="18"/>
          <w:color w:val="auto"/>
        </w:rPr>
        <w:t>— Revenue related to software solutions that do not require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customization, implementation and modification are recognized upon delivery.</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00"/>
          </w:cols>
          <w:pgMar w:left="240" w:top="401"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for maintenance </w:t>
      </w:r>
      <w:r>
        <w:rPr>
          <w:rFonts w:ascii="Times New Roman" w:cs="Times New Roman" w:eastAsia="Times New Roman" w:hAnsi="Times New Roman"/>
          <w:sz w:val="18"/>
          <w:szCs w:val="18"/>
          <w:color w:val="auto"/>
        </w:rPr>
        <w:t>— Maintenance revenue is recognized ratably over the term of the maintenance agreement.</w:t>
      </w:r>
    </w:p>
    <w:p>
      <w:pPr>
        <w:spacing w:after="0" w:line="225" w:lineRule="exact"/>
        <w:rPr>
          <w:sz w:val="20"/>
          <w:szCs w:val="20"/>
          <w:color w:val="auto"/>
        </w:rPr>
      </w:pPr>
    </w:p>
    <w:p>
      <w:pPr>
        <w:ind w:left="200" w:right="2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ongoing services — </w:t>
      </w:r>
      <w:r>
        <w:rPr>
          <w:rFonts w:ascii="Times New Roman" w:cs="Times New Roman" w:eastAsia="Times New Roman" w:hAnsi="Times New Roman"/>
          <w:sz w:val="18"/>
          <w:szCs w:val="18"/>
          <w:color w:val="auto"/>
        </w:rPr>
        <w:t>Revenue from ongoing support services is recognized as work is performed, revenue from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74" w:lineRule="exact"/>
        <w:rPr>
          <w:sz w:val="20"/>
          <w:szCs w:val="20"/>
          <w:color w:val="auto"/>
        </w:rPr>
      </w:pPr>
    </w:p>
    <w:p>
      <w:pPr>
        <w:ind w:left="200" w:right="2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managed services arrangement </w:t>
      </w:r>
      <w:r>
        <w:rPr>
          <w:rFonts w:ascii="Times New Roman" w:cs="Times New Roman" w:eastAsia="Times New Roman" w:hAnsi="Times New Roman"/>
          <w:sz w:val="18"/>
          <w:szCs w:val="18"/>
          <w:color w:val="auto"/>
        </w:rPr>
        <w:t>— Managed services arrangements include management of data center operations and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76" w:lineRule="exact"/>
        <w:rPr>
          <w:sz w:val="20"/>
          <w:szCs w:val="20"/>
          <w:color w:val="auto"/>
        </w:rPr>
      </w:pPr>
    </w:p>
    <w:p>
      <w:pPr>
        <w:jc w:val="both"/>
        <w:ind w:left="200" w:right="480" w:firstLine="441"/>
        <w:spacing w:after="0" w:line="266" w:lineRule="auto"/>
        <w:rPr>
          <w:sz w:val="20"/>
          <w:szCs w:val="20"/>
          <w:color w:val="auto"/>
        </w:rPr>
      </w:pPr>
      <w:r>
        <w:rPr>
          <w:rFonts w:ascii="Times New Roman" w:cs="Times New Roman" w:eastAsia="Times New Roman" w:hAnsi="Times New Roman"/>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76"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Revenue from the management of a customer’s operations pursuant to managed services arrangements, is recognized over time as services are preformed, using one method of measuring performance such as time elapsed, output produced, volume of data processed or subscriber count that provides the most faithful depiction of the transfer of services, pursuant to the specific contract terms of the managed services arrangement. Typically, managed services arrangements are long term in duration and are not subject to significant seasonality.</w:t>
      </w:r>
    </w:p>
    <w:p>
      <w:pPr>
        <w:spacing w:after="0" w:line="178"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third-party hardware and software </w:t>
      </w:r>
      <w:r>
        <w:rPr>
          <w:rFonts w:ascii="Times New Roman" w:cs="Times New Roman" w:eastAsia="Times New Roman" w:hAnsi="Times New Roman"/>
          <w:sz w:val="18"/>
          <w:szCs w:val="18"/>
          <w:color w:val="auto"/>
        </w:rPr>
        <w:t>— Third-party hardware sales are recognized upon delivery or installation,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third-party software sales is recognized upon delivery. Maintenance revenue is recognized ratably over the term of the maintenance agreement Revenue from third-party hardware and software sales is recorded at gross amount for transactions in which the Company control the third-party hardware and software prior to fulfilling the performance obligation . In specific circumstances where the Company do not meet the above criteria, revenue is recognized on a net basis. In certain arrangements, the Company may earn revenue from other third-party services which is recorded at a gross amount as it controls the services before transferring them to the customer.</w:t>
      </w:r>
    </w:p>
    <w:p>
      <w:pPr>
        <w:spacing w:after="0" w:line="183"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 Many of the Company’s agreements include multiple performance obligations.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88"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Billing terms and conditions generally vary by contract category. Amounts are typically billed as work progresses in accordance with agreed-upon contractual terms, either at periodic intervals (e.g., monthly or</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00"/>
          </w:cols>
          <w:pgMar w:left="240" w:top="401"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jc w:val="both"/>
        <w:ind w:left="200" w:right="620"/>
        <w:spacing w:after="0" w:line="266" w:lineRule="auto"/>
        <w:rPr>
          <w:sz w:val="20"/>
          <w:szCs w:val="20"/>
          <w:color w:val="auto"/>
        </w:rPr>
      </w:pPr>
      <w:r>
        <w:rPr>
          <w:rFonts w:ascii="Times New Roman" w:cs="Times New Roman" w:eastAsia="Times New Roman" w:hAnsi="Times New Roman"/>
          <w:sz w:val="18"/>
          <w:szCs w:val="18"/>
          <w:color w:val="auto"/>
        </w:rPr>
        <w:t>quarterly) or upon achievement of contractual milestones. In cases where timing of revenue recognition significantly differs from the timing of invoicing, the Company is considering whether a significant financing component exists. The Company elected to use the practical expedient in assessing the financing component in contracts where the time between cash collection and performance is less than one year.</w:t>
      </w:r>
    </w:p>
    <w:p>
      <w:pPr>
        <w:spacing w:after="0" w:line="174" w:lineRule="exact"/>
        <w:rPr>
          <w:sz w:val="20"/>
          <w:szCs w:val="20"/>
          <w:color w:val="auto"/>
        </w:rPr>
      </w:pPr>
    </w:p>
    <w:p>
      <w:pPr>
        <w:ind w:left="200" w:right="3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 Billed </w:t>
      </w:r>
      <w:r>
        <w:rPr>
          <w:rFonts w:ascii="Times New Roman" w:cs="Times New Roman" w:eastAsia="Times New Roman" w:hAnsi="Times New Roman"/>
          <w:sz w:val="18"/>
          <w:szCs w:val="18"/>
          <w:color w:val="auto"/>
        </w:rPr>
        <w:t>— Billed accounts receivables include all outstanding invoices to customers, as well as amounts allowed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according to contractual billing terms with customers.</w:t>
      </w:r>
    </w:p>
    <w:p>
      <w:pPr>
        <w:spacing w:after="0" w:line="158" w:lineRule="exact"/>
        <w:rPr>
          <w:sz w:val="20"/>
          <w:szCs w:val="20"/>
          <w:color w:val="auto"/>
        </w:rPr>
      </w:pPr>
    </w:p>
    <w:p>
      <w:pPr>
        <w:ind w:left="2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 Unbilled — </w:t>
      </w:r>
      <w:r>
        <w:rPr>
          <w:rFonts w:ascii="Times New Roman" w:cs="Times New Roman" w:eastAsia="Times New Roman" w:hAnsi="Times New Roman"/>
          <w:sz w:val="18"/>
          <w:szCs w:val="18"/>
          <w:color w:val="auto"/>
        </w:rPr>
        <w:t>Unbilled accounts receivable include all revenue amounts that had not been billed as of the balance sheet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contractual billing terms with customers. Unbilled accounts receivable that are expected to be billed beyond the next 12 months are considered long-term unbilled receivables and included in other noncurrent assets.</w:t>
      </w:r>
    </w:p>
    <w:p>
      <w:pPr>
        <w:spacing w:after="0" w:line="174" w:lineRule="exact"/>
        <w:rPr>
          <w:sz w:val="20"/>
          <w:szCs w:val="20"/>
          <w:color w:val="auto"/>
        </w:rPr>
      </w:pPr>
    </w:p>
    <w:p>
      <w:pPr>
        <w:ind w:left="200" w:right="2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Revenue — </w:t>
      </w:r>
      <w:r>
        <w:rPr>
          <w:rFonts w:ascii="Times New Roman" w:cs="Times New Roman" w:eastAsia="Times New Roman" w:hAnsi="Times New Roman"/>
          <w:sz w:val="18"/>
          <w:szCs w:val="18"/>
          <w:color w:val="auto"/>
        </w:rPr>
        <w:t>Deferred revenue represents billings to customers for which revenue has not yet been recognized. Deferred revenue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recognized beyond the next 12 months is considered long-term deferred revenue and included in other noncurrent liabilities.</w:t>
      </w:r>
    </w:p>
    <w:p>
      <w:pPr>
        <w:spacing w:after="0" w:line="158"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Assets Recognized from the Costs to Obtain a Contract with a Customer — </w:t>
      </w:r>
      <w:r>
        <w:rPr>
          <w:rFonts w:ascii="Times New Roman" w:cs="Times New Roman" w:eastAsia="Times New Roman" w:hAnsi="Times New Roman"/>
          <w:sz w:val="18"/>
          <w:szCs w:val="18"/>
          <w:color w:val="auto"/>
        </w:rPr>
        <w:t>Incremental costs of obtaining a contract (e.g., sales commissions)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85"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Cost of revenue consists of all costs associated with providing software licenses and services to customers, third party hardware and software including identified losses on contracts. Estimated losses on contracts satisfied over time as work performed are recognized in the period in which the loss is identified.</w:t>
      </w:r>
    </w:p>
    <w:p>
      <w:pPr>
        <w:spacing w:after="0" w:line="176" w:lineRule="exact"/>
        <w:rPr>
          <w:sz w:val="20"/>
          <w:szCs w:val="20"/>
          <w:color w:val="auto"/>
        </w:rPr>
      </w:pPr>
    </w:p>
    <w:p>
      <w:pPr>
        <w:ind w:left="200" w:right="420" w:firstLine="441"/>
        <w:spacing w:after="0" w:line="266" w:lineRule="auto"/>
        <w:rPr>
          <w:sz w:val="20"/>
          <w:szCs w:val="20"/>
          <w:color w:val="auto"/>
        </w:rPr>
      </w:pPr>
      <w:r>
        <w:rPr>
          <w:rFonts w:ascii="Times New Roman" w:cs="Times New Roman" w:eastAsia="Times New Roman" w:hAnsi="Times New Roman"/>
          <w:sz w:val="18"/>
          <w:szCs w:val="18"/>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80"/>
          </w:cols>
          <w:pgMar w:left="240" w:top="401"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7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180" w:lineRule="exact"/>
        <w:rPr>
          <w:sz w:val="20"/>
          <w:szCs w:val="20"/>
          <w:color w:val="auto"/>
        </w:rPr>
      </w:pPr>
    </w:p>
    <w:p>
      <w:pPr>
        <w:ind w:left="200" w:right="100" w:firstLine="441"/>
        <w:spacing w:after="0" w:line="289" w:lineRule="auto"/>
        <w:rPr>
          <w:sz w:val="20"/>
          <w:szCs w:val="20"/>
          <w:color w:val="auto"/>
        </w:rPr>
      </w:pPr>
      <w:r>
        <w:rPr>
          <w:rFonts w:ascii="Times New Roman" w:cs="Times New Roman" w:eastAsia="Times New Roman" w:hAnsi="Times New Roman"/>
          <w:sz w:val="17"/>
          <w:szCs w:val="17"/>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Company evaluates accounts receivable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The allowance for doubtful accounts as of September 30, 2019 and 2018, was $36,121 and $21,211, respectively. As of September 30, 2019, the Company had one customer with an accounts receivable balance of more than 10% of total accounts receivable, amounting to 16%, which was lower than its respective portion of total revenue. As of September 30, 2018, the</w:t>
      </w:r>
    </w:p>
    <w:p>
      <w:pPr>
        <w:spacing w:after="0" w:line="1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00"/>
          </w:cols>
          <w:pgMar w:left="240" w:top="401"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Company had one customer with an accounts receivable balance of more than 10% of total accounts receivable, amounting to 19%, which was lower than its respective portion of total revenue.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1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November 2018, the Financial Accounting Standards Board, or FASB, issued Accounting Standard Update, or ASU, No. 2018-18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ASU clarifies the interaction between collaborative arrangements and the new revenue standards. This ASU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 on October 1, 2020, and early adoption is permitted. The Company currently expects that adoption of this ASU will not have a material impact on its consolidated financial statements.</w:t>
      </w:r>
    </w:p>
    <w:p>
      <w:pPr>
        <w:spacing w:after="0" w:line="180"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color w:val="auto"/>
        </w:rPr>
        <w:t>In August 2018, the FASB issued ASU No. 2018-15</w:t>
      </w:r>
      <w:r>
        <w:rPr>
          <w:rFonts w:ascii="Times New Roman" w:cs="Times New Roman" w:eastAsia="Times New Roman" w:hAnsi="Times New Roman"/>
          <w:sz w:val="18"/>
          <w:szCs w:val="18"/>
          <w:i w:val="1"/>
          <w:iCs w:val="1"/>
          <w:color w:val="auto"/>
        </w:rPr>
        <w:t>, “Customer’s Accounting for Implementation Costs Incurred in a Cloud Computing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 That Is a Service Contract”. </w:t>
      </w:r>
      <w:r>
        <w:rPr>
          <w:rFonts w:ascii="Times New Roman" w:cs="Times New Roman" w:eastAsia="Times New Roman" w:hAnsi="Times New Roman"/>
          <w:sz w:val="18"/>
          <w:szCs w:val="18"/>
          <w:color w:val="auto"/>
        </w:rPr>
        <w:t>The ASU amends the definition of hosting arrangement and requires a customer in a hosting arrangement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0"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No. 2018-13</w:t>
      </w:r>
      <w:r>
        <w:rPr>
          <w:rFonts w:ascii="Times New Roman" w:cs="Times New Roman" w:eastAsia="Times New Roman" w:hAnsi="Times New Roman"/>
          <w:sz w:val="18"/>
          <w:szCs w:val="18"/>
          <w:i w:val="1"/>
          <w:iCs w:val="1"/>
          <w:color w:val="auto"/>
        </w:rPr>
        <w:t>, “Fair Value Measurement”.</w:t>
      </w:r>
      <w:r>
        <w:rPr>
          <w:rFonts w:ascii="Times New Roman" w:cs="Times New Roman" w:eastAsia="Times New Roman" w:hAnsi="Times New Roman"/>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and will not have a material impact on its consolidated financial statements.</w:t>
      </w:r>
    </w:p>
    <w:p>
      <w:pPr>
        <w:spacing w:after="0" w:line="180"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No. 2018-14, “</w:t>
      </w:r>
      <w:r>
        <w:rPr>
          <w:rFonts w:ascii="Times New Roman" w:cs="Times New Roman" w:eastAsia="Times New Roman" w:hAnsi="Times New Roman"/>
          <w:sz w:val="18"/>
          <w:szCs w:val="18"/>
          <w:i w:val="1"/>
          <w:iCs w:val="1"/>
          <w:color w:val="auto"/>
        </w:rPr>
        <w:t>Changes to the Disclosure Requirements for Defined Benefit Plans”</w:t>
      </w:r>
      <w:r>
        <w:rPr>
          <w:rFonts w:ascii="Times New Roman" w:cs="Times New Roman" w:eastAsia="Times New Roman" w:hAnsi="Times New Roman"/>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00"/>
          </w:cols>
          <w:pgMar w:left="240" w:top="401"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5" w:lineRule="exact"/>
        <w:rPr>
          <w:sz w:val="20"/>
          <w:szCs w:val="20"/>
          <w:color w:val="auto"/>
        </w:rPr>
      </w:pPr>
    </w:p>
    <w:p>
      <w:pPr>
        <w:jc w:val="both"/>
        <w:ind w:left="200" w:right="360" w:firstLine="441"/>
        <w:spacing w:after="0" w:line="261" w:lineRule="auto"/>
        <w:rPr>
          <w:sz w:val="20"/>
          <w:szCs w:val="20"/>
          <w:color w:val="auto"/>
        </w:rPr>
      </w:pPr>
      <w:r>
        <w:rPr>
          <w:rFonts w:ascii="Times New Roman" w:cs="Times New Roman" w:eastAsia="Times New Roman" w:hAnsi="Times New Roman"/>
          <w:sz w:val="18"/>
          <w:szCs w:val="18"/>
          <w:color w:val="auto"/>
        </w:rPr>
        <w:t>In June 2018, the FASB issued ASU No.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certain limitations. The Company expects that the adoption of this ASU will not have a material impact on its consolidated financial statements.</w:t>
      </w:r>
    </w:p>
    <w:p>
      <w:pPr>
        <w:spacing w:after="0" w:line="18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In August 2017, the FASB issued ASU No. 2017-12, “</w:t>
      </w:r>
      <w:r>
        <w:rPr>
          <w:rFonts w:ascii="Times New Roman" w:cs="Times New Roman" w:eastAsia="Times New Roman" w:hAnsi="Times New Roman"/>
          <w:sz w:val="18"/>
          <w:szCs w:val="18"/>
          <w:i w:val="1"/>
          <w:iCs w:val="1"/>
          <w:color w:val="auto"/>
        </w:rPr>
        <w:t>Targeted Improvements to Accounting for Hedging Activities”</w:t>
      </w:r>
      <w:r>
        <w:rPr>
          <w:rFonts w:ascii="Times New Roman" w:cs="Times New Roman" w:eastAsia="Times New Roman" w:hAnsi="Times New Roman"/>
          <w:sz w:val="18"/>
          <w:szCs w:val="18"/>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8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180"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will be effective for the Company on October 1, 2019. The Company will adopt this ASU using a modified retrospective method. The Company is finalizing the implementation of this new standard including analyzing its lease contracts and evaluating changes to system, business processes and controls needed to support recognition, including currencies exposures and disclosure. The Company expects its leases designated as operating leases will be reported on the consolidated balance sheet upon adoption, as of October 1, 2019, which will increase its total assets and liabilities in total amount of approximately $260 million to $310 million. In addition, as a material portion of the Company’s leases are denominated in currencies other than the functional currency, the associated lease liabilities will be remeasured using the current exchange rate in the future reporting periods, which may result, if not fully hedged, in foreign exchange gains or losses. The Company currently expects that the adoption of this ASU will not have a material impact on its consolidated statement of income and on its consolidated statement of cash flow.</w:t>
      </w: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December 2017, the SEC issued Staff Accounting Bulletin No. 118 (“SAB No. 118”) in response to the new tax legislation in the United States (The Tax Cuts and Jobs Act or “The Act”). The Act, which was enacted on December 22, 2017, reduces the US federal corporate tax rate from 35% to 21%, which requires the payment of a one-time transition tax on earnings of certain foreign subsidiaries and creates new taxes on certain foreign sourced earnings. The guidance provided in SAB No.118 allowed the Company to record provisional amounts of income tax effects of the Act during a one-year measurement period. As of December 31, 2018, the Company has completed its accounting for the tax effects of enactment of the Act and made a reasonable estimate of the effects on its existing deferred tax balances and the one-time transition tax. There was no material impact on the Company’s consolidated financial statements, see also Note 11 to the consolidated financial statements.</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240" w:top="401"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No.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The ASU revises and narrows the definition of a business and provides a framework that gives entities a basis for making reasonable judgments about whether a transaction involves an asset or a business. The Company prospectively adopted this ASU effective October 1, 2018. As of the date of the adoption there was no impact on the Company’s consolidated financial statements.</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The ASU requires the Company to recognize the income tax consequences of intra-entity transfers, other than inventory, when the transfer occurs. The Company adopted this ASU as of October 1, 2018, using the modified retrospective transition approach, which resulted in a cumulative adjustment of $3,860 decrease of the retained earnings.</w:t>
      </w:r>
    </w:p>
    <w:p>
      <w:pPr>
        <w:spacing w:after="0" w:line="180"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7"/>
          <w:szCs w:val="17"/>
          <w:color w:val="auto"/>
        </w:rPr>
        <w:t>In August 2016, the FASB issued ASU No. 2016-15, “</w:t>
      </w:r>
      <w:r>
        <w:rPr>
          <w:rFonts w:ascii="Times New Roman" w:cs="Times New Roman" w:eastAsia="Times New Roman" w:hAnsi="Times New Roman"/>
          <w:sz w:val="17"/>
          <w:szCs w:val="17"/>
          <w:i w:val="1"/>
          <w:iCs w:val="1"/>
          <w:color w:val="auto"/>
        </w:rPr>
        <w:t>Classification of Certain Cash Receipts and Cash Payments”.</w:t>
      </w:r>
      <w:r>
        <w:rPr>
          <w:rFonts w:ascii="Times New Roman" w:cs="Times New Roman" w:eastAsia="Times New Roman" w:hAnsi="Times New Roman"/>
          <w:sz w:val="17"/>
          <w:szCs w:val="17"/>
          <w:color w:val="auto"/>
        </w:rPr>
        <w:t xml:space="preserve"> The ASU intends to reduce diversity in practice in how certain transactions are classified in the statement of cash flows. The Company retrospectively adopted this ASU effective October 1, 2018, which resulted in the classification of certain cash payments of contingent consideration in financing activities on the Company’s consolidated statement of cash flow during the year ended September 30, 2019. There was no such impact during the year ended September 30, 2018.</w:t>
      </w:r>
    </w:p>
    <w:p>
      <w:pPr>
        <w:spacing w:after="0" w:line="162"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7"/>
          <w:szCs w:val="17"/>
          <w:color w:val="auto"/>
        </w:rPr>
        <w:t>In January 2016, the FASB issued ASU No. 2016-01, “</w:t>
      </w:r>
      <w:r>
        <w:rPr>
          <w:rFonts w:ascii="Times New Roman" w:cs="Times New Roman" w:eastAsia="Times New Roman" w:hAnsi="Times New Roman"/>
          <w:sz w:val="17"/>
          <w:szCs w:val="17"/>
          <w:i w:val="1"/>
          <w:iCs w:val="1"/>
          <w:color w:val="auto"/>
        </w:rPr>
        <w:t>Financial Instruments — Overall”</w:t>
      </w:r>
      <w:r>
        <w:rPr>
          <w:rFonts w:ascii="Times New Roman" w:cs="Times New Roman" w:eastAsia="Times New Roman" w:hAnsi="Times New Roman"/>
          <w:sz w:val="17"/>
          <w:szCs w:val="17"/>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The Company prospectively adopted this ASU effective October 1, 2018. There was no material impact on the Company’s consolidated financial statements, see also Note 5 to the consolidated financial statements.</w:t>
      </w:r>
    </w:p>
    <w:p>
      <w:pPr>
        <w:spacing w:after="0" w:line="162"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ASU on revenue from contracts with customers, or the new revenue standard, which outlines a single comprehensive model for entities to use in accounting for revenue arising from contracts with customers and supersedes most current revenue recognition guidance. Prior to the adoption of ASC 606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As of October 1, 2018, the Company adopted this ASU using the modified retrospective transition approach. This method was applied to contracts that were not complete as of the date of adoption.</w:t>
      </w:r>
    </w:p>
    <w:p>
      <w:pPr>
        <w:spacing w:after="0" w:line="191"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The cumulative impact of adopting ASC 606, which was immaterial, was a net increase in the opening balance of retained earnings as of October 1, 2018, of $14,294, net of tax, from total amount of $4,673,901 to $4,688,195. The impact was primarily related to (i) the removal of the limitation on contingent revenue, as revenue allocated to satisfied performance obligations is no longer restricted to the amount that is not contingent upon the satisfaction of additional performance obligations (ii) the change of definition of contract term to represent the period for which enforceable rights and obligations exist, and (iii) the capitalization and amortization of certain sales commissions in accordance with ASC 606.</w:t>
      </w:r>
    </w:p>
    <w:p>
      <w:pPr>
        <w:spacing w:after="0" w:line="1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240" w:top="401"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depicts the impact of adoption as of October 1, 2018, on the Company’s consolidated balance sheet:</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October 1, 2018</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2200" w:type="dxa"/>
            <w:vAlign w:val="bottom"/>
            <w:gridSpan w:val="4"/>
          </w:tcPr>
          <w:p>
            <w:pPr>
              <w:ind w:left="740"/>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due</w:t>
            </w:r>
          </w:p>
        </w:tc>
        <w:tc>
          <w:tcPr>
            <w:tcW w:w="36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4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 ASC 606</w:t>
            </w:r>
          </w:p>
        </w:tc>
        <w:tc>
          <w:tcPr>
            <w:tcW w:w="1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1, 2018</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 receivable — unbilled</w:t>
            </w:r>
          </w:p>
        </w:tc>
        <w:tc>
          <w:tcPr>
            <w:tcW w:w="14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263,997</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420,369</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706,637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(14,062)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224,572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234,996</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4,673,901</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4,688,195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The impact of adopting the new standard for the year ended September 30, 2019, was an increase of approximately $26,096 to revenue, most of which was recorded against Account receivable — unbilled and decrease of approximately $11,051 to cost of revenue most of which was recorded against Accrued expenses and other current liabilities.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2019, the Company acquired TTS Wireless for approximately $50,000 in cash and potential additional consideration based on the achievement of certain performance metrics. TTS Wireless is a leading provider of mobile network engineering services, specializing in network optimization, planning and software-enabled solutions. During fiscal year 2018, the Company acquired three technology companies for an aggregate consideration of $355,142 in cash: Vubiquity, a leading provider of premium content services and technology solutions, projekt202, a leader in experience-driven software design and development, and UXP systems (“UXP”) whose User Lifecycle Management solution is a leading platform for empowering digital user relationships and digital identity. See Note 9 to the consolidated financial statement.</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240" w:top="401" w:right="4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17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2018 (as adjusted)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5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Accounts receivable — billed (net of allowances for doubtful accounts of $21,211 as of</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and October 1, 2018 and $36,121 as of September 30, 2019)</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707,505</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707,505</w:t>
            </w:r>
          </w:p>
        </w:tc>
        <w:tc>
          <w:tcPr>
            <w:tcW w:w="3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263,997</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274,036</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(132,414)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(146,462)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(118,182)</w:t>
            </w: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(23,785)</w:t>
            </w: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(160,391)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(141,967)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Revenue recognized during the year ended September 30, 2019, which was included in deferred revenue (current) as of October 1, 2018 was</w:t>
      </w:r>
    </w:p>
    <w:p>
      <w:pPr>
        <w:spacing w:after="0" w:line="27" w:lineRule="exact"/>
        <w:rPr>
          <w:sz w:val="20"/>
          <w:szCs w:val="20"/>
          <w:color w:val="auto"/>
        </w:rPr>
      </w:pPr>
    </w:p>
    <w:p>
      <w:pPr>
        <w:jc w:val="both"/>
        <w:ind w:left="200" w:right="20"/>
        <w:spacing w:after="0" w:line="261" w:lineRule="auto"/>
        <w:rPr>
          <w:sz w:val="20"/>
          <w:szCs w:val="20"/>
          <w:color w:val="auto"/>
        </w:rPr>
      </w:pPr>
      <w:r>
        <w:rPr>
          <w:rFonts w:ascii="Times New Roman" w:cs="Times New Roman" w:eastAsia="Times New Roman" w:hAnsi="Times New Roman"/>
          <w:sz w:val="18"/>
          <w:szCs w:val="18"/>
          <w:color w:val="auto"/>
        </w:rPr>
        <w:t>$93,508. Amounts billed during the year ended September 30, 2019, which was included in unbilled accounts receivable (current) as of October 1, 2018, was $129,230.</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from Contracts with Customer</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As of September 30, 2019, the aggregate amount of the transaction price allocated to remaining performance obligations that are unsatisfied or partially unsatisfied was approximately $5.5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 see Note 21 — Segment Information and Sales to Significant Customers.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21" w:lineRule="exact"/>
        <w:rPr>
          <w:sz w:val="20"/>
          <w:szCs w:val="20"/>
          <w:color w:val="auto"/>
        </w:rPr>
      </w:pPr>
    </w:p>
    <w:p>
      <w:pPr>
        <w:jc w:val="both"/>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240" w:top="401" w:right="41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5" w:lineRule="exact"/>
        <w:rPr>
          <w:sz w:val="20"/>
          <w:szCs w:val="20"/>
          <w:color w:val="auto"/>
        </w:rPr>
      </w:pPr>
    </w:p>
    <w:p>
      <w:pPr>
        <w:ind w:left="1060"/>
        <w:spacing w:after="0"/>
        <w:tabs>
          <w:tab w:leader="none" w:pos="182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17" w:lineRule="exact"/>
        <w:rPr>
          <w:sz w:val="20"/>
          <w:szCs w:val="20"/>
          <w:color w:val="auto"/>
        </w:rPr>
      </w:pPr>
    </w:p>
    <w:p>
      <w:pPr>
        <w:ind w:left="640" w:right="260" w:firstLine="42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2" w:lineRule="exact"/>
        <w:rPr>
          <w:sz w:val="20"/>
          <w:szCs w:val="20"/>
          <w:color w:val="auto"/>
        </w:rPr>
      </w:pPr>
    </w:p>
    <w:p>
      <w:pPr>
        <w:ind w:left="1060"/>
        <w:spacing w:after="0"/>
        <w:tabs>
          <w:tab w:leader="none" w:pos="182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activity that is significant to the fair value of the assets or liabilities.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September 30, 2019 and 2018:</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69,370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22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3"/>
              </w:rPr>
              <w:t>7,890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(29,805)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(29,805)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$69,370</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3"/>
              </w:rPr>
              <w:t>7,890</w:t>
            </w: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(11,797)</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11240"/>
          </w:cols>
          <w:pgMar w:left="240" w:top="401" w:right="419" w:bottom="1440" w:gutter="0" w:footer="0" w:header="0"/>
        </w:sectPr>
      </w:pP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Corporate bonds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government treasuries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agency securities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Asset backed obligations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Supranational and sovereign debt</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Times New Roman" w:cs="Times New Roman" w:eastAsia="Times New Roman" w:hAnsi="Times New Roman"/>
          <w:sz w:val="14"/>
          <w:szCs w:val="14"/>
          <w:b w:val="1"/>
          <w:bCs w:val="1"/>
          <w:color w:val="auto"/>
        </w:rPr>
        <w:t>As of September 30, 2018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407"/>
        </w:trPr>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$ 47,531</w:t>
            </w:r>
          </w:p>
        </w:tc>
        <w:tc>
          <w:tcPr>
            <w:tcW w:w="10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$ 47,531</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23,258</w:t>
            </w:r>
          </w:p>
        </w:tc>
      </w:tr>
      <w:tr>
        <w:trPr>
          <w:trHeight w:val="216"/>
        </w:trPr>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4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16,033</w:t>
            </w:r>
          </w:p>
        </w:tc>
      </w:tr>
      <w:tr>
        <w:trPr>
          <w:trHeight w:val="216"/>
        </w:trPr>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4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34"/>
        </w:trPr>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42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-968375</wp:posOffset>
            </wp:positionV>
            <wp:extent cx="699770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-685165</wp:posOffset>
            </wp:positionV>
            <wp:extent cx="699770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-410845</wp:posOffset>
            </wp:positionV>
            <wp:extent cx="699770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-136525</wp:posOffset>
            </wp:positionV>
            <wp:extent cx="699770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0" w:space="720"/>
            <w:col w:w="3920"/>
          </w:cols>
          <w:pgMar w:left="240" w:top="401" w:right="41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2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54,141</w:t>
            </w:r>
          </w:p>
        </w:tc>
        <w:tc>
          <w:tcPr>
            <w:tcW w:w="4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131,316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4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54,141</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(37,954</w:t>
            </w:r>
          </w:p>
        </w:tc>
        <w:tc>
          <w:tcPr>
            <w:tcW w:w="4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$ 65,520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240" w:top="401" w:right="41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2019. Level 3 liabilities relate to certain acquisition-related liabilities, which were generally valued using a Monte-Carlo simulation model. These liabilities were included in both accrued expenses and other current liabilities and other noncurrent liabilities as of September 30, 2019 and 2018. The decrease in Level 3 liabilities is primarily related to payments of certain acquisition-related liabilities offset by an increase against goodwill. Level 3 assets relate to equity investments, which were valued based on price changes in orderly transactions for similar investments of the same issuer.</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200" w:right="480" w:firstLine="441"/>
        <w:spacing w:after="0" w:line="313"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accounts payable, accrued personnel costs, short-term financing arrangements and accrued expenses and other current liabilities approximate their fair value because of the relatively short maturity of these items.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6 — Available-For-Sale Securities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In fiscal year 2019 the Company sold most of its available-for-sale securities, in total amount of $101,287, the realized losses recognized from this sale were immaterial and were recorded in the consolidated statements of income.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220" w:type="dxa"/>
            <w:vAlign w:val="bottom"/>
            <w:gridSpan w:val="2"/>
            <w:vMerge w:val="restart"/>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220" w:type="dxa"/>
            <w:vAlign w:val="bottom"/>
            <w:gridSpan w:val="2"/>
            <w:vMerge w:val="continue"/>
          </w:tcPr>
          <w:p>
            <w:pPr>
              <w:spacing w:after="0"/>
              <w:rPr>
                <w:sz w:val="12"/>
                <w:szCs w:val="12"/>
                <w:color w:val="auto"/>
              </w:rPr>
            </w:pPr>
          </w:p>
        </w:tc>
        <w:tc>
          <w:tcPr>
            <w:tcW w:w="1240" w:type="dxa"/>
            <w:vAlign w:val="bottom"/>
            <w:gridSpan w:val="3"/>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780" w:type="dxa"/>
            <w:vAlign w:val="bottom"/>
            <w:gridSpan w:val="4"/>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$ 69,370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$ 69,370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Total(1)</w:t>
            </w:r>
          </w:p>
        </w:tc>
        <w:tc>
          <w:tcPr>
            <w:tcW w:w="256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$ 69,370</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$ 69,370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9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640" w:right="660" w:hanging="436"/>
        <w:spacing w:after="0" w:line="289" w:lineRule="auto"/>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2019, all the securities were classified as cash and cash equivalents.</w:t>
      </w:r>
    </w:p>
    <w:p>
      <w:pPr>
        <w:spacing w:after="0" w:line="15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2018</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8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Total(1)</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132,908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F-27</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01" w:right="41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2" w:lineRule="exact"/>
        <w:rPr>
          <w:sz w:val="20"/>
          <w:szCs w:val="20"/>
          <w:color w:val="auto"/>
        </w:rPr>
      </w:pPr>
    </w:p>
    <w:p>
      <w:pPr>
        <w:ind w:left="640" w:right="460" w:hanging="436"/>
        <w:spacing w:after="0" w:line="26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2018, $100,433 of securities were classified as short-term interest-bearing investments and $30,883 of securities were classified as cash and cash equivalents.</w:t>
      </w:r>
    </w:p>
    <w:p>
      <w:pPr>
        <w:spacing w:after="0" w:line="180"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2019, 2018 and 2017.</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30, 2019, the Company’s available-for-sale securities had the following maturity dates:</w:t>
      </w:r>
    </w:p>
    <w:p>
      <w:pPr>
        <w:spacing w:after="0" w:line="219"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480" w:type="dxa"/>
            <w:vAlign w:val="bottom"/>
            <w:gridSpan w:val="3"/>
          </w:tcPr>
          <w:p>
            <w:pPr>
              <w:ind w:left="2540"/>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69,370</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62"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$11,373 as of September 30, 2019. The Company has limited its credit risk by entering into derivative transactions exclusively with investment-grade rated financial institutions and monitors the creditworthiness of these financial institutions on an ongoing basis.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flow.</w:t>
      </w:r>
    </w:p>
    <w:p>
      <w:pPr>
        <w:spacing w:after="0" w:line="207"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September 30, 2019. Notional values are in U.S. dollars and are translated and calculated based on forward rates as of September 30, 2019 for forward contracts, and based on spot rates as of September 30, 2019 for options.</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3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1,103,169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640" w:right="240" w:hanging="436"/>
        <w:spacing w:after="0" w:line="282"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20"/>
          </w:cols>
          <w:pgMar w:left="240" w:top="401"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balance sheet at fair value. For further information, see Note 5 to the consolidated financial statements. The fair value of the open foreign exchange contracts recorded as an asset or a liability by the Company on its consolidated balance sheets as of September 30, 2019 and September 30, 2018, is as follows: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$ 9,344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(17,681)</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(10,030)</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(27,465)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1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Times New Roman" w:cs="Times New Roman" w:eastAsia="Times New Roman" w:hAnsi="Times New Roman"/>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2019 is scheduled to mature within the next 12 months.</w:t>
      </w:r>
    </w:p>
    <w:p>
      <w:pPr>
        <w:spacing w:after="0" w:line="168"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240" w:top="401"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220" w:firstLine="441"/>
        <w:spacing w:after="0" w:line="313" w:lineRule="auto"/>
        <w:rPr>
          <w:sz w:val="20"/>
          <w:szCs w:val="20"/>
          <w:color w:val="auto"/>
        </w:rPr>
      </w:pPr>
      <w:r>
        <w:rPr>
          <w:rFonts w:ascii="Times New Roman" w:cs="Times New Roman" w:eastAsia="Times New Roman" w:hAnsi="Times New Roman"/>
          <w:sz w:val="17"/>
          <w:szCs w:val="17"/>
          <w:color w:val="auto"/>
        </w:rPr>
        <w:t>The effect of the Company’s cash flow hedging instruments in the consolidated statements of income for the fiscal years ended September 30, 2019, 2018 and 2017, respectively, which partially offsets the foreign currency impact from the underlying exposures, is summarized as follows:</w:t>
      </w:r>
    </w:p>
    <w:p>
      <w:pPr>
        <w:spacing w:after="0" w:line="13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(Losses) Gains Reclassified from</w:t>
      </w:r>
    </w:p>
    <w:p>
      <w:pPr>
        <w:jc w:val="center"/>
        <w:ind w:left="6240"/>
        <w:spacing w:after="0" w:line="229" w:lineRule="auto"/>
        <w:rPr>
          <w:sz w:val="20"/>
          <w:szCs w:val="20"/>
          <w:color w:val="auto"/>
        </w:rPr>
      </w:pPr>
      <w:r>
        <w:rPr>
          <w:rFonts w:ascii="Times New Roman" w:cs="Times New Roman" w:eastAsia="Times New Roman" w:hAnsi="Times New Roman"/>
          <w:sz w:val="14"/>
          <w:szCs w:val="14"/>
          <w:b w:val="1"/>
          <w:bCs w:val="1"/>
          <w:color w:val="auto"/>
        </w:rPr>
        <w:t>Other Comprehensive Income (Loss)</w:t>
      </w:r>
    </w:p>
    <w:p>
      <w:pPr>
        <w:jc w:val="center"/>
        <w:ind w:left="6240"/>
        <w:spacing w:after="0" w:line="222" w:lineRule="auto"/>
        <w:rPr>
          <w:sz w:val="20"/>
          <w:szCs w:val="20"/>
          <w:color w:val="auto"/>
        </w:rPr>
      </w:pPr>
      <w:r>
        <w:rPr>
          <w:rFonts w:ascii="Times New Roman" w:cs="Times New Roman" w:eastAsia="Times New Roman" w:hAnsi="Times New Roman"/>
          <w:sz w:val="14"/>
          <w:szCs w:val="14"/>
          <w:b w:val="1"/>
          <w:bCs w:val="1"/>
          <w:color w:val="auto"/>
        </w:rPr>
        <w:t>(Effective Portion)</w:t>
      </w:r>
    </w:p>
    <w:p>
      <w:pPr>
        <w:jc w:val="center"/>
        <w:ind w:left="6240"/>
        <w:spacing w:after="0" w:line="231" w:lineRule="auto"/>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(1,129)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(8,627)</w:t>
            </w: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15,877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21,783</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w:t>
            </w: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4,282</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c>
          <w:tcPr>
            <w:tcW w:w="60" w:type="dxa"/>
            <w:vAlign w:val="bottom"/>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$ 21,337</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net of tax, is as follows:</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9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8"/>
        </w:trPr>
        <w:tc>
          <w:tcPr>
            <w:tcW w:w="56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unrealized (loss) gain on cash flow hedges, net of tax, beginning of</w:t>
            </w: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w w:val="97"/>
              </w:rPr>
              <w:t>(26,608)</w:t>
            </w:r>
          </w:p>
        </w:tc>
        <w:tc>
          <w:tcPr>
            <w:tcW w:w="1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$ 24,508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$ 12,514</w:t>
            </w:r>
          </w:p>
        </w:tc>
        <w:tc>
          <w:tcPr>
            <w:tcW w:w="60" w:type="dxa"/>
            <w:vAlign w:val="bottom"/>
            <w:shd w:val="clear" w:color="auto" w:fill="CCEEFF"/>
          </w:tcPr>
          <w:p>
            <w:pPr>
              <w:spacing w:after="0"/>
              <w:rPr>
                <w:sz w:val="20"/>
                <w:szCs w:val="20"/>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19,228</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(31,908)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36,765</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loss (gain) into earnings, net of tax</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11,325</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(19,208)</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(24,771)</w:t>
            </w: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(loss) on cash flow hedges, net of tax, end of period</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(26,608</w:t>
            </w: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$ 24,508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Net unrealized gain (loss) from cash flow hedges recognized in other comprehensive income (loss) were $20,035, $(34,260) and $39,692, or $19,228, $(31,908) and $36,765, net of taxes, during the fiscal years ended September 30, 2019, 2018 and 2017, respectively.</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Of the net gains related to derivatives designated as cash flow hedges and recorded in accumulated other comprehensive (loss) income as of September 30, 2019, a net gain of $5,085 will be reclassified into earnings during fiscal 2020 and will partially offset the foreign currency impact from the underlying exposures. The amount ultimately realized in earnings will likely differ due to future changes in foreign exchange rates.</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fiscal years ended September 30, 2019, 2018 and 2017, was not material.</w:t>
      </w:r>
    </w:p>
    <w:p>
      <w:pPr>
        <w:spacing w:after="0" w:line="162"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240" w:top="401" w:right="5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62"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62"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fiscal years ended September 30, 2019, 2018 and 2017, respectively, which partially offsets the foreign currency impact from the underlying exposure, is summarized as follows: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item in statements of income:</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5,845</w:t>
            </w:r>
          </w:p>
        </w:tc>
        <w:tc>
          <w:tcPr>
            <w:tcW w:w="136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3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1,581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6,026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74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components of property and equipment, net are:</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related equipment and software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$ 1,109,465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$ 1,027,825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109,446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230,817</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47,813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1,497,541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(972,227)</w:t>
            </w:r>
          </w:p>
        </w:tc>
        <w:tc>
          <w:tcPr>
            <w:tcW w:w="32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(895,352)</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525,314</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496,585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depreciation expense for fiscal years 2019, 2018 and 2017, was $111,387, $105,439 and $105,027, respectively.</w:t>
      </w:r>
    </w:p>
    <w:p>
      <w:pPr>
        <w:spacing w:after="0" w:line="225"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2019 and 2018, the costs, net of accumulated depreciation of software assets developed for internal use were $171,331 and $152,366, respectively, and are presented under Computer equipment in the table above.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fiscal year 2018, the Company purchased a land and capitalized costs related to the new building, see also Note 2.</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00"/>
          </w:cols>
          <w:pgMar w:left="240" w:top="401"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details of the Company’s total goodwill:</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October 1, 2017</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Goodwill resulting from acquisitions(1)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2018</w:t>
            </w:r>
          </w:p>
        </w:tc>
        <w:tc>
          <w:tcPr>
            <w:tcW w:w="14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$2,444,895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resulting from acquisitions(2)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1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2,462,835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40" w:hanging="436"/>
        <w:spacing w:after="0" w:line="253"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acquisitions of Vubiquity, projekt202 and UXP. In allocating the total purchase price for Vubiquity, based on estimated fair values, the Company recorded $148,184 of goodwill, $38,630 of customer relationships to be amortized over approximately nine years, $45,692 of core technology to be amortized over approximately five years, $10,104 of trade mark to be amortized over eight years. In allocating the total purchase price of projekt202, based on estimated fair values, the Company recorded $34,390 of goodwill and $19,835 of customer relationships to be amortized over four years. In allocating the total purchase price of UXP, based on estimated fair values, the Company recorded $40,629 of goodwill, $31,552 of core technology to be amortized over five years and $6,552 of customer relationships to be amortized over approximately five years.</w:t>
      </w:r>
    </w:p>
    <w:p>
      <w:pPr>
        <w:spacing w:after="0" w:line="3" w:lineRule="exact"/>
        <w:rPr>
          <w:rFonts w:ascii="Times New Roman" w:cs="Times New Roman" w:eastAsia="Times New Roman" w:hAnsi="Times New Roman"/>
          <w:sz w:val="18"/>
          <w:szCs w:val="18"/>
          <w:color w:val="auto"/>
        </w:rPr>
      </w:pPr>
    </w:p>
    <w:p>
      <w:pPr>
        <w:ind w:left="640" w:right="60" w:hanging="436"/>
        <w:spacing w:after="0" w:line="255"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acquisitions of TTS. In allocating the total preliminary purchase price for TTS, based on estimated fair values, the Company recorded $10,032 of goodwill, $29,500 of customer relationships to be amortized over approximately six years, $2,100 of core technology to be amortized over approximately six years and $1,300 of trade mark to be amortized over four years.</w:t>
      </w:r>
    </w:p>
    <w:p>
      <w:pPr>
        <w:spacing w:after="0" w:line="18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2019, 2018 or 2017.</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80"/>
          </w:cols>
          <w:pgMar w:left="240" w:top="401"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details regarding the Company’s total definite-lived purchased intangible assets: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 technology(1)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775,479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(690,961)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(483,313)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111,242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1,414,980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(1,209,818</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60" w:type="dxa"/>
            <w:vAlign w:val="bottom"/>
          </w:tcPr>
          <w:p>
            <w:pPr>
              <w:spacing w:after="0"/>
              <w:rPr>
                <w:sz w:val="15"/>
                <w:szCs w:val="15"/>
                <w:color w:val="auto"/>
              </w:rPr>
            </w:pPr>
          </w:p>
        </w:tc>
        <w:tc>
          <w:tcPr>
            <w:tcW w:w="370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technology(1)</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773,380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(628,932)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144,448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563,656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(453,137)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110,519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10,282</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1,380,682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(1,115,433</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40" w:hanging="436"/>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previously presented separately as Intellectual property rights and purchased computer software are included in Core Technology as the nature of the intangible is consistent with the Core technology category. The asset was fully amortized as of 2019 and 2018, and consisted of gross asset of $51,996 and accumulated amortization of $51,996.</w:t>
      </w:r>
    </w:p>
    <w:p>
      <w:pPr>
        <w:spacing w:after="0" w:line="176"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definite-lived purchased intangible assets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94,205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105,213</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108,453</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94,385</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105,785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109,858</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estimated future amortization expense of definite-lived purchased intangible assets as of September 30, 2019 is as follows:</w:t>
      </w:r>
    </w:p>
    <w:p>
      <w:pPr>
        <w:spacing w:after="0" w:line="219"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47,114</w:t>
            </w:r>
          </w:p>
        </w:tc>
        <w:tc>
          <w:tcPr>
            <w:tcW w:w="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80" w:type="dxa"/>
            <w:vAlign w:val="bottom"/>
            <w:shd w:val="clear" w:color="auto" w:fill="CCEEFF"/>
          </w:tcPr>
          <w:p>
            <w:pPr>
              <w:spacing w:after="0"/>
              <w:rPr>
                <w:sz w:val="18"/>
                <w:szCs w:val="18"/>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205,162</w:t>
            </w:r>
          </w:p>
        </w:tc>
        <w:tc>
          <w:tcPr>
            <w:tcW w:w="8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4580" w:type="dxa"/>
            <w:vAlign w:val="bottom"/>
            <w:gridSpan w:val="2"/>
          </w:tcPr>
          <w:p>
            <w:pPr>
              <w:jc w:val="right"/>
              <w:ind w:right="2815"/>
              <w:spacing w:after="0"/>
              <w:rPr>
                <w:sz w:val="20"/>
                <w:szCs w:val="20"/>
                <w:color w:val="auto"/>
              </w:rPr>
            </w:pPr>
            <w:r>
              <w:rPr>
                <w:rFonts w:ascii="Times New Roman" w:cs="Times New Roman" w:eastAsia="Times New Roman" w:hAnsi="Times New Roman"/>
                <w:sz w:val="18"/>
                <w:szCs w:val="18"/>
                <w:color w:val="auto"/>
              </w:rPr>
              <w:t>F-33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00"/>
          </w:cols>
          <w:pgMar w:left="240" w:top="401"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10 — Non-recurring charges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During fiscal year 2018 the Company incurred non-recurring charges of a loss incurred to settle a long-running legal dispute in total amount of $55,000 including legal costs and also incurred restructuring charges of $30,057 primarily related to employee severance expenses. During fiscal year 2019 the Company paid the settlement amount of $50,000 and $5,000 in legal and other fees. During fiscal year 2019 and 2018 the Company paid most of the restructuring charges, and the remaining amount will be paid over the next several quarters.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8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2"/>
                <w:szCs w:val="12"/>
                <w:color w:val="auto"/>
              </w:rPr>
            </w:pPr>
          </w:p>
        </w:tc>
        <w:tc>
          <w:tcPr>
            <w:tcW w:w="6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102,391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$42,047</w:t>
            </w: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$69,535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(13,950)</w:t>
            </w: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25,098</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6,551</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67,145</w:t>
            </w: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76,086</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580" w:firstLine="441"/>
        <w:spacing w:after="0" w:line="282" w:lineRule="auto"/>
        <w:rPr>
          <w:sz w:val="20"/>
          <w:szCs w:val="20"/>
          <w:color w:val="auto"/>
        </w:rPr>
      </w:pPr>
      <w:r>
        <w:rPr>
          <w:rFonts w:ascii="Times New Roman" w:cs="Times New Roman" w:eastAsia="Times New Roman" w:hAnsi="Times New Roman"/>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62"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maintained a tax receivable balance of $53,143 and $55,198 as of September 30, 2019 and 2018, respectively, which is included in Prepaid expenses and other current assets.</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240" w:top="401" w:right="5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Deferred income taxes are comprised of the following components:</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10"/>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computer software and intellectual property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credits, net capital and operating loss carryforwards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153,062</w:t>
            </w: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184,450</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8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346,789</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allowances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(85,533)</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Anticipated withholdings on subsidiaries’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(68,394)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computer software and intellectual property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(104,926)</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(114,094)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(31,750)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(257,623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(214,238</w:t>
            </w: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effective income tax rate varied from the statutory Guernsey tax rate as follows: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0"/>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w w:val="91"/>
              </w:rPr>
              <w:t>0%</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taxes(1)</w:t>
            </w:r>
          </w:p>
        </w:tc>
        <w:tc>
          <w:tcPr>
            <w:tcW w:w="100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gridSpan w:val="3"/>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480" w:type="dxa"/>
            <w:vAlign w:val="bottom"/>
            <w:gridSpan w:val="2"/>
            <w:vMerge w:val="continue"/>
            <w:shd w:val="clear" w:color="auto" w:fill="CCEEFF"/>
          </w:tcPr>
          <w:p>
            <w:pPr>
              <w:spacing w:after="0"/>
              <w:rPr>
                <w:sz w:val="18"/>
                <w:szCs w:val="18"/>
                <w:color w:val="auto"/>
              </w:rPr>
            </w:pPr>
          </w:p>
        </w:tc>
        <w:tc>
          <w:tcPr>
            <w:tcW w:w="100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vMerge w:val="continue"/>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spacing w:after="0"/>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income before income tax expense is considered to be foreign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640" w:hanging="43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Foreign taxes for the year ended Sep 30, 2019:</w:t>
      </w:r>
    </w:p>
    <w:p>
      <w:pPr>
        <w:spacing w:after="0" w:line="121" w:lineRule="exact"/>
        <w:rPr>
          <w:sz w:val="20"/>
          <w:szCs w:val="20"/>
          <w:color w:val="auto"/>
        </w:rPr>
      </w:pPr>
    </w:p>
    <w:p>
      <w:pPr>
        <w:ind w:left="640" w:firstLine="423"/>
        <w:spacing w:after="0" w:line="266" w:lineRule="auto"/>
        <w:rPr>
          <w:sz w:val="20"/>
          <w:szCs w:val="20"/>
          <w:color w:val="auto"/>
        </w:rPr>
      </w:pPr>
      <w:r>
        <w:rPr>
          <w:rFonts w:ascii="Times New Roman" w:cs="Times New Roman" w:eastAsia="Times New Roman" w:hAnsi="Times New Roman"/>
          <w:sz w:val="18"/>
          <w:szCs w:val="18"/>
          <w:color w:val="auto"/>
        </w:rPr>
        <w:t>In fiscal year 2019, foreign taxes included a benefit of $26,529 that was primarily attributable to the expiration of the periods set forth in statutes of limitations and to a lesser extent from the conclusions of tax audits related to unrecognized tax benefits accumulated over several years in certain jurisdictions.</w:t>
      </w:r>
    </w:p>
    <w:p>
      <w:pPr>
        <w:spacing w:after="0" w:line="176" w:lineRule="exact"/>
        <w:rPr>
          <w:sz w:val="20"/>
          <w:szCs w:val="20"/>
          <w:color w:val="auto"/>
        </w:rPr>
      </w:pPr>
    </w:p>
    <w:p>
      <w:pPr>
        <w:jc w:val="both"/>
        <w:ind w:left="640" w:right="20" w:firstLine="423"/>
        <w:spacing w:after="0" w:line="313" w:lineRule="auto"/>
        <w:rPr>
          <w:sz w:val="20"/>
          <w:szCs w:val="20"/>
          <w:color w:val="auto"/>
        </w:rPr>
      </w:pPr>
      <w:r>
        <w:rPr>
          <w:rFonts w:ascii="Times New Roman" w:cs="Times New Roman" w:eastAsia="Times New Roman" w:hAnsi="Times New Roman"/>
          <w:sz w:val="17"/>
          <w:szCs w:val="17"/>
          <w:color w:val="auto"/>
        </w:rPr>
        <w:t>Foreign taxes in fiscal year 2019 also included a benefit of $12,650 resulting from the release of valuation allowances on deferred tax assets at certain of the Company’s subsidiaries, which will, more likely than not, be realized due to the Company’s projections of future taxable income.</w:t>
      </w:r>
    </w:p>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60"/>
          </w:cols>
          <w:pgMar w:left="240" w:top="401" w:right="4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Foreign taxes for the year ended Sep 30, 2018:</w:t>
      </w:r>
    </w:p>
    <w:p>
      <w:pPr>
        <w:spacing w:after="0" w:line="121" w:lineRule="exact"/>
        <w:rPr>
          <w:sz w:val="20"/>
          <w:szCs w:val="20"/>
          <w:color w:val="auto"/>
        </w:rPr>
      </w:pPr>
    </w:p>
    <w:p>
      <w:pPr>
        <w:ind w:left="640" w:right="120" w:firstLine="423"/>
        <w:spacing w:after="0" w:line="256" w:lineRule="auto"/>
        <w:rPr>
          <w:sz w:val="20"/>
          <w:szCs w:val="20"/>
          <w:color w:val="auto"/>
        </w:rPr>
      </w:pPr>
      <w:r>
        <w:rPr>
          <w:rFonts w:ascii="Times New Roman" w:cs="Times New Roman" w:eastAsia="Times New Roman" w:hAnsi="Times New Roman"/>
          <w:sz w:val="18"/>
          <w:szCs w:val="18"/>
          <w:color w:val="auto"/>
        </w:rPr>
        <w:t>In fiscal year 2018, foreign taxes included a benefit of $9,564 due to conclusions of tax audits in certain jurisdictions, which resulted in an increase to the Company’s tax credits carryforwards and a reduction to the Company’s provision for gross unrecognized tax benefits. In addition, foreign taxes in fiscal year 2018 included a benefit of $18,022 that was attributable to the expiration of the periods set forth in statutes of limitations related to unrecognized tax benefits accumulated over several years in certain jurisdictions. Foreign taxes in fiscal year 2018 also included a tax expenses of $12,032 resulting from the creation of valuation allowances on deferred tax assets at certain of the Company’s subsidiaries, which may not be realized based on the Company’s projections of future taxable income.</w:t>
      </w:r>
    </w:p>
    <w:p>
      <w:pPr>
        <w:spacing w:after="0" w:line="188" w:lineRule="exact"/>
        <w:rPr>
          <w:sz w:val="20"/>
          <w:szCs w:val="20"/>
          <w:color w:val="auto"/>
        </w:rPr>
      </w:pPr>
    </w:p>
    <w:p>
      <w:pPr>
        <w:ind w:left="640" w:right="320" w:firstLine="423"/>
        <w:spacing w:after="0" w:line="261" w:lineRule="auto"/>
        <w:rPr>
          <w:sz w:val="20"/>
          <w:szCs w:val="20"/>
          <w:color w:val="auto"/>
        </w:rPr>
      </w:pPr>
      <w:r>
        <w:rPr>
          <w:rFonts w:ascii="Times New Roman" w:cs="Times New Roman" w:eastAsia="Times New Roman" w:hAnsi="Times New Roman"/>
          <w:sz w:val="18"/>
          <w:szCs w:val="18"/>
          <w:color w:val="auto"/>
        </w:rPr>
        <w:t>In addition, foreign taxes in fiscal year 2018 included a provisional expense of $2,321 relating to changes in tax law in the United States pursuant to SAB No. 118 (see Note 2). The provisional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180" w:lineRule="exact"/>
        <w:rPr>
          <w:sz w:val="20"/>
          <w:szCs w:val="20"/>
          <w:color w:val="auto"/>
        </w:rPr>
      </w:pPr>
    </w:p>
    <w:p>
      <w:pPr>
        <w:ind w:left="640" w:right="100" w:firstLine="423"/>
        <w:spacing w:after="0" w:line="266" w:lineRule="auto"/>
        <w:rPr>
          <w:sz w:val="20"/>
          <w:szCs w:val="20"/>
          <w:color w:val="auto"/>
        </w:rPr>
      </w:pPr>
      <w:r>
        <w:rPr>
          <w:rFonts w:ascii="Times New Roman" w:cs="Times New Roman" w:eastAsia="Times New Roman" w:hAnsi="Times New Roman"/>
          <w:sz w:val="18"/>
          <w:szCs w:val="18"/>
          <w:color w:val="auto"/>
        </w:rPr>
        <w:t>As an indirect consequence to the changes in tax law in the United States the Company no longer makes a permanently reinvest assertion relating to one of its subsidiaries, therefore, a provisional tax liability of $4,059 was recorded related to the tax implications of remitting earnings that were previously asserted as permanently reinvested.</w:t>
      </w:r>
    </w:p>
    <w:p>
      <w:pPr>
        <w:spacing w:after="0" w:line="176" w:lineRule="exact"/>
        <w:rPr>
          <w:sz w:val="20"/>
          <w:szCs w:val="20"/>
          <w:color w:val="auto"/>
        </w:rPr>
      </w:pPr>
    </w:p>
    <w:p>
      <w:pPr>
        <w:ind w:left="640" w:right="260" w:firstLine="423"/>
        <w:spacing w:after="0" w:line="282" w:lineRule="auto"/>
        <w:rPr>
          <w:sz w:val="20"/>
          <w:szCs w:val="20"/>
          <w:color w:val="auto"/>
        </w:rPr>
      </w:pPr>
      <w:r>
        <w:rPr>
          <w:rFonts w:ascii="Times New Roman" w:cs="Times New Roman" w:eastAsia="Times New Roman" w:hAnsi="Times New Roman"/>
          <w:sz w:val="18"/>
          <w:szCs w:val="18"/>
          <w:color w:val="auto"/>
        </w:rPr>
        <w:t>During fiscal year 2018, as a result of funding decisions for the construction of the Company’s new campus in Israel, see also Note 2, the Company recorded a tax benefit of $28,795 related to the release of withholding and income tax reserves for unremitted earnings.</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During fiscal year 2019, the net decrease in valuation allowances was $27,194. The valuation allowances, related to the uncertainty of realizing tax benefits primarily for tax credits, net capital and operating loss carryforwards related to certain of the Company’s subsidiaries. As of September 30, 2019, the Company had tax credits, net capital and operating loss carryforwards of $797,091 of which $244,711 have expiration dates through 2039, and the remainder do not expire.</w:t>
      </w:r>
    </w:p>
    <w:p>
      <w:pPr>
        <w:spacing w:after="0" w:line="18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During fiscal year 2018, the net increase in valuation allowances was $18,154, which related to the uncertainty of realizing tax benefits primarily for tax credits, net capital and operating loss carryforwards related to certain of the Company’s subsidiaries. As of September 30, 2018, the Company had tax credits, net capital and operating loss carryforwards of $894,997 of which $322,816 have expiration dates through 2038, and the remainder do not expire.</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00"/>
          </w:cols>
          <w:pgMar w:left="240" w:top="401"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aggregate changes in the balance of the Company’s gross unrecognized tax benefits were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4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860" w:type="dxa"/>
            <w:vAlign w:val="bottom"/>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8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$187,646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$193,024</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19,530</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20,329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22,319</w:t>
            </w:r>
          </w:p>
        </w:tc>
        <w:tc>
          <w:tcPr>
            <w:tcW w:w="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(reduction) for tax positions of prior years</w:t>
            </w:r>
          </w:p>
        </w:tc>
        <w:tc>
          <w:tcPr>
            <w:tcW w:w="21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24,980</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12,261</w:t>
            </w:r>
          </w:p>
        </w:tc>
        <w:tc>
          <w:tcPr>
            <w:tcW w:w="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 with tax authorities(1)</w:t>
            </w:r>
          </w:p>
        </w:tc>
        <w:tc>
          <w:tcPr>
            <w:tcW w:w="2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(37,672)</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(3,880)</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(9,450)</w:t>
            </w:r>
          </w:p>
        </w:tc>
      </w:tr>
      <w:tr>
        <w:trPr>
          <w:trHeight w:val="216"/>
        </w:trPr>
        <w:tc>
          <w:tcPr>
            <w:tcW w:w="8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(25,162)</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(18,022)</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(28,774)</w:t>
            </w:r>
          </w:p>
        </w:tc>
      </w:tr>
      <w:tr>
        <w:trPr>
          <w:trHeight w:val="210"/>
        </w:trPr>
        <w:tc>
          <w:tcPr>
            <w:tcW w:w="8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9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169,322</w:t>
            </w: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187,646</w:t>
            </w:r>
          </w:p>
        </w:tc>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193,024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9" w:lineRule="exact"/>
        <w:rPr>
          <w:sz w:val="20"/>
          <w:szCs w:val="20"/>
          <w:color w:val="auto"/>
        </w:rPr>
      </w:pPr>
    </w:p>
    <w:p>
      <w:pPr>
        <w:ind w:left="640" w:right="20" w:hanging="436"/>
        <w:spacing w:after="0" w:line="266"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year ended September 30, 2019, in the balance of the Company’s gross unrecognized tax benefits that relate to settlements with tax authorities is $37,672, the vast majority of which was offset by income tax payments and increase in Tax Payables and Deferred Tax Liabilities.</w:t>
      </w:r>
    </w:p>
    <w:p>
      <w:pPr>
        <w:spacing w:after="0" w:line="17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which includes interest and penalties, was $169,322 as of September 30, 2019, and $187,646 as of September 30, 2018, all of which would affect the effective tax rate if realized.</w:t>
      </w:r>
    </w:p>
    <w:p>
      <w:pPr>
        <w:spacing w:after="0" w:line="162"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As of September 30, 2019, the Company had accrued $31,108 in income taxes payable for interest and penalties relating to unrecognized tax benefits, of which $4,679 was recognized in the statements of income in fiscal year 2019, net of interest and penalty reversals. As of September 30, 2018, the Company had accrued $30,807 in income taxes payable for interest and penalties relating to unrecognized tax benefits, of which a benefit of $2,579 was recognized in the statements of income in fiscal year 2018, net of interest and penalty reversals.</w:t>
      </w:r>
    </w:p>
    <w:p>
      <w:pPr>
        <w:spacing w:after="0" w:line="184"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September 30, 2019, the Company cannot estimate the change in unrecognized tax benefits resulting from these audits within the next 12 months.</w:t>
      </w:r>
    </w:p>
    <w:p>
      <w:pPr>
        <w:spacing w:after="0" w:line="176"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amount of unrecognized tax benefits may decrease by up to $12,763 during fiscal year 2020 as a result of lapse of statutes of limitations in jurisdictions in which the Company operates.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12 — Repurchase of Shares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From time to time, the Company’s Board of Directors can adopt share repurchase plans authorizing the repurchase of the Company’s outstanding ordinary shares. On November 8, 2017, the Company’s Board of Directors adopted another share repurchase plan for the repurchase of up to an additional $800,000 of the Company’s outstanding ordinary shares with no expiration date. In April 2018, the Company completed the repurchase of the remaining authorized amount of ordinary shares under the February 2016 plan and began executing repurchases under the November 2017 plan. In fiscal year 2019, the Company repurchased approximately 6,656 ordinary shares at an average price of $59.79 per share (excluding broker and transaction fees). The November 2017 plan permits the Company to purchase its ordinary shares in open market or privately negotiated transactions at times and prices that it considers appropriate. As of September 30, 2019, the Company</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240" w:top="401"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right="300"/>
        <w:spacing w:after="0" w:line="258" w:lineRule="auto"/>
        <w:rPr>
          <w:sz w:val="20"/>
          <w:szCs w:val="20"/>
          <w:color w:val="auto"/>
        </w:rPr>
      </w:pPr>
      <w:r>
        <w:rPr>
          <w:rFonts w:ascii="Times New Roman" w:cs="Times New Roman" w:eastAsia="Times New Roman" w:hAnsi="Times New Roman"/>
          <w:sz w:val="18"/>
          <w:szCs w:val="18"/>
          <w:color w:val="auto"/>
        </w:rPr>
        <w:t>had remaining authority to repurchase up to $239,171 of its outstanding ordinary shares under the November 2017 plan. On November 12, 2019, the Company’s Board of Directors adopted another share repurchase plan for the repurchase of up to an additional $800,000 of Company’s outstanding ordinary shares which brings the unused authorization as of September 30, 2019 to $1,039,171. The November 2019 plan authorizations have no expiration date and permit the Company to purchase its ordinary shares in open market or privately negotiated transactions at times and prices that it considers appropriate.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13 — Financing Arrangements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In March 2017, the Company borrowed an aggregate of $200,000 under the facility and repaid it in April 2017. In March 2018, the Company borrowed an aggregate of $120,000 under the facility and repaid it in April 2018. As of September 30, 2019, the Company was in compliance with the financial covenants under the revolving credit facility and had no outstanding borrowings under this facility.</w:t>
      </w:r>
    </w:p>
    <w:p>
      <w:pPr>
        <w:spacing w:after="0" w:line="185"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had additional uncommitted lines of credit available for general corporate and other specific purposes and had outstanding letters of credit and bank guarantees from various banks totaling $91,291. These were supported by a combination of the uncommitted lines of credit that the Company maintains with various banks.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14 — Accrued Expenses and Other Current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19"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2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$259,661</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$256,012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payable(1)</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instruments(2)</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175,494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211,176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647,657</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706,637</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640" w:right="420" w:hanging="436"/>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as a result of the August 7, 2019 and the July 31, 2018 dividend declarations. See Note 19 to the consolidated financial statements.</w:t>
      </w:r>
    </w:p>
    <w:p>
      <w:pPr>
        <w:ind w:left="640" w:right="180" w:hanging="436"/>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derivatives that are designated as hedging instruments and derivatives that are not designated as hedging instruments. See Note 7 to the consolidated financial statements.</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00"/>
          </w:cols>
          <w:pgMar w:left="240" w:top="401"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15 — Interest and other expense, net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other expense, net, consists of the following:</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4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40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$ 6,225</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$ 6,602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$ 7,972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(3,911)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35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(7,860)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5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3,687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10"/>
        </w:trPr>
        <w:tc>
          <w:tcPr>
            <w:tcW w:w="40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(1,859</w:t>
            </w:r>
          </w:p>
        </w:tc>
        <w:tc>
          <w:tcPr>
            <w:tcW w:w="520" w:type="dxa"/>
            <w:vAlign w:val="bottom"/>
            <w:tcBorders>
              <w:top w:val="single" w:sz="8" w:color="CCEEFF"/>
            </w:tcBorders>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(6,766</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(4,421</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16 — Contingencies and Commitments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left="200" w:right="540" w:firstLine="441"/>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2019 are as follows:</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Rent expense net of sublease income was approximately $65,692, $63,603 and $55,480 for fiscal years 2019, 2018 and 2017, respectively. The Company had immaterial committed future sublease income as of September 30, 2019.</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0"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80"/>
          </w:cols>
          <w:pgMar w:left="240" w:top="401"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fiscal year 2019 the Company paid the settlement amount of $50,000 and $5,000 in legal and other fees which were accrued as of September 30, 2018.</w:t>
      </w:r>
    </w:p>
    <w:p>
      <w:pPr>
        <w:spacing w:after="0" w:line="188"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Guarantor’s Accounting and Disclosure Requirements for Guarantees</w:t>
      </w:r>
    </w:p>
    <w:p>
      <w:pPr>
        <w:spacing w:after="0" w:line="121"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76" w:lineRule="exact"/>
        <w:rPr>
          <w:sz w:val="20"/>
          <w:szCs w:val="20"/>
          <w:color w:val="auto"/>
        </w:rPr>
      </w:pPr>
    </w:p>
    <w:p>
      <w:pPr>
        <w:jc w:val="both"/>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2019, 2018 and 2017.</w:t>
      </w:r>
    </w:p>
    <w:p>
      <w:pPr>
        <w:spacing w:after="0" w:line="176" w:lineRule="exact"/>
        <w:rPr>
          <w:sz w:val="20"/>
          <w:szCs w:val="20"/>
          <w:color w:val="auto"/>
        </w:rPr>
      </w:pPr>
    </w:p>
    <w:p>
      <w:pPr>
        <w:ind w:left="200" w:firstLine="441"/>
        <w:spacing w:after="0" w:line="313" w:lineRule="auto"/>
        <w:rPr>
          <w:sz w:val="20"/>
          <w:szCs w:val="20"/>
          <w:color w:val="auto"/>
        </w:rPr>
      </w:pPr>
      <w:r>
        <w:rPr>
          <w:rFonts w:ascii="Times New Roman" w:cs="Times New Roman" w:eastAsia="Times New Roman" w:hAnsi="Times New Roman"/>
          <w:sz w:val="17"/>
          <w:szCs w:val="17"/>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17 — Employee Benefits</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Company accrues severance pay mainly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$266,209 and $258,262 as of September 30, 2019 and 2018, respectively, and is included as accrued employee costs in other noncurrent liabilities. This liability is partially funded by amounts on deposit with insurance companies that totaled $206,752 and $202,230 as of September 30, 2019 and 2018, respectively, and are included in other noncurrent assets. The accrued severance expenses were $33,355, $28,472 and $32,908 for fiscal years 2019, 2018 and 2017, respectively.</w:t>
      </w:r>
    </w:p>
    <w:p>
      <w:pPr>
        <w:spacing w:after="0" w:line="188"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2019, 2018 and 2017 under such plans were not material compared to total operating expenses.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240" w:top="401"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2019, 2018 and 2017.</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18 — Stock Option and Incentive Plan</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the grant.</w:t>
      </w:r>
    </w:p>
    <w:p>
      <w:pPr>
        <w:spacing w:after="0" w:line="185" w:lineRule="exact"/>
        <w:rPr>
          <w:sz w:val="20"/>
          <w:szCs w:val="20"/>
          <w:color w:val="auto"/>
        </w:rPr>
      </w:pPr>
    </w:p>
    <w:p>
      <w:pPr>
        <w:ind w:left="200" w:right="80" w:firstLine="441"/>
        <w:spacing w:after="0" w:line="286" w:lineRule="auto"/>
        <w:rPr>
          <w:sz w:val="20"/>
          <w:szCs w:val="20"/>
          <w:color w:val="auto"/>
        </w:rPr>
      </w:pPr>
      <w:r>
        <w:rPr>
          <w:rFonts w:ascii="Times New Roman" w:cs="Times New Roman" w:eastAsia="Times New Roman" w:hAnsi="Times New Roman"/>
          <w:sz w:val="18"/>
          <w:szCs w:val="18"/>
          <w:color w:val="auto"/>
        </w:rPr>
        <w:t>The following table summarizes information about options to purchase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ordinary shares, as well as changes during the fiscal year ended September 30, 2019:</w:t>
      </w:r>
    </w:p>
    <w:p>
      <w:pPr>
        <w:spacing w:after="0" w:line="14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60" w:type="dxa"/>
            <w:vAlign w:val="bottom"/>
            <w:gridSpan w:val="3"/>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1, 2018</w:t>
            </w:r>
          </w:p>
        </w:tc>
        <w:tc>
          <w:tcPr>
            <w:tcW w:w="1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2019(1)</w:t>
            </w:r>
          </w:p>
        </w:tc>
        <w:tc>
          <w:tcPr>
            <w:tcW w:w="1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2019(1)</w:t>
            </w:r>
          </w:p>
        </w:tc>
        <w:tc>
          <w:tcPr>
            <w:tcW w:w="12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2,899</w:t>
            </w:r>
          </w:p>
        </w:tc>
        <w:tc>
          <w:tcPr>
            <w:tcW w:w="5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640" w:right="420" w:hanging="436"/>
        <w:spacing w:after="0" w:line="282"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2019, the weighted average remaining contractual life of outstanding and exercisable options was 7.24 and 5.63 years, respectively.</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240" w:top="401" w:right="5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information relating to awards of restricted shares, as well as changes during the fiscal year ended September 30,</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2019:</w:t>
      </w:r>
    </w:p>
    <w:p>
      <w:pPr>
        <w:spacing w:after="0" w:line="18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5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5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1, 2018</w:t>
            </w:r>
          </w:p>
        </w:tc>
        <w:tc>
          <w:tcPr>
            <w:tcW w:w="1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5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2019</w:t>
            </w:r>
          </w:p>
        </w:tc>
        <w:tc>
          <w:tcPr>
            <w:tcW w:w="1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total intrinsic value of options exercised during fiscal years 2019, 2018 and 2017 was $13,081, $38,025 and $47,321, respectively.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value of restricted shares vested during fiscal years 2019, 2018 and 2017 was $28,430, $35,801 and $36,922, respectively.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aggregate intrinsic value of outstanding and exercisable stock options as of September 30, 2019 was $56,997 and $40,532, respectively.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years ended September 30, 2019, 2018 and 2017 was as follows:</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2"/>
                <w:szCs w:val="12"/>
                <w:color w:val="auto"/>
              </w:rPr>
            </w:pPr>
          </w:p>
        </w:tc>
        <w:tc>
          <w:tcPr>
            <w:tcW w:w="6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$19,879</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$18,253</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$19,215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3,476</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3,536</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25,747</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21,788</w:t>
            </w:r>
          </w:p>
        </w:tc>
        <w:tc>
          <w:tcPr>
            <w:tcW w:w="60" w:type="dxa"/>
            <w:vAlign w:val="bottom"/>
            <w:shd w:val="clear" w:color="auto" w:fill="CCEEFF"/>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38,550</w:t>
            </w:r>
          </w:p>
        </w:tc>
        <w:tc>
          <w:tcPr>
            <w:tcW w:w="5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47,476</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44,539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8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45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rate(1)</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options(2)</w:t>
            </w:r>
          </w:p>
        </w:tc>
        <w:tc>
          <w:tcPr>
            <w:tcW w:w="2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4.50</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4.50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volatility(3)</w:t>
            </w:r>
          </w:p>
        </w:tc>
        <w:tc>
          <w:tcPr>
            <w:tcW w:w="2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yield(4)</w:t>
            </w:r>
          </w:p>
        </w:tc>
        <w:tc>
          <w:tcPr>
            <w:tcW w:w="2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option</w:t>
            </w:r>
          </w:p>
        </w:tc>
        <w:tc>
          <w:tcPr>
            <w:tcW w:w="2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$9.13</w:t>
            </w: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$8.70</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640" w:hanging="43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based upon U.S. Treasury yield curve appropriate for the term of the Company’s employee stock options.</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of stock options is based upon historical experience.</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blended volatility.</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is based on the Company’s history and future expectation of dividend payouts.</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240" w:top="401" w:right="5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19 — Dividends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fiscal years ended September 30, 2019, 2018 and 2017:</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3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1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12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7, 2019</w:t>
            </w:r>
          </w:p>
        </w:tc>
        <w:tc>
          <w:tcPr>
            <w:tcW w:w="13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0.285</w:t>
            </w:r>
          </w:p>
        </w:tc>
        <w:tc>
          <w:tcPr>
            <w:tcW w:w="21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2019</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38,413</w:t>
            </w:r>
          </w:p>
        </w:tc>
        <w:tc>
          <w:tcPr>
            <w:tcW w:w="1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October 25, 2019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May 14, 2019</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0.285</w:t>
            </w:r>
          </w:p>
        </w:tc>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28, 2019</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38,730</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2019</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0.285</w:t>
            </w:r>
          </w:p>
        </w:tc>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29, 2019</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39,084</w:t>
            </w: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2018</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2018</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34,755</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18,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2018</w:t>
            </w:r>
          </w:p>
        </w:tc>
        <w:tc>
          <w:tcPr>
            <w:tcW w:w="13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21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28, 2018</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35,046</w:t>
            </w:r>
          </w:p>
        </w:tc>
        <w:tc>
          <w:tcPr>
            <w:tcW w:w="1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October 19, 2018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May 10, 2018</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29, 2018</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35,363</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2018</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30, 2018</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35,637</w:t>
            </w: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April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2017</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0.220</w:t>
            </w:r>
          </w:p>
        </w:tc>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29, 2017</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31,556</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19,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3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0.220</w:t>
            </w:r>
          </w:p>
        </w:tc>
        <w:tc>
          <w:tcPr>
            <w:tcW w:w="21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29, 2017</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31,736</w:t>
            </w:r>
          </w:p>
        </w:tc>
        <w:tc>
          <w:tcPr>
            <w:tcW w:w="1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October 23, 2017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May 9, 2017</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0.220</w:t>
            </w:r>
          </w:p>
        </w:tc>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30, 2017</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31,981</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2017</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0.220</w:t>
            </w:r>
          </w:p>
        </w:tc>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31, 2017</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32,223</w:t>
            </w: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April 14, 2017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8, 2016</w:t>
            </w:r>
          </w:p>
        </w:tc>
        <w:tc>
          <w:tcPr>
            <w:tcW w:w="1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0.195</w:t>
            </w: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December 30, 2016</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28,606</w:t>
            </w:r>
          </w:p>
        </w:tc>
        <w:tc>
          <w:tcPr>
            <w:tcW w:w="1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January 13,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August 7, 2019, July 31, 2018 and August 2, 2017 declarations were included in accrued expenses and other current liabilities as of September 30, 2019, 2018 and 2017, respectively.</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On November 12, 2019, the Company’s Board of Directors approved quarterly dividend payment of $0.285 per share, and set December 31, 2019 as the record date for determining the shareholders entitled to receive the dividend, which is payable on January 24, 2020.</w:t>
      </w:r>
    </w:p>
    <w:p>
      <w:pPr>
        <w:spacing w:after="0" w:line="162"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On November 12, 2019, the Company’s Board of Directors also approved, subject to shareholder approval at the January 2020 annual general meeting of shareholders, an increase in the quarterly cash dividend to $0.3275 per share, anticipated to be paid in April 2020.</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60"/>
          </w:cols>
          <w:pgMar w:left="240" w:top="401"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20 — Earnings Per Share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479,446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354,396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436,826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and dividends attributable to participating restricted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3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476,151</w:t>
            </w:r>
          </w:p>
        </w:tc>
        <w:tc>
          <w:tcPr>
            <w:tcW w:w="4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351,746</w:t>
            </w:r>
          </w:p>
        </w:tc>
        <w:tc>
          <w:tcPr>
            <w:tcW w:w="4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433,309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shares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476,163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351,760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137,418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142,422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146,017</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number of participating restricted shares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136,474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141,357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144,841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Effect of dilutive stock options granted</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691</w:t>
            </w: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1,282</w:t>
            </w: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1,414</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137,165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142,639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146,255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4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4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3.47</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 the fiscal years ended September 30, 2019, 2018 and 2017, 3,547, 1,357 and 1,281 shares, respectively, on a weighted average basis, were attributable to antidilutive outstanding stock options and therefore were not included in the calculation of diluted earnings per share.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21 — Segment Information and Sales to Significant Customers</w:t>
      </w:r>
    </w:p>
    <w:p>
      <w:pPr>
        <w:spacing w:after="0" w:line="121"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operate in one operating segment, providing software products and services for the communications, entertainment and media industry service providers.</w:t>
      </w:r>
    </w:p>
    <w:p>
      <w:pPr>
        <w:spacing w:after="0" w:line="16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0880"/>
          </w:cols>
          <w:pgMar w:left="240" w:top="401" w:right="7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and long-lived assets by geographic area. Revenue is attributed to geographic region based on the location of the customers.</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132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$ 2,582,719</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$ 2,550,234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$ 2,546,290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598,731</w:t>
            </w:r>
          </w:p>
        </w:tc>
        <w:tc>
          <w:tcPr>
            <w:tcW w:w="18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572,196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488,932</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905,219</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852,407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831,933</w:t>
            </w:r>
          </w:p>
        </w:tc>
        <w:tc>
          <w:tcPr>
            <w:tcW w:w="100" w:type="dxa"/>
            <w:vAlign w:val="bottom"/>
          </w:tcPr>
          <w:p>
            <w:pPr>
              <w:spacing w:after="0"/>
              <w:rPr>
                <w:sz w:val="18"/>
                <w:szCs w:val="18"/>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$ 4,086,669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$ 3,974,837</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$ 3,867,155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Assets(1)</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$206,086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$187,884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88,251</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Israel</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161,726</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525,314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496,585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6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7"/>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Property and equipment, net.</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8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$ 2,246,279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$ 2,051,589</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$ 2,005,382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2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1,840,390</w:t>
            </w:r>
          </w:p>
        </w:tc>
        <w:tc>
          <w:tcPr>
            <w:tcW w:w="14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1,923,248</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1,861,773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$ 4,086,669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$ 3,974,837</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$ 3,867,155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Sales to Significant Customers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had one customer, AT&amp;T, which accounted for at least ten percent of its total revenue in each of fiscal years 2019, 2018 and 2017.</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percentage of revenue from this customer out of total revenue during fiscal years 2019, 2018 and 2017 was 23%, 27% and 33%, respectively.</w:t>
      </w: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80"/>
          </w:cols>
          <w:pgMar w:left="240" w:top="401"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22 — Selected Quarterly Results of Operations (Unaudited)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are details of the unaudited quarterly results of operations for the three months ended:</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$ 1,030,253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$1,024,704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1,019,657</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1,012,055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131,448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$ 1,002,588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$1,002,198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992,340</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F-46</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780"/>
          </w:cols>
          <w:pgMar w:left="240" w:top="401" w:right="8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100" w:type="dxa"/>
            <w:vAlign w:val="bottom"/>
            <w:gridSpan w:val="4"/>
          </w:tcPr>
          <w:p>
            <w:pPr>
              <w:ind w:left="214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22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Valuation Allowances on</w:t>
            </w: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420" w:type="dxa"/>
            <w:vAlign w:val="bottom"/>
          </w:tcPr>
          <w:p>
            <w:pPr>
              <w:spacing w:after="0"/>
              <w:rPr>
                <w:sz w:val="15"/>
                <w:szCs w:val="15"/>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96,870</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(30,053)(3)</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(23,722)(2)</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2017</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94,573</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6,121(1)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(14,875)(4)</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(6,140)</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6,008(1)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(9,756)(6)</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(34,211)(5)</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85,533</w:t>
            </w:r>
          </w:p>
        </w:tc>
        <w:tc>
          <w:tcPr>
            <w:tcW w:w="28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r>
    </w:tbl>
    <w:p>
      <w:pPr>
        <w:spacing w:after="0" w:line="9" w:lineRule="exact"/>
        <w:rPr>
          <w:sz w:val="20"/>
          <w:szCs w:val="20"/>
          <w:color w:val="auto"/>
        </w:rPr>
      </w:pPr>
    </w:p>
    <w:p>
      <w:pPr>
        <w:ind w:left="640" w:hanging="43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valuation allowances on deferred tax assets incurred in connection with an acquisition.</w:t>
      </w:r>
    </w:p>
    <w:p>
      <w:pPr>
        <w:spacing w:after="0" w:line="117" w:lineRule="exact"/>
        <w:rPr>
          <w:rFonts w:ascii="Times New Roman" w:cs="Times New Roman" w:eastAsia="Times New Roman" w:hAnsi="Times New Roman"/>
          <w:sz w:val="18"/>
          <w:szCs w:val="18"/>
          <w:color w:val="auto"/>
        </w:rPr>
      </w:pPr>
    </w:p>
    <w:p>
      <w:pPr>
        <w:ind w:left="640" w:right="160" w:hanging="436"/>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$2,416 of valuation allowances on deferred tax assets were written off against the related deferred tax assets, and the remaining deductions in the valuation allowances on net deferred tax assets were released to earnings.</w:t>
      </w:r>
    </w:p>
    <w:p>
      <w:pPr>
        <w:spacing w:after="0" w:line="53" w:lineRule="exact"/>
        <w:rPr>
          <w:rFonts w:ascii="Times New Roman" w:cs="Times New Roman" w:eastAsia="Times New Roman" w:hAnsi="Times New Roman"/>
          <w:sz w:val="18"/>
          <w:szCs w:val="18"/>
          <w:color w:val="auto"/>
        </w:rPr>
      </w:pPr>
    </w:p>
    <w:p>
      <w:pPr>
        <w:ind w:left="640" w:right="40" w:hanging="436"/>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$3,008 of accounts receivable allowances were written off against the related accounts receivables, $5,291 of accounts receivable allowances were netted against deferred revenue, and the remaining deductions in the accounts receivable allowances were released to earnings.</w:t>
      </w:r>
    </w:p>
    <w:p>
      <w:pPr>
        <w:spacing w:after="0" w:line="53" w:lineRule="exact"/>
        <w:rPr>
          <w:rFonts w:ascii="Times New Roman" w:cs="Times New Roman" w:eastAsia="Times New Roman" w:hAnsi="Times New Roman"/>
          <w:sz w:val="18"/>
          <w:szCs w:val="18"/>
          <w:color w:val="auto"/>
        </w:rPr>
      </w:pPr>
    </w:p>
    <w:p>
      <w:pPr>
        <w:ind w:left="640" w:right="180" w:hanging="436"/>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$6,659 of accounts receivable allowances were written off against the related accounts receivables, and the remaining deductions in the accounts receivable allowances were released to earnings.</w:t>
      </w:r>
    </w:p>
    <w:p>
      <w:pPr>
        <w:spacing w:after="0" w:line="53" w:lineRule="exact"/>
        <w:rPr>
          <w:rFonts w:ascii="Times New Roman" w:cs="Times New Roman" w:eastAsia="Times New Roman" w:hAnsi="Times New Roman"/>
          <w:sz w:val="18"/>
          <w:szCs w:val="18"/>
          <w:color w:val="auto"/>
        </w:rPr>
      </w:pPr>
    </w:p>
    <w:p>
      <w:pPr>
        <w:ind w:left="640" w:right="160" w:hanging="436"/>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$7,588 of valuation allowances on deferred tax assets were written off against the related deferred tax assets, and the remaining deductions in the valuation allowances on net deferred tax assets were released to earnings.</w:t>
      </w:r>
    </w:p>
    <w:p>
      <w:pPr>
        <w:spacing w:after="0" w:line="53" w:lineRule="exact"/>
        <w:rPr>
          <w:rFonts w:ascii="Times New Roman" w:cs="Times New Roman" w:eastAsia="Times New Roman" w:hAnsi="Times New Roman"/>
          <w:sz w:val="18"/>
          <w:szCs w:val="18"/>
          <w:color w:val="auto"/>
        </w:rPr>
      </w:pPr>
    </w:p>
    <w:p>
      <w:pPr>
        <w:ind w:left="640" w:right="180" w:hanging="436"/>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$3,539 of accounts receivable allowances were written off against the related accounts receivables, and the remaining deductions in the accounts receivable allowances were released to earnings.</w:t>
      </w: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sectPr>
      <w:pgSz w:w="11900" w:h="16838" w:orient="portrait"/>
      <w:cols w:equalWidth="0" w:num="1">
        <w:col w:w="11240"/>
      </w:cols>
      <w:pgMar w:left="240" w:top="40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lvl w:ilvl="1">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lowerRoman"/>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lvl w:ilvl="1">
      <w:lvlJc w:val="left"/>
      <w:lvlText w:val="%2"/>
      <w:numFmt w:val="decimal"/>
      <w:start w:val="104"/>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lowerRoman"/>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96" Type="http://schemas.openxmlformats.org/officeDocument/2006/relationships/hyperlink" Target="http://www.sec.gov/Archives/edgar/data/1062579/000095012309001258/y74186exv99w1.htm" TargetMode="External"/><Relationship Id="rId97" Type="http://schemas.openxmlformats.org/officeDocument/2006/relationships/hyperlink" Target="http://www.sec.gov/Archives/edgar/data/1062579/000095012310111454/y86844exv1w2.htm" TargetMode="External"/><Relationship Id="rId98" Type="http://schemas.openxmlformats.org/officeDocument/2006/relationships/hyperlink" Target="http://www.sec.gov/Archives/edgar/data/1062579/000119312519315234/d709976dex2.htm" TargetMode="External"/><Relationship Id="rId99" Type="http://schemas.openxmlformats.org/officeDocument/2006/relationships/hyperlink" Target="http://www.sec.gov/Archives/edgar/data/1062579/000119312517366393/d419646dex4b6.htm" TargetMode="External"/><Relationship Id="rId100" Type="http://schemas.openxmlformats.org/officeDocument/2006/relationships/hyperlink" Target="http://www.sec.gov/Archives/edgar/data/1062579/000119312518346169/d596048dex4a2.htm" TargetMode="External"/><Relationship Id="rId101" Type="http://schemas.openxmlformats.org/officeDocument/2006/relationships/hyperlink" Target="http://www.sec.gov/Archives/edgar/data/1062579/000119312519315234/d709976dex4a3.htm" TargetMode="External"/><Relationship Id="rId102" Type="http://schemas.openxmlformats.org/officeDocument/2006/relationships/hyperlink" Target="http://www.sec.gov/Archives/edgar/data/1062579/000119312519315234/d709976dex4a4.htm" TargetMode="External"/><Relationship Id="rId103" Type="http://schemas.openxmlformats.org/officeDocument/2006/relationships/hyperlink" Target="http://www.sec.gov/Archives/edgar/data/1062579/000119312518040404/d532355dex991.htm" TargetMode="External"/><Relationship Id="rId104" Type="http://schemas.openxmlformats.org/officeDocument/2006/relationships/hyperlink" Target="http://www.sec.gov/Archives/edgar/data/1062579/000119312517366393/d419646dex4d.htm" TargetMode="External"/><Relationship Id="rId105" Type="http://schemas.openxmlformats.org/officeDocument/2006/relationships/hyperlink" Target="http://www.sec.gov/Archives/edgar/data/1062579/000119312519315234/d709976dex8.htm" TargetMode="External"/><Relationship Id="rId106" Type="http://schemas.openxmlformats.org/officeDocument/2006/relationships/hyperlink" Target="http://www.sec.gov/Archives/edgar/data/1062579/000119312519315234/d709976dex121.htm" TargetMode="External"/><Relationship Id="rId107" Type="http://schemas.openxmlformats.org/officeDocument/2006/relationships/hyperlink" Target="http://www.sec.gov/Archives/edgar/data/1062579/000119312519315234/d709976dex122.htm" TargetMode="External"/><Relationship Id="rId108" Type="http://schemas.openxmlformats.org/officeDocument/2006/relationships/hyperlink" Target="http://www.sec.gov/Archives/edgar/data/1062579/000119312519315234/d709976dex131.htm" TargetMode="External"/><Relationship Id="rId109" Type="http://schemas.openxmlformats.org/officeDocument/2006/relationships/hyperlink" Target="http://www.sec.gov/Archives/edgar/data/1062579/000119312519315234/d709976dex132.htm" TargetMode="External"/><Relationship Id="rId110" Type="http://schemas.openxmlformats.org/officeDocument/2006/relationships/hyperlink" Target="http://www.sec.gov/Archives/edgar/data/1062579/000119312519315234/d7099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2019-12-19T16:02:13Z</dcterms:created>
  <dcterms:modified xsi:type="dcterms:W3CDTF">2019-12-19T16:02:13Z</dcterms:modified>
</cp:coreProperties>
</file>