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AMDOCS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G02602103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G02602103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Massachusetts Financial Services Company ("MFS")</w:t>
            </w: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04-2747644</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3760" w:type="dxa"/>
            <w:vAlign w:val="bottom"/>
          </w:tcPr>
          <w:p>
            <w:pPr>
              <w:ind w:left="100"/>
              <w:spacing w:after="0" w:line="243" w:lineRule="exact"/>
              <w:rPr>
                <w:sz w:val="20"/>
                <w:szCs w:val="20"/>
                <w:color w:val="auto"/>
              </w:rPr>
            </w:pPr>
            <w:r>
              <w:rPr>
                <w:rFonts w:ascii="Arial" w:cs="Arial" w:eastAsia="Arial" w:hAnsi="Arial"/>
                <w:sz w:val="22"/>
                <w:szCs w:val="22"/>
                <w:color w:val="auto"/>
              </w:rPr>
              <w:t>(b) [ ]</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Not Applicable</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5,622,052</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6,303,951</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w w:val="92"/>
              </w:rPr>
              <w:t>6,303,951 shares of Common Stock consisting of shares beneficially owned by MFS and/or certain other</w:t>
            </w: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non-reporting entities</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Not Applicable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5.1%</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hanging="707"/>
        <w:spacing w:after="0"/>
        <w:tabs>
          <w:tab w:leader="none" w:pos="16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AMDOCS LTD</w:t>
      </w:r>
    </w:p>
    <w:p>
      <w:pPr>
        <w:spacing w:after="0" w:line="101" w:lineRule="exact"/>
        <w:rPr>
          <w:rFonts w:ascii="Arial" w:cs="Arial" w:eastAsia="Arial" w:hAnsi="Arial"/>
          <w:sz w:val="22"/>
          <w:szCs w:val="22"/>
          <w:b w:val="1"/>
          <w:bCs w:val="1"/>
          <w:color w:val="auto"/>
        </w:rPr>
      </w:pPr>
    </w:p>
    <w:p>
      <w:pPr>
        <w:ind w:left="1620" w:hanging="707"/>
        <w:spacing w:after="0"/>
        <w:tabs>
          <w:tab w:leader="none" w:pos="16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1390 Timberlake Manor Parkway, Chesterfield, MO 63017</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620" w:hanging="707"/>
        <w:spacing w:after="0"/>
        <w:tabs>
          <w:tab w:leader="none" w:pos="16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Massachusetts Financial Services Company</w:t>
      </w:r>
    </w:p>
    <w:p>
      <w:pPr>
        <w:spacing w:after="0" w:line="101" w:lineRule="exact"/>
        <w:rPr>
          <w:rFonts w:ascii="Arial" w:cs="Arial" w:eastAsia="Arial" w:hAnsi="Arial"/>
          <w:sz w:val="22"/>
          <w:szCs w:val="22"/>
          <w:b w:val="1"/>
          <w:bCs w:val="1"/>
          <w:color w:val="auto"/>
        </w:rPr>
      </w:pPr>
    </w:p>
    <w:p>
      <w:pPr>
        <w:ind w:left="1620" w:right="4000" w:hanging="707"/>
        <w:spacing w:after="0" w:line="256" w:lineRule="auto"/>
        <w:tabs>
          <w:tab w:leader="none" w:pos="16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111 Huntington Avenue, Boston, MA 02199</w:t>
      </w:r>
    </w:p>
    <w:p>
      <w:pPr>
        <w:spacing w:after="0" w:line="81" w:lineRule="exact"/>
        <w:rPr>
          <w:rFonts w:ascii="Arial" w:cs="Arial" w:eastAsia="Arial" w:hAnsi="Arial"/>
          <w:sz w:val="22"/>
          <w:szCs w:val="22"/>
          <w:b w:val="1"/>
          <w:bCs w:val="1"/>
          <w:color w:val="auto"/>
        </w:rPr>
      </w:pPr>
    </w:p>
    <w:p>
      <w:pPr>
        <w:ind w:left="1620" w:right="836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Delaware</w:t>
      </w:r>
    </w:p>
    <w:p>
      <w:pPr>
        <w:spacing w:after="0" w:line="12" w:lineRule="exact"/>
        <w:rPr>
          <w:rFonts w:ascii="Arial" w:cs="Arial" w:eastAsia="Arial" w:hAnsi="Arial"/>
          <w:sz w:val="19"/>
          <w:szCs w:val="19"/>
          <w:b w:val="1"/>
          <w:bCs w:val="1"/>
          <w:color w:val="auto"/>
        </w:rPr>
      </w:pPr>
    </w:p>
    <w:p>
      <w:pPr>
        <w:ind w:left="1620" w:right="700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620" w:right="794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G02602103</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8"/>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ind w:left="8"/>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left="8" w:right="4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left="8" w:right="24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left="8"/>
        <w:spacing w:after="0"/>
        <w:rPr>
          <w:sz w:val="20"/>
          <w:szCs w:val="20"/>
          <w:color w:val="auto"/>
        </w:rPr>
      </w:pPr>
      <w:r>
        <w:rPr>
          <w:rFonts w:ascii="Arial" w:cs="Arial" w:eastAsia="Arial" w:hAnsi="Arial"/>
          <w:sz w:val="19"/>
          <w:szCs w:val="19"/>
          <w:color w:val="auto"/>
        </w:rPr>
        <w:t>A church plan that is excluded from the definition of an investment company under Section 3(c)</w:t>
      </w:r>
    </w:p>
    <w:p>
      <w:pPr>
        <w:spacing w:after="0" w:line="43" w:lineRule="exact"/>
        <w:rPr>
          <w:sz w:val="20"/>
          <w:szCs w:val="20"/>
          <w:color w:val="auto"/>
        </w:rPr>
      </w:pPr>
    </w:p>
    <w:p>
      <w:pPr>
        <w:ind w:left="8" w:right="3040" w:hanging="8"/>
        <w:spacing w:after="0" w:line="456" w:lineRule="auto"/>
        <w:tabs>
          <w:tab w:leader="none" w:pos="422" w:val="left"/>
        </w:tabs>
        <w:numPr>
          <w:ilvl w:val="0"/>
          <w:numId w:val="4"/>
        </w:numPr>
        <w:rPr>
          <w:rFonts w:ascii="Arial" w:cs="Arial" w:eastAsia="Arial" w:hAnsi="Arial"/>
          <w:sz w:val="19"/>
          <w:szCs w:val="19"/>
          <w:color w:val="auto"/>
        </w:rPr>
      </w:pPr>
      <w:r>
        <w:rPr>
          <w:rFonts w:ascii="Arial" w:cs="Arial" w:eastAsia="Arial" w:hAnsi="Arial"/>
          <w:sz w:val="19"/>
          <w:szCs w:val="19"/>
          <w:color w:val="auto"/>
        </w:rPr>
        <w:t>of the Investment Company Act of 1940 (15 U.S.C. 80a-3); Group, in accordance with Rule 240.13d-1(b)(1)(ii)(J).</w:t>
      </w:r>
    </w:p>
    <w:p>
      <w:pPr>
        <w:spacing w:after="0" w:line="285" w:lineRule="exact"/>
        <w:rPr>
          <w:sz w:val="20"/>
          <w:szCs w:val="20"/>
          <w:color w:val="auto"/>
        </w:rPr>
      </w:pPr>
    </w:p>
    <w:p>
      <w:pPr>
        <w:sectPr>
          <w:pgSz w:w="11900" w:h="16838" w:orient="portrait"/>
          <w:cols w:equalWidth="0" w:num="2">
            <w:col w:w="1980" w:space="432"/>
            <w:col w:w="8608"/>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620" w:right="340"/>
        <w:spacing w:after="0" w:line="250" w:lineRule="auto"/>
        <w:rPr>
          <w:rFonts w:ascii="Arial" w:cs="Arial" w:eastAsia="Arial" w:hAnsi="Arial"/>
          <w:sz w:val="22"/>
          <w:szCs w:val="22"/>
          <w:color w:val="auto"/>
        </w:rPr>
      </w:pPr>
      <w:r>
        <w:rPr>
          <w:rFonts w:ascii="Arial" w:cs="Arial" w:eastAsia="Arial" w:hAnsi="Arial"/>
          <w:sz w:val="22"/>
          <w:szCs w:val="22"/>
          <w:color w:val="auto"/>
        </w:rPr>
        <w:t>6,303,951 shares of Common Stock consisting of shares beneficially owned by MFS and/or certain other non-reporting entities</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620" w:hanging="707"/>
        <w:spacing w:after="0"/>
        <w:tabs>
          <w:tab w:leader="none" w:pos="162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5.1%</w:t>
      </w:r>
    </w:p>
    <w:p>
      <w:pPr>
        <w:spacing w:after="0" w:line="125" w:lineRule="exact"/>
        <w:rPr>
          <w:rFonts w:ascii="Arial" w:cs="Arial" w:eastAsia="Arial" w:hAnsi="Arial"/>
          <w:sz w:val="22"/>
          <w:szCs w:val="22"/>
          <w:color w:val="auto"/>
        </w:rPr>
      </w:pPr>
    </w:p>
    <w:p>
      <w:pPr>
        <w:ind w:left="1620" w:hanging="707"/>
        <w:spacing w:after="0"/>
        <w:tabs>
          <w:tab w:leader="none" w:pos="1620" w:val="left"/>
        </w:tabs>
        <w:numPr>
          <w:ilvl w:val="0"/>
          <w:numId w:val="6"/>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6"/>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420" w:hanging="805"/>
        <w:spacing w:after="0" w:line="183" w:lineRule="auto"/>
        <w:tabs>
          <w:tab w:leader="none" w:pos="2420" w:val="left"/>
        </w:tabs>
        <w:numPr>
          <w:ilvl w:val="1"/>
          <w:numId w:val="6"/>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420" w:right="780" w:hanging="805"/>
        <w:spacing w:after="0" w:line="183" w:lineRule="auto"/>
        <w:tabs>
          <w:tab w:leader="none" w:pos="2420" w:val="left"/>
        </w:tabs>
        <w:numPr>
          <w:ilvl w:val="1"/>
          <w:numId w:val="6"/>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9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5,622,052</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6,303,951</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624" w:lineRule="exact"/>
        <w:rPr>
          <w:sz w:val="20"/>
          <w:szCs w:val="20"/>
          <w:color w:val="auto"/>
        </w:rPr>
      </w:pPr>
    </w:p>
    <w:p>
      <w:pPr>
        <w:sectPr>
          <w:pgSz w:w="11900" w:h="16838" w:orient="portrait"/>
          <w:cols w:equalWidth="0" w:num="2">
            <w:col w:w="6600" w:space="260"/>
            <w:col w:w="4160"/>
          </w:cols>
          <w:pgMar w:left="400" w:top="423" w:right="479" w:bottom="0" w:gutter="0" w:footer="0" w:header="0"/>
          <w:type w:val="continuous"/>
        </w:sectPr>
      </w:pPr>
    </w:p>
    <w:p>
      <w:pPr>
        <w:ind w:left="920" w:right="30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020"/>
          </w:cols>
          <w:pgMar w:left="400" w:top="423"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Massachusetts Financial Services Company</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Laurie J. Russell</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02, 2022</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Laurie J. Russell</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Title: Investment Compliance Senior Manager - Assistant Vice President</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4"/>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2022-02-02T11:50:37Z</dcterms:created>
  <dcterms:modified xsi:type="dcterms:W3CDTF">2022-02-02T11:50:37Z</dcterms:modified>
</cp:coreProperties>
</file>