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ind w:left="3500"/>
        <w:spacing w:after="0"/>
        <w:rPr>
          <w:sz w:val="20"/>
          <w:szCs w:val="20"/>
          <w:color w:val="auto"/>
        </w:rPr>
      </w:pPr>
      <w:r>
        <w:rPr>
          <w:rFonts w:ascii="Arial" w:cs="Arial" w:eastAsia="Arial" w:hAnsi="Arial"/>
          <w:sz w:val="22"/>
          <w:szCs w:val="22"/>
          <w:b w:val="1"/>
          <w:bCs w:val="1"/>
          <w:color w:val="auto"/>
        </w:rPr>
        <w:t>PURSUANT TO RULE 13a-16 OR 15d-16 OF</w:t>
      </w:r>
    </w:p>
    <w:p>
      <w:pPr>
        <w:ind w:left="33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Quarter Ended June 30, 2021</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6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00"/>
        <w:spacing w:after="0" w:line="207" w:lineRule="exact"/>
        <w:tabs>
          <w:tab w:leader="none" w:pos="59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-10160</wp:posOffset>
            </wp:positionV>
            <wp:extent cx="457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680"/>
          </w:cols>
          <w:pgMar w:left="320" w:top="230" w:right="8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20" w:type="dxa"/>
            <w:vAlign w:val="bottom"/>
            <w:gridSpan w:val="1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gridSpan w:val="4"/>
          </w:tcPr>
          <w:p>
            <w:pPr>
              <w:jc w:val="center"/>
              <w:ind w:right="2420"/>
              <w:spacing w:after="0"/>
              <w:rPr>
                <w:sz w:val="20"/>
                <w:szCs w:val="20"/>
                <w:color w:val="auto"/>
              </w:rPr>
            </w:pPr>
            <w:r>
              <w:rPr>
                <w:rFonts w:ascii="Arial" w:cs="Arial" w:eastAsia="Arial" w:hAnsi="Arial"/>
                <w:sz w:val="18"/>
                <w:szCs w:val="18"/>
                <w:color w:val="auto"/>
              </w:rPr>
              <w:t>AMDOCS LIMITED</w:t>
            </w:r>
          </w:p>
        </w:tc>
        <w:tc>
          <w:tcPr>
            <w:tcW w:w="196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80" w:type="dxa"/>
            <w:vAlign w:val="bottom"/>
            <w:gridSpan w:val="2"/>
          </w:tcPr>
          <w:p>
            <w:pPr>
              <w:jc w:val="center"/>
              <w:ind w:right="3020"/>
              <w:spacing w:after="0"/>
              <w:rPr>
                <w:sz w:val="20"/>
                <w:szCs w:val="20"/>
                <w:color w:val="auto"/>
              </w:rPr>
            </w:pPr>
            <w:r>
              <w:rPr>
                <w:rFonts w:ascii="Arial" w:cs="Arial" w:eastAsia="Arial" w:hAnsi="Arial"/>
                <w:sz w:val="18"/>
                <w:szCs w:val="18"/>
                <w:color w:val="auto"/>
                <w:w w:val="97"/>
              </w:rPr>
              <w:t>FORM 6-K</w:t>
            </w:r>
          </w:p>
        </w:tc>
        <w:tc>
          <w:tcPr>
            <w:tcW w:w="196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60" w:type="dxa"/>
            <w:vAlign w:val="bottom"/>
            <w:gridSpan w:val="8"/>
          </w:tcPr>
          <w:p>
            <w:pPr>
              <w:jc w:val="center"/>
              <w:ind w:right="1640"/>
              <w:spacing w:after="0"/>
              <w:rPr>
                <w:sz w:val="20"/>
                <w:szCs w:val="20"/>
                <w:color w:val="auto"/>
              </w:rPr>
            </w:pPr>
            <w:r>
              <w:rPr>
                <w:rFonts w:ascii="Arial" w:cs="Arial" w:eastAsia="Arial" w:hAnsi="Arial"/>
                <w:sz w:val="18"/>
                <w:szCs w:val="18"/>
                <w:color w:val="auto"/>
                <w:w w:val="92"/>
              </w:rPr>
              <w:t>REPORT OF FOREIGN PRIVATE ISSUER</w:t>
            </w:r>
          </w:p>
        </w:tc>
        <w:tc>
          <w:tcPr>
            <w:tcW w:w="196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60" w:type="dxa"/>
            <w:vAlign w:val="bottom"/>
            <w:gridSpan w:val="8"/>
          </w:tcPr>
          <w:p>
            <w:pPr>
              <w:jc w:val="center"/>
              <w:ind w:right="1640"/>
              <w:spacing w:after="0"/>
              <w:rPr>
                <w:sz w:val="20"/>
                <w:szCs w:val="20"/>
                <w:color w:val="auto"/>
              </w:rPr>
            </w:pPr>
            <w:r>
              <w:rPr>
                <w:rFonts w:ascii="Arial" w:cs="Arial" w:eastAsia="Arial" w:hAnsi="Arial"/>
                <w:sz w:val="18"/>
                <w:szCs w:val="18"/>
                <w:color w:val="auto"/>
                <w:w w:val="93"/>
              </w:rPr>
              <w:t>FOR THE QUARTER ENDED JUNE 30, 2021</w:t>
            </w:r>
          </w:p>
        </w:tc>
        <w:tc>
          <w:tcPr>
            <w:tcW w:w="196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80" w:type="dxa"/>
            <w:vAlign w:val="bottom"/>
            <w:gridSpan w:val="2"/>
          </w:tcPr>
          <w:p>
            <w:pPr>
              <w:jc w:val="center"/>
              <w:ind w:right="3020"/>
              <w:spacing w:after="0"/>
              <w:rPr>
                <w:sz w:val="20"/>
                <w:szCs w:val="20"/>
                <w:color w:val="auto"/>
              </w:rPr>
            </w:pPr>
            <w:r>
              <w:rPr>
                <w:rFonts w:ascii="Arial" w:cs="Arial" w:eastAsia="Arial" w:hAnsi="Arial"/>
                <w:sz w:val="18"/>
                <w:szCs w:val="18"/>
                <w:color w:val="auto"/>
              </w:rPr>
              <w:t>INDEX</w:t>
            </w:r>
          </w:p>
        </w:tc>
        <w:tc>
          <w:tcPr>
            <w:tcW w:w="196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284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FINANCIAL INFORMATION</w:t>
              </w:r>
            </w:hyperlink>
          </w:p>
        </w:tc>
        <w:tc>
          <w:tcPr>
            <w:tcW w:w="616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580" w:type="dxa"/>
            <w:vAlign w:val="bottom"/>
            <w:gridSpan w:val="1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8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Consolidated Financial Statements</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9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5000" w:type="dxa"/>
            <w:vAlign w:val="bottom"/>
            <w:gridSpan w:val="6"/>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Income</w:t>
              </w:r>
            </w:hyperlink>
          </w:p>
        </w:tc>
        <w:tc>
          <w:tcPr>
            <w:tcW w:w="5360" w:type="dxa"/>
            <w:vAlign w:val="bottom"/>
            <w:gridSpan w:val="8"/>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Comprehensive Income</w:t>
              </w:r>
            </w:hyperlink>
          </w:p>
        </w:tc>
        <w:tc>
          <w:tcPr>
            <w:tcW w:w="4180" w:type="dxa"/>
            <w:vAlign w:val="bottom"/>
            <w:gridSpan w:val="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90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Equity</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3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w:t>
              </w:r>
            </w:hyperlink>
          </w:p>
        </w:tc>
        <w:tc>
          <w:tcPr>
            <w:tcW w:w="4580" w:type="dxa"/>
            <w:vAlign w:val="bottom"/>
            <w:gridSpan w:val="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9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Consolidated Financial Statements</w:t>
              </w:r>
            </w:hyperlink>
          </w:p>
        </w:tc>
        <w:tc>
          <w:tcPr>
            <w:tcW w:w="3980" w:type="dxa"/>
            <w:vAlign w:val="bottom"/>
            <w:gridSpan w:val="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40" w:type="dxa"/>
            <w:vAlign w:val="bottom"/>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Operating and Financial Review and Prospects</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1760" w:type="dxa"/>
            <w:vAlign w:val="bottom"/>
            <w:gridSpan w:val="6"/>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000" w:type="dxa"/>
            <w:vAlign w:val="bottom"/>
            <w:gridSpan w:val="1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PART II OTHER INFORMATION</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3"/>
            <w:shd w:val="clear" w:color="auto" w:fill="0000EE"/>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40" w:type="dxa"/>
            <w:vAlign w:val="bottom"/>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 Changes in Securities, Use of Proceeds and Issuer Purchases of Equity Securities</w:t>
              </w:r>
            </w:hyperlink>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2. Reports on Form 6-K</w:t>
              </w:r>
            </w:hyperlink>
          </w:p>
        </w:tc>
        <w:tc>
          <w:tcPr>
            <w:tcW w:w="4220" w:type="dxa"/>
            <w:vAlign w:val="bottom"/>
            <w:tcBorders>
              <w:top w:val="single" w:sz="8" w:color="0000EE"/>
            </w:tcBorders>
            <w:gridSpan w:val="10"/>
          </w:tcPr>
          <w:p>
            <w:pPr>
              <w:spacing w:after="0"/>
              <w:rPr>
                <w:sz w:val="17"/>
                <w:szCs w:val="17"/>
                <w:color w:val="auto"/>
              </w:rPr>
            </w:pPr>
          </w:p>
        </w:tc>
        <w:tc>
          <w:tcPr>
            <w:tcW w:w="226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20" w:type="dxa"/>
            <w:vAlign w:val="bottom"/>
          </w:tcPr>
          <w:p>
            <w:pPr>
              <w:spacing w:after="0"/>
              <w:rPr>
                <w:sz w:val="17"/>
                <w:szCs w:val="17"/>
                <w:color w:val="auto"/>
              </w:rPr>
            </w:pPr>
          </w:p>
        </w:tc>
        <w:tc>
          <w:tcPr>
            <w:tcW w:w="1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SIGNATURES</w:t>
              </w:r>
            </w:hyperlink>
          </w:p>
        </w:tc>
        <w:tc>
          <w:tcPr>
            <w:tcW w:w="7900" w:type="dxa"/>
            <w:vAlign w:val="bottom"/>
            <w:gridSpan w:val="14"/>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500"/>
        <w:spacing w:after="0" w:line="342" w:lineRule="auto"/>
        <w:rPr>
          <w:sz w:val="20"/>
          <w:szCs w:val="20"/>
          <w:color w:val="auto"/>
        </w:rPr>
      </w:pPr>
      <w:r>
        <w:rPr>
          <w:rFonts w:ascii="Arial" w:cs="Arial" w:eastAsia="Arial" w:hAnsi="Arial"/>
          <w:sz w:val="16"/>
          <w:szCs w:val="16"/>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4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348"/>
              <w:spacing w:after="0" w:line="119" w:lineRule="exact"/>
              <w:rPr>
                <w:sz w:val="20"/>
                <w:szCs w:val="20"/>
                <w:color w:val="auto"/>
              </w:rPr>
            </w:pPr>
            <w:r>
              <w:rPr>
                <w:rFonts w:ascii="Arial" w:cs="Arial" w:eastAsia="Arial" w:hAnsi="Arial"/>
                <w:sz w:val="13"/>
                <w:szCs w:val="13"/>
                <w:b w:val="1"/>
                <w:bCs w:val="1"/>
                <w:color w:val="auto"/>
                <w:w w:val="99"/>
              </w:rPr>
              <w:t>June 30,</w:t>
            </w: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853,301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983,188</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193,353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925,118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861,033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213,387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229,604</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2,185,159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2,074,577</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654,111</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607,951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253,322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295,494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w w:val="94"/>
              </w:rPr>
              <w:t>2,619,118</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2,578,645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279,247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296,334</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576,544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488,620</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6,567,501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6,341,621</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155,308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110,142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597,582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593,608</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Accrued personnel costs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243,895</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226,509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financing arrangement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58,031</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59,100</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220,389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126,841</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1,275,205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1,216,200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302,638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258,487</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195,844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230,076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net of unamortized debt issuance costs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644,414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644,023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475,652</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327,680</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2,893,753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2,676,466</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tcPr>
          <w:p>
            <w:pPr>
              <w:spacing w:after="0"/>
              <w:rPr>
                <w:sz w:val="18"/>
                <w:szCs w:val="18"/>
                <w:color w:val="auto"/>
              </w:rPr>
            </w:pPr>
          </w:p>
        </w:tc>
        <w:tc>
          <w:tcPr>
            <w:tcW w:w="110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Ordinary Shares — Authorized 700,000 shares; £0.01 par value; 281,878 and 279,578 issued and 126,605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131,535 outstanding, respectively</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4,515</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w w:val="94"/>
              </w:rPr>
              <w:t>3,932,373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3,807,915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155,273 and 148,043 ordinary shares, respectively</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89"/>
              </w:rPr>
              <w:t>(6,083,290)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(5,543,321)</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5,772,368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5,341,907</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Amdocs Limited shareholders’ 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3,631,239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3,622,646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42,509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42,509</w:t>
            </w:r>
          </w:p>
        </w:tc>
        <w:tc>
          <w:tcPr>
            <w:tcW w:w="0" w:type="dxa"/>
            <w:vAlign w:val="bottom"/>
          </w:tcPr>
          <w:p>
            <w:pPr>
              <w:spacing w:after="0"/>
              <w:rPr>
                <w:sz w:val="1"/>
                <w:szCs w:val="1"/>
                <w:color w:val="auto"/>
              </w:rPr>
            </w:pPr>
          </w:p>
        </w:tc>
      </w:tr>
      <w:tr>
        <w:trPr>
          <w:trHeight w:val="230"/>
        </w:trPr>
        <w:tc>
          <w:tcPr>
            <w:tcW w:w="8820" w:type="dxa"/>
            <w:vAlign w:val="bottom"/>
          </w:tcPr>
          <w:p>
            <w:pPr>
              <w:ind w:left="72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3,673,748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3,665,155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4"/>
              </w:rPr>
              <w:t>6,567,501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6,341,621</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8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7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1,066,254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1,026,201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3,201,331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3,116,091</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681,725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2,103,601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2,052,007</w:t>
            </w: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80,794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70,093</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231,617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206,199</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361,240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352,187</w:t>
            </w: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17,240</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60,510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57,878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878,670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2,756,968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2,668,271</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154,919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147,531</w:t>
            </w: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444,363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447,820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10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226,410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145,114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661,075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442,761</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24,707</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96,226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79,384</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564,849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363,377</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Cash dividends declared per ordinary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0.3275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7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7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700" w:type="dxa"/>
            <w:vAlign w:val="bottom"/>
            <w:gridSpan w:val="4"/>
          </w:tcPr>
          <w:p>
            <w:pPr>
              <w:ind w:left="5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220" w:type="dxa"/>
            <w:vAlign w:val="bottom"/>
            <w:tcBorders>
              <w:bottom w:val="single" w:sz="8" w:color="CCEEFF"/>
            </w:tcBorders>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$ 146,150</w:t>
            </w:r>
          </w:p>
        </w:tc>
        <w:tc>
          <w:tcPr>
            <w:tcW w:w="22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$120,407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$564,849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$ 363,377</w:t>
            </w:r>
          </w:p>
        </w:tc>
        <w:tc>
          <w:tcPr>
            <w:tcW w:w="60" w:type="dxa"/>
            <w:vAlign w:val="bottom"/>
            <w:shd w:val="clear" w:color="auto" w:fill="CCEEFF"/>
          </w:tcPr>
          <w:p>
            <w:pPr>
              <w:spacing w:after="0"/>
              <w:rPr>
                <w:sz w:val="18"/>
                <w:szCs w:val="18"/>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fair value of cash flow hedges(1)</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(4,755)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15,138</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(5,702)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8,481</w:t>
            </w: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Net change in fair value of available-for-sale securities(2)</w:t>
            </w:r>
          </w:p>
        </w:tc>
        <w:tc>
          <w:tcPr>
            <w:tcW w:w="740" w:type="dxa"/>
            <w:vAlign w:val="bottom"/>
          </w:tcPr>
          <w:p>
            <w:pPr>
              <w:jc w:val="right"/>
              <w:spacing w:after="0"/>
              <w:rPr>
                <w:sz w:val="20"/>
                <w:szCs w:val="20"/>
                <w:color w:val="auto"/>
              </w:rPr>
            </w:pPr>
            <w:r>
              <w:rPr>
                <w:rFonts w:ascii="Arial" w:cs="Arial" w:eastAsia="Arial" w:hAnsi="Arial"/>
                <w:sz w:val="18"/>
                <w:szCs w:val="18"/>
                <w:color w:val="auto"/>
              </w:rPr>
              <w:t>990</w:t>
            </w:r>
          </w:p>
        </w:tc>
        <w:tc>
          <w:tcPr>
            <w:tcW w:w="220" w:type="dxa"/>
            <w:vAlign w:val="bottom"/>
            <w:gridSpan w:val="2"/>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c>
          <w:tcPr>
            <w:tcW w:w="80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7"/>
        </w:trPr>
        <w:tc>
          <w:tcPr>
            <w:tcW w:w="12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comprehensive (loss) income, net of tax</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(3,765)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15,138</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(6,389)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8,481</w:t>
            </w: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$ 142,385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135,545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558,460</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$ 371,858</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200" w:hanging="424"/>
        <w:spacing w:after="0" w:line="25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of tax benefit (expense) of $1,910 and $(1,480) for the three months ended June 30, 2021 and 2020, respectively and of $3,113 and $(2,719) for the nine months ended June 30, 2021 and 2020, respectively.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tax (expense) benefit for the three and nine months ended June 30, 2021 and 2020.</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Amdocs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Limited</w:t>
            </w:r>
          </w:p>
        </w:tc>
        <w:tc>
          <w:tcPr>
            <w:tcW w:w="8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6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9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5"/>
                <w:szCs w:val="15"/>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Capital</w:t>
            </w:r>
          </w:p>
        </w:tc>
        <w:tc>
          <w:tcPr>
            <w:tcW w:w="10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2"/>
                <w:szCs w:val="12"/>
                <w:color w:val="auto"/>
              </w:rPr>
            </w:pPr>
          </w:p>
        </w:tc>
        <w:tc>
          <w:tcPr>
            <w:tcW w:w="9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Balance as of March 31, 2021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127,654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$ 4,513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$3,912,275</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(5,993,395)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$5,671,798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$ 3,604,229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42,509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$3,646,738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146,150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146,150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146,150</w:t>
            </w:r>
          </w:p>
        </w:tc>
        <w:tc>
          <w:tcPr>
            <w:tcW w:w="0" w:type="dxa"/>
            <w:vAlign w:val="bottom"/>
          </w:tcPr>
          <w:p>
            <w:pPr>
              <w:spacing w:after="0"/>
              <w:rPr>
                <w:sz w:val="1"/>
                <w:szCs w:val="1"/>
                <w:color w:val="auto"/>
              </w:rPr>
            </w:pPr>
          </w:p>
        </w:tc>
      </w:tr>
      <w:tr>
        <w:trPr>
          <w:trHeight w:val="216"/>
        </w:trPr>
        <w:tc>
          <w:tcPr>
            <w:tcW w:w="2500" w:type="dxa"/>
            <w:vAlign w:val="bottom"/>
            <w:gridSpan w:val="2"/>
          </w:tcPr>
          <w:p>
            <w:pPr>
              <w:ind w:left="360"/>
              <w:spacing w:after="0"/>
              <w:rPr>
                <w:sz w:val="20"/>
                <w:szCs w:val="20"/>
                <w:color w:val="auto"/>
              </w:rPr>
            </w:pPr>
            <w:r>
              <w:rPr>
                <w:rFonts w:ascii="Arial" w:cs="Arial" w:eastAsia="Arial" w:hAnsi="Arial"/>
                <w:sz w:val="18"/>
                <w:szCs w:val="18"/>
                <w:color w:val="auto"/>
              </w:rPr>
              <w:t>Other comprehensive loss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(3,765)</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142,385</w:t>
            </w:r>
          </w:p>
        </w:tc>
        <w:tc>
          <w:tcPr>
            <w:tcW w:w="0" w:type="dxa"/>
            <w:vAlign w:val="bottom"/>
          </w:tcPr>
          <w:p>
            <w:pPr>
              <w:spacing w:after="0"/>
              <w:rPr>
                <w:sz w:val="1"/>
                <w:szCs w:val="1"/>
                <w:color w:val="auto"/>
              </w:rPr>
            </w:pP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Employee stock options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6,107</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6,109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(1,158)</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(89,895)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(89,895)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(89,895)</w:t>
            </w:r>
          </w:p>
        </w:tc>
        <w:tc>
          <w:tcPr>
            <w:tcW w:w="0" w:type="dxa"/>
            <w:vAlign w:val="bottom"/>
          </w:tcPr>
          <w:p>
            <w:pPr>
              <w:spacing w:after="0"/>
              <w:rPr>
                <w:sz w:val="1"/>
                <w:szCs w:val="1"/>
                <w:color w:val="auto"/>
              </w:rPr>
            </w:pP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w w:val="97"/>
              </w:rPr>
              <w:t>Cash dividends declared ($0.36</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per ordinary share)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(45,580)</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(45,580)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(45,580)</w:t>
            </w: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restricted stock, net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forfeitures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Equity-based compensation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180"/>
              <w:spacing w:after="0"/>
              <w:rPr>
                <w:sz w:val="20"/>
                <w:szCs w:val="20"/>
                <w:color w:val="auto"/>
              </w:rPr>
            </w:pPr>
            <w:r>
              <w:rPr>
                <w:rFonts w:ascii="Arial" w:cs="Arial" w:eastAsia="Arial" w:hAnsi="Arial"/>
                <w:sz w:val="18"/>
                <w:szCs w:val="18"/>
                <w:color w:val="auto"/>
                <w:w w:val="95"/>
              </w:rPr>
              <w:t>expense related to employees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13,991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13,991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13,991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126,605</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4,515</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3,932,373</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(6,083,290)</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5,772,368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$ 3,631,239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42,509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3,673,748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Amdocs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2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Retained</w:t>
            </w: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Limited</w:t>
            </w:r>
          </w:p>
        </w:tc>
        <w:tc>
          <w:tcPr>
            <w:tcW w:w="8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6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5"/>
        </w:trPr>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Paid-in</w:t>
            </w:r>
          </w:p>
        </w:tc>
        <w:tc>
          <w:tcPr>
            <w:tcW w:w="10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9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5"/>
                <w:szCs w:val="15"/>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Interests</w:t>
            </w: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Capital</w:t>
            </w:r>
          </w:p>
        </w:tc>
        <w:tc>
          <w:tcPr>
            <w:tcW w:w="10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2"/>
                <w:szCs w:val="12"/>
                <w:color w:val="auto"/>
              </w:rPr>
            </w:pPr>
          </w:p>
        </w:tc>
        <w:tc>
          <w:tcPr>
            <w:tcW w:w="96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Balance as of March 31,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133,500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$ 4,477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$3,759,798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(5,392,457)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(9,204)</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$5,173,689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$ 3,536,303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42,509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$3,578,812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120,407</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120,407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120,407</w:t>
            </w:r>
          </w:p>
        </w:tc>
        <w:tc>
          <w:tcPr>
            <w:tcW w:w="0" w:type="dxa"/>
            <w:vAlign w:val="bottom"/>
          </w:tcPr>
          <w:p>
            <w:pPr>
              <w:spacing w:after="0"/>
              <w:rPr>
                <w:sz w:val="1"/>
                <w:szCs w:val="1"/>
                <w:color w:val="auto"/>
              </w:rPr>
            </w:pPr>
          </w:p>
        </w:tc>
      </w:tr>
      <w:tr>
        <w:trPr>
          <w:trHeight w:val="202"/>
        </w:trPr>
        <w:tc>
          <w:tcPr>
            <w:tcW w:w="25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Other comprehensive</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540"/>
              <w:spacing w:after="0"/>
              <w:rPr>
                <w:sz w:val="20"/>
                <w:szCs w:val="20"/>
                <w:color w:val="auto"/>
              </w:rPr>
            </w:pPr>
            <w:r>
              <w:rPr>
                <w:rFonts w:ascii="Arial" w:cs="Arial" w:eastAsia="Arial" w:hAnsi="Arial"/>
                <w:sz w:val="18"/>
                <w:szCs w:val="18"/>
                <w:color w:val="auto"/>
              </w:rPr>
              <w:t>income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15,138</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15,138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135,545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135,545</w:t>
            </w:r>
          </w:p>
        </w:tc>
        <w:tc>
          <w:tcPr>
            <w:tcW w:w="0" w:type="dxa"/>
            <w:vAlign w:val="bottom"/>
          </w:tcPr>
          <w:p>
            <w:pPr>
              <w:spacing w:after="0"/>
              <w:rPr>
                <w:sz w:val="1"/>
                <w:szCs w:val="1"/>
                <w:color w:val="auto"/>
              </w:rPr>
            </w:pP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Employee stock options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492</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25,325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25,331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25,331</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(976)</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(60,014)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(60,014)</w:t>
            </w:r>
          </w:p>
        </w:tc>
        <w:tc>
          <w:tcPr>
            <w:tcW w:w="0" w:type="dxa"/>
            <w:vAlign w:val="bottom"/>
          </w:tcPr>
          <w:p>
            <w:pPr>
              <w:spacing w:after="0"/>
              <w:rPr>
                <w:sz w:val="1"/>
                <w:szCs w:val="1"/>
                <w:color w:val="auto"/>
              </w:rPr>
            </w:pP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Cash dividends declared</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($0.3275 per ordinary share)</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(43,568)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(43,568)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(43,568)</w:t>
            </w: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Issuance of restricted stock, net</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forfeitures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Equity-based compensation</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180"/>
              <w:spacing w:after="0"/>
              <w:rPr>
                <w:sz w:val="20"/>
                <w:szCs w:val="20"/>
                <w:color w:val="auto"/>
              </w:rPr>
            </w:pPr>
            <w:r>
              <w:rPr>
                <w:rFonts w:ascii="Arial" w:cs="Arial" w:eastAsia="Arial" w:hAnsi="Arial"/>
                <w:sz w:val="18"/>
                <w:szCs w:val="18"/>
                <w:color w:val="auto"/>
                <w:w w:val="95"/>
              </w:rPr>
              <w:t>expense related to employees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11,061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11,061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11,061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133,019</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 xml:space="preserve"> 4,483</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3,796,184</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(5,452,471)</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5,250,528</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$ 3,604,658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42,509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3,647,167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63"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June 30, 2021 and 2020, accumulated other comprehensive income is comprised of unrealized gain on derivatives, net of tax, of $13,134 and $12,426, unrealized loss on short-term interest-bearing investments, net of tax, of $(689) and $0, and unrealized loss on defined benefit plan, net of tax, of $(7,172) and $(6,492).</w:t>
      </w:r>
    </w:p>
    <w:p>
      <w:pPr>
        <w:spacing w:after="0" w:line="89"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three and nine months ended June 30, 2021, and 2020, all of the Company’s net income is attributable to Amdocs Limited as the net income attributable to the Non-controlling interests is negligible.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 (UNAUDITED)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Amdocs</w:t>
            </w:r>
          </w:p>
        </w:tc>
        <w:tc>
          <w:tcPr>
            <w:tcW w:w="16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3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2"/>
                <w:szCs w:val="12"/>
                <w:color w:val="auto"/>
              </w:rPr>
            </w:pPr>
          </w:p>
        </w:tc>
        <w:tc>
          <w:tcPr>
            <w:tcW w:w="1080" w:type="dxa"/>
            <w:vAlign w:val="bottom"/>
            <w:gridSpan w:val="3"/>
          </w:tcPr>
          <w:p>
            <w:pPr>
              <w:jc w:val="center"/>
              <w:ind w:right="120"/>
              <w:spacing w:after="0" w:line="144"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96"/>
              </w:rPr>
              <w:t>Limited</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Shareholders’</w:t>
            </w: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controlling</w:t>
            </w: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10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5"/>
              </w:rPr>
              <w:t>interests (2)</w:t>
            </w:r>
          </w:p>
        </w:tc>
        <w:tc>
          <w:tcPr>
            <w:tcW w:w="60" w:type="dxa"/>
            <w:vAlign w:val="bottom"/>
          </w:tcPr>
          <w:p>
            <w:pPr>
              <w:spacing w:after="0"/>
              <w:rPr>
                <w:sz w:val="12"/>
                <w:szCs w:val="12"/>
                <w:color w:val="auto"/>
              </w:rPr>
            </w:pP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9"/>
              </w:rPr>
              <w:t>Balance as of September 30, 2020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131,535</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$ 4,483</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$3,807,915</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$(5,543,321)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$5,341,907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$ 3,622,646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42,509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$3,665,155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564,849</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564,849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564,849</w:t>
            </w:r>
          </w:p>
        </w:tc>
        <w:tc>
          <w:tcPr>
            <w:tcW w:w="0" w:type="dxa"/>
            <w:vAlign w:val="bottom"/>
          </w:tcPr>
          <w:p>
            <w:pPr>
              <w:spacing w:after="0"/>
              <w:rPr>
                <w:sz w:val="1"/>
                <w:szCs w:val="1"/>
                <w:color w:val="auto"/>
              </w:rPr>
            </w:pPr>
          </w:p>
        </w:tc>
      </w:tr>
      <w:tr>
        <w:trPr>
          <w:trHeight w:val="216"/>
        </w:trPr>
        <w:tc>
          <w:tcPr>
            <w:tcW w:w="262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(6,389)</w:t>
            </w:r>
          </w:p>
        </w:tc>
        <w:tc>
          <w:tcPr>
            <w:tcW w:w="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(6,389)</w:t>
            </w: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558,460</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5"/>
              </w:rPr>
              <w:t>Employee stock options exercised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1,463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84,515</w:t>
            </w:r>
          </w:p>
        </w:tc>
        <w:tc>
          <w:tcPr>
            <w:tcW w:w="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84,535</w:t>
            </w: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84,535</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(7,230)</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(539,969)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(539,969)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(539,969)</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w w:val="95"/>
              </w:rPr>
              <w:t>Cash dividends declared ($1.0475</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per ordinary share)</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(134,388)</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(134,388)</w:t>
            </w:r>
          </w:p>
        </w:tc>
        <w:tc>
          <w:tcPr>
            <w:tcW w:w="16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(134,388)</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restricted stock, net of</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expense related to employees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39,943</w:t>
            </w:r>
          </w:p>
        </w:tc>
        <w:tc>
          <w:tcPr>
            <w:tcW w:w="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39,943</w:t>
            </w:r>
          </w:p>
        </w:tc>
        <w:tc>
          <w:tcPr>
            <w:tcW w:w="16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39,943</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126,605</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4,515</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3,932,373</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(6,083,290)</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5,273</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5,772,368</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$ 3,631,239</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42,509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3,673,748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Amdocs</w:t>
            </w:r>
          </w:p>
        </w:tc>
        <w:tc>
          <w:tcPr>
            <w:tcW w:w="16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20" w:type="dxa"/>
            <w:vAlign w:val="bottom"/>
          </w:tcPr>
          <w:p>
            <w:pPr>
              <w:spacing w:after="0"/>
              <w:rPr>
                <w:sz w:val="12"/>
                <w:szCs w:val="12"/>
                <w:color w:val="auto"/>
              </w:rPr>
            </w:pPr>
          </w:p>
        </w:tc>
        <w:tc>
          <w:tcPr>
            <w:tcW w:w="13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Ordinary Shares</w:t>
            </w: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2"/>
                <w:szCs w:val="12"/>
                <w:color w:val="auto"/>
              </w:rPr>
            </w:pPr>
          </w:p>
        </w:tc>
        <w:tc>
          <w:tcPr>
            <w:tcW w:w="108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10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Limited</w:t>
            </w:r>
          </w:p>
        </w:tc>
        <w:tc>
          <w:tcPr>
            <w:tcW w:w="1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138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Income (Loss)</w:t>
            </w: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Shareholders’</w:t>
            </w: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controlling</w:t>
            </w:r>
          </w:p>
        </w:tc>
        <w:tc>
          <w:tcPr>
            <w:tcW w:w="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10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5"/>
              </w:rPr>
              <w:t>interests (2)</w:t>
            </w:r>
          </w:p>
        </w:tc>
        <w:tc>
          <w:tcPr>
            <w:tcW w:w="60" w:type="dxa"/>
            <w:vAlign w:val="bottom"/>
          </w:tcPr>
          <w:p>
            <w:pPr>
              <w:spacing w:after="0"/>
              <w:rPr>
                <w:sz w:val="12"/>
                <w:szCs w:val="12"/>
                <w:color w:val="auto"/>
              </w:rPr>
            </w:pPr>
          </w:p>
        </w:tc>
        <w:tc>
          <w:tcPr>
            <w:tcW w:w="9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9"/>
              </w:rPr>
              <w:t>Balance as of September 30, 2019</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134,773</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$ 4,452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$3,667,662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$(5,182,409)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$5,012,799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$ 3,499,957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42,509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$3,542,466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Comprehensive income: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(2)</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363,377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363,377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363,377</w:t>
            </w:r>
          </w:p>
        </w:tc>
        <w:tc>
          <w:tcPr>
            <w:tcW w:w="0" w:type="dxa"/>
            <w:vAlign w:val="bottom"/>
          </w:tcPr>
          <w:p>
            <w:pPr>
              <w:spacing w:after="0"/>
              <w:rPr>
                <w:sz w:val="1"/>
                <w:szCs w:val="1"/>
                <w:color w:val="auto"/>
              </w:rPr>
            </w:pPr>
          </w:p>
        </w:tc>
      </w:tr>
      <w:tr>
        <w:trPr>
          <w:trHeight w:val="216"/>
        </w:trPr>
        <w:tc>
          <w:tcPr>
            <w:tcW w:w="2620" w:type="dxa"/>
            <w:vAlign w:val="bottom"/>
          </w:tcPr>
          <w:p>
            <w:pPr>
              <w:ind w:left="360"/>
              <w:spacing w:after="0"/>
              <w:rPr>
                <w:sz w:val="20"/>
                <w:szCs w:val="20"/>
                <w:color w:val="auto"/>
              </w:rPr>
            </w:pPr>
            <w:r>
              <w:rPr>
                <w:rFonts w:ascii="Arial" w:cs="Arial" w:eastAsia="Arial" w:hAnsi="Arial"/>
                <w:sz w:val="18"/>
                <w:szCs w:val="18"/>
                <w:color w:val="auto"/>
                <w:w w:val="95"/>
              </w:rPr>
              <w:t>Other comprehensive income</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8,481</w:t>
            </w:r>
          </w:p>
        </w:tc>
        <w:tc>
          <w:tcPr>
            <w:tcW w:w="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income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371,858</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w w:val="95"/>
              </w:rPr>
              <w:t>Employee stock options exercised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1,836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95,952</w:t>
            </w:r>
          </w:p>
        </w:tc>
        <w:tc>
          <w:tcPr>
            <w:tcW w:w="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95,976</w:t>
            </w:r>
          </w:p>
        </w:tc>
        <w:tc>
          <w:tcPr>
            <w:tcW w:w="16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95,976</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(270,062)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(270,062)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(270,062)</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w w:val="91"/>
              </w:rPr>
              <w:t>Cash dividends declared ($0.94 per</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ordinary share)</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(125,648)</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(125,648)</w:t>
            </w:r>
          </w:p>
        </w:tc>
        <w:tc>
          <w:tcPr>
            <w:tcW w:w="16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(125,648)</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restricted stock, net of</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Equity-based compensation</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expense related to employees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32,570</w:t>
            </w:r>
          </w:p>
        </w:tc>
        <w:tc>
          <w:tcPr>
            <w:tcW w:w="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32,570</w:t>
            </w:r>
          </w:p>
        </w:tc>
        <w:tc>
          <w:tcPr>
            <w:tcW w:w="16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32,570</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2020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133,019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4,483</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3,796,184</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(5,452,471)</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5,934</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5,250,528</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$ 3,604,658</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42,509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3,647,167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 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1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564,849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363,377</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157,024</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144,715</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39,943</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32,570</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sale of a business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(226,410)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(64,882)</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43,916</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short-term interest-bearing investments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(121,653)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18,522</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(12,603)</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(19,387)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(14,110)</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Lease assets and liabilities, net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6,724</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(9,869)</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110,982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(98,670)</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205,915</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917</w:t>
            </w: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44,711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(13,752)</w:t>
            </w:r>
          </w:p>
        </w:tc>
      </w:tr>
      <w:tr>
        <w:trPr>
          <w:trHeight w:val="216"/>
        </w:trPr>
        <w:tc>
          <w:tcPr>
            <w:tcW w:w="718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27,297</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(1,566)</w:t>
            </w:r>
          </w:p>
        </w:tc>
      </w:tr>
      <w:tr>
        <w:trPr>
          <w:trHeight w:val="27"/>
        </w:trPr>
        <w:tc>
          <w:tcPr>
            <w:tcW w:w="7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726,094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453,456</w:t>
            </w: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 (1)</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(149,565)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(145,955)</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14,333</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(208,626)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cash paid for business and intangible assets acquisitions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(111,932)</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(29,258)</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 of a business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288,990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(5,290)</w:t>
            </w:r>
          </w:p>
        </w:tc>
      </w:tr>
      <w:tr>
        <w:trPr>
          <w:trHeight w:val="27"/>
        </w:trPr>
        <w:tc>
          <w:tcPr>
            <w:tcW w:w="7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(167,132)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(180,503)</w:t>
            </w: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450,000</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(100,000)</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645,685</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Repurchase of shares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(539,969)</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(270,062)</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84,474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95,979</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Payments of dividends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(131,892)</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(120,493)</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(1,411)</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r>
      <w:tr>
        <w:trPr>
          <w:trHeight w:val="27"/>
        </w:trPr>
        <w:tc>
          <w:tcPr>
            <w:tcW w:w="7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(688,849)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449,458</w:t>
            </w: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(129,887)</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722,411</w:t>
            </w:r>
          </w:p>
        </w:tc>
        <w:tc>
          <w:tcPr>
            <w:tcW w:w="120" w:type="dxa"/>
            <w:vAlign w:val="bottom"/>
          </w:tcPr>
          <w:p>
            <w:pPr>
              <w:spacing w:after="0"/>
              <w:rPr>
                <w:sz w:val="19"/>
                <w:szCs w:val="19"/>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983,188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471,632</w:t>
            </w:r>
          </w:p>
        </w:tc>
      </w:tr>
      <w:tr>
        <w:trPr>
          <w:trHeight w:val="223"/>
        </w:trPr>
        <w:tc>
          <w:tcPr>
            <w:tcW w:w="71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853,301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1,194,043</w:t>
            </w:r>
          </w:p>
        </w:tc>
        <w:tc>
          <w:tcPr>
            <w:tcW w:w="120" w:type="dxa"/>
            <w:vAlign w:val="bottom"/>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Cash paid for:</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net of refunds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33,829</w:t>
            </w:r>
          </w:p>
        </w:tc>
      </w:tr>
      <w:tr>
        <w:trPr>
          <w:trHeight w:val="230"/>
        </w:trPr>
        <w:tc>
          <w:tcPr>
            <w:tcW w:w="7180" w:type="dxa"/>
            <w:vAlign w:val="bottom"/>
          </w:tcPr>
          <w:p>
            <w:pPr>
              <w:ind w:left="360"/>
              <w:spacing w:after="0"/>
              <w:rPr>
                <w:sz w:val="20"/>
                <w:szCs w:val="20"/>
                <w:color w:val="auto"/>
              </w:rPr>
            </w:pPr>
            <w:r>
              <w:rPr>
                <w:rFonts w:ascii="Arial" w:cs="Arial" w:eastAsia="Arial" w:hAnsi="Arial"/>
                <w:sz w:val="18"/>
                <w:szCs w:val="18"/>
                <w:color w:val="auto"/>
              </w:rPr>
              <w:t>Interest (2)</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19,243</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260" w:hanging="424"/>
        <w:spacing w:after="0" w:line="25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$233 and $133 for the nine months ended June 30, 2021 and 2020, respectively.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under “Interest” include payments of interest to financial institution, tax authorities and other.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140"/>
          </w:cols>
          <w:pgMar w:left="320" w:top="459"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40"/>
          </w:cols>
          <w:pgMar w:left="32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Entity and Basis of Presentation</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cloud portfolio.</w:t>
      </w:r>
    </w:p>
    <w:p>
      <w:pPr>
        <w:spacing w:after="0" w:line="18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79" w:lineRule="exact"/>
        <w:rPr>
          <w:sz w:val="20"/>
          <w:szCs w:val="20"/>
          <w:color w:val="auto"/>
        </w:rPr>
      </w:pPr>
    </w:p>
    <w:p>
      <w:pPr>
        <w:ind w:left="120" w:right="1320" w:firstLine="440"/>
        <w:spacing w:after="0" w:line="277"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and are denominated in U.S. dollars.</w:t>
      </w:r>
    </w:p>
    <w:p>
      <w:pPr>
        <w:spacing w:after="0" w:line="1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88"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2020, set forth in the Company’s Annual Report on Form 20-F filed on December 14, 2020 with the U.S. Securities and Exchange Commission, or the SEC. There have been no material changes to the company’s significant accounting policies from its Annual Report on Form 20-F for the fiscal year ended September 30, 2020, except for the policies noted below which changed as a result of the adoption of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Update of Summary of Accounting Policies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Company has short-term interest-bearing investments comprised of marketable securities and bank deposits. The Company classifies all of its marketable securities as available-for-sale securities and considers all of its marketable debt securities as available for use to meet the Company’s operational needs, including those with maturity dates beyond one year, and therefore classifies these securities within current assets on the consolidated balance sheets. Such marketable securities consist primarily of money market funds, corporate bonds and U.S government securities, which are stated at market value. The available-for-sale investments are carried at estimated fair value with any unrealized gains and losses, net of taxes, included in accumulated other comprehensive income in shareholders’ equity. The Company recognizes an impairment when there is a decline in the fair value of its investments below the amortized cost basis. For securities with an unrealized loss that the Company intends to sell, or it is more likely than not that the Company will be required to sell before recovery of their amortized cost basis, the entire difference between amortized cost and fair value is recognized in earnings and the available-for-sale debt security’s amortized cost basis is written down to its fair value at the reporting date. For securities that do not meet these criteria, the Company needs to assess whether the decline is as result of a credit loss, and if so, the decline is recognized in earnings, while declines in fair value related to other factors are recognized in other comprehensive (loss) income. The Company uses a discounted cash flow analysis to estimate credit losses. Realized gains and losses on short-term interest-bearing investments are included in earnings and are determined based on specific identification method.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Company evaluates accounts receivable and unbilled receivables to determine if they ultimately will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reasonable and supportable forecasts of future economic conditions, and other factors that may affect its ability to collect from customers. The allowance for doubtful accounts, net of credit losses is for expected credit losses resulting from accounts receivable and unbilled receivables for which their collection is not reasonably probable. The allowance for doubtful accounts as of June 30, 2021 and September 30, 2020, was $21,472 and $23,419, respectively.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Recent Accounting Standards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March 2020, the Financial Accounting Standards Board, or FASB, issued Accounting Standard Update, or ASU No.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Reform: Facilitation of the Effects of Reference Rate Reform on Financial Reporting”. </w:t>
      </w:r>
      <w:r>
        <w:rPr>
          <w:rFonts w:ascii="Arial" w:cs="Arial" w:eastAsia="Arial" w:hAnsi="Arial"/>
          <w:sz w:val="17"/>
          <w:szCs w:val="17"/>
          <w:color w:val="auto"/>
        </w:rPr>
        <w:t>The ASU provides temporary optional expedients and exceptions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certain contract modifications, hedge relationships and other transactions that reference London Inter-Bank Offered Rate (“LIBOR”) or other reference rates expected to be discontinued due to the reference rate reform. This ASU is effective as of March 12, 2020 through December 31, 2022. The Company is currently evaluating the impact of adoption of this ASU on its consolidated financial statements.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The ASU simplifies the accounting for income taxes by eliminating certain exceptions to the guidance in ASC 740 related to the approach for intra period tax allocation, the methodology for calculating income taxes in an interim period and the recognition of deferred tax liabilities for outside basis differences. The Company prospectively adopted this ASU effective October 1, 2020. As of the date of the adoption there was no material impact on the Company’s consolidated financial statements.</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November 2018, the FASB, issued ASU No. 2018-18</w:t>
      </w:r>
      <w:r>
        <w:rPr>
          <w:rFonts w:ascii="Arial" w:cs="Arial" w:eastAsia="Arial" w:hAnsi="Arial"/>
          <w:sz w:val="18"/>
          <w:szCs w:val="18"/>
          <w:i w:val="1"/>
          <w:iCs w:val="1"/>
          <w:color w:val="auto"/>
        </w:rPr>
        <w:t>, “Collaborative Arrangements</w:t>
      </w:r>
      <w:r>
        <w:rPr>
          <w:rFonts w:ascii="Arial" w:cs="Arial" w:eastAsia="Arial" w:hAnsi="Arial"/>
          <w:sz w:val="18"/>
          <w:szCs w:val="18"/>
          <w:color w:val="auto"/>
        </w:rPr>
        <w:t>”. The ASU clarifies the interaction between collaborative arrangements and the new revenue standards. The Company prospectively adopted this ASU effective October 1, 2020. As of the date of the adoption there was no material impact on the Company’s consolidated financial statements.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 “Customer’s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The ASU amends the definition of hosting arrangement and requires a customer in a hosting arrangement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 service contract to capitalize certain implementation costs as if the arrangement was an internal-use software project. The Company prospectively adopted this ASU effective October 1, 2020. As of the date of the adoption there was no material impact on the Company’s consolidated financial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August 2018, the FASB issued ASU No. 2018-13</w:t>
      </w:r>
      <w:r>
        <w:rPr>
          <w:rFonts w:ascii="Arial" w:cs="Arial" w:eastAsia="Arial" w:hAnsi="Arial"/>
          <w:sz w:val="18"/>
          <w:szCs w:val="18"/>
          <w:i w:val="1"/>
          <w:iCs w:val="1"/>
          <w:color w:val="auto"/>
        </w:rPr>
        <w:t>, “Fair Value Measurement”.</w:t>
      </w:r>
      <w:r>
        <w:rPr>
          <w:rFonts w:ascii="Arial" w:cs="Arial" w:eastAsia="Arial" w:hAnsi="Arial"/>
          <w:sz w:val="18"/>
          <w:szCs w:val="18"/>
          <w:color w:val="auto"/>
        </w:rPr>
        <w:t xml:space="preserve"> The ASU eliminates, adds and modifies certain disclosure requirements for fair value measurements. The Company prospectively adopted this ASU effective October 1, 2020. As of the date of the adoption there was no material impact on the Company’s consolidated financial statements.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August 2018, the FASB issued ASU No. 2018-14, “</w:t>
      </w:r>
      <w:r>
        <w:rPr>
          <w:rFonts w:ascii="Arial" w:cs="Arial" w:eastAsia="Arial" w:hAnsi="Arial"/>
          <w:sz w:val="18"/>
          <w:szCs w:val="18"/>
          <w:i w:val="1"/>
          <w:iCs w:val="1"/>
          <w:color w:val="auto"/>
        </w:rPr>
        <w:t>Changes to the Disclosure Requirements for Defined Benefit Plans”</w:t>
      </w:r>
      <w:r>
        <w:rPr>
          <w:rFonts w:ascii="Arial" w:cs="Arial" w:eastAsia="Arial" w:hAnsi="Arial"/>
          <w:sz w:val="18"/>
          <w:szCs w:val="18"/>
          <w:color w:val="auto"/>
        </w:rPr>
        <w:t>. The ASU makes minor changes to the disclosure requirement for employers that sponsor defined pension and/or other post-retirement benefit plans. The Company prospectively adopted this ASU effective October 1, 2020. As of the date of the adoption there was no impact on the Company’s consolidated financial statements.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August 2017, the FASB issued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The ASU amends existing guidance to simplify the application of hedge accounting in certain situations and allows companies to better align their hedge accounting with their risk management activities. The Company prospectively adopted this ASU effective October 1, 2020. As of the date of the adoption there was no material impact on the Company’s consolidated financial statements.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The ASU simplifies the accounting for goodwill impairment by removing Step 2 of the goodwill impairment test. The Company prospectively adopted this ASU effective October 1, 2020. As of the date of the adoption there was no impact on the Company’s consolidated financial statements.</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The Company adopted this ASU effective October 1, 2020, using the modified retrospective transition method. The Company updated the impairment model to utilize a forward-looking current expected credit losses model in place of the incurred loss methodology for financial instruments measured at amortized cost, including our accounts receivable and also modified its impairment model to the current expected credit losses model for available-for-sale debt securities and discontinued using the concept of “other than temporary” impairment on available-for-sale debt securities, see also Note 7. As of the date of the adoption, there is no material impact on the Company’s consolidated financial statements.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560" w:right="7460" w:hanging="444"/>
        <w:spacing w:after="0" w:line="425" w:lineRule="auto"/>
        <w:tabs>
          <w:tab w:leader="none" w:pos="3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and Divestiture of Subsidiaries Divestiture of a Subsidiary</w:t>
      </w:r>
    </w:p>
    <w:p>
      <w:pPr>
        <w:ind w:left="120" w:right="40" w:firstLine="440"/>
        <w:spacing w:after="0" w:line="263" w:lineRule="auto"/>
        <w:rPr>
          <w:sz w:val="20"/>
          <w:szCs w:val="20"/>
          <w:color w:val="auto"/>
        </w:rPr>
      </w:pPr>
      <w:r>
        <w:rPr>
          <w:rFonts w:ascii="Arial" w:cs="Arial" w:eastAsia="Arial" w:hAnsi="Arial"/>
          <w:sz w:val="18"/>
          <w:szCs w:val="18"/>
          <w:color w:val="auto"/>
        </w:rPr>
        <w:t>On November 10, 2020, the Company signed an agreement for the divestiture of OpenMarket for approximately $300,000 cash with Infobip Limited, a company in which One Equity Partners is the primary institutional investor. With this transaction, the Company divested a non-strategic asset in the mobile messaging domain, remaining laser-focused on its core strategic growth initiatives.</w:t>
      </w:r>
    </w:p>
    <w:p>
      <w:pPr>
        <w:spacing w:after="0" w:line="18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On December 31, 2020, the Company completed the divestiture. Based on the total consideration, the Company recorded pre-tax gain of</w:t>
      </w:r>
    </w:p>
    <w:p>
      <w:pPr>
        <w:spacing w:after="0" w:line="23" w:lineRule="exact"/>
        <w:rPr>
          <w:sz w:val="20"/>
          <w:szCs w:val="20"/>
          <w:color w:val="auto"/>
        </w:rPr>
      </w:pPr>
    </w:p>
    <w:p>
      <w:pPr>
        <w:jc w:val="both"/>
        <w:ind w:left="120" w:right="280"/>
        <w:spacing w:after="0" w:line="302" w:lineRule="auto"/>
        <w:rPr>
          <w:sz w:val="20"/>
          <w:szCs w:val="20"/>
          <w:color w:val="auto"/>
        </w:rPr>
      </w:pPr>
      <w:r>
        <w:rPr>
          <w:rFonts w:ascii="Arial" w:cs="Arial" w:eastAsia="Arial" w:hAnsi="Arial"/>
          <w:sz w:val="16"/>
          <w:szCs w:val="16"/>
          <w:color w:val="auto"/>
        </w:rPr>
        <w:t>$226,410, (net of immaterial transaction costs) in the Consolidated Statements of Income during the nine months ended June 30, 2021. In connection with this divestiture, $9,194 of net assets and $61,396 of goodwill, were disposed. The divestiture does not represent a strategic shift that will have a major effect on operations and financial results and, therefore, did not qualify for presentation as a discontinued operation, see also Note 10.</w:t>
      </w:r>
    </w:p>
    <w:p>
      <w:pPr>
        <w:spacing w:after="0" w:line="25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During the nine months ended June 30, 2021, the Company acquired three immaterial technology companies, for an aggregate net consideration of $101,864 in cash, and a potential for additional consideration subject to the achievement of certain performance metrics. Among them the largest of the three is “Sourced Group Worldwide Inc.”, (“Sourced”), a leading global technology consultancy specializing in large-scale cloud transformations for sophisticated, high-end enterprise customers in different industries such as communications, financial services and others.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allocating the total preliminary purchase price for Sourced, based on estimated fair values, the Company recorded $79,192 of goodwill, $18,211 of customer relationships to be amortized over approximately seven years and $3,056 of core technology to be amortized over approximately three years.</w:t>
      </w:r>
    </w:p>
    <w:p>
      <w:pPr>
        <w:spacing w:after="0" w:line="288" w:lineRule="exact"/>
        <w:rPr>
          <w:sz w:val="20"/>
          <w:szCs w:val="20"/>
          <w:color w:val="auto"/>
        </w:rPr>
      </w:pPr>
    </w:p>
    <w:p>
      <w:pPr>
        <w:jc w:val="right"/>
        <w:ind w:left="560" w:right="9140" w:hanging="444"/>
        <w:spacing w:after="0" w:line="425" w:lineRule="auto"/>
        <w:tabs>
          <w:tab w:leader="none" w:pos="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Contract Balances</w:t>
      </w:r>
    </w:p>
    <w:p>
      <w:pPr>
        <w:ind w:left="56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9"/>
              </w:rPr>
              <w:t>June 30,</w:t>
            </w:r>
          </w:p>
        </w:tc>
        <w:tc>
          <w:tcPr>
            <w:tcW w:w="3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6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82"/>
        </w:trPr>
        <w:tc>
          <w:tcPr>
            <w:tcW w:w="6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Accounts receivable - billed (net of allowances for credit losses of $21,472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$23,419 as of June 30, 2021 and September 30, 2020,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747,952</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685,485</w:t>
            </w:r>
          </w:p>
        </w:tc>
      </w:tr>
      <w:tr>
        <w:trPr>
          <w:trHeight w:val="324"/>
        </w:trPr>
        <w:tc>
          <w:tcPr>
            <w:tcW w:w="620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177,166</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175,548</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32,933</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42,089</w:t>
            </w:r>
          </w:p>
        </w:tc>
      </w:tr>
      <w:tr>
        <w:trPr>
          <w:trHeight w:val="224"/>
        </w:trPr>
        <w:tc>
          <w:tcPr>
            <w:tcW w:w="6200" w:type="dxa"/>
            <w:vAlign w:val="bottom"/>
          </w:tcPr>
          <w:p>
            <w:pPr>
              <w:spacing w:after="0"/>
              <w:rPr>
                <w:sz w:val="20"/>
                <w:szCs w:val="20"/>
                <w:color w:val="auto"/>
              </w:rPr>
            </w:pPr>
            <w:r>
              <w:rPr>
                <w:rFonts w:ascii="Arial" w:cs="Arial" w:eastAsia="Arial" w:hAnsi="Arial"/>
                <w:sz w:val="18"/>
                <w:szCs w:val="18"/>
                <w:color w:val="auto"/>
              </w:rPr>
              <w:t>Total Accounts receivable - unbilled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210,099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217,637</w:t>
            </w:r>
          </w:p>
        </w:tc>
        <w:tc>
          <w:tcPr>
            <w:tcW w:w="100" w:type="dxa"/>
            <w:vAlign w:val="bottom"/>
          </w:tcPr>
          <w:p>
            <w:pPr>
              <w:spacing w:after="0"/>
              <w:rPr>
                <w:sz w:val="19"/>
                <w:szCs w:val="19"/>
                <w:color w:val="auto"/>
              </w:rPr>
            </w:pPr>
          </w:p>
        </w:tc>
      </w:tr>
      <w:tr>
        <w:trPr>
          <w:trHeight w:val="107"/>
        </w:trPr>
        <w:tc>
          <w:tcPr>
            <w:tcW w:w="6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(220,389)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(126,841)</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(137,920)</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(16,529)</w:t>
            </w: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(358,309)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(143,370)</w:t>
            </w:r>
          </w:p>
        </w:tc>
      </w:tr>
    </w:tbl>
    <w:p>
      <w:pPr>
        <w:spacing w:after="0" w:line="20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Revenue recognized during the three and nine months ended June 30, 2021, which was included in deferred revenue (current) as of September 30, 2020 was $5,574 and $108,521 respectively. Revenue recognized during the three and nine months ended June 30, 2020, which was included in deferred revenue (current) as of September 30, 2019 was $14,747 and $92,856,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Remaining Performance Obligations from Contracts with Customer</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As of June 30, 2021, the aggregate amount of the transaction price allocated to remaining performance obligations that are unsatisfied or partially unsatisfied was approximately $6.7 billion. Remaining performance obligations include the remaining non-cancelable, committed and fixed portion of these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provide details of revenue by nature of activities and by geography: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by nature of activities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2020_</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arrangements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650,541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$1,908,822</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$1,788,161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415,713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421,744</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1,292,509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1,327,930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1,066,254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1,026,201</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3,201,331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3,116,091</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Geographic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7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24"/>
                <w:szCs w:val="2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left="538"/>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$2,068,637</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$2,039,308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155,658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145,401</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476,025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448,404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224,460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194,851</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656,669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628,379</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1,066,254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1,026,201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3,201,331</w:t>
            </w: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3,116,091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Fair Value Measurement</w:t>
      </w:r>
    </w:p>
    <w:p>
      <w:pPr>
        <w:spacing w:after="0" w:line="121" w:lineRule="exact"/>
        <w:rPr>
          <w:sz w:val="20"/>
          <w:szCs w:val="20"/>
          <w:color w:val="auto"/>
        </w:rPr>
      </w:pPr>
    </w:p>
    <w:p>
      <w:pPr>
        <w:jc w:val="both"/>
        <w:ind w:left="120" w:right="300" w:firstLine="440"/>
        <w:spacing w:after="0" w:line="301"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110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Level 3: Unobservable inputs that are supported by little or no market activity that is significant to the fair value of the assets or liabilities.</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present the Company’s assets and liabilities measured at fair value on a recurring basis as of June 30, 2021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30, 2020:</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As of June 30, 2021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4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9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Level 2</w:t>
            </w: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3</w:t>
            </w: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$297,327</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$297,327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182,863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U.S government treasuries</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10,490</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193,353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490,680</w:t>
            </w:r>
          </w:p>
        </w:tc>
        <w:tc>
          <w:tcPr>
            <w:tcW w:w="0" w:type="dxa"/>
            <w:vAlign w:val="bottom"/>
          </w:tcPr>
          <w:p>
            <w:pPr>
              <w:spacing w:after="0"/>
              <w:rPr>
                <w:sz w:val="1"/>
                <w:szCs w:val="1"/>
                <w:color w:val="auto"/>
              </w:rPr>
            </w:pPr>
          </w:p>
        </w:tc>
      </w:tr>
      <w:tr>
        <w:trPr>
          <w:trHeight w:val="224"/>
        </w:trPr>
        <w:tc>
          <w:tcPr>
            <w:tcW w:w="630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7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27,828</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1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liabilities</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(49,680)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(49,680)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297,327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203,077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(21,852)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478,552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w w:val="93"/>
              </w:rPr>
              <w:t>As of September 30, 2020</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04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2"/>
                <w:szCs w:val="12"/>
                <w:color w:val="auto"/>
              </w:rPr>
            </w:pPr>
          </w:p>
        </w:tc>
        <w:tc>
          <w:tcPr>
            <w:tcW w:w="9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Level 2</w:t>
            </w: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3</w:t>
            </w:r>
          </w:p>
        </w:tc>
        <w:tc>
          <w:tcPr>
            <w:tcW w:w="7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$558,633</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$558,633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558,633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559,385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24,211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24,211</w:t>
            </w: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10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20,636</w:t>
            </w:r>
          </w:p>
        </w:tc>
        <w:tc>
          <w:tcPr>
            <w:tcW w:w="100" w:type="dxa"/>
            <w:vAlign w:val="bottom"/>
          </w:tcPr>
          <w:p>
            <w:pPr>
              <w:spacing w:after="0"/>
              <w:rPr>
                <w:sz w:val="24"/>
                <w:szCs w:val="2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(19,641)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(19,641)</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558,633</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21,388</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4,570</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584,591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nine months ended June 30, 2021. Level 3 liabilities relate to certain acquisition-related liabilities, which were generally valued using a Monte-Carlo simulation model and based on estimates of potential pay-out scenarios, periodically valued every quarter. These liabilities were included in both accrued expenses and other current liabilities and other noncurrent liabilities as of June 30, 2021 and September 30, 2020. The increase in Level 3 liabilities was primarily recorded against goodwill in connection with acquisitions made during the period, as well as in the consolidated statement of income during the nine months ended June 30, 2021, as a result of changes in the fair value recorded, partially offset by payment of certain acquisition-related liabilities. Level 3 assets relate to equity investments, which were valued based on price changes in orderly transactions for similar private investments of the same issuer.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other current liabilities, accrued personnel costs and short-term financing arrangements approximate their fair value because of the relatively short maturity of these items, for the fair value of the Senior Notes, see Note 13.</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Available-For-Sale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As of June 30, 2021</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10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$297,327</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$297,327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183,556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794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182,863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securities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10,486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10,490</w:t>
            </w:r>
          </w:p>
        </w:tc>
        <w:tc>
          <w:tcPr>
            <w:tcW w:w="0" w:type="dxa"/>
            <w:vAlign w:val="bottom"/>
          </w:tcPr>
          <w:p>
            <w:pPr>
              <w:spacing w:after="0"/>
              <w:rPr>
                <w:sz w:val="1"/>
                <w:szCs w:val="1"/>
                <w:color w:val="auto"/>
              </w:rPr>
            </w:pPr>
          </w:p>
        </w:tc>
      </w:tr>
      <w:tr>
        <w:trPr>
          <w:trHeight w:val="223"/>
        </w:trPr>
        <w:tc>
          <w:tcPr>
            <w:tcW w:w="6280" w:type="dxa"/>
            <w:vAlign w:val="bottom"/>
            <w:gridSpan w:val="3"/>
          </w:tcPr>
          <w:p>
            <w:pPr>
              <w:ind w:left="440"/>
              <w:spacing w:after="0"/>
              <w:rPr>
                <w:sz w:val="20"/>
                <w:szCs w:val="20"/>
                <w:color w:val="auto"/>
              </w:rPr>
            </w:pPr>
            <w:r>
              <w:rPr>
                <w:rFonts w:ascii="Arial" w:cs="Arial" w:eastAsia="Arial" w:hAnsi="Arial"/>
                <w:sz w:val="18"/>
                <w:szCs w:val="18"/>
                <w:color w:val="auto"/>
              </w:rPr>
              <w:t>Total(1)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491,369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79"/>
              </w:rPr>
              <w:t>105</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794</w:t>
            </w:r>
          </w:p>
        </w:tc>
        <w:tc>
          <w:tcPr>
            <w:tcW w:w="5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490,680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620" w:hanging="424"/>
        <w:spacing w:after="0" w:line="279" w:lineRule="auto"/>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June 30, 2021, $193,353 of securities were classified as short-term interest-bearing investments and $297,327 of securities were classified as cash and cash equivalents.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30, 2020</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5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Unrealized</w:t>
            </w:r>
          </w:p>
        </w:tc>
        <w:tc>
          <w:tcPr>
            <w:tcW w:w="50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$558,633</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$558,633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00" w:type="dxa"/>
            <w:vAlign w:val="bottom"/>
          </w:tcPr>
          <w:p>
            <w:pPr>
              <w:jc w:val="right"/>
              <w:spacing w:after="0"/>
              <w:rPr>
                <w:sz w:val="20"/>
                <w:szCs w:val="20"/>
                <w:color w:val="auto"/>
              </w:rPr>
            </w:pPr>
            <w:r>
              <w:rPr>
                <w:rFonts w:ascii="Arial" w:cs="Arial" w:eastAsia="Arial" w:hAnsi="Arial"/>
                <w:sz w:val="18"/>
                <w:szCs w:val="18"/>
                <w:color w:val="auto"/>
              </w:rPr>
              <w:t>754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559,387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558,385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620" w:hanging="424"/>
        <w:spacing w:after="0" w:line="279"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2020, $752 of securities were classified as short-term interest-bearing investments and $558,633 of securities were classified as cash and cash equivalents.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June 30, 2021, the immaterial unrealized losses attributable to the Company’s available-for-sale securities were primarily due to credit spreads and interest rate movements. The Company assessed whether such unrealized losses for the investments in its portfolio were caused by expected credit loss. Based on this assessment, the Company did not recognize any credit losses in the three and nine months ended June 30, 2021 and 2020. Realized gains and losses on short-term interest-bearing investments are included in earnings and are determined based on specific identification method.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2021, the Company’s available-for-sale securities had the following maturity dates: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Market Value</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4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316,325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1 to 2 years</w:t>
            </w: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11,677</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48,663</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3 to 4 years</w:t>
            </w: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65,892</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4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48,123</w:t>
            </w: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490,680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020" w:type="dxa"/>
            <w:vAlign w:val="bottom"/>
            <w:vMerge w:val="restart"/>
          </w:tcPr>
          <w:p>
            <w:pPr>
              <w:jc w:val="right"/>
              <w:ind w:right="265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Derivative Financial Instruments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$10,034 as of June 30, 2021. The Company has limited its credit risk by entering into derivative transactions exclusively with investment-grade rated financial institutions and monitors the creditworthiness of these financial institutions on an ongoing basis.</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June 30, 2021. Notional values are in U.S. dollars and are translated and calculated based on forward rates as of June 30, 2021 for forward contracts, and based on spot rates as of June 30, 2021 for options.</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Notional</w:t>
            </w:r>
          </w:p>
        </w:tc>
      </w:tr>
      <w:tr>
        <w:trPr>
          <w:trHeight w:val="171"/>
        </w:trPr>
        <w:tc>
          <w:tcPr>
            <w:tcW w:w="66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Value*</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$1,177,671</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340" w:right="180" w:hanging="224"/>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6 to the consolidated financial statements. The fair value of the open foreign exchange contracts recorded as an asset or a liability by the Company on its consolidated balance sheets as of June 30, 2021 and September 30, 2020, is as follows: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June 30,</w:t>
            </w:r>
          </w:p>
        </w:tc>
        <w:tc>
          <w:tcPr>
            <w:tcW w:w="5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r>
      <w:tr>
        <w:trPr>
          <w:trHeight w:val="171"/>
        </w:trPr>
        <w:tc>
          <w:tcPr>
            <w:tcW w:w="58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7,613</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21,153</w:t>
            </w: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w:t>
            </w: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(1,397)</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(2,089)</w:t>
            </w: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5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20,381</w:t>
            </w:r>
          </w:p>
        </w:tc>
        <w:tc>
          <w:tcPr>
            <w:tcW w:w="100" w:type="dxa"/>
            <w:vAlign w:val="bottom"/>
          </w:tcPr>
          <w:p>
            <w:pPr>
              <w:spacing w:after="0"/>
              <w:rPr>
                <w:sz w:val="19"/>
                <w:szCs w:val="19"/>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5,483</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3,068</w:t>
            </w: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(3,237)</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(2,813)</w:t>
            </w:r>
          </w:p>
        </w:tc>
      </w:tr>
      <w:tr>
        <w:trPr>
          <w:trHeight w:val="230"/>
        </w:trPr>
        <w:tc>
          <w:tcPr>
            <w:tcW w:w="58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0"/>
                <w:szCs w:val="20"/>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9,724</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20,636</w:t>
            </w:r>
          </w:p>
        </w:tc>
      </w:tr>
      <w:tr>
        <w:trPr>
          <w:trHeight w:val="20"/>
        </w:trPr>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June 30, 2021 is scheduled to mature within the next 12 months.</w:t>
      </w:r>
    </w:p>
    <w:p>
      <w:pPr>
        <w:spacing w:after="0" w:line="161" w:lineRule="exact"/>
        <w:rPr>
          <w:sz w:val="20"/>
          <w:szCs w:val="20"/>
          <w:color w:val="auto"/>
        </w:rPr>
      </w:pPr>
    </w:p>
    <w:p>
      <w:pPr>
        <w:jc w:val="both"/>
        <w:ind w:left="120" w:right="40" w:firstLine="440"/>
        <w:spacing w:after="0" w:line="287"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income, a separate component of shareholders’ equity, and subsequently reclassified into earnings in the same line item as the related forecasted transaction and in the same period or periods during which the hedged exposure affects earnings. The cash flow hedges are evaluated for effectiveness at least quarterly.</w:t>
      </w:r>
    </w:p>
    <w:p>
      <w:pPr>
        <w:spacing w:after="0" w:line="2"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income (expense), net.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statements of income for the three and nine months ended June 30, 2021 and 2020, respectively, which partially offsets the foreign currency impact from the underlying exposures, is summarized as follows: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1"/>
              </w:rPr>
              <w:t>Gains (Losses) Reclassified from</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5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80" w:type="dxa"/>
            <w:vAlign w:val="bottom"/>
            <w:gridSpan w:val="11"/>
          </w:tcPr>
          <w:p>
            <w:pPr>
              <w:jc w:val="right"/>
              <w:spacing w:after="0" w:line="149" w:lineRule="exact"/>
              <w:rPr>
                <w:sz w:val="20"/>
                <w:szCs w:val="20"/>
                <w:color w:val="auto"/>
              </w:rPr>
            </w:pPr>
            <w:r>
              <w:rPr>
                <w:rFonts w:ascii="Arial" w:cs="Arial" w:eastAsia="Arial" w:hAnsi="Arial"/>
                <w:sz w:val="14"/>
                <w:szCs w:val="14"/>
                <w:b w:val="1"/>
                <w:bCs w:val="1"/>
                <w:color w:val="auto"/>
              </w:rPr>
              <w:t>Accumulated Other Comprehensive Income (Effective Portion)</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14"/>
                <w:szCs w:val="14"/>
                <w:color w:val="auto"/>
              </w:rPr>
            </w:pPr>
          </w:p>
        </w:tc>
        <w:tc>
          <w:tcPr>
            <w:tcW w:w="20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142"/>
        </w:trPr>
        <w:tc>
          <w:tcPr>
            <w:tcW w:w="5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2"/>
                <w:szCs w:val="12"/>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(137)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665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771</w:t>
            </w: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15,944</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1,210</w:t>
            </w: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1,661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4,943</w:t>
            </w:r>
          </w:p>
        </w:tc>
        <w:tc>
          <w:tcPr>
            <w:tcW w:w="2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5,378</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1,161</w:t>
            </w: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25,870</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3,737</w:t>
            </w:r>
          </w:p>
        </w:tc>
        <w:tc>
          <w:tcPr>
            <w:tcW w:w="4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activity related to the changes in net unrealized gains on cash flow hedges recorded in accumulated other comprehensive income, net of tax, is as follows:</w:t>
      </w:r>
    </w:p>
    <w:p>
      <w:pPr>
        <w:spacing w:after="0" w:line="189"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Nine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440" w:type="dxa"/>
        <w:tblCellMar>
          <w:top w:w="0" w:type="dxa"/>
          <w:left w:w="0" w:type="dxa"/>
          <w:bottom w:w="0" w:type="dxa"/>
          <w:right w:w="0" w:type="dxa"/>
        </w:tblCellMar>
      </w:tblPr>
      <w:tr>
        <w:trPr>
          <w:trHeight w:val="142"/>
        </w:trPr>
        <w:tc>
          <w:tcPr>
            <w:tcW w:w="6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cash flow hedges, net of tax, beginning of period</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$ 18,836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17,595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11,169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net gains into earnings, net of tax</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(23,297)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(2,688)</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Net unrealized gains on cash flow hedges, net of tax, end of period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$ 13,134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12,426</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Net gains from cash flow hedges recognized in other comprehensive (loss) income were $17,055 and $14,937, or $17,595 and $11,169 net of taxes, during the nine months ended June 30, 2021 and 2020, respectively.</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Of the net unrealized gains related to derivatives designated as cash flow hedges and recorded in accumulated other comprehensive income as of June 30, 2021, a net gain of $6,008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4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three and nine months ended June 30, 2021 and 2020, was not material.</w:t>
      </w:r>
    </w:p>
    <w:p>
      <w:pPr>
        <w:spacing w:after="0" w:line="170"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three and nine months ended June 30, 2021 and 2020, respectively, which partially offsets the foreign currency impact from the underlying exposure, is summarized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11"/>
          </w:tcPr>
          <w:p>
            <w:pPr>
              <w:jc w:val="right"/>
              <w:ind w:right="180"/>
              <w:spacing w:after="0"/>
              <w:rPr>
                <w:sz w:val="20"/>
                <w:szCs w:val="20"/>
                <w:color w:val="auto"/>
              </w:rPr>
            </w:pPr>
            <w:r>
              <w:rPr>
                <w:rFonts w:ascii="Arial" w:cs="Arial" w:eastAsia="Arial" w:hAnsi="Arial"/>
                <w:sz w:val="14"/>
                <w:szCs w:val="14"/>
                <w:b w:val="1"/>
                <w:bCs w:val="1"/>
                <w:color w:val="auto"/>
                <w:w w:val="92"/>
              </w:rPr>
              <w:t>(Losses) Gains Recognized in Income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20" w:type="dxa"/>
            <w:vAlign w:val="bottom"/>
            <w:gridSpan w:val="9"/>
          </w:tcPr>
          <w:p>
            <w:pPr>
              <w:jc w:val="right"/>
              <w:ind w:right="160"/>
              <w:spacing w:after="0"/>
              <w:rPr>
                <w:sz w:val="20"/>
                <w:szCs w:val="20"/>
                <w:color w:val="auto"/>
              </w:rPr>
            </w:pPr>
            <w:r>
              <w:rPr>
                <w:rFonts w:ascii="Arial" w:cs="Arial" w:eastAsia="Arial" w:hAnsi="Arial"/>
                <w:sz w:val="14"/>
                <w:szCs w:val="14"/>
                <w:b w:val="1"/>
                <w:bCs w:val="1"/>
                <w:color w:val="auto"/>
                <w:w w:val="93"/>
              </w:rPr>
              <w:t>Three months ended June 30,</w:t>
            </w:r>
          </w:p>
        </w:tc>
        <w:tc>
          <w:tcPr>
            <w:tcW w:w="280" w:type="dxa"/>
            <w:vAlign w:val="bottom"/>
          </w:tcPr>
          <w:p>
            <w:pPr>
              <w:spacing w:after="0"/>
              <w:rPr>
                <w:sz w:val="14"/>
                <w:szCs w:val="14"/>
                <w:color w:val="auto"/>
              </w:rPr>
            </w:pPr>
          </w:p>
        </w:tc>
        <w:tc>
          <w:tcPr>
            <w:tcW w:w="198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3"/>
              </w:rPr>
              <w:t>Nine months ended June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gridSpan w:val="3"/>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1,448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2,783</w:t>
            </w:r>
          </w:p>
        </w:tc>
        <w:tc>
          <w:tcPr>
            <w:tcW w:w="60" w:type="dxa"/>
            <w:vAlign w:val="bottom"/>
          </w:tcPr>
          <w:p>
            <w:pPr>
              <w:spacing w:after="0"/>
              <w:rPr>
                <w:sz w:val="18"/>
                <w:szCs w:val="18"/>
                <w:color w:val="auto"/>
              </w:rPr>
            </w:pPr>
          </w:p>
        </w:tc>
        <w:tc>
          <w:tcPr>
            <w:tcW w:w="4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4,749</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1,265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and other income (expense), net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(2,996)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(6,020)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6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(643)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(2,950)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(1,902)</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90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00" w:type="dxa"/>
            <w:vAlign w:val="bottom"/>
            <w:gridSpan w:val="3"/>
          </w:tcPr>
          <w:p>
            <w:pPr>
              <w:ind w:left="440"/>
              <w:spacing w:after="0"/>
              <w:rPr>
                <w:sz w:val="20"/>
                <w:szCs w:val="20"/>
                <w:color w:val="auto"/>
              </w:rPr>
            </w:pPr>
            <w:r>
              <w:rPr>
                <w:rFonts w:ascii="Arial" w:cs="Arial" w:eastAsia="Arial" w:hAnsi="Arial"/>
                <w:sz w:val="18"/>
                <w:szCs w:val="18"/>
                <w:color w:val="auto"/>
                <w:w w:val="98"/>
              </w:rPr>
              <w:t>Accrued expenses and other current liabilities consist of the following:</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4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w w:val="96"/>
              </w:rPr>
              <w:t>June 30,</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183,017</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217,133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130,115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121,658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50,618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25,739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Dividends payable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45,580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43,084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4,634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183,618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181,092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597,582</w:t>
            </w:r>
          </w:p>
        </w:tc>
        <w:tc>
          <w:tcPr>
            <w:tcW w:w="540" w:type="dxa"/>
            <w:vAlign w:val="bottom"/>
            <w:gridSpan w:val="3"/>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593,608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(benefit) for income taxes for the following periods consisted of:</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left="440"/>
              <w:spacing w:after="0" w:line="149" w:lineRule="exact"/>
              <w:rPr>
                <w:sz w:val="20"/>
                <w:szCs w:val="20"/>
                <w:color w:val="auto"/>
              </w:rPr>
            </w:pPr>
            <w:r>
              <w:rPr>
                <w:rFonts w:ascii="Arial" w:cs="Arial" w:eastAsia="Arial" w:hAnsi="Arial"/>
                <w:sz w:val="14"/>
                <w:szCs w:val="14"/>
                <w:b w:val="1"/>
                <w:bCs w:val="1"/>
                <w:color w:val="auto"/>
                <w:w w:val="87"/>
              </w:rPr>
              <w:t>ended</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3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46,207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$(10,059)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161,108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$35,468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Deferred</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(37,104)</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34,766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(64,882)</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43,916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9,103</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$ 24,707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96,226</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79,384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580" w:type="dxa"/>
            <w:vAlign w:val="bottom"/>
            <w:vMerge w:val="restart"/>
          </w:tcPr>
          <w:p>
            <w:pPr>
              <w:jc w:val="right"/>
              <w:ind w:right="129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9" w:right="6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06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Foreign taxes (1)</w:t>
            </w:r>
          </w:p>
        </w:tc>
        <w:tc>
          <w:tcPr>
            <w:tcW w:w="1060" w:type="dxa"/>
            <w:vAlign w:val="bottom"/>
            <w:gridSpan w:val="2"/>
          </w:tcPr>
          <w:p>
            <w:pPr>
              <w:jc w:val="right"/>
              <w:ind w:right="608"/>
              <w:spacing w:after="0"/>
              <w:rPr>
                <w:sz w:val="20"/>
                <w:szCs w:val="20"/>
                <w:color w:val="auto"/>
              </w:rPr>
            </w:pPr>
            <w:r>
              <w:rPr>
                <w:rFonts w:ascii="Arial" w:cs="Arial" w:eastAsia="Arial" w:hAnsi="Arial"/>
                <w:sz w:val="18"/>
                <w:szCs w:val="18"/>
                <w:color w:val="auto"/>
              </w:rPr>
              <w:t>5.9</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17.0</w:t>
            </w:r>
          </w:p>
        </w:tc>
        <w:tc>
          <w:tcPr>
            <w:tcW w:w="1000" w:type="dxa"/>
            <w:vAlign w:val="bottom"/>
            <w:gridSpan w:val="2"/>
          </w:tcPr>
          <w:p>
            <w:pPr>
              <w:jc w:val="right"/>
              <w:ind w:right="508"/>
              <w:spacing w:after="0"/>
              <w:rPr>
                <w:sz w:val="20"/>
                <w:szCs w:val="20"/>
                <w:color w:val="auto"/>
              </w:rPr>
            </w:pPr>
            <w:r>
              <w:rPr>
                <w:rFonts w:ascii="Arial" w:cs="Arial" w:eastAsia="Arial" w:hAnsi="Arial"/>
                <w:sz w:val="18"/>
                <w:szCs w:val="18"/>
                <w:color w:val="auto"/>
              </w:rPr>
              <w:t>14.6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060" w:type="dxa"/>
            <w:vAlign w:val="bottom"/>
            <w:tcBorders>
              <w:right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5.9%</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w:t>
            </w: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14.6%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820" w:hanging="264"/>
        <w:spacing w:after="0"/>
        <w:tabs>
          <w:tab w:leader="none" w:pos="82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Foreign taxes for the nine months ended June 30, 2021:</w:t>
      </w:r>
    </w:p>
    <w:p>
      <w:pPr>
        <w:spacing w:after="0" w:line="117" w:lineRule="exact"/>
        <w:rPr>
          <w:sz w:val="20"/>
          <w:szCs w:val="20"/>
          <w:color w:val="auto"/>
        </w:rPr>
      </w:pPr>
    </w:p>
    <w:p>
      <w:pPr>
        <w:ind w:left="560" w:right="200" w:firstLine="423"/>
        <w:spacing w:after="0" w:line="277" w:lineRule="auto"/>
        <w:rPr>
          <w:sz w:val="20"/>
          <w:szCs w:val="20"/>
          <w:color w:val="auto"/>
        </w:rPr>
      </w:pPr>
      <w:r>
        <w:rPr>
          <w:rFonts w:ascii="Arial" w:cs="Arial" w:eastAsia="Arial" w:hAnsi="Arial"/>
          <w:sz w:val="18"/>
          <w:szCs w:val="18"/>
          <w:color w:val="auto"/>
        </w:rPr>
        <w:t>Foreign taxes in the nine months ended June 30, 2021 included an expense of $39,596 for the estimated additional tax charge as a result of the gain from sale of a business, see also Note 4.</w:t>
      </w:r>
    </w:p>
    <w:p>
      <w:pPr>
        <w:spacing w:after="0" w:line="62" w:lineRule="exact"/>
        <w:rPr>
          <w:sz w:val="20"/>
          <w:szCs w:val="20"/>
          <w:color w:val="auto"/>
        </w:rPr>
      </w:pPr>
    </w:p>
    <w:p>
      <w:pPr>
        <w:ind w:left="560" w:right="420" w:firstLine="423"/>
        <w:spacing w:after="0" w:line="277" w:lineRule="auto"/>
        <w:rPr>
          <w:sz w:val="20"/>
          <w:szCs w:val="20"/>
          <w:color w:val="auto"/>
        </w:rPr>
      </w:pPr>
      <w:r>
        <w:rPr>
          <w:rFonts w:ascii="Arial" w:cs="Arial" w:eastAsia="Arial" w:hAnsi="Arial"/>
          <w:sz w:val="18"/>
          <w:szCs w:val="18"/>
          <w:color w:val="auto"/>
        </w:rPr>
        <w:t>Foreign taxes in the three and the nine months ended June 30, 2021 also included a benefit of $10,933 resulting from internal structural changes in certain jurisdictions in which the Company operates.</w:t>
      </w:r>
    </w:p>
    <w:p>
      <w:pPr>
        <w:spacing w:after="0" w:line="62" w:lineRule="exact"/>
        <w:rPr>
          <w:sz w:val="20"/>
          <w:szCs w:val="20"/>
          <w:color w:val="auto"/>
        </w:rPr>
      </w:pPr>
    </w:p>
    <w:p>
      <w:pPr>
        <w:ind w:left="560" w:right="40" w:firstLine="423"/>
        <w:spacing w:after="0" w:line="263" w:lineRule="auto"/>
        <w:rPr>
          <w:sz w:val="20"/>
          <w:szCs w:val="20"/>
          <w:color w:val="auto"/>
        </w:rPr>
      </w:pPr>
      <w:r>
        <w:rPr>
          <w:rFonts w:ascii="Arial" w:cs="Arial" w:eastAsia="Arial" w:hAnsi="Arial"/>
          <w:sz w:val="18"/>
          <w:szCs w:val="18"/>
          <w:color w:val="auto"/>
        </w:rPr>
        <w:t>Foreign taxes in the nine months ended June 30, 2021 also included a benefit of $5,272 relating to release of gross unrecognized tax benefits due to expiration of the periods set forth in statutes of limitations in certain jurisdictions, and changes in facts and circumstances resulting in a change in measurement of certain positions.</w:t>
      </w:r>
    </w:p>
    <w:p>
      <w:pPr>
        <w:spacing w:after="0" w:line="292" w:lineRule="exact"/>
        <w:rPr>
          <w:sz w:val="20"/>
          <w:szCs w:val="20"/>
          <w:color w:val="auto"/>
        </w:rPr>
      </w:pPr>
    </w:p>
    <w:p>
      <w:pPr>
        <w:ind w:left="820" w:hanging="264"/>
        <w:spacing w:after="0"/>
        <w:tabs>
          <w:tab w:leader="none" w:pos="82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Foreign taxes for the nine months ended June 30, 2020:</w:t>
      </w:r>
    </w:p>
    <w:p>
      <w:pPr>
        <w:spacing w:after="0" w:line="117" w:lineRule="exact"/>
        <w:rPr>
          <w:sz w:val="20"/>
          <w:szCs w:val="20"/>
          <w:color w:val="auto"/>
        </w:rPr>
      </w:pPr>
    </w:p>
    <w:p>
      <w:pPr>
        <w:ind w:left="560" w:right="120" w:firstLine="423"/>
        <w:spacing w:after="0" w:line="259" w:lineRule="auto"/>
        <w:rPr>
          <w:sz w:val="20"/>
          <w:szCs w:val="20"/>
          <w:color w:val="auto"/>
        </w:rPr>
      </w:pPr>
      <w:r>
        <w:rPr>
          <w:rFonts w:ascii="Arial" w:cs="Arial" w:eastAsia="Arial" w:hAnsi="Arial"/>
          <w:sz w:val="18"/>
          <w:szCs w:val="18"/>
          <w:color w:val="auto"/>
        </w:rPr>
        <w:t>On March 27, 2020, the U.S. government enacted the Coronavirus Aid, Relief, and Economic Security Act (“CARES Act”) to provide certain relief as a result of the COVID-19 outbreak. Some of the key income tax-related provisions of the CARES Act include, modification the usage of net operating losses, interest deductions and payroll benefits. Furthermore, other governments have and may continue to offer support to companies that operate in those countries.</w:t>
      </w:r>
    </w:p>
    <w:p>
      <w:pPr>
        <w:spacing w:after="0" w:line="79" w:lineRule="exact"/>
        <w:rPr>
          <w:sz w:val="20"/>
          <w:szCs w:val="20"/>
          <w:color w:val="auto"/>
        </w:rPr>
      </w:pPr>
    </w:p>
    <w:p>
      <w:pPr>
        <w:ind w:left="560" w:right="180" w:firstLine="423"/>
        <w:spacing w:after="0" w:line="277" w:lineRule="auto"/>
        <w:rPr>
          <w:sz w:val="20"/>
          <w:szCs w:val="20"/>
          <w:color w:val="auto"/>
        </w:rPr>
      </w:pPr>
      <w:r>
        <w:rPr>
          <w:rFonts w:ascii="Arial" w:cs="Arial" w:eastAsia="Arial" w:hAnsi="Arial"/>
          <w:sz w:val="18"/>
          <w:szCs w:val="18"/>
          <w:color w:val="auto"/>
        </w:rPr>
        <w:t>Foreign taxes in the nine months ended June 30, 2020 included a tax benefit of $4,964 resulting from tax enactments related to COVID-19 in certain jurisdictions.</w:t>
      </w:r>
    </w:p>
    <w:p>
      <w:pPr>
        <w:spacing w:after="0" w:line="62"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Foreign taxes in the nine months ended June 30, 2020 also included a benefit of $37,828 relating to release of gross unrecognized tax benefits relating to effectively settled arrangements with tax authorities, changes in facts and circumstances resulting in a change in measurement of certain positions and expiration of the periods set forth in statutes of limitations in certain jurisdictions. The majority of the benefit was offset by decrease in tax assets and increase in tax liabilities and as a result a net benefit of $11,877 and $13,294 was included within income tax expense for the three and the nine months ended June 30, 2020, respectively.</w:t>
      </w:r>
    </w:p>
    <w:p>
      <w:pPr>
        <w:spacing w:after="0" w:line="188"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As of June 30, 2021, deferred tax assets of $61,671, derived primarily from tax credits, net capital and operating loss carry forwards related to some of the Company’s subsidiaries, were offset by valuation allowances due to the uncertainty of realizing tax benefit for such credits and losses.</w:t>
      </w:r>
    </w:p>
    <w:p>
      <w:pPr>
        <w:spacing w:after="0" w:line="12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$186,701 as of June 30, 2021, all of which would affect the effective tax rate if realized.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June 30, 2021, the Company had accrued $22,188 in income taxes payable for interest and penalties relating to unrecognized tax benefits.</w:t>
      </w:r>
    </w:p>
    <w:p>
      <w:pPr>
        <w:spacing w:after="0" w:line="248"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7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146,150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120,407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564,849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363,377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Less-net income and dividends attributable to participating restricted shares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(5,654)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144,535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119,480</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559,195</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360,735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Add-undistributed income allocated to participating restricted shares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Less-undistributed income reallocated to participating restricted shares</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(4,273)</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144,542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119,482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559,219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360,745</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127,172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133,150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129,362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134,013</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Less-weighted average number of participating restricted shares</w:t>
            </w: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125,766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132,125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128,067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133,039</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126,645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132,568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128,820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133,784</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60"/>
              <w:spacing w:after="0"/>
              <w:rPr>
                <w:sz w:val="20"/>
                <w:szCs w:val="20"/>
                <w:color w:val="auto"/>
              </w:rPr>
            </w:pPr>
            <w:r>
              <w:rPr>
                <w:rFonts w:ascii="Arial" w:cs="Arial" w:eastAsia="Arial" w:hAnsi="Arial"/>
                <w:sz w:val="18"/>
                <w:szCs w:val="18"/>
                <w:color w:val="auto"/>
              </w:rPr>
              <w:t>Basic earnings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For the three and nine months ended June 30, 2021, 0 and 1,144 shares, respectively, on a weighted average basis, were attributable to antidilutive outstanding stock options. For the three and nine months ended June 30, 2020, 3,056 and 2,493 shares, respectively, on a weighted average basis, were attributable to antidilutive outstanding stock options. Shares attributable to antidilutive outstanding stock options were not included in the calculation of diluted earnings per share.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Repurchase of Shares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time to time, the Company’s Board of Directors can adopt share repurchase plans authorizing the repurchase of the Company’s outstanding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ordinary shares. On November 12, 2019, the Company’s Board of Directors adopted a share repurchase plan authorizing the repurchase of up to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additional $800,000 of the Company’s outstanding ordinary shares with no expiration date. In the nine months ended June 30, 2021, the Company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repurchased 7,230 ordinary shares at an average price of $74.67 per share (excluding broker and transaction fees). The November 2019 plan permits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to purchase its ordinary shares in the open market or through privately negotiated transactions at times and prices that it considers appropriate.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June 30, 2021, the Company had remaining authority to repurchase up to $138,484 of its outstanding ordinary shares under the November 2019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Plan. On May 12, 2021, the Company’s Board of Directors adopted another share repurchase plan authorizing the repurchase of up to an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billion of the Company’s outstanding ordinary shares, which brings the aggregate unused authorization under both the November 2019 and the May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2021 plans to $1.138 billion. The May 2021 plan has no expiration date and permits the Company to purchase its ordinary shares in the open market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through privately negotiated transactions at times and prices that it considers appropriate.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Financing Arrangements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December 2011, the Company entered into an unsecured $500,000 five-year revolving credit facility with a syndicate of banks (the “Revolving Credit Facility”). In December 2014, December 2017 and March 2021, the Revolving Credit Facility was amended and restated to, among other things, extend the maturity date of the facility to December 2019, December 2022 and March 2026, respectively. As of June 30, 2021, the Company was in compliance with the financial covenants and had no outstanding borrowings under the Revolving Credit Facility.</w:t>
      </w:r>
    </w:p>
    <w:p>
      <w:pPr>
        <w:spacing w:after="0" w:line="17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addition, unassociated with the Revolving Credit Facility discussed above, in May 2020 the Company entered into an additional $100,000 one year loan which was repaid in full in May 2021.</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92"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total interest expenses recognized in connection of the Senior Notes for the three and nine months ended June 30, 2021 were $4,267 and $12,768, respectively. The accrued interest on the Senior Notes is included in accrued expenses and other current liabilities and was immaterial as of June 30, 2021. As of June 30, 2021, the noncurrent outstanding principal portion was $650,000.</w:t>
      </w:r>
    </w:p>
    <w:p>
      <w:pPr>
        <w:spacing w:after="0" w:line="184"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total estimated fair value of the Senior Notes as of June 30, 2021 was $651,482. The fair value was determined based on the closing trading price of Senior Notes as of June 30, 2021 and is deemed a Level 2 liability within the fair value measurement framework.</w:t>
      </w:r>
    </w:p>
    <w:p>
      <w:pPr>
        <w:spacing w:after="0" w:line="14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June 30, 2021, the Company had additional uncommitted lines of credit available for general corporate and other specific purposes and had outstanding letters of credit and bank guarantees from various banks totaling $80,948. These were supported by a combination of the uncommitted lines of credit that the Company maintains with various banks.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Stock Option and Incentive Plan</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2020, the maximum number of ordinary shares authorized to be granted under the Equity Incentive Plan was increased from 67,550 to 70,550.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are issued at or above the market price at the time of grant.</w:t>
      </w:r>
    </w:p>
    <w:p>
      <w:pPr>
        <w:spacing w:after="0" w:line="177"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During the nine months ended June 30, 2021, the Company granted 1,018 restricted shares and options to purchase 62 ordinary shares. The weighted average fair values associated with these grants were $66.88 per restricted share and $7.82 per option.</w:t>
      </w:r>
    </w:p>
    <w:p>
      <w:pPr>
        <w:spacing w:after="0" w:line="14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Equity-based payments to employees, including grants of employee stock options, are recognized in the statements of income based on their fair values.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Employee equity-based compensation pre-tax expense for the three and nine months ended June 30, 2021 and 2020 was as follows:</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2"/>
              </w:rPr>
              <w:t>Three months ended</w:t>
            </w:r>
          </w:p>
        </w:tc>
        <w:tc>
          <w:tcPr>
            <w:tcW w:w="15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6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6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$16,543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$15,024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711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2,876</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2,237</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5,365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20,524</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15,309</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13,991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11,061</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39,943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32,570</w:t>
            </w:r>
          </w:p>
        </w:tc>
        <w:tc>
          <w:tcPr>
            <w:tcW w:w="4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The Company recognizes compensation costs for its equity incentive grants using the graded vesting attribution method. As of June 30, 2021, there was $60,369 of unrecognized compensation expense related to unvested stock options and unvested restricted shares which is expected to be recognized over a weighted average period of approximately one year, based on the vesting periods of the grants.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Dividends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Board of Directors declared the following dividends during the nine months ended June 30, 2021 and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100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Dividends Per</w:t>
            </w:r>
          </w:p>
        </w:tc>
        <w:tc>
          <w:tcPr>
            <w:tcW w:w="160" w:type="dxa"/>
            <w:vAlign w:val="bottom"/>
          </w:tcPr>
          <w:p>
            <w:pPr>
              <w:spacing w:after="0"/>
              <w:rPr>
                <w:sz w:val="14"/>
                <w:szCs w:val="14"/>
                <w:color w:val="auto"/>
              </w:rPr>
            </w:pPr>
          </w:p>
        </w:tc>
        <w:tc>
          <w:tcPr>
            <w:tcW w:w="232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Record Date</w:t>
            </w:r>
          </w:p>
        </w:tc>
        <w:tc>
          <w:tcPr>
            <w:tcW w:w="360" w:type="dxa"/>
            <w:vAlign w:val="bottom"/>
          </w:tcPr>
          <w:p>
            <w:pPr>
              <w:spacing w:after="0"/>
              <w:rPr>
                <w:sz w:val="14"/>
                <w:szCs w:val="14"/>
                <w:color w:val="auto"/>
              </w:rPr>
            </w:pP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0"/>
              </w:rPr>
              <w:t>Total Amount</w:t>
            </w:r>
          </w:p>
        </w:tc>
        <w:tc>
          <w:tcPr>
            <w:tcW w:w="160" w:type="dxa"/>
            <w:vAlign w:val="bottom"/>
          </w:tcPr>
          <w:p>
            <w:pPr>
              <w:spacing w:after="0"/>
              <w:rPr>
                <w:sz w:val="14"/>
                <w:szCs w:val="14"/>
                <w:color w:val="auto"/>
              </w:rPr>
            </w:pPr>
          </w:p>
        </w:tc>
        <w:tc>
          <w:tcPr>
            <w:tcW w:w="22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Ordinary Share</w:t>
            </w:r>
          </w:p>
        </w:tc>
        <w:tc>
          <w:tcPr>
            <w:tcW w:w="160" w:type="dxa"/>
            <w:vAlign w:val="bottom"/>
          </w:tcPr>
          <w:p>
            <w:pPr>
              <w:spacing w:after="0"/>
              <w:rPr>
                <w:sz w:val="15"/>
                <w:szCs w:val="15"/>
                <w:color w:val="auto"/>
              </w:rPr>
            </w:pPr>
          </w:p>
        </w:tc>
        <w:tc>
          <w:tcPr>
            <w:tcW w:w="23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May 12, 2021</w:t>
            </w: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0.36</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June 30, 2021</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45,580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July 23, 2021</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February 2, 2021</w:t>
            </w: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0.36</w:t>
            </w: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March 31, 2021</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45,958</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April 23, 2021</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10, 2020</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0.3275</w:t>
            </w: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2020</w:t>
            </w:r>
          </w:p>
        </w:tc>
        <w:tc>
          <w:tcPr>
            <w:tcW w:w="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42,850</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January 22, 2021</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May 7, 2020</w:t>
            </w: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0.3275</w:t>
            </w: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June 30, 2020</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43,568</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4, 2020</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0.3275</w:t>
            </w: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March 31, 2020</w:t>
            </w:r>
          </w:p>
        </w:tc>
        <w:tc>
          <w:tcPr>
            <w:tcW w:w="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43,723</w:t>
            </w:r>
          </w:p>
        </w:tc>
        <w:tc>
          <w:tcPr>
            <w:tcW w:w="2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24, 2020</w:t>
            </w: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November 12, 2019</w:t>
            </w:r>
          </w:p>
        </w:tc>
        <w:tc>
          <w:tcPr>
            <w:tcW w:w="9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0.285</w:t>
            </w: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December 31, 2019</w:t>
            </w:r>
          </w:p>
        </w:tc>
        <w:tc>
          <w:tcPr>
            <w:tcW w:w="5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38,357</w:t>
            </w:r>
          </w:p>
        </w:tc>
        <w:tc>
          <w:tcPr>
            <w:tcW w:w="2440" w:type="dxa"/>
            <w:vAlign w:val="bottom"/>
            <w:gridSpan w:val="2"/>
          </w:tcPr>
          <w:p>
            <w:pPr>
              <w:ind w:left="160"/>
              <w:spacing w:after="0"/>
              <w:rPr>
                <w:sz w:val="20"/>
                <w:szCs w:val="20"/>
                <w:color w:val="auto"/>
              </w:rPr>
            </w:pPr>
            <w:r>
              <w:rPr>
                <w:rFonts w:ascii="Arial" w:cs="Arial" w:eastAsia="Arial" w:hAnsi="Arial"/>
                <w:sz w:val="18"/>
                <w:szCs w:val="18"/>
                <w:color w:val="auto"/>
              </w:rPr>
              <w:t>January 24, 2020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amounts payable as a result of the May 12, 2021 and May 7, 2020 declarations were included in accrued expenses and other current liabilities as of June 30, 2021 and 2020, respectively.</w:t>
      </w:r>
    </w:p>
    <w:p>
      <w:pPr>
        <w:spacing w:after="0" w:line="170"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On August 4, 2021 the Company’s Board of Directors approved the next quarterly dividend payment of $0.36 per share and set September 30, 2021 as the record date for determining the shareholders entitled to receive the dividend, which is payable on October 29, 2021.</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 and share amounts in thousands, except per share data or as otherwise disclosed)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In June 2021, the two federal securities lawsuits against Amdocs were voluntarily dismissed. Specifically, the plaintiffs in the two separate lawsuits alleging violations of federal securities laws that were filed against Amdocs and certain of its current and former officers in April 2021 (</w:t>
      </w:r>
      <w:r>
        <w:rPr>
          <w:rFonts w:ascii="Arial" w:cs="Arial" w:eastAsia="Arial" w:hAnsi="Arial"/>
          <w:sz w:val="16"/>
          <w:szCs w:val="16"/>
          <w:i w:val="1"/>
          <w:iCs w:val="1"/>
          <w:color w:val="auto"/>
        </w:rPr>
        <w:t>Glover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 Amdocs Ltd., et. al, </w:t>
      </w:r>
      <w:r>
        <w:rPr>
          <w:rFonts w:ascii="Arial" w:cs="Arial" w:eastAsia="Arial" w:hAnsi="Arial"/>
          <w:sz w:val="16"/>
          <w:szCs w:val="16"/>
          <w:color w:val="auto"/>
        </w:rPr>
        <w:t>4:21-cv-00418, E.D. Mo. and</w:t>
      </w:r>
      <w:r>
        <w:rPr>
          <w:rFonts w:ascii="Arial" w:cs="Arial" w:eastAsia="Arial" w:hAnsi="Arial"/>
          <w:sz w:val="16"/>
          <w:szCs w:val="16"/>
          <w:i w:val="1"/>
          <w:iCs w:val="1"/>
          <w:color w:val="auto"/>
        </w:rPr>
        <w:t xml:space="preserve"> Marn v. Amdocs Ltd. et. al, </w:t>
      </w:r>
      <w:r>
        <w:rPr>
          <w:rFonts w:ascii="Arial" w:cs="Arial" w:eastAsia="Arial" w:hAnsi="Arial"/>
          <w:sz w:val="16"/>
          <w:szCs w:val="16"/>
          <w:color w:val="auto"/>
        </w:rPr>
        <w:t>2:21-cv-03078-CAS-PVC, C.D. Ca.) each voluntarily dismissed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actions without prejudice as to all defendants and no other litigation with respect to the allegations in those actions is pending.</w:t>
      </w:r>
    </w:p>
    <w:p>
      <w:pPr>
        <w:spacing w:after="0" w:line="15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the Ecuadorian Courts have responded to such defense efforts, including motions alleging constitutional defects, in an inconsistent manner. While we have achieved some successes, the majority of the procedures are still ongoing. The Company is unable to reasonably estimate the ultimate outcome of the above dispute.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ind w:left="120" w:right="200" w:firstLine="440"/>
        <w:spacing w:after="0" w:line="287"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including the COVID-19 risk, please read the information set forth under the caption “Risk Factors” in our Annual Report on Form 20-F for fiscal year 2020, filed on December 14, 2020 with the U.S. Securities and Exchange Commission.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Amdocs is a leading provider of software and services for more than 350 communications, Pay TV, entertainment and media industry and other service providers in developed countries and emerging markets. Amdocs also holds relationships with hundreds of content owners and distributors around the globe. Our software and services, which we develop, implement and manage, are designed to meet the business imperatives of our customers and help them modernize, automate and digitize their business in the cloud. These imperatives address service provider needs around consumer experience and monetization; media and digital services; enterprise and connected society; open cloud and 5G networks; new domains and disruptions, and services and hybrid operations.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the demand for our solutions is driven by our clients’ continued migration to the cloud, deployment of 5G networks and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offerings are designed to meet the challenges facing our customers as they transform into digital service providers within the framework of a hybrid IT environment, which requires them to rapidly introduce new cloud-native applications while still operating legacy systems. They enable modular expansion as a service provider evolves, ensuring low-cost and reduced-risk implementations, while their microservices-based architecture enables the rapid deployment of complex applications as suites of independently deployable services that can be frequently upgraded via DevOps. Our comprehensive line of services is designed to address every stage of a service provider’s lifecycle. They include end-to-end systems integration services, managed services, quality engineering services, cloud services, digital business operations, and consulting services.</w:t>
      </w:r>
    </w:p>
    <w:p>
      <w:pPr>
        <w:spacing w:after="0" w:line="16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and media industry. In the nine months ended June 30, 2021, customers in North America accounted for 64.6% of our revenue, while customers in Europe and the rest of the world accounted for 14.9% and 20.5%, respectively. We maintain and support development facilities in Brazil, Canada, Cyprus, India, Ireland, Israel, Mexico, the Philippines, the UK and the United States.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our revenue principally from:</w:t>
      </w:r>
    </w:p>
    <w:p>
      <w:pPr>
        <w:spacing w:after="0" w:line="131" w:lineRule="exact"/>
        <w:rPr>
          <w:sz w:val="20"/>
          <w:szCs w:val="20"/>
          <w:color w:val="auto"/>
        </w:rPr>
      </w:pPr>
    </w:p>
    <w:p>
      <w:pPr>
        <w:ind w:left="1080" w:right="1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results of operations are affected by general economic conditions and the level of economic activity in the industries and markets that we serve. The current COVID-19 pandemic has increased that level of volatility and uncertainty globally and has created economic disruption. While the extent of the impact of the COVID-19 pandemic on our business remains uncertain and the rate and pace of recovery has differed by geography and industry, we are currently performing on our obligations while implementing some modifications, including, among others, travel restrictions and moving our employees to work from home or hybrid home-office arrangements where permissible, while prioritizing the well-being of our employees. Despite operating under the pandemic global restrictions, we are able to continue to seamlessly operate our customers’ mission-critical systems without interruption.</w:t>
      </w:r>
    </w:p>
    <w:p>
      <w:pPr>
        <w:spacing w:after="0" w:line="19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as a result of the business disruption caused by the COVID-19 pandemic, we cannot predict all possible scenarios and our outlook maybe impacted materially as our customers continue to evaluate their strategic business priorities and future pace of investments. We are actively monitoring the pandemic and managing our business to respond to the impact of COVID-19. In addition, foreign exchange rates fluctuation may continue to present challenges in future periods should significant increases in volatility in foreign exchange markets occur. Although we try to mitigate the foreign currency exchange rates impact on our results through our hedging policy, we cannot assure that we will be able to effectively limit all of our exposure.</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recognize revenue under the five-step methodology required under ASC 606, which requires us to identify the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4" w:lineRule="exact"/>
        <w:rPr>
          <w:sz w:val="20"/>
          <w:szCs w:val="20"/>
          <w:color w:val="auto"/>
        </w:rPr>
      </w:pPr>
    </w:p>
    <w:p>
      <w:pPr>
        <w:jc w:val="both"/>
        <w:ind w:left="120" w:right="40" w:firstLine="440"/>
        <w:spacing w:after="0" w:line="277" w:lineRule="auto"/>
        <w:rPr>
          <w:sz w:val="20"/>
          <w:szCs w:val="20"/>
          <w:color w:val="auto"/>
        </w:rPr>
      </w:pPr>
      <w:r>
        <w:rPr>
          <w:rFonts w:ascii="Arial" w:cs="Arial" w:eastAsia="Arial" w:hAnsi="Arial"/>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For our primary revenue categories, related performance obligations, and associated recognition patterns please see Note 5 to our consolidated financial statements.</w:t>
      </w:r>
    </w:p>
    <w:p>
      <w:pPr>
        <w:spacing w:after="0" w:line="17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$650.5 million and $604.5 million in the three months ended June 30, 2021 and 2020, respectively, and $1.91 billion and $1.79 billion in the nine months ended June 30, 2021 and 2020, respectively.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for the three and nine months ended June 30, 2021 and 2020. Certain items in our consolidated statements of income are reflected as a percentage of revenue (figures may not sum because of rounding):</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Three months</w:t>
            </w: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5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3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2021</w:t>
            </w:r>
          </w:p>
        </w:tc>
        <w:tc>
          <w:tcPr>
            <w:tcW w:w="3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2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4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64.7</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66.4</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65.7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400" w:type="dxa"/>
            <w:vAlign w:val="bottom"/>
            <w:gridSpan w:val="3"/>
          </w:tcPr>
          <w:p>
            <w:pPr>
              <w:jc w:val="right"/>
              <w:ind w:right="308"/>
              <w:spacing w:after="0"/>
              <w:rPr>
                <w:sz w:val="20"/>
                <w:szCs w:val="20"/>
                <w:color w:val="auto"/>
              </w:rPr>
            </w:pPr>
            <w:r>
              <w:rPr>
                <w:rFonts w:ascii="Arial" w:cs="Arial" w:eastAsia="Arial" w:hAnsi="Arial"/>
                <w:sz w:val="18"/>
                <w:szCs w:val="18"/>
                <w:color w:val="auto"/>
              </w:rPr>
              <w:t>7.6</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6.8</w:t>
            </w:r>
          </w:p>
        </w:tc>
        <w:tc>
          <w:tcPr>
            <w:tcW w:w="760" w:type="dxa"/>
            <w:vAlign w:val="bottom"/>
            <w:gridSpan w:val="2"/>
          </w:tcPr>
          <w:p>
            <w:pPr>
              <w:jc w:val="right"/>
              <w:ind w:right="308"/>
              <w:spacing w:after="0"/>
              <w:rPr>
                <w:sz w:val="20"/>
                <w:szCs w:val="20"/>
                <w:color w:val="auto"/>
              </w:rPr>
            </w:pPr>
            <w:r>
              <w:rPr>
                <w:rFonts w:ascii="Arial" w:cs="Arial" w:eastAsia="Arial" w:hAnsi="Arial"/>
                <w:sz w:val="18"/>
                <w:szCs w:val="18"/>
                <w:color w:val="auto"/>
              </w:rPr>
              <w:t>7.2</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4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11.5</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11.3</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w w:val="98"/>
              </w:rPr>
              <w:t>Amortization of purchased intangible assets and other</w:t>
            </w:r>
          </w:p>
        </w:tc>
        <w:tc>
          <w:tcPr>
            <w:tcW w:w="2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760" w:type="dxa"/>
            <w:vAlign w:val="bottom"/>
            <w:gridSpan w:val="2"/>
          </w:tcPr>
          <w:p>
            <w:pPr>
              <w:jc w:val="right"/>
              <w:ind w:right="308"/>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85.6</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86.1</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4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40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3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7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(0.3)</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2640" w:type="dxa"/>
            <w:vAlign w:val="bottom"/>
          </w:tcPr>
          <w:p>
            <w:pPr>
              <w:spacing w:after="0"/>
              <w:rPr>
                <w:sz w:val="19"/>
                <w:szCs w:val="19"/>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14.6</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20.7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taxes</w:t>
            </w:r>
          </w:p>
        </w:tc>
        <w:tc>
          <w:tcPr>
            <w:tcW w:w="26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0.9</w:t>
            </w:r>
          </w:p>
        </w:tc>
        <w:tc>
          <w:tcPr>
            <w:tcW w:w="3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760" w:type="dxa"/>
            <w:vAlign w:val="bottom"/>
            <w:gridSpan w:val="2"/>
          </w:tcPr>
          <w:p>
            <w:pPr>
              <w:jc w:val="right"/>
              <w:ind w:right="308"/>
              <w:spacing w:after="0"/>
              <w:rPr>
                <w:sz w:val="20"/>
                <w:szCs w:val="20"/>
                <w:color w:val="auto"/>
              </w:rPr>
            </w:pPr>
            <w:r>
              <w:rPr>
                <w:rFonts w:ascii="Arial" w:cs="Arial" w:eastAsia="Arial" w:hAnsi="Arial"/>
                <w:sz w:val="18"/>
                <w:szCs w:val="18"/>
                <w:color w:val="auto"/>
              </w:rPr>
              <w:t>3.0</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7"/>
              </w:rPr>
              <w:t>13.7%</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7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w w:val="97"/>
              </w:rPr>
              <w:t>17.6%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40" w:type="dxa"/>
            <w:vAlign w:val="bottom"/>
            <w:vMerge w:val="restart"/>
          </w:tcPr>
          <w:p>
            <w:pPr>
              <w:jc w:val="right"/>
              <w:ind w:right="1990"/>
              <w:spacing w:after="0"/>
              <w:rPr>
                <w:sz w:val="20"/>
                <w:szCs w:val="20"/>
                <w:color w:val="auto"/>
              </w:rPr>
            </w:pPr>
            <w:r>
              <w:rPr>
                <w:rFonts w:ascii="Arial" w:cs="Arial" w:eastAsia="Arial" w:hAnsi="Arial"/>
                <w:sz w:val="18"/>
                <w:szCs w:val="18"/>
                <w:color w:val="auto"/>
              </w:rPr>
              <w:t>27</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Nine Months Ended June 30, 2021 and 2020</w:t>
      </w:r>
    </w:p>
    <w:p>
      <w:pPr>
        <w:spacing w:after="0" w:line="121"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nine months ended June 30, 2021 compared to the nine months ended June 30, 2020. Following the table is a discussion and analysis of our business and results of operations for such periods.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3"/>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Amount</w:t>
            </w:r>
          </w:p>
        </w:tc>
        <w:tc>
          <w:tcPr>
            <w:tcW w:w="46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3,201,331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3,116,091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85,240</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2,103,601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2,052,007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51,594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231,617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206,199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25,418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361,240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9,053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60,510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57,878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2,632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2,756,968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2,668,271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88,697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gridSpan w:val="2"/>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444,363</w:t>
            </w:r>
          </w:p>
        </w:tc>
        <w:tc>
          <w:tcPr>
            <w:tcW w:w="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447,820</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(3,457)</w:t>
            </w:r>
          </w:p>
        </w:tc>
        <w:tc>
          <w:tcPr>
            <w:tcW w:w="300" w:type="dxa"/>
            <w:vAlign w:val="bottom"/>
            <w:vMerge w:val="continue"/>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226,410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226,410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661,075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442,761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218,314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taxes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96,226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79,384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16,842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564,849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363,377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201,472</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increased by $85.2 million, or 2.7%, to $3,201.3 million in the nine months ended June 30, 2021, from $3,116.1 million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June 30, 2020. The increase in revenue was attributable to increased managed services arrangements including managed transformation activities. Revenue for the nine months ended June 30, 2021 increased by 2.7% compared to the nine months ended June 30, 2020, including approximately 1.3% positive foreign exchange fluctuations impact and was positively affected by activities related to acquisitions completed in fiscal year 2020 and negatively affected by a decrease in revenue as a result of the divestiture of OpenMarket completed on December 31, 2020.</w:t>
      </w:r>
    </w:p>
    <w:p>
      <w:pPr>
        <w:spacing w:after="0" w:line="16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nine months ended June 30, 2021, revenue from customers in North America, Europe and the rest of the world accounted for 64.6%, 14.9% and 20.5%, respectively, of total revenue, compared to 65.4%, 14.4% and 20.2%, respectively, in the nine months ended June 30, 2020. Revenue from customers in North America increased during the nine months ended June 30, 2021, while total revenue increased at a slightly higher rate, which resulted in a decrease of revenue from customers in North America as a percentage of total revenue. The increase in revenue from customers in North America in absolute amount was primarily attributable to higher revenue from managed services arrangements from key customers in North America and to a lesser extent to activities related to fiscal year 2020 acquisitions, which was partially offset by the divestiture of OpenMarket completed on December 31, 2020.</w:t>
      </w:r>
    </w:p>
    <w:p>
      <w:pPr>
        <w:spacing w:after="0" w:line="195"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Revenue from customers in Europe increased during the nine months ended June 30, 2021 and was positively affected by foreign exchange fluctuations impact. The increase in revenue from customers in Europe was primarily attributable to higher revenue from development and modernization activities while we expand our presence in this region, partially offset by the divestiture of OpenMarket completed on December 31, 2020.</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Revenue from customers in the rest of the world in Asia-Pacific increased during the nine months ended June 30, 2021 and was partially offset by other regions within the rest of the world.</w:t>
      </w:r>
    </w:p>
    <w:p>
      <w:pPr>
        <w:spacing w:after="0" w:line="170"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color w:val="auto"/>
        </w:rPr>
        <w:t>. Cost of revenue consists primarily of costs associated with providing services to customers, including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costs of third-party products, as well as fee and royalty payments to software suppliers. Cost of revenue increased by $51.6 million, or 2.5%, to $2,103.6 million in the nine months ended June 30, 2021, from $2,052.0 million in the nine months ended June 30, 2020. The cost of revenue as a percentage of revenue remained stable, in the nine months ended June 30, 2021 compared to the nine months ended June 30, 2020, however, excluding the impact of changes of certain acquisition-related liabilities measured at fair value recognized in the nine months ended June 30, 2021 and June 30, 2020, cost of revenue as percentage of revenue decreased. This decrease in cost of revenue as a percentage of revenue was attributable to operational excellence initiatives through automation and new methodologies, as well as the divestiture of OpenMarket completed on December 31, 2020, as OpenMarket’s cost of revenue as a percentage of revenue was higher than the Company average.</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60"/>
          </w:cols>
          <w:pgMar w:left="320" w:top="459"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$25.4 million, or 12.3%, to $231.6 million in the nine months ended June 30, 2021, from $206.2 million in the nine months ended June 30, 2020. Research and development expense increased as a percentage of revenue from 6.6% in the nine months ended June 30, 2020, to 7.2% in the nine months ended June 30, 2021, as we accelerate our investment in our cloud offering, 5G and network related innovation and developing our digital offerings. Our research and development efforts are a key element of our strategy and are essential to our success, and we intend to maintain our commitment to research and development. An increase or decrease in our revenue would not necessarily result in a proportional increase or decrease in the levels of our research and development expenditures, which could affect our operating margin.</w:t>
      </w:r>
    </w:p>
    <w:p>
      <w:pPr>
        <w:spacing w:after="0" w:line="16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color w:val="auto"/>
        </w:rPr>
        <w:t>. Selling, general and administrative expense, which is primarily comprised of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by $9.1 million, or 2.6%, to $361.2 million in the nine months ended June 30, 2021, from $352.2 million in the nine months ended June 30, 2020. The increase was primarily attributable to acquisitions completed in fiscal year 2020 which was partially offset by lower travel costs as a result of the COVID-19 restrictions. Selling, general and administrative expense may fluctuate from time to time, depending upon such factors as changes in our workforce and sales efforts and the results of any operational efficiency programs that we may undertake.</w:t>
      </w:r>
    </w:p>
    <w:p>
      <w:pPr>
        <w:spacing w:after="0" w:line="176" w:lineRule="exact"/>
        <w:rPr>
          <w:sz w:val="20"/>
          <w:szCs w:val="20"/>
          <w:color w:val="auto"/>
        </w:rPr>
      </w:pPr>
    </w:p>
    <w:p>
      <w:pPr>
        <w:ind w:left="120" w:right="600" w:firstLine="440"/>
        <w:spacing w:after="0" w:line="257"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and other in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2021, increased by $2.6 million, or 4.5% to $60.5 million from $57.9 million in the nine months ended June 30, 2020. The increase in amortization of purchased intangible assets and other was primarily attributable to an increase in acquisition-related costs and to an increase in amortization of intangible assets due to acquisitions completed in fiscal year 2020, partially offset by a completion of amortization of previously purchased intangible assets.</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$3.5 million, or 0.8%, in the nine months ended June 30, 2021, to $444.4 million, or 13.9%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$447.8 million, or 14.4% of revenue, in the nine months ended June 30, 2020. The decrease in operating income was attributable primarily to the increase in research and development expense, partially offset by operational excellence initiatives and the divestiture of OpenMarket completed on December 31, 2020, during the nine months ended June 30, 2021. In addition, positive foreign exchange impacts on our revenue, resulted in a positive impact on our operating income.</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Interest and Other Income (Expense),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income (expense), net, changed from a net expense of $5.1 million in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2020 to a net expense of $9.7 million in the nine months ended June 30, 2021. The increase in interest and other income (expense), net, was primarily attributable to an increase in interest expenses related to financing activities which was partially offset by other net income and foreign exchange impacts.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 xml:space="preserve">Gain from sale of a business. </w:t>
      </w:r>
      <w:r>
        <w:rPr>
          <w:rFonts w:ascii="Arial" w:cs="Arial" w:eastAsia="Arial" w:hAnsi="Arial"/>
          <w:sz w:val="18"/>
          <w:szCs w:val="18"/>
          <w:color w:val="auto"/>
        </w:rPr>
        <w:t>Gain from sale of a business, for the nine months ended June 30, 2021, was $226.4 million, while there was no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in the nine months ended June 30, 2020. Please see Note 4 to our consolidated financial statements.</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nine months ended June 30, 2021 were $96.2 million on pre-tax income of $661.1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14.6%, compared to 17.9% in the nine months ended June 30, 2020. Absent the gain from sale of a business, the effective tax rate for the nine months ended June 30, 2021, would have been 13.0%. Our effective tax rate may fluctuate between periods as a result of discrete items that may affect a particular period. Please see Note 10 to our consolidated financial statements.</w:t>
      </w:r>
    </w:p>
    <w:p>
      <w:pPr>
        <w:spacing w:after="0" w:line="17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color w:val="auto"/>
        </w:rPr>
        <w:t>. Net income increased by $201.5 million, or 55.4%, to $564.8 million in the nine months ended June 30, 2021, from $363.4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nine months ended June 30, 2020. The increase in net income was primarily attributable to the gain from sale of a business, net of tax.</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Diluted Earnings Per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earnings per share increased by $1.64, or 60.7%, to $4.34 in the nine months ended June 30, 2021,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$2.70 in the nine months ended June 30, 2020. The increase in diluted earnings per share was primarily attributable to the gain from sale of a business, net of tax, which increased the diluted earnings per share for the nine months ended June 30, 2021, by $1.43, and, to a lesser extent low effective tax rate as well as to the decrease in the diluted weighted average number of shares outstanding which resulted from share repurchases. Please see also Note 11 to our consolidated financial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June 30, 2021 and 2020</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June 30, 2021 compared to the three months ended June 30, 2020. Following the table is a discussion and analysis of our business and results of operations for such periods.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9"/>
              </w:rPr>
              <w:t>Increase (Decrease)</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1,066,254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1,026,201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$ 40,053</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689,370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681,725</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7,645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80,794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70,093</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10,701</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109,612</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12,789</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18,770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17,240</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1,530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911,335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878,670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32,665</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154,919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147,531</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7,388</w:t>
            </w:r>
          </w:p>
        </w:tc>
        <w:tc>
          <w:tcPr>
            <w:tcW w:w="3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(113.8)</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155,253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145,114</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10,139</w:t>
            </w:r>
          </w:p>
        </w:tc>
        <w:tc>
          <w:tcPr>
            <w:tcW w:w="3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24,707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(15,604)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146,150</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120,407</w:t>
            </w:r>
          </w:p>
        </w:tc>
        <w:tc>
          <w:tcPr>
            <w:tcW w:w="3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$ 25,743</w:t>
            </w:r>
          </w:p>
        </w:tc>
        <w:tc>
          <w:tcPr>
            <w:tcW w:w="3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$40.1 million, or 3.9%, to $1,066.3 million in the three months ended June 30, 2021, from $1,026.2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2020. Revenue for the three months ended June 30, 2021 was positively affected by increased managed services arrangements including managed transformation activities, approximately 2.0% positive foreign exchange fluctuations impact, and activities related to acquisitions completed in fiscal years 2020 and 2021. The increase in revenue was partially offset by a decrease in revenue as a result of the divestiture of OpenMarket completed on December 31, 2020.</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the three months ended June 30, 2021, revenue from customers in North America, Europe and the rest of the world accounted for 64.3%, 14.6% and 21.1%, respectively, of total revenue, compared to 66.8%, 14.2% and 19.0%, respectively, in the three months ended June 30, 2020. Revenue from customers in North America remained stable during the three months ended June 30, 2021, while total revenue increased at a higher rate, which resulted in a decrease of revenue from customers in North America as a percentage of total revenue. This was primarily attributable to higher revenue from managed services activities from key customers in North America and to a lesser extent to activities related to fiscal year 2020 acquisitions, which was offset by the divestiture of OpenMarket completed on December 31, 2020.</w:t>
      </w:r>
    </w:p>
    <w:p>
      <w:pPr>
        <w:spacing w:after="0" w:line="178" w:lineRule="exact"/>
        <w:rPr>
          <w:sz w:val="20"/>
          <w:szCs w:val="20"/>
          <w:color w:val="auto"/>
        </w:rPr>
      </w:pPr>
    </w:p>
    <w:p>
      <w:pPr>
        <w:ind w:left="120" w:right="400" w:firstLine="440"/>
        <w:spacing w:after="0" w:line="259" w:lineRule="auto"/>
        <w:rPr>
          <w:sz w:val="20"/>
          <w:szCs w:val="20"/>
          <w:color w:val="auto"/>
        </w:rPr>
      </w:pPr>
      <w:r>
        <w:rPr>
          <w:rFonts w:ascii="Arial" w:cs="Arial" w:eastAsia="Arial" w:hAnsi="Arial"/>
          <w:sz w:val="18"/>
          <w:szCs w:val="18"/>
          <w:color w:val="auto"/>
        </w:rPr>
        <w:t>Revenue from customers in Europe increased during the three months ended June 30, 2021 and was positively affected by foreign exchange fluctuations impact. The increase in revenue from customers in Europe was primarily attributable to higher revenue from development and modernization activities while we expand our presence in this region, partially offset by the divestiture of OpenMarket completed on December 31, 2020.</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Revenue from customers in the rest of the world increased during the three months ended June 30, 2021 and was primarily attributable to higher revenue from development and modernization activities.</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consists primarily of costs associated with providing services to customers, including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costs of third-party products, as well as fee and royalty payments to software suppliers. Cost of revenue increased by $7.6 million, or 1.1%, to $689.4 million in the three months ended June 30, 2021, from $681.7 million in the three months ended June 30, 2020. The Cost of revenue as a percentage of revenue decreased from 66.4% in the three months ended June 30, 2020, to 64.7% in the three months ended June 30, 2021, and was attributable to operational excellence initiatives through automation and new methodologies, as well as the divestiture of OpenMarket completed on December 31, 2020. The divestiture of OpenMarket completed on December 31, 2020 positively affected our cost of revenue as a percentage of revenue as, OpenMarket’s cost of revenue as a percentage of revenue was higher than the Company average.</w:t>
      </w:r>
    </w:p>
    <w:p>
      <w:pPr>
        <w:spacing w:after="0" w:line="17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$10.7 million, or 15.3%, to $80.8 million in the three months ended June 30, 2021, from $70.1 million in the three months ended June 30, 2020. Research and development expense increased as a percentage of revenue from 6.8% in the three months ended June 30, 2020, to 7.6% in the three months ended June 30, 2021, as we accelerate our investment in our cloud offering, 5G and network related innovation and developing our digital offerings. Our research and development efforts are a key element of our strategy and are essential to our success, and we intend to maintain our commitment to research and development. An increase or decrease in our revenue would not necessarily result in a proportional increase or decrease in the levels of our research and development expenditures, which could affect our operating margin.</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20"/>
          </w:cols>
          <w:pgMar w:left="320" w:top="459" w:right="4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440"/>
        <w:spacing w:after="0" w:line="291"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color w:val="auto"/>
        </w:rPr>
        <w:t>. Selling, general and administrative expense, which is primarily comprised of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$12.8 million, or 11.7%, to $122.4 million in the three months ended June 30, 2021, from $109.6 million in the three months ended</w:t>
      </w:r>
    </w:p>
    <w:p>
      <w:pPr>
        <w:ind w:left="120" w:right="20"/>
        <w:spacing w:after="0" w:line="253" w:lineRule="auto"/>
        <w:rPr>
          <w:sz w:val="20"/>
          <w:szCs w:val="20"/>
          <w:color w:val="auto"/>
        </w:rPr>
      </w:pPr>
      <w:r>
        <w:rPr>
          <w:rFonts w:ascii="Arial" w:cs="Arial" w:eastAsia="Arial" w:hAnsi="Arial"/>
          <w:sz w:val="18"/>
          <w:szCs w:val="18"/>
          <w:color w:val="auto"/>
        </w:rPr>
        <w:t>June 30, 2020. Selling, general and administrative expense increased as a percentage of revenue from 10.7% in the three months ended June 30, 2020, to 11.5% in the three months ended June 30, 2021. The increase is mainly due to increase in account receivable allowances, increase in selling, general and administrative expense, attributable to acquisitions completed in fiscal years 2021 and 2020. Selling, general and administrative expense may fluctuate from time to time, depending upon such factors as changes in our workforce and sales efforts and the results of any operational efficiency programs that we may undertake.</w:t>
      </w:r>
    </w:p>
    <w:p>
      <w:pPr>
        <w:spacing w:after="0" w:line="191"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and other in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2021, increased by $1.5 million, or 8.9% to $18.8 million from $17.2 million in the three months ended June 30, 2020. The increase in amortization of purchased intangible assets and other was primarily attributable to an increase in amortization of intangible assets due to acquisitions completed in fiscal years 2021 and 2020, partially offset by a completion of amortization of previously purchased intangible assets and, to a lesser extent, to a decrease in acquisition-related costs.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$7.4 million, or 5.0%, in the three months ended June 30, 2021, to $154.9 million, or 14.5%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$147.5 million, or 14.4% of revenue, in the three months ended June 30, 2020. The increase in operating income was attributable primarily to operational excellence initiatives and the divestiture of OpenMarket completed on December 31, 2020, partially offset by the increase in research and development expense during the nine months ended June 30, 2021. The impact of foreign exchange fluctuations on our operating income in the three months ended June 30, 2021, was immaterial.</w:t>
      </w:r>
    </w:p>
    <w:p>
      <w:pPr>
        <w:spacing w:after="0" w:line="18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b w:val="1"/>
          <w:bCs w:val="1"/>
          <w:i w:val="1"/>
          <w:iCs w:val="1"/>
          <w:color w:val="auto"/>
        </w:rPr>
        <w:t>Interest and Other Income (Expense), Net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other income (expense), net, changed from a net expense of $2.4 million in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2020 to a net income of $0.3 million in the three months ended June 30, 2021. The increase in interest and other income (expense), net, was primarily attributable to an increase in other net income and foreign exchange impacts partially offset by interest expenses related to financing activities recorded in the three months ended June 30, 2021 compared to the three months ended June 30, 2020.</w:t>
      </w:r>
    </w:p>
    <w:p>
      <w:pPr>
        <w:spacing w:after="0" w:line="17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Income taxes for the three months ended June 30, 2021 were $9.1 million on pre-tax income of $155.3 million, resulting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of 5.9%, compared to 17.0% in the three months ended June 30, 2020. Our effective tax rate may fluctuate between periods as a result of discrete items that may affect a particular period. Please see Note 10 to our consolidated financial statements.</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by $25.7 million, or 21.4%, to $146.2 million in the three months ended June 30, 2021, from $120.4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June 30, 2020. The increase in net income was primarily attributable to the decrease in income taxes coupled with the increase in operating income.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Diluted Earnings Per Share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Diluted earnings per share increased by $0.24, or 26.7%, to $1.14 in the three months ended June 30, 2021, from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$0.90 in the three months ended June 30, 2020. The increase in diluted earnings per share was attributable to the increase in net income, and, to a lesser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extent, the decrease in the diluted weighted average number of shares outstanding which resulted from share repurchases. Please see also Note 11 to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consolidated financial statements.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totaled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$1,046.7 million as of June 30, 2021, compared to $983.9 million as of September 30, 2020. The increase was mainly attributable to $726.1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positive cash flow from operating activities, reflecting healthy cash collections and the cash benefit of a multi-year strategic partnership agreement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T-Mobile, $289.0 million net cash received from sale of a business and $84.5 million of proceeds from stock option exercises, partially offset by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$540.0 million repurchase of our ordinary shares, $149.6 million for capital expenditures, net, $131.9 million of cash dividend payment, $113.4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payments for business and intangible assets acquisitions and $100 million repayment of short-term loan. Net cash provided by operating activities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amounted to $726.1 million and $453.5 million in the nine months ended June 30, 2021 and 2020, respectively.</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Our free cash flow for the nine months ended June 30, 2021 was $576.5 million and is calculated as net cash provided by operating activities of $726.1 million for the period less $149.6 million for capital expenditures, net (which included capital expenditures of $67.9 million as part of our investment in our new campus in Israel).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believe that our current cash balances, cash generated from operations, our current lines of credit, loans, Senior Notes and our ability to access capital markets will provide sufficient resources to meet our operational needs, fund the construction of the new campus in Israel, loan and debt repayment needs, fund share repurchases and the payment of cash dividends for at least the next twelve months.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and U.S government securities, which are stated at market value. We believe we have conservative investment policy guidelines. Our interest-bearing investments are stated at fair value with the unrealized gains or losses reported as a separate component of accumulated other comprehensive income,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the nine months ended June 30, 2021 and 2020, we did not recognize any credit losses. Please see Notes 6 and 7 to the consolidated financial statements.</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 xml:space="preserve">Revolving Credit Facility, Loans, Senior Notes, Letters of Credit, Guarantees and Contractual Obligations. </w:t>
      </w:r>
      <w:r>
        <w:rPr>
          <w:rFonts w:ascii="Arial" w:cs="Arial" w:eastAsia="Arial" w:hAnsi="Arial"/>
          <w:sz w:val="16"/>
          <w:szCs w:val="16"/>
          <w:color w:val="auto"/>
        </w:rPr>
        <w:t>In December 2011, we entered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$500.0 million Revolving Credit Facility. In December 2014, December 2017 and March 2021, the Revolving Credit Facility was amended and restated to, among other things, extend the maturity date of the facility to December 2019, December 2022 and March 2026, respectively. As of June 30, 2021, we were in compliance with the financial covenants and had no outstanding borrowing under the Revolving Credit Facility.</w:t>
      </w:r>
    </w:p>
    <w:p>
      <w:pPr>
        <w:spacing w:after="0" w:line="15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unassociated with the Revolving Credit Facility discussed above, in May 2020, we entered into an additional $100.0 million one year loan which was repaid in full in May 2021.</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As of June 30, 2021, the noncurrent outstanding principal portion was $650.0 million, please see Note 13 to our consolidated financial statements.</w:t>
      </w:r>
    </w:p>
    <w:p>
      <w:pPr>
        <w:spacing w:after="0" w:line="16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June 30, 2021, we had additional uncommitted lines of credit available for general corporate and other specific purposes and had outstanding letters of credit and bank guarantees from various banks totaling $80.9 million. These were supported by a combination of the uncommitted lines of credit that we maintain with various banks.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have contractual obligations for Long-term and Short-term debt and accrued interests, our non-cancelable operating leases, purchase obligations, pension funding and unrecognized tax benefits, the total net investment related to the construction of the new campus in Israel, summarized in the disclosure of contractual obligations set forth in our Annual Report on Form 20-F for the fiscal year ended September 30, 2020, filed on December 14, 2020 with the SEC. Since September 30, 2020, there have been no material changes in our aggregate contractual obligations mentioned above.</w:t>
      </w:r>
    </w:p>
    <w:p>
      <w:pPr>
        <w:spacing w:after="0" w:line="188"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Generally, 80% to 90% of our capital expenditures (excluding the investment in our new campus in Israel)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computer equipment, and the remainder is attributable mainly to leasehold improvements. Our capital expenditures were approximately $149.6 million in the nine months ended June 30, 2021 and were mainly attributable to investments in our operating facilities and our development centers around the world (including the investment in our new campus in Israel).</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total net investment we expect to make in connection with the construction of the new campus is estimated to be up to $350 million over a period of five years, starting with fiscal year 2018, out of which approximately $96 million was incurred in fiscal year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2018 by both us and our partner Union at equal portions (i.e. our net investment was approximately $48 million), $7 million was incurred by us in fiscal year 2019 (which is net of proceed of $9.7 million relating to the refund of betterment levy) and $63 million was incurred by us in fiscal year 2020. We expect to incur approximately $110 million in fiscal year 2021.</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our Board of Directors can adopt share repurchase plans authorizing the repurchase of our outstanding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ordinary shares. On November 12, 2019, our Board of Directors adopted a share repurchase plan authorizing the repurchase of up to an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$800.0 million of our outstanding ordinary shares with no expiration date. During the nine months ended June 30, 2021, we repurchased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7.2 million ordinary shares at an average price of $74.67 per share (excluding broker and transaction fees). The November 2019 plan permits us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 our ordinary shares in the open market or through privately negotiated transactions at times and prices that we consider appropriate. As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June 30, 2021, we had remaining authority to repurchase up to $138.5 million of our outstanding ordinary shares under the November 2019 plan.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May 12, 2021, our board of Directors adopted another share repurchase plan authorizing the repurchase of up to an additional $1.0 billion of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outstanding ordinary shares which brings the aggregate unused authorization under both the November 2019 and the May 2021 plans to $1.138 billion.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May 2021 plan has no expiration date and permits us to purchase our ordinary shares in the open market or through privately negotiated transactions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times and prices that we consider appropriate.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the nine months ended June 30, 2021 and 2020: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4"/>
              </w:rPr>
              <w:t>Declaration Date</w:t>
            </w:r>
          </w:p>
        </w:tc>
        <w:tc>
          <w:tcPr>
            <w:tcW w:w="1060" w:type="dxa"/>
            <w:vAlign w:val="bottom"/>
            <w:vMerge w:val="restart"/>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Dividends Per</w:t>
            </w:r>
          </w:p>
        </w:tc>
        <w:tc>
          <w:tcPr>
            <w:tcW w:w="262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Record Date</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22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48"/>
        </w:trPr>
        <w:tc>
          <w:tcPr>
            <w:tcW w:w="1060" w:type="dxa"/>
            <w:vAlign w:val="bottom"/>
            <w:tcBorders>
              <w:bottom w:val="single" w:sz="8" w:color="auto"/>
            </w:tcBorders>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Ordinary Share</w:t>
            </w:r>
          </w:p>
        </w:tc>
        <w:tc>
          <w:tcPr>
            <w:tcW w:w="262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3"/>
              <w:spacing w:after="0" w:line="129" w:lineRule="exact"/>
              <w:rPr>
                <w:sz w:val="20"/>
                <w:szCs w:val="20"/>
                <w:color w:val="auto"/>
              </w:rPr>
            </w:pPr>
            <w:r>
              <w:rPr>
                <w:rFonts w:ascii="Arial" w:cs="Arial" w:eastAsia="Arial" w:hAnsi="Arial"/>
                <w:sz w:val="14"/>
                <w:szCs w:val="14"/>
                <w:b w:val="1"/>
                <w:bCs w:val="1"/>
                <w:color w:val="auto"/>
                <w:w w:val="92"/>
              </w:rPr>
              <w:t>in millions</w:t>
            </w:r>
          </w:p>
        </w:tc>
        <w:tc>
          <w:tcPr>
            <w:tcW w:w="32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May 12, 2021</w:t>
            </w:r>
          </w:p>
        </w:tc>
        <w:tc>
          <w:tcPr>
            <w:tcW w:w="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0.36</w:t>
            </w:r>
          </w:p>
        </w:tc>
        <w:tc>
          <w:tcPr>
            <w:tcW w:w="30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June 30, 2021</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45.6</w:t>
            </w:r>
          </w:p>
        </w:tc>
        <w:tc>
          <w:tcPr>
            <w:tcW w:w="3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July 23, 2021</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February 2, 2021</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0.36</w:t>
            </w:r>
          </w:p>
        </w:tc>
        <w:tc>
          <w:tcPr>
            <w:tcW w:w="262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46.0</w:t>
            </w:r>
          </w:p>
        </w:tc>
        <w:tc>
          <w:tcPr>
            <w:tcW w:w="2240" w:type="dxa"/>
            <w:vAlign w:val="bottom"/>
          </w:tcPr>
          <w:p>
            <w:pPr>
              <w:spacing w:after="0"/>
              <w:rPr>
                <w:sz w:val="20"/>
                <w:szCs w:val="20"/>
                <w:color w:val="auto"/>
              </w:rPr>
            </w:pPr>
            <w:r>
              <w:rPr>
                <w:rFonts w:ascii="Arial" w:cs="Arial" w:eastAsia="Arial" w:hAnsi="Arial"/>
                <w:sz w:val="18"/>
                <w:szCs w:val="18"/>
                <w:color w:val="auto"/>
              </w:rPr>
              <w:t>April 23, 2021</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10, 2020</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0.3275</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January 22, 2021</w:t>
            </w:r>
          </w:p>
        </w:tc>
        <w:tc>
          <w:tcPr>
            <w:tcW w:w="0" w:type="dxa"/>
            <w:vAlign w:val="bottom"/>
          </w:tcPr>
          <w:p>
            <w:pPr>
              <w:spacing w:after="0"/>
              <w:rPr>
                <w:sz w:val="1"/>
                <w:szCs w:val="1"/>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May 7, 2020</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0.3275</w:t>
            </w:r>
          </w:p>
        </w:tc>
        <w:tc>
          <w:tcPr>
            <w:tcW w:w="2620" w:type="dxa"/>
            <w:vAlign w:val="bottom"/>
            <w:gridSpan w:val="2"/>
          </w:tcPr>
          <w:p>
            <w:pPr>
              <w:spacing w:after="0"/>
              <w:rPr>
                <w:sz w:val="20"/>
                <w:szCs w:val="20"/>
                <w:color w:val="auto"/>
              </w:rPr>
            </w:pPr>
            <w:r>
              <w:rPr>
                <w:rFonts w:ascii="Arial" w:cs="Arial" w:eastAsia="Arial" w:hAnsi="Arial"/>
                <w:sz w:val="18"/>
                <w:szCs w:val="18"/>
                <w:color w:val="auto"/>
              </w:rPr>
              <w:t>June 30, 2020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43.6</w:t>
            </w:r>
          </w:p>
        </w:tc>
        <w:tc>
          <w:tcPr>
            <w:tcW w:w="2240" w:type="dxa"/>
            <w:vAlign w:val="bottom"/>
          </w:tcPr>
          <w:p>
            <w:pPr>
              <w:spacing w:after="0"/>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4, 2020</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0.3275</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43.7</w:t>
            </w: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April 24, 2020</w:t>
            </w: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November 12, 2019</w:t>
            </w: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0.285</w:t>
            </w:r>
          </w:p>
        </w:tc>
        <w:tc>
          <w:tcPr>
            <w:tcW w:w="262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38.4</w:t>
            </w:r>
          </w:p>
        </w:tc>
        <w:tc>
          <w:tcPr>
            <w:tcW w:w="2240" w:type="dxa"/>
            <w:vAlign w:val="bottom"/>
          </w:tcPr>
          <w:p>
            <w:pPr>
              <w:spacing w:after="0"/>
              <w:rPr>
                <w:sz w:val="20"/>
                <w:szCs w:val="20"/>
                <w:color w:val="auto"/>
              </w:rPr>
            </w:pPr>
            <w:r>
              <w:rPr>
                <w:rFonts w:ascii="Arial" w:cs="Arial" w:eastAsia="Arial" w:hAnsi="Arial"/>
                <w:sz w:val="18"/>
                <w:szCs w:val="18"/>
                <w:color w:val="auto"/>
              </w:rPr>
              <w:t>January 24, 2020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August 4, 2021, our Board of Directors approved the next quarterly dividend payment of $0.36 and set September 30, 2021 as the record date for determining the shareholders entitled to receive the dividend, which is payable on October 29, 2021.</w:t>
      </w:r>
    </w:p>
    <w:p>
      <w:pPr>
        <w:spacing w:after="0" w:line="170"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During the nine months ended June 30, 2021 and 2020,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Ordinary Shares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three months ended June 30, 2021 of equity securities that are registered by us pursuant to Section 12 of the Exchange Act: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Total Number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2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of Shares that May</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26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660" w:type="dxa"/>
            <w:vAlign w:val="bottom"/>
            <w:gridSpan w:val="2"/>
            <w:vMerge w:val="restart"/>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04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Purchased</w:t>
            </w:r>
          </w:p>
        </w:tc>
        <w:tc>
          <w:tcPr>
            <w:tcW w:w="500" w:type="dxa"/>
            <w:vAlign w:val="bottom"/>
          </w:tcPr>
          <w:p>
            <w:pPr>
              <w:spacing w:after="0"/>
              <w:rPr>
                <w:sz w:val="15"/>
                <w:szCs w:val="15"/>
                <w:color w:val="auto"/>
              </w:rPr>
            </w:pPr>
          </w:p>
        </w:tc>
        <w:tc>
          <w:tcPr>
            <w:tcW w:w="1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Paid per Share(1)</w:t>
            </w:r>
          </w:p>
        </w:tc>
        <w:tc>
          <w:tcPr>
            <w:tcW w:w="13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or Programs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5"/>
              </w:rPr>
              <w:t>or Programs(2)</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0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04/01/21-04/30/21</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290,147</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75.13</w:t>
            </w:r>
          </w:p>
        </w:tc>
        <w:tc>
          <w:tcPr>
            <w:tcW w:w="5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290,147</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206,561,950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05/01/21-05/31/21</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324,015</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76.85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324,015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1,181,662,979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06/01/21-06/30/21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543,493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79.45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543,493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1,138,483,878</w:t>
            </w:r>
          </w:p>
        </w:tc>
        <w:tc>
          <w:tcPr>
            <w:tcW w:w="0" w:type="dxa"/>
            <w:vAlign w:val="bottom"/>
          </w:tcPr>
          <w:p>
            <w:pPr>
              <w:spacing w:after="0"/>
              <w:rPr>
                <w:sz w:val="1"/>
                <w:szCs w:val="1"/>
                <w:color w:val="auto"/>
              </w:rPr>
            </w:pPr>
          </w:p>
        </w:tc>
      </w:tr>
      <w:tr>
        <w:trPr>
          <w:trHeight w:val="223"/>
        </w:trPr>
        <w:tc>
          <w:tcPr>
            <w:tcW w:w="4520" w:type="dxa"/>
            <w:vAlign w:val="bottom"/>
            <w:gridSpan w:val="4"/>
          </w:tcPr>
          <w:p>
            <w:pPr>
              <w:ind w:left="4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1,157,655</w:t>
            </w:r>
          </w:p>
        </w:tc>
        <w:tc>
          <w:tcPr>
            <w:tcW w:w="20" w:type="dxa"/>
            <w:vAlign w:val="bottom"/>
            <w:tcBorders>
              <w:bottom w:val="single" w:sz="8" w:color="auto"/>
            </w:tcBorders>
          </w:tcPr>
          <w:p>
            <w:pPr>
              <w:spacing w:after="0"/>
              <w:rPr>
                <w:sz w:val="19"/>
                <w:szCs w:val="19"/>
                <w:color w:val="auto"/>
              </w:rPr>
            </w:pP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77.64</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1,157,655</w:t>
            </w:r>
          </w:p>
        </w:tc>
        <w:tc>
          <w:tcPr>
            <w:tcW w:w="26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1,138,483,878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540" w:hanging="424"/>
        <w:spacing w:after="0" w:line="295"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November 12, 2019, our Board of Directors adopted a share repurchase plan for the repurchase of up to an additional $800.0 million of our outstanding ordinary shares and on May 12, 2021, adopted another share repurchase plan for the repurchase of up to an additional $1.0 billion of our outstanding ordinary shares, which brings the unused aggregate authorization to $1.138 billion. The authorizations have no expiration date and permit us to purchase our ordinary shares in open market or privately negotiated transactions at times and prices we consider appropriate.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furnished or filed the following reports on Form 6-K during the three months ended June 30, 2021:</w:t>
      </w:r>
    </w:p>
    <w:p>
      <w:pPr>
        <w:spacing w:after="0" w:line="225" w:lineRule="exact"/>
        <w:rPr>
          <w:sz w:val="20"/>
          <w:szCs w:val="20"/>
          <w:color w:val="auto"/>
        </w:rPr>
      </w:pPr>
    </w:p>
    <w:p>
      <w:pPr>
        <w:ind w:left="820" w:hanging="2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6-K dated April 1, 2021</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6-K dated April 8, 2021</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6-K dated May 13, 2021</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 6-K dated May 24, 2021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August 16, 2021</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35</w:t>
      </w:r>
    </w:p>
    <w:sectPr>
      <w:pgSz w:w="11900" w:h="16838" w:orient="portrait"/>
      <w:cols w:equalWidth="0" w:num="1">
        <w:col w:w="10820"/>
      </w:cols>
      <w:pgMar w:left="320" w:top="459"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2021-08-16T15:49:24Z</dcterms:created>
  <dcterms:modified xsi:type="dcterms:W3CDTF">2021-08-16T15:49:24Z</dcterms:modified>
</cp:coreProperties>
</file>