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3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SCHEDULE 13D/A</w:t>
      </w:r>
    </w:p>
    <w:p>
      <w:pPr>
        <w:ind w:left="2960"/>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7" w:lineRule="exact"/>
        <w:rPr>
          <w:sz w:val="24"/>
          <w:szCs w:val="24"/>
          <w:color w:val="auto"/>
        </w:rPr>
      </w:pPr>
    </w:p>
    <w:p>
      <w:pPr>
        <w:jc w:val="center"/>
        <w:ind w:right="273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Ordinary Shares, par value (pound) 0.01</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G02602 10 3</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28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Wayne Wirtz, Esq.</w:t>
      </w:r>
    </w:p>
    <w:p>
      <w:pPr>
        <w:ind w:left="2540"/>
        <w:spacing w:after="0" w:line="238" w:lineRule="auto"/>
        <w:rPr>
          <w:sz w:val="20"/>
          <w:szCs w:val="20"/>
          <w:color w:val="auto"/>
        </w:rPr>
      </w:pPr>
      <w:r>
        <w:rPr>
          <w:rFonts w:ascii="Courier New" w:cs="Courier New" w:eastAsia="Courier New" w:hAnsi="Courier New"/>
          <w:sz w:val="18"/>
          <w:szCs w:val="18"/>
          <w:color w:val="auto"/>
        </w:rPr>
        <w:t>SBC Communications Inc.</w:t>
      </w:r>
    </w:p>
    <w:p>
      <w:pPr>
        <w:ind w:left="2860"/>
        <w:spacing w:after="0"/>
        <w:rPr>
          <w:sz w:val="20"/>
          <w:szCs w:val="20"/>
          <w:color w:val="auto"/>
        </w:rPr>
      </w:pPr>
      <w:r>
        <w:rPr>
          <w:rFonts w:ascii="Courier New" w:cs="Courier New" w:eastAsia="Courier New" w:hAnsi="Courier New"/>
          <w:sz w:val="18"/>
          <w:szCs w:val="18"/>
          <w:color w:val="auto"/>
        </w:rPr>
        <w:t>175 East Houston</w:t>
      </w:r>
    </w:p>
    <w:p>
      <w:pPr>
        <w:ind w:left="2540"/>
        <w:spacing w:after="0" w:line="237" w:lineRule="auto"/>
        <w:rPr>
          <w:sz w:val="20"/>
          <w:szCs w:val="20"/>
          <w:color w:val="auto"/>
        </w:rPr>
      </w:pPr>
      <w:r>
        <w:rPr>
          <w:rFonts w:ascii="Courier New" w:cs="Courier New" w:eastAsia="Courier New" w:hAnsi="Courier New"/>
          <w:sz w:val="18"/>
          <w:szCs w:val="18"/>
          <w:color w:val="auto"/>
        </w:rPr>
        <w:t>San Antonio, TX 78205</w:t>
      </w:r>
    </w:p>
    <w:p>
      <w:pPr>
        <w:ind w:left="3480" w:hanging="628"/>
        <w:spacing w:after="0" w:line="238" w:lineRule="auto"/>
        <w:tabs>
          <w:tab w:leader="none" w:pos="3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351-3736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______________________________________________________________________</w:t>
      </w:r>
    </w:p>
    <w:p>
      <w:pPr>
        <w:spacing w:after="0" w:line="4" w:lineRule="exact"/>
        <w:rPr>
          <w:rFonts w:ascii="Courier New" w:cs="Courier New" w:eastAsia="Courier New" w:hAnsi="Courier New"/>
          <w:sz w:val="18"/>
          <w:szCs w:val="18"/>
          <w:color w:val="auto"/>
        </w:rPr>
      </w:pPr>
    </w:p>
    <w:p>
      <w:pPr>
        <w:ind w:left="1280" w:right="3779" w:hanging="105"/>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 Address, and Telephone Number of Person Authorized to Receive Notices and Communications)</w:t>
      </w:r>
    </w:p>
    <w:p>
      <w:pPr>
        <w:spacing w:after="0" w:line="16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February 9, 2001</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w:t>
      </w: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13d-1(e), 13d-1(f) or 13d-1(g), check the following box [ ].</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(Page 1 of 10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2 of 10 Pages</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36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w:t>
            </w:r>
          </w:p>
        </w:tc>
        <w:tc>
          <w:tcPr>
            <w:tcW w:w="25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SBC COMMUNICATIONS INC.</w:t>
            </w:r>
          </w:p>
        </w:tc>
      </w:tr>
      <w:tr>
        <w:trPr>
          <w:trHeight w:val="203"/>
        </w:trPr>
        <w:tc>
          <w:tcPr>
            <w:tcW w:w="42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I.R.S. IDENTIFICATION NO. OF ABOVE PERSON</w:t>
            </w:r>
          </w:p>
        </w:tc>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43-1301883</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720" w:val="left"/>
          <w:tab w:leader="none" w:pos="73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AF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5</w:t>
            </w:r>
          </w:p>
        </w:tc>
        <w:tc>
          <w:tcPr>
            <w:tcW w:w="280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DISCLOSURE</w:t>
            </w:r>
          </w:p>
        </w:tc>
        <w:tc>
          <w:tcPr>
            <w:tcW w:w="332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158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2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3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 2(d) or 2(e)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SOLE</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24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6"/>
              </w:rPr>
              <w:t>-------------------------------------------------------------</w:t>
            </w:r>
          </w:p>
        </w:tc>
        <w:tc>
          <w:tcPr>
            <w:tcW w:w="26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9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w:t>
            </w:r>
          </w:p>
        </w:tc>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33,678,658*</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OWNED BY</w:t>
            </w:r>
          </w:p>
        </w:tc>
        <w:tc>
          <w:tcPr>
            <w:tcW w:w="94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 Of</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the Shares beneficially owned by SBC, 13,024,520</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20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EACH</w:t>
            </w:r>
          </w:p>
        </w:tc>
        <w:tc>
          <w:tcPr>
            <w:tcW w:w="1000" w:type="dxa"/>
            <w:vAlign w:val="bottom"/>
          </w:tcPr>
          <w:p>
            <w:pPr>
              <w:spacing w:after="0"/>
              <w:rPr>
                <w:sz w:val="17"/>
                <w:szCs w:val="17"/>
                <w:color w:val="auto"/>
              </w:rPr>
            </w:pPr>
          </w:p>
        </w:tc>
        <w:tc>
          <w:tcPr>
            <w:tcW w:w="35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Shares are non-voting.</w:t>
            </w:r>
          </w:p>
        </w:tc>
        <w:tc>
          <w:tcPr>
            <w:tcW w:w="2060" w:type="dxa"/>
            <w:vAlign w:val="bottom"/>
          </w:tcPr>
          <w:p>
            <w:pPr>
              <w:spacing w:after="0"/>
              <w:rPr>
                <w:sz w:val="17"/>
                <w:szCs w:val="17"/>
                <w:color w:val="auto"/>
              </w:rPr>
            </w:pPr>
          </w:p>
        </w:tc>
      </w:tr>
      <w:tr>
        <w:trPr>
          <w:trHeight w:val="203"/>
        </w:trPr>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2060" w:type="dxa"/>
            <w:vAlign w:val="bottom"/>
          </w:tcPr>
          <w:p>
            <w:pPr>
              <w:spacing w:after="0"/>
              <w:rPr>
                <w:sz w:val="17"/>
                <w:szCs w:val="17"/>
                <w:color w:val="auto"/>
              </w:rPr>
            </w:pPr>
          </w:p>
        </w:tc>
      </w:tr>
      <w:tr>
        <w:trPr>
          <w:trHeight w:val="203"/>
        </w:trPr>
        <w:tc>
          <w:tcPr>
            <w:tcW w:w="12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00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9</w:t>
            </w:r>
          </w:p>
        </w:tc>
        <w:tc>
          <w:tcPr>
            <w:tcW w:w="354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w w:val="96"/>
              </w:rPr>
              <w:t>SOLE DISPOSITIVE POWER</w:t>
            </w:r>
          </w:p>
        </w:tc>
        <w:tc>
          <w:tcPr>
            <w:tcW w:w="2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20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WITH</w:t>
            </w:r>
          </w:p>
        </w:tc>
        <w:tc>
          <w:tcPr>
            <w:tcW w:w="45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7"/>
              </w:rPr>
              <w:t>-------------------------------------------------------------</w:t>
            </w:r>
          </w:p>
        </w:tc>
        <w:tc>
          <w:tcPr>
            <w:tcW w:w="2060" w:type="dxa"/>
            <w:vAlign w:val="bottom"/>
          </w:tcPr>
          <w:p>
            <w:pPr>
              <w:spacing w:after="0"/>
              <w:rPr>
                <w:sz w:val="17"/>
                <w:szCs w:val="17"/>
                <w:color w:val="auto"/>
              </w:rPr>
            </w:pPr>
          </w:p>
        </w:tc>
      </w:tr>
      <w:tr>
        <w:trPr>
          <w:trHeight w:val="203"/>
        </w:trPr>
        <w:tc>
          <w:tcPr>
            <w:tcW w:w="1200" w:type="dxa"/>
            <w:vAlign w:val="bottom"/>
          </w:tcPr>
          <w:p>
            <w:pPr>
              <w:spacing w:after="0"/>
              <w:rPr>
                <w:sz w:val="17"/>
                <w:szCs w:val="17"/>
                <w:color w:val="auto"/>
              </w:rPr>
            </w:pPr>
          </w:p>
        </w:tc>
        <w:tc>
          <w:tcPr>
            <w:tcW w:w="1000" w:type="dxa"/>
            <w:vAlign w:val="bottom"/>
          </w:tcPr>
          <w:p>
            <w:pPr>
              <w:jc w:val="right"/>
              <w:ind w:right="335"/>
              <w:spacing w:after="0" w:line="203" w:lineRule="exact"/>
              <w:rPr>
                <w:sz w:val="20"/>
                <w:szCs w:val="20"/>
                <w:color w:val="auto"/>
              </w:rPr>
            </w:pPr>
            <w:r>
              <w:rPr>
                <w:rFonts w:ascii="Courier New" w:cs="Courier New" w:eastAsia="Courier New" w:hAnsi="Courier New"/>
                <w:sz w:val="18"/>
                <w:szCs w:val="18"/>
                <w:color w:val="auto"/>
              </w:rPr>
              <w:t>10</w:t>
            </w:r>
          </w:p>
        </w:tc>
        <w:tc>
          <w:tcPr>
            <w:tcW w:w="35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33,678,658</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03"/>
        </w:trPr>
        <w:tc>
          <w:tcPr>
            <w:tcW w:w="44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33,678,658</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spacing w:after="0"/>
        <w:tabs>
          <w:tab w:leader="none" w:pos="840" w:val="left"/>
          <w:tab w:leader="none" w:pos="74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15.2%</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-------------------------------------------------------------------------------- 14 TYPE OF REPORTING PERSON HC</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3 of 10 Pages</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1</w:t>
            </w:r>
          </w:p>
        </w:tc>
        <w:tc>
          <w:tcPr>
            <w:tcW w:w="80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420" w:type="dxa"/>
            <w:vAlign w:val="bottom"/>
          </w:tcPr>
          <w:p>
            <w:pPr>
              <w:ind w:left="40"/>
              <w:spacing w:after="0"/>
              <w:rPr>
                <w:sz w:val="20"/>
                <w:szCs w:val="20"/>
                <w:color w:val="auto"/>
              </w:rPr>
            </w:pPr>
            <w:r>
              <w:rPr>
                <w:rFonts w:ascii="Courier New" w:cs="Courier New" w:eastAsia="Courier New" w:hAnsi="Courier New"/>
                <w:sz w:val="18"/>
                <w:szCs w:val="18"/>
                <w:color w:val="auto"/>
              </w:rPr>
              <w:t>REPORTING PERSON</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w w:val="99"/>
              </w:rPr>
              <w:t>SBC INTERNATIONAL INC.</w:t>
            </w:r>
          </w:p>
        </w:tc>
      </w:tr>
      <w:tr>
        <w:trPr>
          <w:trHeight w:val="203"/>
        </w:trPr>
        <w:tc>
          <w:tcPr>
            <w:tcW w:w="420" w:type="dxa"/>
            <w:vAlign w:val="bottom"/>
          </w:tcPr>
          <w:p>
            <w:pPr>
              <w:spacing w:after="0"/>
              <w:rPr>
                <w:sz w:val="17"/>
                <w:szCs w:val="17"/>
                <w:color w:val="auto"/>
              </w:rPr>
            </w:pPr>
          </w:p>
        </w:tc>
        <w:tc>
          <w:tcPr>
            <w:tcW w:w="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S.S.</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4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I.R.S. IDENTIFICATION NO. OF ABOVE PERSON</w:t>
            </w:r>
          </w:p>
        </w:tc>
        <w:tc>
          <w:tcPr>
            <w:tcW w:w="2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43-1380735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7360" w:val="left"/>
          <w:tab w:leader="none" w:pos="82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 [</w:t>
      </w:r>
      <w:r>
        <w:rPr>
          <w:sz w:val="20"/>
          <w:szCs w:val="20"/>
          <w:color w:val="auto"/>
        </w:rPr>
        <w:tab/>
      </w:r>
      <w:r>
        <w:rPr>
          <w:rFonts w:ascii="Courier New" w:cs="Courier New" w:eastAsia="Courier New" w:hAnsi="Courier New"/>
          <w:sz w:val="18"/>
          <w:szCs w:val="18"/>
          <w:color w:val="auto"/>
        </w:rPr>
        <w:t>]</w:t>
      </w:r>
    </w:p>
    <w:p>
      <w:pPr>
        <w:ind w:left="7380"/>
        <w:spacing w:after="0" w:line="238" w:lineRule="auto"/>
        <w:tabs>
          <w:tab w:leader="none" w:pos="8200" w:val="left"/>
        </w:tabs>
        <w:rPr>
          <w:sz w:val="20"/>
          <w:szCs w:val="20"/>
          <w:color w:val="auto"/>
        </w:rPr>
      </w:pPr>
      <w:r>
        <w:rPr>
          <w:rFonts w:ascii="Courier New" w:cs="Courier New" w:eastAsia="Courier New" w:hAnsi="Courier New"/>
          <w:sz w:val="18"/>
          <w:szCs w:val="18"/>
          <w:color w:val="auto"/>
        </w:rPr>
        <w:t>(b) [</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7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880" w:val="left"/>
          <w:tab w:leader="none" w:pos="82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tab/>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940" w:type="dxa"/>
            <w:vAlign w:val="bottom"/>
          </w:tcPr>
          <w:p>
            <w:pPr>
              <w:ind w:left="420"/>
              <w:spacing w:after="0"/>
              <w:rPr>
                <w:sz w:val="20"/>
                <w:szCs w:val="20"/>
                <w:color w:val="auto"/>
              </w:rPr>
            </w:pPr>
            <w:r>
              <w:rPr>
                <w:rFonts w:ascii="Courier New" w:cs="Courier New" w:eastAsia="Courier New" w:hAnsi="Courier New"/>
                <w:sz w:val="18"/>
                <w:szCs w:val="18"/>
                <w:color w:val="auto"/>
              </w:rPr>
              <w:t>7</w:t>
            </w:r>
          </w:p>
        </w:tc>
        <w:tc>
          <w:tcPr>
            <w:tcW w:w="34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2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3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1"/>
              </w:rPr>
              <w:t>-------------------------------------------------------------</w:t>
            </w:r>
          </w:p>
        </w:tc>
        <w:tc>
          <w:tcPr>
            <w:tcW w:w="226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w:t>
            </w:r>
          </w:p>
        </w:tc>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33,678,658*</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spacing w:after="0"/>
              <w:rPr>
                <w:sz w:val="17"/>
                <w:szCs w:val="17"/>
                <w:color w:val="auto"/>
              </w:rPr>
            </w:pPr>
          </w:p>
        </w:tc>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 Of the Shares beneficially owned by SBC, 13,024,520</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are non-voting.</w:t>
            </w:r>
          </w:p>
        </w:tc>
        <w:tc>
          <w:tcPr>
            <w:tcW w:w="226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3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71"/>
              </w:rPr>
              <w:t>-------------------------------------------------------------</w:t>
            </w:r>
          </w:p>
        </w:tc>
        <w:tc>
          <w:tcPr>
            <w:tcW w:w="2260" w:type="dxa"/>
            <w:vAlign w:val="bottom"/>
          </w:tcPr>
          <w:p>
            <w:pPr>
              <w:spacing w:after="0"/>
              <w:rPr>
                <w:sz w:val="17"/>
                <w:szCs w:val="17"/>
                <w:color w:val="auto"/>
              </w:rPr>
            </w:pP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w:t>
            </w:r>
          </w:p>
        </w:tc>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64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w:t>
            </w:r>
          </w:p>
        </w:tc>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33,678,658</w:t>
            </w:r>
          </w:p>
        </w:tc>
      </w:tr>
    </w:tbl>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960" w:type="dxa"/>
        <w:tblCellMar>
          <w:top w:w="0" w:type="dxa"/>
          <w:left w:w="0" w:type="dxa"/>
          <w:bottom w:w="0" w:type="dxa"/>
          <w:right w:w="0" w:type="dxa"/>
        </w:tblCellMar>
      </w:tblPr>
      <w:tr>
        <w:trPr>
          <w:trHeight w:val="203"/>
        </w:trPr>
        <w:tc>
          <w:tcPr>
            <w:tcW w:w="442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2960" w:type="dxa"/>
            <w:vAlign w:val="bottom"/>
          </w:tcPr>
          <w:p>
            <w:pPr>
              <w:jc w:val="right"/>
              <w:spacing w:after="0"/>
              <w:rPr>
                <w:sz w:val="20"/>
                <w:szCs w:val="20"/>
                <w:color w:val="auto"/>
              </w:rPr>
            </w:pPr>
            <w:r>
              <w:rPr>
                <w:rFonts w:ascii="Courier New" w:cs="Courier New" w:eastAsia="Courier New" w:hAnsi="Courier New"/>
                <w:sz w:val="18"/>
                <w:szCs w:val="18"/>
                <w:color w:val="auto"/>
              </w:rPr>
              <w:t>33,678,658</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960"/>
        <w:spacing w:after="0"/>
        <w:tabs>
          <w:tab w:leader="none" w:pos="7780" w:val="left"/>
          <w:tab w:leader="none" w:pos="820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spacing w:after="0"/>
        <w:tabs>
          <w:tab w:leader="none" w:pos="940" w:val="left"/>
          <w:tab w:leader="none" w:pos="74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8"/>
          <w:szCs w:val="18"/>
          <w:color w:val="auto"/>
        </w:rPr>
        <w:t>15.2%</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200" w:val="left"/>
          <w:tab w:leader="none" w:pos="6520" w:val="left"/>
        </w:tabs>
        <w:rPr>
          <w:sz w:val="20"/>
          <w:szCs w:val="20"/>
          <w:color w:val="auto"/>
        </w:rPr>
      </w:pPr>
      <w:r>
        <w:rPr>
          <w:rFonts w:ascii="Courier New" w:cs="Courier New" w:eastAsia="Courier New" w:hAnsi="Courier New"/>
          <w:sz w:val="18"/>
          <w:szCs w:val="18"/>
          <w:color w:val="auto"/>
        </w:rPr>
        <w:t>CUSIP NO. G02602 10 3</w:t>
      </w:r>
      <w:r>
        <w:rPr>
          <w:sz w:val="20"/>
          <w:szCs w:val="20"/>
          <w:color w:val="auto"/>
        </w:rPr>
        <w:tab/>
      </w:r>
      <w:r>
        <w:rPr>
          <w:rFonts w:ascii="Courier New" w:cs="Courier New" w:eastAsia="Courier New" w:hAnsi="Courier New"/>
          <w:sz w:val="18"/>
          <w:szCs w:val="18"/>
          <w:color w:val="auto"/>
        </w:rPr>
        <w:t>13D/A</w:t>
      </w:r>
      <w:r>
        <w:rPr>
          <w:sz w:val="20"/>
          <w:szCs w:val="20"/>
          <w:color w:val="auto"/>
        </w:rPr>
        <w:tab/>
      </w:r>
      <w:r>
        <w:rPr>
          <w:rFonts w:ascii="Courier New" w:cs="Courier New" w:eastAsia="Courier New" w:hAnsi="Courier New"/>
          <w:sz w:val="16"/>
          <w:szCs w:val="16"/>
          <w:color w:val="auto"/>
        </w:rPr>
        <w:t>Page 4 of 10 Pages</w:t>
      </w:r>
    </w:p>
    <w:p>
      <w:pPr>
        <w:spacing w:after="0" w:line="207"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53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SBC OPTION DELIVERY, LLC</w:t>
      </w:r>
    </w:p>
    <w:p>
      <w:pPr>
        <w:ind w:left="1280" w:hanging="535"/>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2"/>
              </w:rPr>
              <w:t>2</w:t>
            </w:r>
          </w:p>
        </w:tc>
        <w:tc>
          <w:tcPr>
            <w:tcW w:w="612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100" w:type="dxa"/>
            <w:vAlign w:val="bottom"/>
          </w:tcPr>
          <w:p>
            <w:pPr>
              <w:ind w:left="74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4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(b)</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720" w:val="left"/>
          <w:tab w:leader="none" w:pos="77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w:t>
      </w:r>
    </w:p>
    <w:p>
      <w:pPr>
        <w:ind w:left="740"/>
        <w:spacing w:after="0"/>
        <w:tabs>
          <w:tab w:leader="none" w:pos="7780" w:val="left"/>
          <w:tab w:leader="none" w:pos="8100" w:val="left"/>
        </w:tabs>
        <w:rPr>
          <w:sz w:val="20"/>
          <w:szCs w:val="20"/>
          <w:color w:val="auto"/>
        </w:rPr>
      </w:pPr>
      <w:r>
        <w:rPr>
          <w:rFonts w:ascii="Courier New" w:cs="Courier New" w:eastAsia="Courier New" w:hAnsi="Courier New"/>
          <w:sz w:val="18"/>
          <w:szCs w:val="18"/>
          <w:color w:val="auto"/>
        </w:rPr>
        <w:t>IS REQUIRED PURSUANT TO ITEM 2(d) or 2(e)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720" w:val="left"/>
          <w:tab w:leader="none" w:pos="746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54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360"/>
              <w:spacing w:after="0"/>
              <w:rPr>
                <w:sz w:val="20"/>
                <w:szCs w:val="20"/>
                <w:color w:val="auto"/>
              </w:rPr>
            </w:pPr>
            <w:r>
              <w:rPr>
                <w:rFonts w:ascii="Courier New" w:cs="Courier New" w:eastAsia="Courier New" w:hAnsi="Courier New"/>
                <w:sz w:val="18"/>
                <w:szCs w:val="18"/>
                <w:color w:val="auto"/>
              </w:rPr>
              <w:t>7</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SOLE VOTING POWER</w:t>
            </w:r>
          </w:p>
        </w:tc>
        <w:tc>
          <w:tcPr>
            <w:tcW w:w="206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580" w:type="dxa"/>
            <w:vAlign w:val="bottom"/>
            <w:gridSpan w:val="2"/>
          </w:tcPr>
          <w:p>
            <w:pPr>
              <w:ind w:left="260"/>
              <w:spacing w:after="0"/>
              <w:rPr>
                <w:sz w:val="20"/>
                <w:szCs w:val="20"/>
                <w:color w:val="auto"/>
              </w:rPr>
            </w:pPr>
            <w:r>
              <w:rPr>
                <w:rFonts w:ascii="Courier New" w:cs="Courier New" w:eastAsia="Courier New" w:hAnsi="Courier New"/>
                <w:sz w:val="5"/>
                <w:szCs w:val="5"/>
                <w:color w:val="auto"/>
                <w:w w:val="73"/>
              </w:rPr>
              <w:t>-----------------------------------------------------------</w:t>
            </w:r>
          </w:p>
        </w:tc>
        <w:tc>
          <w:tcPr>
            <w:tcW w:w="27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17,448,823*</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80" w:type="dxa"/>
            <w:vAlign w:val="bottom"/>
          </w:tcPr>
          <w:p>
            <w:pPr>
              <w:spacing w:after="0"/>
              <w:rPr>
                <w:sz w:val="17"/>
                <w:szCs w:val="17"/>
                <w:color w:val="auto"/>
              </w:rPr>
            </w:pP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 Of the</w:t>
            </w:r>
          </w:p>
        </w:tc>
        <w:tc>
          <w:tcPr>
            <w:tcW w:w="48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Shares beneficially owned by SBC, 13,024,520</w:t>
            </w:r>
          </w:p>
        </w:tc>
      </w:tr>
      <w:tr>
        <w:trPr>
          <w:trHeight w:val="203"/>
        </w:trPr>
        <w:tc>
          <w:tcPr>
            <w:tcW w:w="154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EACH</w:t>
            </w:r>
          </w:p>
        </w:tc>
        <w:tc>
          <w:tcPr>
            <w:tcW w:w="680" w:type="dxa"/>
            <w:vAlign w:val="bottom"/>
          </w:tcPr>
          <w:p>
            <w:pPr>
              <w:spacing w:after="0"/>
              <w:rPr>
                <w:sz w:val="17"/>
                <w:szCs w:val="17"/>
                <w:color w:val="auto"/>
              </w:rPr>
            </w:pP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are non-voting.</w:t>
            </w:r>
          </w:p>
        </w:tc>
        <w:tc>
          <w:tcPr>
            <w:tcW w:w="2060" w:type="dxa"/>
            <w:vAlign w:val="bottom"/>
          </w:tcPr>
          <w:p>
            <w:pPr>
              <w:spacing w:after="0"/>
              <w:rPr>
                <w:sz w:val="17"/>
                <w:szCs w:val="17"/>
                <w:color w:val="auto"/>
              </w:rPr>
            </w:pPr>
          </w:p>
        </w:tc>
      </w:tr>
      <w:tr>
        <w:trPr>
          <w:trHeight w:val="203"/>
        </w:trPr>
        <w:tc>
          <w:tcPr>
            <w:tcW w:w="1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REPORTING</w:t>
            </w:r>
          </w:p>
        </w:tc>
        <w:tc>
          <w:tcPr>
            <w:tcW w:w="1580" w:type="dxa"/>
            <w:vAlign w:val="bottom"/>
            <w:gridSpan w:val="2"/>
          </w:tcPr>
          <w:p>
            <w:pPr>
              <w:ind w:left="260"/>
              <w:spacing w:after="0"/>
              <w:rPr>
                <w:sz w:val="20"/>
                <w:szCs w:val="20"/>
                <w:color w:val="auto"/>
              </w:rPr>
            </w:pPr>
            <w:r>
              <w:rPr>
                <w:rFonts w:ascii="Courier New" w:cs="Courier New" w:eastAsia="Courier New" w:hAnsi="Courier New"/>
                <w:sz w:val="5"/>
                <w:szCs w:val="5"/>
                <w:color w:val="auto"/>
                <w:w w:val="73"/>
              </w:rPr>
              <w:t>-----------------------------------------------------------</w:t>
            </w:r>
          </w:p>
        </w:tc>
        <w:tc>
          <w:tcPr>
            <w:tcW w:w="27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w:t>
            </w:r>
          </w:p>
        </w:tc>
        <w:tc>
          <w:tcPr>
            <w:tcW w:w="3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WITH</w:t>
            </w:r>
          </w:p>
        </w:tc>
        <w:tc>
          <w:tcPr>
            <w:tcW w:w="1580" w:type="dxa"/>
            <w:vAlign w:val="bottom"/>
            <w:gridSpan w:val="2"/>
          </w:tcPr>
          <w:p>
            <w:pPr>
              <w:ind w:left="260"/>
              <w:spacing w:after="0"/>
              <w:rPr>
                <w:sz w:val="20"/>
                <w:szCs w:val="20"/>
                <w:color w:val="auto"/>
              </w:rPr>
            </w:pPr>
            <w:r>
              <w:rPr>
                <w:rFonts w:ascii="Courier New" w:cs="Courier New" w:eastAsia="Courier New" w:hAnsi="Courier New"/>
                <w:sz w:val="5"/>
                <w:szCs w:val="5"/>
                <w:color w:val="auto"/>
                <w:w w:val="73"/>
              </w:rPr>
              <w:t>-----------------------------------------------------------</w:t>
            </w:r>
          </w:p>
        </w:tc>
        <w:tc>
          <w:tcPr>
            <w:tcW w:w="27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w:t>
            </w:r>
          </w:p>
        </w:tc>
        <w:tc>
          <w:tcPr>
            <w:tcW w:w="2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17,448,823</w:t>
            </w:r>
          </w:p>
        </w:tc>
      </w:tr>
    </w:tbl>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w:t>
      </w:r>
    </w:p>
    <w:tbl>
      <w:tblPr>
        <w:tblLayout w:type="fixed"/>
        <w:tblInd w:w="860" w:type="dxa"/>
        <w:tblCellMar>
          <w:top w:w="0" w:type="dxa"/>
          <w:left w:w="0" w:type="dxa"/>
          <w:bottom w:w="0" w:type="dxa"/>
          <w:right w:w="0" w:type="dxa"/>
        </w:tblCellMar>
      </w:tblPr>
      <w:tr>
        <w:trPr>
          <w:trHeight w:val="203"/>
        </w:trPr>
        <w:tc>
          <w:tcPr>
            <w:tcW w:w="4460" w:type="dxa"/>
            <w:vAlign w:val="bottom"/>
          </w:tcPr>
          <w:p>
            <w:pPr>
              <w:spacing w:after="0"/>
              <w:rPr>
                <w:sz w:val="20"/>
                <w:szCs w:val="20"/>
                <w:color w:val="auto"/>
              </w:rPr>
            </w:pPr>
            <w:r>
              <w:rPr>
                <w:rFonts w:ascii="Courier New" w:cs="Courier New" w:eastAsia="Courier New" w:hAnsi="Courier New"/>
                <w:sz w:val="18"/>
                <w:szCs w:val="18"/>
                <w:color w:val="auto"/>
              </w:rPr>
              <w:t>BY EACH REPORTING PERSON</w:t>
            </w:r>
          </w:p>
        </w:tc>
        <w:tc>
          <w:tcPr>
            <w:tcW w:w="3020" w:type="dxa"/>
            <w:vAlign w:val="bottom"/>
          </w:tcPr>
          <w:p>
            <w:pPr>
              <w:jc w:val="right"/>
              <w:spacing w:after="0"/>
              <w:rPr>
                <w:sz w:val="20"/>
                <w:szCs w:val="20"/>
                <w:color w:val="auto"/>
              </w:rPr>
            </w:pPr>
            <w:r>
              <w:rPr>
                <w:rFonts w:ascii="Courier New" w:cs="Courier New" w:eastAsia="Courier New" w:hAnsi="Courier New"/>
                <w:sz w:val="18"/>
                <w:szCs w:val="18"/>
                <w:color w:val="auto"/>
              </w:rPr>
              <w:t>17,448,823</w:t>
            </w:r>
          </w:p>
        </w:tc>
      </w:tr>
    </w:tbl>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w:t>
      </w:r>
    </w:p>
    <w:p>
      <w:pPr>
        <w:ind w:left="860"/>
        <w:spacing w:after="0"/>
        <w:tabs>
          <w:tab w:leader="none" w:pos="7160" w:val="left"/>
          <w:tab w:leader="none" w:pos="7580" w:val="left"/>
        </w:tabs>
        <w:rPr>
          <w:sz w:val="20"/>
          <w:szCs w:val="20"/>
          <w:color w:val="auto"/>
        </w:rPr>
      </w:pPr>
      <w:r>
        <w:rPr>
          <w:rFonts w:ascii="Courier New" w:cs="Courier New" w:eastAsia="Courier New" w:hAnsi="Courier New"/>
          <w:sz w:val="18"/>
          <w:szCs w:val="18"/>
          <w:color w:val="auto"/>
        </w:rPr>
        <w:t>ROW (11) EXCLUDES CERTAIN SHARES</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0"/>
          <w:szCs w:val="20"/>
          <w:color w:val="auto"/>
        </w:rPr>
      </w:pPr>
    </w:p>
    <w:p>
      <w:pPr>
        <w:spacing w:after="0"/>
        <w:tabs>
          <w:tab w:leader="none" w:pos="840" w:val="left"/>
          <w:tab w:leader="none" w:pos="76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PERCENT OF CLASS REPRESENTED BY AMOUNT IN ROW (11)</w:t>
      </w:r>
      <w:r>
        <w:rPr>
          <w:sz w:val="20"/>
          <w:szCs w:val="20"/>
          <w:color w:val="auto"/>
        </w:rPr>
        <w:tab/>
      </w:r>
      <w:r>
        <w:rPr>
          <w:rFonts w:ascii="Courier New" w:cs="Courier New" w:eastAsia="Courier New" w:hAnsi="Courier New"/>
          <w:sz w:val="16"/>
          <w:szCs w:val="16"/>
          <w:color w:val="auto"/>
        </w:rPr>
        <w:t>7.9%</w:t>
      </w:r>
    </w:p>
    <w:p>
      <w:pPr>
        <w:spacing w:after="0" w:line="207" w:lineRule="exact"/>
        <w:rPr>
          <w:sz w:val="20"/>
          <w:szCs w:val="20"/>
          <w:color w:val="auto"/>
        </w:rPr>
      </w:pPr>
    </w:p>
    <w:p>
      <w:pPr>
        <w:ind w:right="1579"/>
        <w:spacing w:after="0" w:line="235" w:lineRule="auto"/>
        <w:rPr>
          <w:sz w:val="20"/>
          <w:szCs w:val="20"/>
          <w:color w:val="auto"/>
        </w:rPr>
      </w:pPr>
      <w:r>
        <w:rPr>
          <w:rFonts w:ascii="Courier New" w:cs="Courier New" w:eastAsia="Courier New" w:hAnsi="Courier New"/>
          <w:sz w:val="18"/>
          <w:szCs w:val="18"/>
          <w:color w:val="auto"/>
        </w:rPr>
        <w:t>- -------------------------------------------------------------------------------- 14 TYPE OF REPORTING PERSON CO</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Page 5 of 10 Pages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1 TO SCHEDULE 13D</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RELATING TO ORDINARY SHARES</w:t>
      </w:r>
    </w:p>
    <w:p>
      <w:pPr>
        <w:jc w:val="center"/>
        <w:ind w:right="1879"/>
        <w:spacing w:after="0"/>
        <w:rPr>
          <w:sz w:val="20"/>
          <w:szCs w:val="20"/>
          <w:color w:val="auto"/>
        </w:rPr>
      </w:pPr>
      <w:r>
        <w:rPr>
          <w:rFonts w:ascii="Courier New" w:cs="Courier New" w:eastAsia="Courier New" w:hAnsi="Courier New"/>
          <w:sz w:val="18"/>
          <w:szCs w:val="18"/>
          <w:color w:val="auto"/>
        </w:rPr>
        <w:t>OF AMDOCS LIMITED</w:t>
      </w:r>
    </w:p>
    <w:p>
      <w:pPr>
        <w:spacing w:after="0" w:line="200" w:lineRule="exact"/>
        <w:rPr>
          <w:sz w:val="20"/>
          <w:szCs w:val="20"/>
          <w:color w:val="auto"/>
        </w:rPr>
      </w:pP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Amendment No. 1 to the Schedule 13D filed on February 22, 2000 (the "Original 13D"), by SBC Communications Inc. ("SBC") and SBC International Inc. ("SBCI") is being filed to report the disposition of holdings in Amdocs Limited (the "Company") and the contribution of the Company's shares to SBC Option Delivery, LLC ("SBCO").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This statement relates to the Ordinary Shares, par value (pound) 0.01 (the "Shares"), of Amdocs Limited, a company organized under the laws of the Island of Guernsey. The Shares trade on the New York Stock Exchange under the symbol "DOX". The principal executive office of the Company is Tower Hill House Le Bordage GY1 3QT, St. Peter Port, Island of Guernsey, Channel Islands.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left="1060" w:right="1779" w:hanging="1052"/>
        <w:spacing w:after="0" w:line="237" w:lineRule="auto"/>
        <w:tabs>
          <w:tab w:leader="none" w:pos="42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 SBCO is a Delaware LLC and a subsidiary of SBC with its principal office and principal place of business at #2 Read's Way, Corporate Commons, Suite 117, New Castle, Delaware 19720. SBCI indirectly owns SBCO. SBCO provides SBC with an indirect partial hedge of potential liabilities associated with certain stock options granted to SBC employees as well as a mechanism for repurchasing shares to satisfy those potential liabilities. SBCO has no officers or directors, and is managed by SBC Hedging Management, LLC ("SBCH").</w:t>
      </w:r>
    </w:p>
    <w:p>
      <w:pPr>
        <w:spacing w:after="0" w:line="212"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SBCH is a Delaware LLC and a subsidiary of SBC with its principal office and principal place of business at #2 Read's Way, Corporate Commons, Suite 117, New Castle, Delaware 19720.</w:t>
      </w:r>
    </w:p>
    <w:p>
      <w:pPr>
        <w:spacing w:after="0" w:line="209" w:lineRule="exact"/>
        <w:rPr>
          <w:sz w:val="20"/>
          <w:szCs w:val="20"/>
          <w:color w:val="auto"/>
        </w:rPr>
      </w:pPr>
    </w:p>
    <w:p>
      <w:pPr>
        <w:ind w:left="1060" w:right="1779" w:hanging="1052"/>
        <w:spacing w:after="0"/>
        <w:rPr>
          <w:sz w:val="20"/>
          <w:szCs w:val="20"/>
          <w:color w:val="auto"/>
        </w:rPr>
      </w:pPr>
      <w:r>
        <w:rPr>
          <w:rFonts w:ascii="Courier New" w:cs="Courier New" w:eastAsia="Courier New" w:hAnsi="Courier New"/>
          <w:sz w:val="18"/>
          <w:szCs w:val="18"/>
          <w:color w:val="auto"/>
        </w:rPr>
        <w:t>(d) - (e) During the last five</w:t>
      </w:r>
      <w:r>
        <w:rPr>
          <w:sz w:val="20"/>
          <w:szCs w:val="20"/>
          <w:color w:val="auto"/>
        </w:rPr>
        <w:t xml:space="preserve"> </w:t>
      </w:r>
      <w:r>
        <w:rPr>
          <w:rFonts w:ascii="Courier New" w:cs="Courier New" w:eastAsia="Courier New" w:hAnsi="Courier New"/>
          <w:sz w:val="18"/>
          <w:szCs w:val="18"/>
          <w:color w:val="auto"/>
        </w:rPr>
        <w:t>years, neither SBCO nor SBCH, nor, to the best of their knowledge, any of SBCH's directors, has been convicted in any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 and which judgment, decree or final order was not subsequently vacated.</w:t>
      </w:r>
    </w:p>
    <w:p>
      <w:pPr>
        <w:sectPr>
          <w:pgSz w:w="11900" w:h="16838" w:orient="portrait"/>
          <w:cols w:equalWidth="0" w:num="1">
            <w:col w:w="10219"/>
          </w:cols>
          <w:pgMar w:left="240" w:top="919" w:right="1440" w:bottom="1440" w:gutter="0" w:footer="0" w:header="0"/>
        </w:sectPr>
      </w:pPr>
    </w:p>
    <w:bookmarkStart w:id="5" w:name="page6"/>
    <w:bookmarkEnd w:id="5"/>
    <w:p>
      <w:pPr>
        <w:ind w:left="4960"/>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9" w:lineRule="exact"/>
        <w:rPr>
          <w:sz w:val="20"/>
          <w:szCs w:val="20"/>
          <w:color w:val="auto"/>
        </w:rPr>
      </w:pPr>
    </w:p>
    <w:p>
      <w:pPr>
        <w:jc w:val="both"/>
        <w:ind w:left="540" w:right="1779" w:hanging="532"/>
        <w:spacing w:after="0" w:line="279"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SBCH has no officers and has the following directors (all are citizens of the U.S., all are employed by SBC in the capacities set forth opposite their names, and all are located at 175 E. Houston, San Antonio, TX 78205):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2680" w:type="dxa"/>
            <w:vAlign w:val="bottom"/>
            <w:gridSpan w:val="2"/>
          </w:tcPr>
          <w:p>
            <w:pPr>
              <w:ind w:left="620"/>
              <w:spacing w:after="0"/>
              <w:rPr>
                <w:sz w:val="20"/>
                <w:szCs w:val="20"/>
                <w:color w:val="auto"/>
              </w:rPr>
            </w:pPr>
            <w:r>
              <w:rPr>
                <w:rFonts w:ascii="Courier New" w:cs="Courier New" w:eastAsia="Courier New" w:hAnsi="Courier New"/>
                <w:sz w:val="18"/>
                <w:szCs w:val="18"/>
                <w:color w:val="auto"/>
              </w:rPr>
              <w:t>John B. Gibson</w:t>
            </w:r>
          </w:p>
        </w:tc>
        <w:tc>
          <w:tcPr>
            <w:tcW w:w="4260" w:type="dxa"/>
            <w:vAlign w:val="bottom"/>
          </w:tcPr>
          <w:p>
            <w:pPr>
              <w:ind w:left="160"/>
              <w:spacing w:after="0"/>
              <w:rPr>
                <w:sz w:val="20"/>
                <w:szCs w:val="20"/>
                <w:color w:val="auto"/>
              </w:rPr>
            </w:pPr>
            <w:r>
              <w:rPr>
                <w:rFonts w:ascii="Courier New" w:cs="Courier New" w:eastAsia="Courier New" w:hAnsi="Courier New"/>
                <w:sz w:val="18"/>
                <w:szCs w:val="18"/>
                <w:color w:val="auto"/>
              </w:rPr>
              <w:t>General Attorney</w:t>
            </w:r>
          </w:p>
        </w:tc>
      </w:tr>
      <w:tr>
        <w:trPr>
          <w:trHeight w:val="203"/>
        </w:trPr>
        <w:tc>
          <w:tcPr>
            <w:tcW w:w="960" w:type="dxa"/>
            <w:vAlign w:val="bottom"/>
          </w:tcPr>
          <w:p>
            <w:pPr>
              <w:spacing w:after="0"/>
              <w:rPr>
                <w:sz w:val="17"/>
                <w:szCs w:val="17"/>
                <w:color w:val="auto"/>
              </w:rPr>
            </w:pPr>
          </w:p>
        </w:tc>
        <w:tc>
          <w:tcPr>
            <w:tcW w:w="13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Harold</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 Rainbolt</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Assistant General Counsel</w:t>
            </w:r>
          </w:p>
        </w:tc>
      </w:tr>
      <w:tr>
        <w:trPr>
          <w:trHeight w:val="203"/>
        </w:trPr>
        <w:tc>
          <w:tcPr>
            <w:tcW w:w="960" w:type="dxa"/>
            <w:vAlign w:val="bottom"/>
          </w:tcPr>
          <w:p>
            <w:pPr>
              <w:spacing w:after="0"/>
              <w:rPr>
                <w:sz w:val="17"/>
                <w:szCs w:val="17"/>
                <w:color w:val="auto"/>
              </w:rPr>
            </w:pPr>
          </w:p>
        </w:tc>
        <w:tc>
          <w:tcPr>
            <w:tcW w:w="2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Michael J. Viola</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Vice President - Treasurer</w:t>
            </w:r>
          </w:p>
        </w:tc>
      </w:tr>
      <w:tr>
        <w:trPr>
          <w:trHeight w:val="203"/>
        </w:trPr>
        <w:tc>
          <w:tcPr>
            <w:tcW w:w="960" w:type="dxa"/>
            <w:vAlign w:val="bottom"/>
          </w:tcPr>
          <w:p>
            <w:pPr>
              <w:spacing w:after="0"/>
              <w:rPr>
                <w:sz w:val="17"/>
                <w:szCs w:val="17"/>
                <w:color w:val="auto"/>
              </w:rPr>
            </w:pPr>
          </w:p>
        </w:tc>
        <w:tc>
          <w:tcPr>
            <w:tcW w:w="2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Michael D. Wagner</w:t>
            </w:r>
          </w:p>
        </w:tc>
        <w:tc>
          <w:tcPr>
            <w:tcW w:w="4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Managing Director - Assistant Treasurer</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320" w:type="dxa"/>
            <w:vAlign w:val="bottom"/>
          </w:tcPr>
          <w:p>
            <w:pPr>
              <w:ind w:left="200"/>
              <w:spacing w:after="0"/>
              <w:rPr>
                <w:sz w:val="20"/>
                <w:szCs w:val="20"/>
                <w:color w:val="auto"/>
              </w:rPr>
            </w:pPr>
            <w:r>
              <w:rPr>
                <w:rFonts w:ascii="Courier New" w:cs="Courier New" w:eastAsia="Courier New" w:hAnsi="Courier New"/>
                <w:sz w:val="18"/>
                <w:szCs w:val="18"/>
                <w:color w:val="auto"/>
              </w:rPr>
              <w:t>Purpose of</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Transaction</w:t>
            </w:r>
          </w:p>
        </w:tc>
        <w:tc>
          <w:tcPr>
            <w:tcW w:w="4260" w:type="dxa"/>
            <w:vAlign w:val="bottom"/>
          </w:tcPr>
          <w:p>
            <w:pPr>
              <w:spacing w:after="0"/>
              <w:rPr>
                <w:sz w:val="24"/>
                <w:szCs w:val="24"/>
                <w:color w:val="auto"/>
              </w:rPr>
            </w:pPr>
          </w:p>
        </w:tc>
      </w:tr>
    </w:tbl>
    <w:p>
      <w:pPr>
        <w:spacing w:after="0" w:line="207"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Since the filing of the Original 13D, SBCI contributed 17,448,823 Shares to SBCO on December 4, 2000, and disposed of 11,088,031 Shares through open market sales or charitable contributions. SBC periodically evaluates its investment in the Company in light of, among other things, the Company's performance, market conditions and SBC's investment and operational strategies, and may determine to sell or otherwise dispose of from time to time some or all of the Shares which SBC presently beneficially owns through open market sales, privately negotiated transactions, charitable gifts or otherwise.</w:t>
      </w:r>
    </w:p>
    <w:p>
      <w:pPr>
        <w:spacing w:after="0" w:line="18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jc w:val="both"/>
        <w:ind w:left="540" w:right="1779" w:hanging="532"/>
        <w:spacing w:after="0" w:line="237"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SBCI beneficially owns 33,678,658 Shares representing 15.2% of the outstanding ordinary Shares class. SBCO directly beneficially owns 17,448,823 Shares representing 7.9% of the outstanding ordinary Shares class. As of February 1, 2001, the capital structure of Amdocs Limited is made up of 221,318,000 Shares (according to Form 6-K filed by Amdocs Limited on February 1, 2001). SBC possesses ultimate beneficial ownership of the Shares by virtue of its ownership of SBCI and SBCO.</w:t>
      </w:r>
    </w:p>
    <w:p>
      <w:pPr>
        <w:spacing w:after="0" w:line="211" w:lineRule="exact"/>
        <w:rPr>
          <w:rFonts w:ascii="Courier New" w:cs="Courier New" w:eastAsia="Courier New" w:hAnsi="Courier New"/>
          <w:sz w:val="18"/>
          <w:szCs w:val="18"/>
          <w:color w:val="auto"/>
        </w:rPr>
      </w:pPr>
    </w:p>
    <w:p>
      <w:pPr>
        <w:jc w:val="both"/>
        <w:ind w:left="540" w:right="1779" w:hanging="532"/>
        <w:spacing w:after="0" w:line="279" w:lineRule="auto"/>
        <w:tabs>
          <w:tab w:leader="none" w:pos="5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33,678,658 Shares beneficially owned by SBC, 20,654,138 Shares have voting rights and 13,024,520 Shares are non-voting Shares. Each non-voting Share will convert into one Share with voting rights upon its sale.</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620" w:type="dxa"/>
            <w:vAlign w:val="bottom"/>
          </w:tcPr>
          <w:p>
            <w:pPr>
              <w:spacing w:after="0"/>
              <w:rPr>
                <w:sz w:val="20"/>
                <w:szCs w:val="20"/>
                <w:color w:val="auto"/>
              </w:rPr>
            </w:pPr>
            <w:r>
              <w:rPr>
                <w:rFonts w:ascii="Courier New" w:cs="Courier New" w:eastAsia="Courier New" w:hAnsi="Courier New"/>
                <w:sz w:val="18"/>
                <w:szCs w:val="18"/>
                <w:color w:val="auto"/>
                <w:w w:val="98"/>
              </w:rPr>
              <w:t>SBCI beneficial</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ownership interest:</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15.2%</w:t>
            </w:r>
          </w:p>
        </w:tc>
        <w:tc>
          <w:tcPr>
            <w:tcW w:w="800" w:type="dxa"/>
            <w:vAlign w:val="bottom"/>
          </w:tcPr>
          <w:p>
            <w:pPr>
              <w:spacing w:after="0"/>
              <w:rPr>
                <w:sz w:val="17"/>
                <w:szCs w:val="17"/>
                <w:color w:val="auto"/>
              </w:rPr>
            </w:pPr>
          </w:p>
        </w:tc>
      </w:tr>
      <w:tr>
        <w:trPr>
          <w:trHeight w:val="203"/>
        </w:trPr>
        <w:tc>
          <w:tcPr>
            <w:tcW w:w="6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Shared power</w:t>
            </w:r>
          </w:p>
        </w:tc>
        <w:tc>
          <w:tcPr>
            <w:tcW w:w="4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33,678,658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6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Sole power to 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Shared power</w:t>
            </w:r>
          </w:p>
        </w:tc>
        <w:tc>
          <w:tcPr>
            <w:tcW w:w="5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to dispose or direct the disposition of: 33,678,658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r>
    </w:tbl>
    <w:p>
      <w:pPr>
        <w:sectPr>
          <w:pgSz w:w="11900" w:h="16838" w:orient="portrait"/>
          <w:cols w:equalWidth="0" w:num="1">
            <w:col w:w="10219"/>
          </w:cols>
          <w:pgMar w:left="240" w:top="717" w:right="1440" w:bottom="1440" w:gutter="0" w:footer="0" w:header="0"/>
        </w:sectPr>
      </w:pPr>
    </w:p>
    <w:bookmarkStart w:id="6" w:name="page7"/>
    <w:bookmarkEnd w:id="6"/>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1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Page 7 of 10 Pages</w:t>
            </w:r>
          </w:p>
        </w:tc>
      </w:tr>
      <w:tr>
        <w:trPr>
          <w:trHeight w:val="608"/>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SBCO beneficial</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ownership</w:t>
            </w:r>
          </w:p>
        </w:tc>
        <w:tc>
          <w:tcPr>
            <w:tcW w:w="3220" w:type="dxa"/>
            <w:vAlign w:val="bottom"/>
          </w:tcPr>
          <w:p>
            <w:pPr>
              <w:ind w:left="60"/>
              <w:spacing w:after="0"/>
              <w:rPr>
                <w:sz w:val="20"/>
                <w:szCs w:val="20"/>
                <w:color w:val="auto"/>
              </w:rPr>
            </w:pPr>
            <w:r>
              <w:rPr>
                <w:rFonts w:ascii="Courier New" w:cs="Courier New" w:eastAsia="Courier New" w:hAnsi="Courier New"/>
                <w:sz w:val="18"/>
                <w:szCs w:val="18"/>
                <w:color w:val="auto"/>
              </w:rPr>
              <w:t>interest:</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2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Percent of class:</w:t>
            </w:r>
          </w:p>
        </w:tc>
        <w:tc>
          <w:tcPr>
            <w:tcW w:w="3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w:t>
            </w:r>
          </w:p>
        </w:tc>
        <w:tc>
          <w:tcPr>
            <w:tcW w:w="8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Sole power to</w:t>
            </w:r>
          </w:p>
        </w:tc>
        <w:tc>
          <w:tcPr>
            <w:tcW w:w="4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vote or 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 vote or</w:t>
            </w:r>
          </w:p>
        </w:tc>
        <w:tc>
          <w:tcPr>
            <w:tcW w:w="3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direct the vote: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17,448,823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Sole power to</w:t>
            </w:r>
          </w:p>
        </w:tc>
        <w:tc>
          <w:tcPr>
            <w:tcW w:w="4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dispose or to direct the disposition of:</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6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Shared power to dispose</w:t>
            </w:r>
          </w:p>
        </w:tc>
        <w:tc>
          <w:tcPr>
            <w:tcW w:w="4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direct the disposition of: 17,448,823</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r>
    </w:tbl>
    <w:p>
      <w:pPr>
        <w:spacing w:after="0" w:line="207" w:lineRule="exact"/>
        <w:rPr>
          <w:sz w:val="20"/>
          <w:szCs w:val="20"/>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SBC has ultimate control over the voting or disposition of the Shares held by SBCI and SBCO by virtue of its ownership of SBCI.</w:t>
      </w:r>
    </w:p>
    <w:p>
      <w:pPr>
        <w:spacing w:after="0" w:line="208" w:lineRule="exact"/>
        <w:rPr>
          <w:sz w:val="20"/>
          <w:szCs w:val="20"/>
          <w:color w:val="auto"/>
        </w:rPr>
      </w:pPr>
    </w:p>
    <w:p>
      <w:pPr>
        <w:ind w:left="640" w:hanging="316"/>
        <w:spacing w:after="0"/>
        <w:tabs>
          <w:tab w:leader="none" w:pos="64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Shares beneficially owned by SBC, 13,024,520 Shares are non-voting.</w:t>
      </w:r>
    </w:p>
    <w:p>
      <w:pPr>
        <w:spacing w:after="0" w:line="218"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sixty days, SBCI disposed of Shares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Transaction Date</w:t>
            </w:r>
          </w:p>
        </w:tc>
        <w:tc>
          <w:tcPr>
            <w:tcW w:w="2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Type of Transaction</w:t>
            </w:r>
          </w:p>
        </w:tc>
        <w:tc>
          <w:tcPr>
            <w:tcW w:w="2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 Shares</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Price</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w w:val="96"/>
              </w:rPr>
              <w:t>Per Share</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12/13/2000</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Charitable Gift</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22,500</w:t>
            </w:r>
          </w:p>
        </w:tc>
        <w:tc>
          <w:tcPr>
            <w:tcW w:w="7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N/A</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02/05-02/07/2001</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Open Market Sales</w:t>
            </w:r>
          </w:p>
        </w:tc>
        <w:tc>
          <w:tcPr>
            <w:tcW w:w="2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1,219,300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$71.81</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rPr>
              <w:t>- $76.90</w:t>
            </w:r>
          </w:p>
        </w:tc>
      </w:tr>
      <w:tr>
        <w:trPr>
          <w:trHeight w:val="405"/>
        </w:trPr>
        <w:tc>
          <w:tcPr>
            <w:tcW w:w="2120" w:type="dxa"/>
            <w:vAlign w:val="bottom"/>
          </w:tcPr>
          <w:p>
            <w:pPr>
              <w:spacing w:after="0"/>
              <w:rPr>
                <w:sz w:val="20"/>
                <w:szCs w:val="20"/>
                <w:color w:val="auto"/>
              </w:rPr>
            </w:pPr>
            <w:r>
              <w:rPr>
                <w:rFonts w:ascii="Courier New" w:cs="Courier New" w:eastAsia="Courier New" w:hAnsi="Courier New"/>
                <w:sz w:val="18"/>
                <w:szCs w:val="18"/>
                <w:color w:val="auto"/>
              </w:rPr>
              <w:t>02/09/2001</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Charitable Gift</w:t>
            </w:r>
          </w:p>
        </w:tc>
        <w:tc>
          <w:tcPr>
            <w:tcW w:w="2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8,362,369</w:t>
            </w:r>
          </w:p>
        </w:tc>
        <w:tc>
          <w:tcPr>
            <w:tcW w:w="180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both"/>
        <w:ind w:left="860" w:right="177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SBC's 1996 Stock and Incentive Plan, a grant of units convertible on a one-for-one basis into Company shares was made in June 1998 to officers of SBC including Mr. James Kahan, a director of the Company. These units vest over three years and are subject to forfeiture prior to vesting. Currently, 554,760 Shares are subject to vesting and 270,606 Shares are deferred, and remain undistributed to such officers.</w:t>
      </w:r>
    </w:p>
    <w:p>
      <w:pPr>
        <w:sectPr>
          <w:pgSz w:w="11900" w:h="16838" w:orient="portrait"/>
          <w:cols w:equalWidth="0" w:num="1">
            <w:col w:w="10219"/>
          </w:cols>
          <w:pgMar w:left="240" w:top="919"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 to be Filed as Exhibits</w:t>
      </w:r>
    </w:p>
    <w:p>
      <w:pPr>
        <w:spacing w:after="0" w:line="200" w:lineRule="exact"/>
        <w:rPr>
          <w:sz w:val="20"/>
          <w:szCs w:val="20"/>
          <w:color w:val="auto"/>
        </w:rPr>
      </w:pPr>
    </w:p>
    <w:p>
      <w:pPr>
        <w:sectPr>
          <w:pgSz w:w="11900" w:h="16838" w:orient="portrait"/>
          <w:cols w:equalWidth="0" w:num="2">
            <w:col w:w="760" w:space="720"/>
            <w:col w:w="873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1600" w:space="720"/>
            <w:col w:w="7899"/>
          </w:cols>
          <w:pgMar w:left="240" w:top="919" w:right="1440" w:bottom="1440" w:gutter="0" w:footer="0" w:header="0"/>
          <w:type w:val="continuous"/>
        </w:sectPr>
      </w:pP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Joint Filing Agreement</w:t>
      </w:r>
    </w:p>
    <w:p>
      <w:pPr>
        <w:sectPr>
          <w:pgSz w:w="11900" w:h="16838" w:orient="portrait"/>
          <w:cols w:equalWidth="0" w:num="2">
            <w:col w:w="1600" w:space="720"/>
            <w:col w:w="7899"/>
          </w:cols>
          <w:pgMar w:left="240" w:top="919" w:right="1440" w:bottom="1440" w:gutter="0" w:footer="0" w:header="0"/>
          <w:type w:val="continuous"/>
        </w:sectPr>
      </w:pPr>
    </w:p>
    <w:bookmarkStart w:id="7" w:name="page8"/>
    <w:bookmarkEnd w:id="7"/>
    <w:p>
      <w:pPr>
        <w:ind w:left="6440"/>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4"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SBC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2001</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S. Kahan</w:t>
      </w:r>
    </w:p>
    <w:p>
      <w:pPr>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Development</w:t>
      </w:r>
    </w:p>
    <w:p>
      <w:pPr>
        <w:spacing w:after="0" w:line="200" w:lineRule="exact"/>
        <w:rPr>
          <w:sz w:val="20"/>
          <w:szCs w:val="20"/>
          <w:color w:val="auto"/>
        </w:rPr>
      </w:pPr>
    </w:p>
    <w:p>
      <w:pPr>
        <w:sectPr>
          <w:pgSz w:w="11900" w:h="16838" w:orient="portrait"/>
          <w:cols w:equalWidth="0" w:num="4">
            <w:col w:w="640" w:space="220"/>
            <w:col w:w="2220" w:space="720"/>
            <w:col w:w="320" w:space="320"/>
            <w:col w:w="5779"/>
          </w:cols>
          <w:pgMar w:left="240" w:top="919" w:right="1440" w:bottom="1440" w:gutter="0" w:footer="0" w:header="0"/>
          <w:type w:val="continuous"/>
        </w:sectPr>
      </w:pPr>
    </w:p>
    <w:p>
      <w:pPr>
        <w:spacing w:after="0" w:line="226"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SBC INTERNATIONAL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S. Kahan</w:t>
      </w:r>
    </w:p>
    <w:p>
      <w:pPr>
        <w:ind w:left="420"/>
        <w:spacing w:after="0" w:line="238" w:lineRule="auto"/>
        <w:rPr>
          <w:sz w:val="20"/>
          <w:szCs w:val="20"/>
          <w:color w:val="auto"/>
        </w:rPr>
      </w:pPr>
      <w:r>
        <w:rPr>
          <w:rFonts w:ascii="Courier New" w:cs="Courier New" w:eastAsia="Courier New" w:hAnsi="Courier New"/>
          <w:sz w:val="18"/>
          <w:szCs w:val="18"/>
          <w:color w:val="auto"/>
        </w:rPr>
        <w:t>James S. Kahan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Senior Executive Vice President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3">
            <w:col w:w="640" w:space="220"/>
            <w:col w:w="2220" w:space="720"/>
            <w:col w:w="6419"/>
          </w:cols>
          <w:pgMar w:left="240" w:top="919" w:right="1440" w:bottom="1440" w:gutter="0" w:footer="0" w:header="0"/>
          <w:type w:val="continuous"/>
        </w:sect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SBC Hedging Management, LLC</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Manager of SBC Option Delivery, LLC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22,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D. Wagner</w:t>
      </w:r>
    </w:p>
    <w:p>
      <w:pPr>
        <w:spacing w:after="0" w:line="238" w:lineRule="auto"/>
        <w:rPr>
          <w:sz w:val="20"/>
          <w:szCs w:val="20"/>
          <w:color w:val="auto"/>
        </w:rPr>
      </w:pPr>
      <w:r>
        <w:rPr>
          <w:rFonts w:ascii="Courier New" w:cs="Courier New" w:eastAsia="Courier New" w:hAnsi="Courier New"/>
          <w:sz w:val="18"/>
          <w:szCs w:val="18"/>
          <w:color w:val="auto"/>
        </w:rPr>
        <w:t>Michael D. Wagner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SBC Hedging Management, LLC</w:t>
      </w:r>
    </w:p>
    <w:p>
      <w:pPr>
        <w:sectPr>
          <w:pgSz w:w="11900" w:h="16838" w:orient="portrait"/>
          <w:cols w:equalWidth="0" w:num="4">
            <w:col w:w="640" w:space="220"/>
            <w:col w:w="2220" w:space="720"/>
            <w:col w:w="320" w:space="200"/>
            <w:col w:w="5899"/>
          </w:cols>
          <w:pgMar w:left="240" w:top="919" w:right="1440" w:bottom="1440" w:gutter="0" w:footer="0" w:header="0"/>
          <w:type w:val="continuous"/>
        </w:sectPr>
      </w:pPr>
    </w:p>
    <w:bookmarkStart w:id="8" w:name="page9"/>
    <w:bookmarkEnd w:id="8"/>
    <w:p>
      <w:pPr>
        <w:jc w:val="right"/>
        <w:ind w:right="1999"/>
        <w:spacing w:after="0"/>
        <w:rPr>
          <w:sz w:val="20"/>
          <w:szCs w:val="20"/>
          <w:color w:val="auto"/>
        </w:rPr>
      </w:pPr>
      <w:r>
        <w:rPr>
          <w:rFonts w:ascii="Courier New" w:cs="Courier New" w:eastAsia="Courier New" w:hAnsi="Courier New"/>
          <w:sz w:val="18"/>
          <w:szCs w:val="18"/>
          <w:color w:val="auto"/>
        </w:rPr>
        <w:t>Page 9 of 10 Pages</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Joint Filing Agreement</w:t>
      </w:r>
    </w:p>
    <w:p>
      <w:pPr>
        <w:sectPr>
          <w:pgSz w:w="11900" w:h="16838" w:orient="portrait"/>
          <w:cols w:equalWidth="0" w:num="1">
            <w:col w:w="10219"/>
          </w:cols>
          <w:pgMar w:left="240" w:top="919" w:right="1440" w:bottom="1440" w:gutter="0" w:footer="0" w:header="0"/>
        </w:sectPr>
      </w:pPr>
    </w:p>
    <w:bookmarkStart w:id="9" w:name="page10"/>
    <w:bookmarkEnd w:id="9"/>
    <w:p>
      <w:pPr>
        <w:ind w:left="6220"/>
        <w:spacing w:after="0"/>
        <w:rPr>
          <w:sz w:val="20"/>
          <w:szCs w:val="20"/>
          <w:color w:val="auto"/>
        </w:rPr>
      </w:pPr>
      <w:r>
        <w:rPr>
          <w:rFonts w:ascii="Courier New" w:cs="Courier New" w:eastAsia="Courier New" w:hAnsi="Courier New"/>
          <w:sz w:val="18"/>
          <w:szCs w:val="18"/>
          <w:color w:val="auto"/>
        </w:rPr>
        <w:t>Page 10 of 10 Pages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Rule 13d-1(k)(1) under the Securities Exchange Act of 1934, as amended, the undersigned hereby agree to the joint filing with SBC, SBCI and SBCO on behalf of each of them of a statement on Schedule 13D (including amendments thereto) with respect to Ordinary Shares, par value (pound) 0.01, of Amdocs Limited, and that this Agreement be included as an Exhibit to such joint filing. This Agreement may be executed in any number of counterparts all of which taken together shall constitute one and the same instrument.</w:t>
      </w:r>
    </w:p>
    <w:p>
      <w:pPr>
        <w:spacing w:after="0" w:line="212"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22nd day of February 2001.</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SBC COMMUNICATIONS INC.</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Kahan</w:t>
      </w:r>
    </w:p>
    <w:p>
      <w:pPr>
        <w:ind w:left="4020"/>
        <w:spacing w:after="0" w:line="238" w:lineRule="auto"/>
        <w:rPr>
          <w:sz w:val="20"/>
          <w:szCs w:val="20"/>
          <w:color w:val="auto"/>
        </w:rPr>
      </w:pPr>
      <w:r>
        <w:rPr>
          <w:rFonts w:ascii="Courier New" w:cs="Courier New" w:eastAsia="Courier New" w:hAnsi="Courier New"/>
          <w:sz w:val="18"/>
          <w:szCs w:val="18"/>
          <w:color w:val="auto"/>
        </w:rPr>
        <w:t>James S. Kahan</w:t>
      </w:r>
    </w:p>
    <w:p>
      <w:pPr>
        <w:ind w:left="4020"/>
        <w:spacing w:after="0"/>
        <w:rPr>
          <w:sz w:val="20"/>
          <w:szCs w:val="20"/>
          <w:color w:val="auto"/>
        </w:rPr>
      </w:pPr>
      <w:r>
        <w:rPr>
          <w:rFonts w:ascii="Courier New" w:cs="Courier New" w:eastAsia="Courier New" w:hAnsi="Courier New"/>
          <w:sz w:val="18"/>
          <w:szCs w:val="18"/>
          <w:color w:val="auto"/>
        </w:rPr>
        <w:t>Senior Executive Vice President -</w:t>
      </w:r>
    </w:p>
    <w:p>
      <w:pPr>
        <w:ind w:left="4020"/>
        <w:spacing w:after="0" w:line="237" w:lineRule="auto"/>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SBC INTERNATIONAL INC.</w:t>
      </w:r>
    </w:p>
    <w:p>
      <w:pPr>
        <w:spacing w:after="0" w:line="200" w:lineRule="exact"/>
        <w:rPr>
          <w:sz w:val="20"/>
          <w:szCs w:val="20"/>
          <w:color w:val="auto"/>
        </w:rPr>
      </w:pPr>
    </w:p>
    <w:p>
      <w:pPr>
        <w:spacing w:after="0" w:line="204" w:lineRule="exact"/>
        <w:rPr>
          <w:sz w:val="20"/>
          <w:szCs w:val="20"/>
          <w:color w:val="auto"/>
        </w:rPr>
      </w:pPr>
    </w:p>
    <w:p>
      <w:pPr>
        <w:ind w:left="3480"/>
        <w:spacing w:after="0"/>
        <w:tabs>
          <w:tab w:leader="none" w:pos="4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Kahan</w:t>
      </w:r>
    </w:p>
    <w:p>
      <w:pPr>
        <w:ind w:left="3900"/>
        <w:spacing w:after="0" w:line="238" w:lineRule="auto"/>
        <w:rPr>
          <w:sz w:val="20"/>
          <w:szCs w:val="20"/>
          <w:color w:val="auto"/>
        </w:rPr>
      </w:pPr>
      <w:r>
        <w:rPr>
          <w:rFonts w:ascii="Courier New" w:cs="Courier New" w:eastAsia="Courier New" w:hAnsi="Courier New"/>
          <w:sz w:val="18"/>
          <w:szCs w:val="18"/>
          <w:color w:val="auto"/>
        </w:rPr>
        <w:t>James S. Kahan</w:t>
      </w:r>
    </w:p>
    <w:p>
      <w:pPr>
        <w:ind w:left="3900"/>
        <w:spacing w:after="0"/>
        <w:rPr>
          <w:sz w:val="20"/>
          <w:szCs w:val="20"/>
          <w:color w:val="auto"/>
        </w:rPr>
      </w:pPr>
      <w:r>
        <w:rPr>
          <w:rFonts w:ascii="Courier New" w:cs="Courier New" w:eastAsia="Courier New" w:hAnsi="Courier New"/>
          <w:sz w:val="18"/>
          <w:szCs w:val="18"/>
          <w:color w:val="auto"/>
        </w:rPr>
        <w:t>Senior Executive Vice President -</w:t>
      </w:r>
    </w:p>
    <w:p>
      <w:pPr>
        <w:ind w:left="3900"/>
        <w:spacing w:after="0" w:line="237" w:lineRule="auto"/>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SBC OPTION DELIVERY, LLC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SBC Hedging Management, LLC</w:t>
      </w:r>
    </w:p>
    <w:p>
      <w:pPr>
        <w:ind w:left="4020"/>
        <w:spacing w:after="0" w:line="238" w:lineRule="auto"/>
        <w:rPr>
          <w:sz w:val="20"/>
          <w:szCs w:val="20"/>
          <w:color w:val="auto"/>
        </w:rPr>
      </w:pPr>
      <w:r>
        <w:rPr>
          <w:rFonts w:ascii="Courier New" w:cs="Courier New" w:eastAsia="Courier New" w:hAnsi="Courier New"/>
          <w:sz w:val="18"/>
          <w:szCs w:val="18"/>
          <w:color w:val="auto"/>
        </w:rPr>
        <w:t>Manager of SBC Option Delivery, LLC</w:t>
      </w:r>
    </w:p>
    <w:p>
      <w:pPr>
        <w:spacing w:after="0" w:line="200" w:lineRule="exact"/>
        <w:rPr>
          <w:sz w:val="20"/>
          <w:szCs w:val="20"/>
          <w:color w:val="auto"/>
        </w:rPr>
      </w:pPr>
    </w:p>
    <w:p>
      <w:pPr>
        <w:spacing w:after="0" w:line="204" w:lineRule="exact"/>
        <w:rPr>
          <w:sz w:val="20"/>
          <w:szCs w:val="20"/>
          <w:color w:val="auto"/>
        </w:rPr>
      </w:pPr>
    </w:p>
    <w:p>
      <w:pPr>
        <w:ind w:left="3580"/>
        <w:spacing w:after="0"/>
        <w:tabs>
          <w:tab w:leader="none" w:pos="4100" w:val="left"/>
        </w:tabs>
        <w:rPr>
          <w:sz w:val="20"/>
          <w:szCs w:val="20"/>
          <w:color w:val="auto"/>
        </w:rPr>
      </w:pPr>
      <w:r>
        <w:rPr>
          <w:rFonts w:ascii="Courier New" w:cs="Courier New" w:eastAsia="Courier New" w:hAnsi="Courier New"/>
          <w:sz w:val="18"/>
          <w:szCs w:val="18"/>
          <w:color w:val="auto"/>
        </w:rPr>
        <w:t>By:</w:t>
        <w:tab/>
        <w:t>/s/ Michael D. Wagner</w:t>
      </w:r>
    </w:p>
    <w:p>
      <w:pPr>
        <w:ind w:left="4120"/>
        <w:spacing w:after="0" w:line="238" w:lineRule="auto"/>
        <w:rPr>
          <w:sz w:val="20"/>
          <w:szCs w:val="20"/>
          <w:color w:val="auto"/>
        </w:rPr>
      </w:pPr>
      <w:r>
        <w:rPr>
          <w:rFonts w:ascii="Courier New" w:cs="Courier New" w:eastAsia="Courier New" w:hAnsi="Courier New"/>
          <w:sz w:val="18"/>
          <w:szCs w:val="18"/>
          <w:color w:val="auto"/>
        </w:rPr>
        <w:t>Michael D. Wagner</w:t>
      </w:r>
    </w:p>
    <w:p>
      <w:pPr>
        <w:ind w:left="4120"/>
        <w:spacing w:after="0"/>
        <w:rPr>
          <w:sz w:val="20"/>
          <w:szCs w:val="20"/>
          <w:color w:val="auto"/>
        </w:rPr>
      </w:pPr>
      <w:r>
        <w:rPr>
          <w:rFonts w:ascii="Courier New" w:cs="Courier New" w:eastAsia="Courier New" w:hAnsi="Courier New"/>
          <w:sz w:val="18"/>
          <w:szCs w:val="18"/>
          <w:color w:val="auto"/>
        </w:rPr>
        <w:t>Director, SBC Hedging Management, LLC</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210"/>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S.%2."/>
      <w:numFmt w:val="upperLetter"/>
      <w:start w:val="19"/>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6"/>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2"/>
    </w:lvl>
    <w:lvl w:ilvl="1">
      <w:lvlJc w:val="left"/>
      <w:lvlText w:val="*"/>
      <w:numFmt w:val="bullet"/>
      <w:start w:val="1"/>
    </w:lvl>
  </w:abstractNum>
  <w:abstractNum w:abstractNumId="20">
    <w:nsid w:val="628C895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2019-12-14T20:11:09Z</dcterms:created>
  <dcterms:modified xsi:type="dcterms:W3CDTF">2019-12-14T20:11:09Z</dcterms:modified>
</cp:coreProperties>
</file>