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7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79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7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For the month of April, 2011</w:t>
      </w:r>
    </w:p>
    <w:p>
      <w:pPr>
        <w:spacing w:after="0" w:line="21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Commission File Number 1-14840</w:t>
      </w:r>
    </w:p>
    <w:p>
      <w:pPr>
        <w:spacing w:after="0" w:line="196"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50"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Suite 5, Tower Hill House Le Bordage</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St. Peter Port, Island of Guernsey, GY1 3QT</w:t>
      </w:r>
    </w:p>
    <w:p>
      <w:pPr>
        <w:spacing w:after="0" w:line="21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Amdocs, Inc.</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1390 Timberlake Manor Parkway, Chesterfield, Missouri 63017</w:t>
      </w:r>
    </w:p>
    <w:p>
      <w:pPr>
        <w:spacing w:after="0" w:line="319"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(Address of principal executive offices)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200"/>
        <w:spacing w:after="0" w:line="207" w:lineRule="exact"/>
        <w:tabs>
          <w:tab w:leader="none" w:pos="61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FORM 40-F o</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4780"/>
        <w:spacing w:after="0" w:line="207" w:lineRule="exact"/>
        <w:tabs>
          <w:tab w:leader="none" w:pos="618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591185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522" w:right="1039" w:bottom="1440" w:gutter="0" w:footer="0" w:header="0"/>
        </w:sectPr>
      </w:pPr>
    </w:p>
    <w:bookmarkStart w:id="1" w:name="page2"/>
    <w:bookmarkEnd w:id="1"/>
    <w:p>
      <w:pPr>
        <w:ind w:right="20" w:firstLine="225"/>
        <w:spacing w:after="0" w:line="277" w:lineRule="auto"/>
        <w:rPr>
          <w:sz w:val="20"/>
          <w:szCs w:val="20"/>
          <w:color w:val="auto"/>
        </w:rPr>
      </w:pPr>
      <w:r>
        <w:rPr>
          <w:rFonts w:ascii="Arial" w:cs="Arial" w:eastAsia="Arial" w:hAnsi="Arial"/>
          <w:sz w:val="18"/>
          <w:szCs w:val="18"/>
          <w:color w:val="auto"/>
        </w:rPr>
        <w:t>On April 28, 2011, Amdocs Limited (“Amdocs”) issued a press release announcing financial results for the quarter ended March 31, 2011. A copy of the press release is furnished as Exhibit 99.1 to this Report of Foreign Private Issuer on Form 6-K.</w:t>
      </w:r>
    </w:p>
    <w:p>
      <w:pPr>
        <w:spacing w:after="0" w:line="62"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5" w:right="39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Thomas G. O’Brien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Treasurer and Secretary</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Authorized U.S. Representative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58"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0" w:type="dxa"/>
            <w:vAlign w:val="bottom"/>
          </w:tcPr>
          <w:p>
            <w:pPr>
              <w:ind w:left="2880"/>
              <w:spacing w:after="0"/>
              <w:rPr>
                <w:sz w:val="20"/>
                <w:szCs w:val="20"/>
                <w:color w:val="auto"/>
              </w:rPr>
            </w:pPr>
            <w:r>
              <w:rPr>
                <w:rFonts w:ascii="Arial" w:cs="Arial" w:eastAsia="Arial" w:hAnsi="Arial"/>
                <w:sz w:val="18"/>
                <w:szCs w:val="18"/>
                <w:color w:val="auto"/>
                <w:w w:val="99"/>
              </w:rPr>
              <w:t>EXHIBIT INDEX</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4"/>
                <w:szCs w:val="14"/>
                <w:color w:val="auto"/>
              </w:rPr>
              <w:t>EXHIBIT NO.</w:t>
            </w:r>
          </w:p>
        </w:tc>
        <w:tc>
          <w:tcPr>
            <w:tcW w:w="5120" w:type="dxa"/>
            <w:vAlign w:val="bottom"/>
            <w:gridSpan w:val="2"/>
          </w:tcPr>
          <w:p>
            <w:pPr>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Amdocs Limited Press Release dated April 28, 2011.</w:t>
            </w:r>
          </w:p>
        </w:tc>
        <w:tc>
          <w:tcPr>
            <w:tcW w:w="0" w:type="dxa"/>
            <w:vAlign w:val="bottom"/>
          </w:tcPr>
          <w:p>
            <w:pPr>
              <w:spacing w:after="0"/>
              <w:rPr>
                <w:sz w:val="1"/>
                <w:szCs w:val="1"/>
                <w:color w:val="auto"/>
              </w:rPr>
            </w:pPr>
          </w:p>
        </w:tc>
      </w:tr>
    </w:tbl>
    <w:p>
      <w:pPr>
        <w:sectPr>
          <w:pgSz w:w="11900" w:h="16838" w:orient="portrait"/>
          <w:cols w:equalWidth="0" w:num="1">
            <w:col w:w="10219"/>
          </w:cols>
          <w:pgMar w:left="240" w:top="96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 R E S S  R E L E A S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-121920</wp:posOffset>
            </wp:positionV>
            <wp:extent cx="1252220" cy="257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52220" cy="25717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020"/>
        <w:spacing w:after="0"/>
        <w:rPr>
          <w:sz w:val="20"/>
          <w:szCs w:val="20"/>
          <w:color w:val="auto"/>
        </w:rPr>
      </w:pPr>
      <w:r>
        <w:rPr>
          <w:rFonts w:ascii="Arial" w:cs="Arial" w:eastAsia="Arial" w:hAnsi="Arial"/>
          <w:sz w:val="18"/>
          <w:szCs w:val="18"/>
          <w:b w:val="1"/>
          <w:bCs w:val="1"/>
          <w:i w:val="1"/>
          <w:iCs w:val="1"/>
          <w:color w:val="auto"/>
        </w:rPr>
        <w:t>Amdocs Limited Reports Quarterly Revenue of $789 Million, Up 6% YoY</w:t>
      </w:r>
    </w:p>
    <w:p>
      <w:pPr>
        <w:spacing w:after="0" w:line="117" w:lineRule="exact"/>
        <w:rPr>
          <w:sz w:val="20"/>
          <w:szCs w:val="20"/>
          <w:color w:val="auto"/>
        </w:rPr>
      </w:pPr>
    </w:p>
    <w:p>
      <w:pPr>
        <w:ind w:left="4400"/>
        <w:spacing w:after="0"/>
        <w:rPr>
          <w:sz w:val="20"/>
          <w:szCs w:val="20"/>
          <w:color w:val="auto"/>
        </w:rPr>
      </w:pPr>
      <w:r>
        <w:rPr>
          <w:rFonts w:ascii="Arial" w:cs="Arial" w:eastAsia="Arial" w:hAnsi="Arial"/>
          <w:sz w:val="18"/>
          <w:szCs w:val="18"/>
          <w:b w:val="1"/>
          <w:bCs w:val="1"/>
          <w:i w:val="1"/>
          <w:iCs w:val="1"/>
          <w:color w:val="auto"/>
        </w:rPr>
        <w:t>Expects fiscal 2011 revenue growth</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toward the upper-end of 4-6% guidance range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Key highlights:</w:t>
      </w:r>
    </w:p>
    <w:p>
      <w:pPr>
        <w:spacing w:after="0" w:line="117" w:lineRule="exact"/>
        <w:rPr>
          <w:sz w:val="20"/>
          <w:szCs w:val="20"/>
          <w:color w:val="auto"/>
        </w:rPr>
      </w:pPr>
    </w:p>
    <w:p>
      <w:pPr>
        <w:ind w:left="660" w:right="20" w:hanging="436"/>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Second fiscal quarter revenue of $789 million, compared to the $775-$790 million guidance range. Foreign currency movements positively impacted revenue by approximately $5 million relative to the first fiscal quarter of 2011</w:t>
      </w:r>
    </w:p>
    <w:p>
      <w:pPr>
        <w:spacing w:after="0" w:line="75" w:lineRule="exact"/>
        <w:rPr>
          <w:rFonts w:ascii="Arial" w:cs="Arial" w:eastAsia="Arial" w:hAnsi="Arial"/>
          <w:sz w:val="18"/>
          <w:szCs w:val="18"/>
          <w:b w:val="1"/>
          <w:bCs w:val="1"/>
          <w:color w:val="auto"/>
        </w:rPr>
      </w:pPr>
    </w:p>
    <w:p>
      <w:pPr>
        <w:ind w:left="660" w:right="940" w:hanging="436"/>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Second fiscal quarter non-GAAP operating income of $128 million; non-GAAP operating margin of 16.2%; GAAP operating income of $107 million</w:t>
      </w:r>
    </w:p>
    <w:p>
      <w:pPr>
        <w:spacing w:after="0" w:line="75" w:lineRule="exact"/>
        <w:rPr>
          <w:rFonts w:ascii="Arial" w:cs="Arial" w:eastAsia="Arial" w:hAnsi="Arial"/>
          <w:sz w:val="18"/>
          <w:szCs w:val="18"/>
          <w:b w:val="1"/>
          <w:bCs w:val="1"/>
          <w:color w:val="auto"/>
        </w:rPr>
      </w:pPr>
    </w:p>
    <w:p>
      <w:pPr>
        <w:ind w:left="660" w:right="20" w:hanging="436"/>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Second fiscal quarter diluted non-GAAP EPS of $0.58, compared to the $0.53-$0.60 guidance range, excluding amortization of purchased intangible assets and other acquisition related costs and equity-based compensation expense, net of related tax effects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Diluted GAAP EPS of $0.50 for the second fiscal quarter, compared to the $0.43-$0.51 guidance range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Free cash flow of $55 million for the second fiscal quarter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Twelve-month backlog of $2.59 billion at the end of the second fiscal quarter, up $30 million from the end of the first fiscal quarter of 2011</w:t>
      </w:r>
    </w:p>
    <w:p>
      <w:pPr>
        <w:spacing w:after="0" w:line="142" w:lineRule="exact"/>
        <w:rPr>
          <w:rFonts w:ascii="Arial" w:cs="Arial" w:eastAsia="Arial" w:hAnsi="Arial"/>
          <w:sz w:val="17"/>
          <w:szCs w:val="17"/>
          <w:b w:val="1"/>
          <w:bCs w:val="1"/>
          <w:color w:val="auto"/>
        </w:rPr>
      </w:pPr>
    </w:p>
    <w:p>
      <w:pPr>
        <w:jc w:val="both"/>
        <w:ind w:left="660" w:right="180" w:hanging="436"/>
        <w:spacing w:after="0" w:line="264"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Third quarter fiscal 2011 guidance: Expected revenue of approximately $790-$805 million and diluted non-GAAP EPS of $0.57-$0.63, excluding acquisition-related costs and approximately $0.04-$0.05 per share of equity-based compensation expense, net of related tax effects. Diluted GAAP EPS is expected to be approximately $0.45-$0.53</w:t>
      </w:r>
    </w:p>
    <w:p>
      <w:pPr>
        <w:spacing w:after="0" w:line="86" w:lineRule="exact"/>
        <w:rPr>
          <w:rFonts w:ascii="Arial" w:cs="Arial" w:eastAsia="Arial" w:hAnsi="Arial"/>
          <w:sz w:val="18"/>
          <w:szCs w:val="18"/>
          <w:b w:val="1"/>
          <w:bCs w:val="1"/>
          <w:color w:val="auto"/>
        </w:rPr>
      </w:pPr>
    </w:p>
    <w:p>
      <w:pPr>
        <w:ind w:left="660" w:right="640" w:hanging="436"/>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Repurchased $161 million of ordinary shares during the second fiscal quarter. Completed the previous $700 million share repurchase plan in April 2011</w:t>
      </w:r>
    </w:p>
    <w:p>
      <w:pPr>
        <w:spacing w:after="0" w:line="58"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 xml:space="preserve">ST. LOUIS — April 28, 2011 </w:t>
      </w:r>
      <w:r>
        <w:rPr>
          <w:rFonts w:ascii="Arial" w:cs="Arial" w:eastAsia="Arial" w:hAnsi="Arial"/>
          <w:sz w:val="18"/>
          <w:szCs w:val="18"/>
          <w:color w:val="auto"/>
        </w:rPr>
        <w:t>— Amdocs Limited (NYSE: DOX) today reported that for its second fiscal quarter ended March 31, 2011, revenue was</w:t>
      </w:r>
      <w:r>
        <w:rPr>
          <w:rFonts w:ascii="Arial" w:cs="Arial" w:eastAsia="Arial" w:hAnsi="Arial"/>
          <w:sz w:val="18"/>
          <w:szCs w:val="18"/>
          <w:b w:val="1"/>
          <w:bCs w:val="1"/>
          <w:color w:val="auto"/>
        </w:rPr>
        <w:t xml:space="preserve"> </w:t>
      </w:r>
      <w:r>
        <w:rPr>
          <w:rFonts w:ascii="Arial" w:cs="Arial" w:eastAsia="Arial" w:hAnsi="Arial"/>
          <w:sz w:val="18"/>
          <w:szCs w:val="18"/>
          <w:color w:val="auto"/>
        </w:rPr>
        <w:t>$788.9 million, up 1.8% sequentially from the first fiscal quarter of 2011 and up 6.0% as compared to last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361315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line="273" w:lineRule="auto"/>
        <w:rPr>
          <w:sz w:val="20"/>
          <w:szCs w:val="20"/>
          <w:color w:val="auto"/>
        </w:rPr>
      </w:pPr>
      <w:r>
        <w:rPr>
          <w:rFonts w:ascii="Arial" w:cs="Arial" w:eastAsia="Arial" w:hAnsi="Arial"/>
          <w:sz w:val="17"/>
          <w:szCs w:val="17"/>
          <w:color w:val="auto"/>
        </w:rPr>
        <w:t>second fiscal quarter. Net income on a non-GAAP basis was $110.3 million, or $0.58 per diluted share, compared to non-GAAP net income of $116.9 million, or $0.56 per diluted share, in the second quarter of fiscal 2010. Non-GAAP net income excludes amortization of purchased intangible assets and other acquisition related costs and equity-based compensation expenses of $16.2 million, net of related tax effects, in the second quarter of fiscal 2011 and excludes such amortization, impairment on investment in a subsidiary and equity-based compensation expenses of $48.3 million, net of related tax effects, in the second quarter of fiscal 2010. The Company’s GAAP net income for the second quarter of fiscal 2011 was $94.1 million, or $0.50 per diluted share, compared to GAAP net income of $68.6 million, or $0.33 per diluted share, in the prior year’s second quarter.</w:t>
      </w:r>
    </w:p>
    <w:p>
      <w:pPr>
        <w:spacing w:after="0" w:line="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“Our performance in the second fiscal quarter of 2011 benefitted from solid demand trends consistent with those discussed in depth at our Analyst Day on February 23. Managed services contributed strong revenue in the second fiscal quarter fueled primarily by our North American clients. Deal momentum in the emerging markets remained healthy, and the demand environment in Europe showed signs of improvement throughout the first half of fiscal 2011 relative to a year ago. In terms of profitability, we continued to make progress on our current investment initiatives which resulted in a sequential improvement in our non-GAAP operating margin within our projected range,” said Eli Gelman, chief executive officer of Amdocs Management Limited.</w:t>
      </w:r>
    </w:p>
    <w:p>
      <w:pPr>
        <w:spacing w:after="0" w:line="5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Gelman continued, “Factoring in recent business trends and our expectations for the third fiscal quarter, we now expect revenue growth toward the upper-end of our 4-6% guidance range for fiscal 2011. As we continue to make progress in meeting key delivery milestones on several of our market-leading implementations and in achieving the benefits from investments in our employee knowledge programs, we anticipate a modest improvement in profitability in the second half of fiscal 2011. Additionally, in April 2011, we completed our $700 million repurchase plan within the twelve month authorization period. Going forward, we plan to continue executing on the $1 billion share repurchase program that was announced in February 2011.”</w:t>
      </w:r>
    </w:p>
    <w:p>
      <w:pPr>
        <w:spacing w:after="0" w:line="6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Gelman concluded, “Leading service providers are getting larger, both organically and through consolidation, more diverse in their offerings, and more global every day. Against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dynamics, our customers are increasingly relying on strong partners like Amdocs to help manage highly competitive and complex operating environments.”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Discussion of Second Fiscal Quarter Results</w:t>
      </w:r>
    </w:p>
    <w:p>
      <w:pPr>
        <w:spacing w:after="0" w:line="12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Free cash flow was $55 million for the second fiscal quarter, comprised of cash flow from operations of approximately $75 million less $20 million in net capital expenditures and other. Free cash flow for the second fiscal quarter included the forecasted impact of $60 million in annual cash bonus payments.</w:t>
      </w:r>
    </w:p>
    <w:p>
      <w:pPr>
        <w:spacing w:after="0" w:line="16"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Twelve-month backlog, which includes anticipated revenue related to contracts, estimated revenue from managed services contracts, letters of intent, maintenance and estimated on-going support activities, was $2.59 billion at the end of the second quarter of fiscal 2011.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12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Amdocs expects that revenue for the third quarter of fiscal 2011 will be approximately $790-$805 million. Diluted earnings per share on a non-GAAP basis for the third quarter are expected to be $0.57-$0.63, excluding acquisition-related costs and approximately $0.04-$0.05 per share of equity-based compensation expense, net of related tax effects. Amdocs estimates GAAP diluted earnings per share for the third fiscal quarter will be $0.45-$0.53.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Amdocs will host a conference call on April 28, 2011 at 5:00 p.m. Eastern Time to discuss the Company’s second fiscal quarter results. The call will be carried live on the Internet via the Amdocs website, www.amdocs.com.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release includes non-GAAP diluted earnings per share and other non-GAAP financial measures, including free cash flow, non-GAAP cost of service, non-GAAP research and development, non-GAAP selling, general and administrative, non-GAAP operating income, non-GAAP operating margin, non-GAAP interest and other income (expense), net, non-GAAP income taxes and non-GAAP net income. These non-GAAP measures exclude the following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35" w:right="419" w:bottom="1440" w:gutter="0" w:footer="0" w:header="0"/>
        </w:sectPr>
      </w:pPr>
    </w:p>
    <w:bookmarkStart w:id="7" w:name="page8"/>
    <w:bookmarkEnd w:id="7"/>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amortization of purchased intangible assets and other acquisition related costs;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equity-based compensation expense;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impairment on investment in a subsidiary;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tax effects related to the above.</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Amdocs believes that the presentation of non-GAAP diluted earnings per share and other financial measures, including free cash flow, non-GAAP cost of service, non-GAAP research and development, non-GAAP selling, general and administrative, non-GAAP operating income, non-GAAP operating margin, non-GAAP interest and other income (expense), net, non-GAAP income taxes and non-GAAP net income,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8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 its internal budgeting process and in monitoring the results of the business, Amdocs’ management uses financial statements that do not include amortization of purchased intangible assets and other acquisition related costs,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non-cash expenses in reviewing its results and those of its competitors, because the amounts of the expenses between companies can vary greatly depending on the assumptions used by an individual company in determining the amounts of the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5" w:right="399" w:bottom="1440" w:gutter="0" w:footer="0" w:header="0"/>
        </w:sectPr>
      </w:pPr>
    </w:p>
    <w:bookmarkStart w:id="8" w:name="page9"/>
    <w:bookmarkEnd w:id="8"/>
    <w:p>
      <w:pPr>
        <w:ind w:right="120"/>
        <w:spacing w:after="0" w:line="279" w:lineRule="auto"/>
        <w:rPr>
          <w:sz w:val="20"/>
          <w:szCs w:val="20"/>
          <w:color w:val="auto"/>
        </w:rPr>
      </w:pPr>
      <w:r>
        <w:rPr>
          <w:rFonts w:ascii="Arial" w:cs="Arial" w:eastAsia="Arial" w:hAnsi="Arial"/>
          <w:sz w:val="17"/>
          <w:szCs w:val="17"/>
          <w:color w:val="auto"/>
        </w:rPr>
        <w:t>Amdocs further believes that, where the adjustments used in calculating non-GAAP diluted earnings per share are based on specific, identified amounts that impact different line items in the Consolidated Statements of Income (including cost of service, research and development, selling, general and administrative, operating income, interest and other income (expense), net, income taxes and net income), it is useful to investors to understand how these specific line items in the Consolidated Statements of Income are affected by these adjustments.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the Reconciliation of Selected Financial Metrics from GAAP to Non-GAAP tables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Amdocs is the market leader in customer experience systems innovation. The company combines business and operational support systems, service delivery platforms, proven services, and deep industry expertise to enable service providers and their customers to do more in the connected world. Amdocs’ offerings help service providers explore new business models, differentiate through personalized customer experiences, and streamline operations. A global company with revenue of approximately $3.0 billion in fiscal 2010, Amdocs has over 19,000 employees and serves customers in more than 60 countries worldwide. 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8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9" w:name="page10"/>
    <w:bookmarkEnd w:id="9"/>
    <w:p>
      <w:pPr>
        <w:spacing w:after="0" w:line="259" w:lineRule="auto"/>
        <w:rPr>
          <w:sz w:val="20"/>
          <w:szCs w:val="20"/>
          <w:color w:val="auto"/>
        </w:rPr>
      </w:pPr>
      <w:r>
        <w:rPr>
          <w:rFonts w:ascii="Arial" w:cs="Arial" w:eastAsia="Arial" w:hAnsi="Arial"/>
          <w:sz w:val="18"/>
          <w:szCs w:val="18"/>
          <w:color w:val="auto"/>
        </w:rPr>
        <w:t>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2010 filed on December 7, 2010 and in our quarterly 6-K filed on February 8, 2011.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Elizabeth W. Grausam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Strategy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11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4"/>
                <w:szCs w:val="14"/>
                <w:b w:val="1"/>
                <w:bCs w:val="1"/>
                <w:color w:val="auto"/>
                <w:w w:val="95"/>
              </w:rPr>
              <w:t>March 31,</w:t>
            </w:r>
          </w:p>
        </w:tc>
        <w:tc>
          <w:tcPr>
            <w:tcW w:w="6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License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28,695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25,949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588"/>
              <w:spacing w:after="0"/>
              <w:rPr>
                <w:sz w:val="20"/>
                <w:szCs w:val="20"/>
                <w:color w:val="auto"/>
              </w:rPr>
            </w:pPr>
            <w:r>
              <w:rPr>
                <w:rFonts w:ascii="Arial" w:cs="Arial" w:eastAsia="Arial" w:hAnsi="Arial"/>
                <w:sz w:val="18"/>
                <w:szCs w:val="18"/>
                <w:color w:val="auto"/>
              </w:rPr>
              <w:t>58,601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760,240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718,020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1,505,515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1,418,681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788,935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743,969</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1,564,116</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1,468,780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198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8"/>
                <w:szCs w:val="18"/>
                <w:color w:val="auto"/>
              </w:rPr>
            </w:pPr>
          </w:p>
        </w:tc>
        <w:tc>
          <w:tcPr>
            <w:tcW w:w="1400" w:type="dxa"/>
            <w:vAlign w:val="bottom"/>
            <w:gridSpan w:val="2"/>
          </w:tcPr>
          <w:p>
            <w:pPr>
              <w:jc w:val="right"/>
              <w:ind w:right="588"/>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513,238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475,440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1,021,376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53,536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51,190</w:t>
            </w:r>
          </w:p>
        </w:tc>
        <w:tc>
          <w:tcPr>
            <w:tcW w:w="100" w:type="dxa"/>
            <w:vAlign w:val="bottom"/>
          </w:tcPr>
          <w:p>
            <w:pPr>
              <w:spacing w:after="0"/>
              <w:rPr>
                <w:sz w:val="18"/>
                <w:szCs w:val="18"/>
                <w:color w:val="auto"/>
              </w:rPr>
            </w:pPr>
          </w:p>
        </w:tc>
        <w:tc>
          <w:tcPr>
            <w:tcW w:w="1400" w:type="dxa"/>
            <w:vAlign w:val="bottom"/>
            <w:gridSpan w:val="2"/>
          </w:tcPr>
          <w:p>
            <w:pPr>
              <w:jc w:val="right"/>
              <w:ind w:right="588"/>
              <w:spacing w:after="0"/>
              <w:rPr>
                <w:sz w:val="20"/>
                <w:szCs w:val="20"/>
                <w:color w:val="auto"/>
              </w:rPr>
            </w:pPr>
            <w:r>
              <w:rPr>
                <w:rFonts w:ascii="Arial" w:cs="Arial" w:eastAsia="Arial" w:hAnsi="Arial"/>
                <w:sz w:val="18"/>
                <w:szCs w:val="18"/>
                <w:color w:val="auto"/>
              </w:rPr>
              <w:t>108,528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101,296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99,064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92,028</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203,421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183,608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1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16,343</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21,439</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35,753</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682,379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640,842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1,369,976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1,266,504</w:t>
            </w:r>
          </w:p>
        </w:tc>
        <w:tc>
          <w:tcPr>
            <w:tcW w:w="0" w:type="dxa"/>
            <w:vAlign w:val="bottom"/>
          </w:tcPr>
          <w:p>
            <w:pPr>
              <w:spacing w:after="0"/>
              <w:rPr>
                <w:sz w:val="1"/>
                <w:szCs w:val="1"/>
                <w:color w:val="auto"/>
              </w:rPr>
            </w:pPr>
          </w:p>
        </w:tc>
      </w:tr>
      <w:tr>
        <w:trPr>
          <w:trHeight w:val="224"/>
        </w:trPr>
        <w:tc>
          <w:tcPr>
            <w:tcW w:w="51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106,556</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103,127</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194,140</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(22,761)</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(3,068)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(23,476)</w:t>
            </w:r>
          </w:p>
        </w:tc>
        <w:tc>
          <w:tcPr>
            <w:tcW w:w="0" w:type="dxa"/>
            <w:vAlign w:val="bottom"/>
          </w:tcPr>
          <w:p>
            <w:pPr>
              <w:spacing w:after="0"/>
              <w:rPr>
                <w:sz w:val="1"/>
                <w:szCs w:val="1"/>
                <w:color w:val="auto"/>
              </w:rPr>
            </w:pPr>
          </w:p>
        </w:tc>
      </w:tr>
      <w:tr>
        <w:trPr>
          <w:trHeight w:val="224"/>
        </w:trPr>
        <w:tc>
          <w:tcPr>
            <w:tcW w:w="51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106,605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80,366</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191,072</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12,495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11,816</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23,571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21,897</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94,110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68,550</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167,501</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0.88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0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187,788</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206,025</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189,713</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189,232</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207,691</w:t>
            </w:r>
          </w:p>
        </w:tc>
        <w:tc>
          <w:tcPr>
            <w:tcW w:w="6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191,120</w:t>
            </w:r>
          </w:p>
        </w:tc>
        <w:tc>
          <w:tcPr>
            <w:tcW w:w="6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jc w:val="right"/>
              <w:ind w:right="653"/>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40" w:type="dxa"/>
            <w:vAlign w:val="bottom"/>
            <w:gridSpan w:val="5"/>
          </w:tcPr>
          <w:p>
            <w:pPr>
              <w:jc w:val="right"/>
              <w:ind w:right="87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86"/>
              </w:rPr>
              <w:t>788,935</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89"/>
              </w:rPr>
              <w:t>743,969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87"/>
              </w:rPr>
              <w:t>1,564,116</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7"/>
              </w:rPr>
              <w:t>1,468,780</w:t>
            </w:r>
          </w:p>
        </w:tc>
        <w:tc>
          <w:tcPr>
            <w:tcW w:w="0" w:type="dxa"/>
            <w:vAlign w:val="bottom"/>
          </w:tcPr>
          <w:p>
            <w:pPr>
              <w:spacing w:after="0"/>
              <w:rPr>
                <w:sz w:val="1"/>
                <w:szCs w:val="1"/>
                <w:color w:val="auto"/>
              </w:rPr>
            </w:pPr>
          </w:p>
        </w:tc>
      </w:tr>
      <w:tr>
        <w:trPr>
          <w:trHeight w:val="432"/>
        </w:trPr>
        <w:tc>
          <w:tcPr>
            <w:tcW w:w="5200" w:type="dxa"/>
            <w:vAlign w:val="bottom"/>
            <w:gridSpan w:val="2"/>
          </w:tcPr>
          <w:p>
            <w:pPr>
              <w:spacing w:after="0"/>
              <w:rPr>
                <w:sz w:val="20"/>
                <w:szCs w:val="20"/>
                <w:color w:val="auto"/>
              </w:rPr>
            </w:pPr>
            <w:r>
              <w:rPr>
                <w:rFonts w:ascii="Arial" w:cs="Arial" w:eastAsia="Arial" w:hAnsi="Arial"/>
                <w:sz w:val="18"/>
                <w:szCs w:val="18"/>
                <w:color w:val="auto"/>
              </w:rPr>
              <w:t>Non-GAAP operating income</w:t>
            </w:r>
          </w:p>
        </w:tc>
        <w:tc>
          <w:tcPr>
            <w:tcW w:w="300" w:type="dxa"/>
            <w:vAlign w:val="bottom"/>
          </w:tcPr>
          <w:p>
            <w:pPr>
              <w:spacing w:after="0"/>
              <w:rPr>
                <w:sz w:val="24"/>
                <w:szCs w:val="24"/>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w w:val="86"/>
              </w:rPr>
              <w:t>127,781</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173"/>
              <w:spacing w:after="0"/>
              <w:rPr>
                <w:sz w:val="20"/>
                <w:szCs w:val="20"/>
                <w:color w:val="auto"/>
              </w:rPr>
            </w:pPr>
            <w:r>
              <w:rPr>
                <w:rFonts w:ascii="Arial" w:cs="Arial" w:eastAsia="Arial" w:hAnsi="Arial"/>
                <w:sz w:val="18"/>
                <w:szCs w:val="18"/>
                <w:color w:val="auto"/>
                <w:w w:val="89"/>
              </w:rPr>
              <w:t>135,284</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248,049</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266,605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86"/>
              </w:rPr>
              <w:t>110,321</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89"/>
              </w:rPr>
              <w:t>116,870</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210,090</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229,997</w:t>
            </w:r>
          </w:p>
        </w:tc>
        <w:tc>
          <w:tcPr>
            <w:tcW w:w="0" w:type="dxa"/>
            <w:vAlign w:val="bottom"/>
          </w:tcPr>
          <w:p>
            <w:pPr>
              <w:spacing w:after="0"/>
              <w:rPr>
                <w:sz w:val="1"/>
                <w:szCs w:val="1"/>
                <w:color w:val="auto"/>
              </w:rPr>
            </w:pPr>
          </w:p>
        </w:tc>
      </w:tr>
      <w:tr>
        <w:trPr>
          <w:trHeight w:val="432"/>
        </w:trPr>
        <w:tc>
          <w:tcPr>
            <w:tcW w:w="5200" w:type="dxa"/>
            <w:vAlign w:val="bottom"/>
            <w:gridSpan w:val="2"/>
          </w:tcPr>
          <w:p>
            <w:pPr>
              <w:spacing w:after="0"/>
              <w:rPr>
                <w:sz w:val="20"/>
                <w:szCs w:val="20"/>
                <w:color w:val="auto"/>
              </w:rPr>
            </w:pPr>
            <w:r>
              <w:rPr>
                <w:rFonts w:ascii="Arial" w:cs="Arial" w:eastAsia="Arial" w:hAnsi="Arial"/>
                <w:sz w:val="18"/>
                <w:szCs w:val="18"/>
                <w:color w:val="auto"/>
              </w:rPr>
              <w:t>Non-GAAP diluted earnings per share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0.58</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3"/>
              <w:spacing w:after="0"/>
              <w:rPr>
                <w:sz w:val="20"/>
                <w:szCs w:val="20"/>
                <w:color w:val="auto"/>
              </w:rPr>
            </w:pPr>
            <w:r>
              <w:rPr>
                <w:rFonts w:ascii="Arial" w:cs="Arial" w:eastAsia="Arial" w:hAnsi="Arial"/>
                <w:sz w:val="18"/>
                <w:szCs w:val="18"/>
                <w:color w:val="auto"/>
              </w:rPr>
              <w:t>0.56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1.10</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86"/>
              </w:rPr>
              <w:t>189,232</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89"/>
              </w:rPr>
              <w:t>207,691</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191,120</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207,174</w:t>
            </w:r>
          </w:p>
        </w:tc>
        <w:tc>
          <w:tcPr>
            <w:tcW w:w="0" w:type="dxa"/>
            <w:vAlign w:val="bottom"/>
          </w:tcPr>
          <w:p>
            <w:pPr>
              <w:spacing w:after="0"/>
              <w:rPr>
                <w:sz w:val="1"/>
                <w:szCs w:val="1"/>
                <w:color w:val="auto"/>
              </w:rPr>
            </w:pPr>
          </w:p>
        </w:tc>
      </w:tr>
      <w:tr>
        <w:trPr>
          <w:trHeight w:val="631"/>
        </w:trPr>
        <w:tc>
          <w:tcPr>
            <w:tcW w:w="20" w:type="dxa"/>
            <w:vAlign w:val="bottom"/>
          </w:tcPr>
          <w:p>
            <w:pPr>
              <w:spacing w:after="0"/>
              <w:rPr>
                <w:sz w:val="24"/>
                <w:szCs w:val="24"/>
                <w:color w:val="auto"/>
              </w:rPr>
            </w:pPr>
          </w:p>
        </w:tc>
        <w:tc>
          <w:tcPr>
            <w:tcW w:w="51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p>
      <w:pPr>
        <w:jc w:val="center"/>
        <w:ind w:left="3920"/>
        <w:spacing w:after="0"/>
        <w:rPr>
          <w:sz w:val="20"/>
          <w:szCs w:val="20"/>
          <w:color w:val="auto"/>
        </w:rPr>
      </w:pPr>
      <w:r>
        <w:rPr>
          <w:rFonts w:ascii="Arial" w:cs="Arial" w:eastAsia="Arial" w:hAnsi="Arial"/>
          <w:sz w:val="14"/>
          <w:szCs w:val="14"/>
          <w:b w:val="1"/>
          <w:bCs w:val="1"/>
          <w:color w:val="auto"/>
        </w:rPr>
        <w:t>Three months ended</w:t>
      </w:r>
    </w:p>
    <w:p>
      <w:pPr>
        <w:jc w:val="center"/>
        <w:ind w:left="3920"/>
        <w:spacing w:after="0" w:line="236" w:lineRule="auto"/>
        <w:rPr>
          <w:sz w:val="20"/>
          <w:szCs w:val="20"/>
          <w:color w:val="auto"/>
        </w:rPr>
      </w:pPr>
      <w:r>
        <w:rPr>
          <w:rFonts w:ascii="Arial" w:cs="Arial" w:eastAsia="Arial" w:hAnsi="Arial"/>
          <w:sz w:val="14"/>
          <w:szCs w:val="14"/>
          <w:b w:val="1"/>
          <w:bCs w:val="1"/>
          <w:color w:val="auto"/>
        </w:rPr>
        <w:t>March 31, 2011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1840" w:type="dxa"/>
            <w:vAlign w:val="bottom"/>
            <w:tcBorders>
              <w:top w:val="single" w:sz="8" w:color="auto"/>
              <w:bottom w:val="single" w:sz="8" w:color="auto"/>
            </w:tcBorders>
            <w:gridSpan w:val="2"/>
          </w:tcPr>
          <w:p>
            <w:pPr>
              <w:jc w:val="right"/>
              <w:ind w:right="310"/>
              <w:spacing w:after="0" w:line="142" w:lineRule="exact"/>
              <w:rPr>
                <w:sz w:val="20"/>
                <w:szCs w:val="20"/>
                <w:color w:val="auto"/>
              </w:rPr>
            </w:pPr>
            <w:r>
              <w:rPr>
                <w:rFonts w:ascii="Arial" w:cs="Arial" w:eastAsia="Arial" w:hAnsi="Arial"/>
                <w:sz w:val="14"/>
                <w:szCs w:val="14"/>
                <w:b w:val="1"/>
                <w:bCs w:val="1"/>
                <w:color w:val="auto"/>
              </w:rPr>
              <w:t>Reconciliation items</w:t>
            </w:r>
          </w:p>
        </w:tc>
        <w:tc>
          <w:tcPr>
            <w:tcW w:w="4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Amortization of</w:t>
            </w:r>
          </w:p>
        </w:tc>
        <w:tc>
          <w:tcPr>
            <w:tcW w:w="1840" w:type="dxa"/>
            <w:vAlign w:val="bottom"/>
            <w:gridSpan w:val="2"/>
            <w:vMerge w:val="restart"/>
          </w:tcPr>
          <w:p>
            <w:pPr>
              <w:jc w:val="center"/>
              <w:ind w:left="142"/>
              <w:spacing w:after="0"/>
              <w:rPr>
                <w:sz w:val="20"/>
                <w:szCs w:val="20"/>
                <w:color w:val="auto"/>
              </w:rPr>
            </w:pPr>
            <w:r>
              <w:rPr>
                <w:rFonts w:ascii="Arial" w:cs="Arial" w:eastAsia="Arial" w:hAnsi="Arial"/>
                <w:sz w:val="14"/>
                <w:szCs w:val="14"/>
                <w:b w:val="1"/>
                <w:bCs w:val="1"/>
                <w:color w:val="auto"/>
                <w:w w:val="94"/>
              </w:rPr>
              <w:t>Equity based</w:t>
            </w: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purchased</w:t>
            </w:r>
          </w:p>
        </w:tc>
        <w:tc>
          <w:tcPr>
            <w:tcW w:w="18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vMerge w:val="restart"/>
          </w:tcPr>
          <w:p>
            <w:pPr>
              <w:jc w:val="right"/>
              <w:ind w:right="692"/>
              <w:spacing w:after="0"/>
              <w:rPr>
                <w:sz w:val="20"/>
                <w:szCs w:val="20"/>
                <w:color w:val="auto"/>
              </w:rPr>
            </w:pPr>
            <w:r>
              <w:rPr>
                <w:rFonts w:ascii="Arial" w:cs="Arial" w:eastAsia="Arial" w:hAnsi="Arial"/>
                <w:sz w:val="14"/>
                <w:szCs w:val="14"/>
                <w:b w:val="1"/>
                <w:bCs w:val="1"/>
                <w:color w:val="auto"/>
              </w:rPr>
              <w:t>GAAP</w:t>
            </w: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intangible assets</w:t>
            </w:r>
          </w:p>
        </w:tc>
        <w:tc>
          <w:tcPr>
            <w:tcW w:w="1840" w:type="dxa"/>
            <w:vAlign w:val="bottom"/>
            <w:gridSpan w:val="2"/>
          </w:tcPr>
          <w:p>
            <w:pPr>
              <w:jc w:val="center"/>
              <w:ind w:left="142"/>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Tax effect</w:t>
            </w:r>
          </w:p>
        </w:tc>
        <w:tc>
          <w:tcPr>
            <w:tcW w:w="152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and other</w:t>
            </w:r>
          </w:p>
        </w:tc>
        <w:tc>
          <w:tcPr>
            <w:tcW w:w="1840" w:type="dxa"/>
            <w:vAlign w:val="bottom"/>
            <w:tcBorders>
              <w:bottom w:val="single" w:sz="8" w:color="auto"/>
            </w:tcBorders>
            <w:gridSpan w:val="2"/>
          </w:tcPr>
          <w:p>
            <w:pPr>
              <w:jc w:val="center"/>
              <w:ind w:left="122"/>
              <w:spacing w:after="0"/>
              <w:rPr>
                <w:sz w:val="20"/>
                <w:szCs w:val="20"/>
                <w:color w:val="auto"/>
              </w:rPr>
            </w:pPr>
            <w:r>
              <w:rPr>
                <w:rFonts w:ascii="Arial" w:cs="Arial" w:eastAsia="Arial" w:hAnsi="Arial"/>
                <w:sz w:val="14"/>
                <w:szCs w:val="14"/>
                <w:b w:val="1"/>
                <w:bCs w:val="1"/>
                <w:color w:val="auto"/>
                <w:w w:val="85"/>
              </w:rPr>
              <w:t>expense</w:t>
            </w:r>
          </w:p>
        </w:tc>
        <w:tc>
          <w:tcPr>
            <w:tcW w:w="1200" w:type="dxa"/>
            <w:vAlign w:val="bottom"/>
            <w:tcBorders>
              <w:bottom w:val="single" w:sz="8" w:color="auto"/>
            </w:tcBorders>
            <w:gridSpan w:val="2"/>
            <w:vMerge w:val="continue"/>
          </w:tcPr>
          <w:p>
            <w:pPr>
              <w:spacing w:after="0"/>
              <w:rPr>
                <w:sz w:val="15"/>
                <w:szCs w:val="15"/>
                <w:color w:val="auto"/>
              </w:rPr>
            </w:pPr>
          </w:p>
        </w:tc>
        <w:tc>
          <w:tcPr>
            <w:tcW w:w="15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92"/>
              <w:spacing w:after="0"/>
              <w:rPr>
                <w:sz w:val="20"/>
                <w:szCs w:val="20"/>
                <w:color w:val="auto"/>
              </w:rPr>
            </w:pPr>
            <w:r>
              <w:rPr>
                <w:rFonts w:ascii="Arial" w:cs="Arial" w:eastAsia="Arial" w:hAnsi="Arial"/>
                <w:sz w:val="18"/>
                <w:szCs w:val="18"/>
                <w:color w:val="auto"/>
              </w:rPr>
              <w:t>198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86"/>
              </w:rPr>
              <w:t>513,238</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87"/>
              </w:rPr>
              <w:t>(1,656)</w:t>
            </w: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6"/>
              </w:rPr>
              <w:t>511,582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1260" w:type="dxa"/>
            <w:vAlign w:val="bottom"/>
          </w:tcPr>
          <w:p>
            <w:pPr>
              <w:jc w:val="right"/>
              <w:ind w:right="592"/>
              <w:spacing w:after="0"/>
              <w:rPr>
                <w:sz w:val="20"/>
                <w:szCs w:val="20"/>
                <w:color w:val="auto"/>
              </w:rPr>
            </w:pPr>
            <w:r>
              <w:rPr>
                <w:rFonts w:ascii="Arial" w:cs="Arial" w:eastAsia="Arial" w:hAnsi="Arial"/>
                <w:sz w:val="18"/>
                <w:szCs w:val="18"/>
                <w:color w:val="auto"/>
              </w:rPr>
              <w:t>53,536</w:t>
            </w:r>
          </w:p>
        </w:tc>
        <w:tc>
          <w:tcPr>
            <w:tcW w:w="420" w:type="dxa"/>
            <w:vAlign w:val="bottom"/>
          </w:tcPr>
          <w:p>
            <w:pPr>
              <w:spacing w:after="0"/>
              <w:rPr>
                <w:sz w:val="18"/>
                <w:szCs w:val="18"/>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(317)</w:t>
            </w:r>
          </w:p>
        </w:tc>
        <w:tc>
          <w:tcPr>
            <w:tcW w:w="460" w:type="dxa"/>
            <w:vAlign w:val="bottom"/>
          </w:tcPr>
          <w:p>
            <w:pPr>
              <w:spacing w:after="0"/>
              <w:rPr>
                <w:sz w:val="18"/>
                <w:szCs w:val="18"/>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53,219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99,064</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87"/>
              </w:rPr>
              <w:t>(2,909)</w:t>
            </w: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96,155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purchased intangible assets</w:t>
            </w: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tcPr>
          <w:p>
            <w:pPr>
              <w:ind w:left="400"/>
              <w:spacing w:after="0"/>
              <w:rPr>
                <w:sz w:val="20"/>
                <w:szCs w:val="20"/>
                <w:color w:val="auto"/>
              </w:rPr>
            </w:pPr>
            <w:r>
              <w:rPr>
                <w:rFonts w:ascii="Arial" w:cs="Arial" w:eastAsia="Arial" w:hAnsi="Arial"/>
                <w:sz w:val="18"/>
                <w:szCs w:val="18"/>
                <w:color w:val="auto"/>
              </w:rPr>
              <w:t>and other</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rPr>
              <w:t>16,343</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2"/>
              </w:rPr>
              <w:t>(16,343)</w:t>
            </w:r>
          </w:p>
        </w:tc>
        <w:tc>
          <w:tcPr>
            <w:tcW w:w="8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8"/>
                <w:szCs w:val="18"/>
                <w:color w:val="auto"/>
                <w:w w:val="86"/>
              </w:rPr>
              <w:t>682,379</w:t>
            </w: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2"/>
              </w:rPr>
              <w:t>(16,343)</w:t>
            </w:r>
          </w:p>
        </w:tc>
        <w:tc>
          <w:tcPr>
            <w:tcW w:w="8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87"/>
              </w:rPr>
              <w:t>(4,882)</w:t>
            </w:r>
          </w:p>
        </w:tc>
        <w:tc>
          <w:tcPr>
            <w:tcW w:w="4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86"/>
              </w:rPr>
              <w:t>661,154</w:t>
            </w:r>
          </w:p>
        </w:tc>
        <w:tc>
          <w:tcPr>
            <w:tcW w:w="0" w:type="dxa"/>
            <w:vAlign w:val="bottom"/>
          </w:tcPr>
          <w:p>
            <w:pPr>
              <w:spacing w:after="0"/>
              <w:rPr>
                <w:sz w:val="1"/>
                <w:szCs w:val="1"/>
                <w:color w:val="auto"/>
              </w:rPr>
            </w:pPr>
          </w:p>
        </w:tc>
      </w:tr>
      <w:tr>
        <w:trPr>
          <w:trHeight w:val="439"/>
        </w:trPr>
        <w:tc>
          <w:tcPr>
            <w:tcW w:w="39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w w:val="86"/>
              </w:rPr>
              <w:t>106,556</w:t>
            </w: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16,343</w:t>
            </w:r>
          </w:p>
        </w:tc>
        <w:tc>
          <w:tcPr>
            <w:tcW w:w="8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7"/>
              </w:rPr>
              <w:t>4,882</w:t>
            </w:r>
          </w:p>
        </w:tc>
        <w:tc>
          <w:tcPr>
            <w:tcW w:w="4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6"/>
              </w:rPr>
              <w:t>127,781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8"/>
                <w:szCs w:val="18"/>
                <w:color w:val="auto"/>
              </w:rPr>
              <w:t>12,495</w:t>
            </w: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5,014</w:t>
            </w:r>
          </w:p>
        </w:tc>
        <w:tc>
          <w:tcPr>
            <w:tcW w:w="6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17,509</w:t>
            </w:r>
          </w:p>
        </w:tc>
        <w:tc>
          <w:tcPr>
            <w:tcW w:w="0" w:type="dxa"/>
            <w:vAlign w:val="bottom"/>
          </w:tcPr>
          <w:p>
            <w:pPr>
              <w:spacing w:after="0"/>
              <w:rPr>
                <w:sz w:val="1"/>
                <w:szCs w:val="1"/>
                <w:color w:val="auto"/>
              </w:rPr>
            </w:pPr>
          </w:p>
        </w:tc>
      </w:tr>
      <w:tr>
        <w:trPr>
          <w:trHeight w:val="439"/>
        </w:trPr>
        <w:tc>
          <w:tcPr>
            <w:tcW w:w="39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rPr>
              <w:t>94,110</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16,343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7"/>
              </w:rPr>
              <w:t>4,882</w:t>
            </w:r>
          </w:p>
        </w:tc>
        <w:tc>
          <w:tcPr>
            <w:tcW w:w="46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1"/>
              </w:rPr>
              <w:t>(5,014)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6"/>
              </w:rPr>
              <w:t>110,321</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ind w:left="3300"/>
        <w:spacing w:after="0"/>
        <w:rPr>
          <w:sz w:val="20"/>
          <w:szCs w:val="20"/>
          <w:color w:val="auto"/>
        </w:rPr>
      </w:pPr>
      <w:r>
        <w:rPr>
          <w:rFonts w:ascii="Arial" w:cs="Arial" w:eastAsia="Arial" w:hAnsi="Arial"/>
          <w:sz w:val="14"/>
          <w:szCs w:val="14"/>
          <w:b w:val="1"/>
          <w:bCs w:val="1"/>
          <w:color w:val="auto"/>
        </w:rPr>
        <w:t>Three months ended</w:t>
      </w:r>
    </w:p>
    <w:p>
      <w:pPr>
        <w:jc w:val="center"/>
        <w:ind w:left="3300"/>
        <w:spacing w:after="0" w:line="236" w:lineRule="auto"/>
        <w:rPr>
          <w:sz w:val="20"/>
          <w:szCs w:val="20"/>
          <w:color w:val="auto"/>
        </w:rPr>
      </w:pPr>
      <w:r>
        <w:rPr>
          <w:rFonts w:ascii="Arial" w:cs="Arial" w:eastAsia="Arial" w:hAnsi="Arial"/>
          <w:sz w:val="14"/>
          <w:szCs w:val="14"/>
          <w:b w:val="1"/>
          <w:bCs w:val="1"/>
          <w:color w:val="auto"/>
        </w:rPr>
        <w:t>March 31, 2010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gridSpan w:val="2"/>
          </w:tcPr>
          <w:p>
            <w:pPr>
              <w:jc w:val="right"/>
              <w:ind w:right="21"/>
              <w:spacing w:after="0" w:line="142" w:lineRule="exact"/>
              <w:rPr>
                <w:sz w:val="20"/>
                <w:szCs w:val="20"/>
                <w:color w:val="auto"/>
              </w:rPr>
            </w:pPr>
            <w:r>
              <w:rPr>
                <w:rFonts w:ascii="Arial" w:cs="Arial" w:eastAsia="Arial" w:hAnsi="Arial"/>
                <w:sz w:val="14"/>
                <w:szCs w:val="14"/>
                <w:b w:val="1"/>
                <w:bCs w:val="1"/>
                <w:color w:val="auto"/>
              </w:rPr>
              <w:t>Reconciliation items</w:t>
            </w:r>
          </w:p>
        </w:tc>
        <w:tc>
          <w:tcPr>
            <w:tcW w:w="10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0" w:type="dxa"/>
            <w:vAlign w:val="bottom"/>
            <w:gridSpan w:val="2"/>
          </w:tcPr>
          <w:p>
            <w:pPr>
              <w:jc w:val="center"/>
              <w:ind w:right="52"/>
              <w:spacing w:after="0" w:line="119" w:lineRule="exact"/>
              <w:rPr>
                <w:sz w:val="20"/>
                <w:szCs w:val="20"/>
                <w:color w:val="auto"/>
              </w:rPr>
            </w:pPr>
            <w:r>
              <w:rPr>
                <w:rFonts w:ascii="Arial" w:cs="Arial" w:eastAsia="Arial" w:hAnsi="Arial"/>
                <w:sz w:val="13"/>
                <w:szCs w:val="13"/>
                <w:b w:val="1"/>
                <w:bCs w:val="1"/>
                <w:color w:val="auto"/>
              </w:rPr>
              <w:t>Amortization</w:t>
            </w:r>
          </w:p>
        </w:tc>
        <w:tc>
          <w:tcPr>
            <w:tcW w:w="5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Impairment on</w:t>
            </w: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0" w:type="dxa"/>
            <w:vAlign w:val="bottom"/>
            <w:gridSpan w:val="2"/>
          </w:tcPr>
          <w:p>
            <w:pPr>
              <w:jc w:val="center"/>
              <w:ind w:right="52"/>
              <w:spacing w:after="0" w:line="149" w:lineRule="exact"/>
              <w:rPr>
                <w:sz w:val="20"/>
                <w:szCs w:val="20"/>
                <w:color w:val="auto"/>
              </w:rPr>
            </w:pPr>
            <w:r>
              <w:rPr>
                <w:rFonts w:ascii="Arial" w:cs="Arial" w:eastAsia="Arial" w:hAnsi="Arial"/>
                <w:sz w:val="14"/>
                <w:szCs w:val="14"/>
                <w:b w:val="1"/>
                <w:bCs w:val="1"/>
                <w:color w:val="auto"/>
                <w:w w:val="88"/>
              </w:rPr>
              <w:t>of purchased</w:t>
            </w:r>
          </w:p>
        </w:tc>
        <w:tc>
          <w:tcPr>
            <w:tcW w:w="15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Equity based</w:t>
            </w:r>
          </w:p>
        </w:tc>
        <w:tc>
          <w:tcPr>
            <w:tcW w:w="16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0" w:type="dxa"/>
            <w:vAlign w:val="bottom"/>
            <w:gridSpan w:val="2"/>
          </w:tcPr>
          <w:p>
            <w:pPr>
              <w:jc w:val="center"/>
              <w:ind w:right="52"/>
              <w:spacing w:after="0" w:line="149" w:lineRule="exact"/>
              <w:rPr>
                <w:sz w:val="20"/>
                <w:szCs w:val="20"/>
                <w:color w:val="auto"/>
              </w:rPr>
            </w:pPr>
            <w:r>
              <w:rPr>
                <w:rFonts w:ascii="Arial" w:cs="Arial" w:eastAsia="Arial" w:hAnsi="Arial"/>
                <w:sz w:val="14"/>
                <w:szCs w:val="14"/>
                <w:b w:val="1"/>
                <w:bCs w:val="1"/>
                <w:color w:val="auto"/>
                <w:w w:val="93"/>
              </w:rPr>
              <w:t>intangible</w:t>
            </w:r>
          </w:p>
        </w:tc>
        <w:tc>
          <w:tcPr>
            <w:tcW w:w="1560" w:type="dxa"/>
            <w:vAlign w:val="bottom"/>
            <w:gridSpan w:val="2"/>
            <w:vMerge w:val="continue"/>
          </w:tcPr>
          <w:p>
            <w:pPr>
              <w:spacing w:after="0"/>
              <w:rPr>
                <w:sz w:val="12"/>
                <w:szCs w:val="12"/>
                <w:color w:val="auto"/>
              </w:rPr>
            </w:pPr>
          </w:p>
        </w:tc>
        <w:tc>
          <w:tcPr>
            <w:tcW w:w="1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investment</w:t>
            </w: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GAAP</w:t>
            </w:r>
          </w:p>
        </w:tc>
        <w:tc>
          <w:tcPr>
            <w:tcW w:w="1400" w:type="dxa"/>
            <w:vAlign w:val="bottom"/>
            <w:gridSpan w:val="2"/>
          </w:tcPr>
          <w:p>
            <w:pPr>
              <w:jc w:val="center"/>
              <w:ind w:right="52"/>
              <w:spacing w:after="0" w:line="149" w:lineRule="exact"/>
              <w:rPr>
                <w:sz w:val="20"/>
                <w:szCs w:val="20"/>
                <w:color w:val="auto"/>
              </w:rPr>
            </w:pPr>
            <w:r>
              <w:rPr>
                <w:rFonts w:ascii="Arial" w:cs="Arial" w:eastAsia="Arial" w:hAnsi="Arial"/>
                <w:sz w:val="14"/>
                <w:szCs w:val="14"/>
                <w:b w:val="1"/>
                <w:bCs w:val="1"/>
                <w:color w:val="auto"/>
                <w:w w:val="85"/>
              </w:rPr>
              <w:t>assets and</w:t>
            </w:r>
          </w:p>
        </w:tc>
        <w:tc>
          <w:tcPr>
            <w:tcW w:w="1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560" w:type="dxa"/>
            <w:vAlign w:val="bottom"/>
          </w:tcPr>
          <w:p>
            <w:pPr>
              <w:spacing w:after="0"/>
              <w:rPr>
                <w:sz w:val="12"/>
                <w:szCs w:val="12"/>
                <w:color w:val="auto"/>
              </w:rPr>
            </w:pPr>
          </w:p>
        </w:tc>
        <w:tc>
          <w:tcPr>
            <w:tcW w:w="1040" w:type="dxa"/>
            <w:vAlign w:val="bottom"/>
          </w:tcPr>
          <w:p>
            <w:pPr>
              <w:jc w:val="center"/>
              <w:ind w:right="412"/>
              <w:spacing w:after="0" w:line="149" w:lineRule="exact"/>
              <w:rPr>
                <w:sz w:val="20"/>
                <w:szCs w:val="20"/>
                <w:color w:val="auto"/>
              </w:rPr>
            </w:pPr>
            <w:r>
              <w:rPr>
                <w:rFonts w:ascii="Arial" w:cs="Arial" w:eastAsia="Arial" w:hAnsi="Arial"/>
                <w:sz w:val="14"/>
                <w:szCs w:val="14"/>
                <w:b w:val="1"/>
                <w:bCs w:val="1"/>
                <w:color w:val="auto"/>
                <w:w w:val="90"/>
              </w:rPr>
              <w:t>in a</w:t>
            </w:r>
          </w:p>
        </w:tc>
        <w:tc>
          <w:tcPr>
            <w:tcW w:w="10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Tax effect</w:t>
            </w:r>
          </w:p>
        </w:tc>
        <w:tc>
          <w:tcPr>
            <w:tcW w:w="126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92"/>
              <w:spacing w:after="0"/>
              <w:rPr>
                <w:sz w:val="20"/>
                <w:szCs w:val="20"/>
                <w:color w:val="auto"/>
              </w:rPr>
            </w:pPr>
            <w:r>
              <w:rPr>
                <w:rFonts w:ascii="Arial" w:cs="Arial" w:eastAsia="Arial" w:hAnsi="Arial"/>
                <w:sz w:val="14"/>
                <w:szCs w:val="14"/>
                <w:b w:val="1"/>
                <w:bCs w:val="1"/>
                <w:color w:val="auto"/>
                <w:w w:val="97"/>
              </w:rPr>
              <w:t>other</w:t>
            </w: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413"/>
              <w:spacing w:after="0"/>
              <w:rPr>
                <w:sz w:val="20"/>
                <w:szCs w:val="20"/>
                <w:color w:val="auto"/>
              </w:rPr>
            </w:pPr>
            <w:r>
              <w:rPr>
                <w:rFonts w:ascii="Arial" w:cs="Arial" w:eastAsia="Arial" w:hAnsi="Arial"/>
                <w:sz w:val="14"/>
                <w:szCs w:val="14"/>
                <w:b w:val="1"/>
                <w:bCs w:val="1"/>
                <w:color w:val="auto"/>
                <w:w w:val="85"/>
              </w:rPr>
              <w:t>expense</w:t>
            </w: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subsidiary</w:t>
            </w:r>
          </w:p>
        </w:tc>
        <w:tc>
          <w:tcPr>
            <w:tcW w:w="1060" w:type="dxa"/>
            <w:vAlign w:val="bottom"/>
            <w:tcBorders>
              <w:bottom w:val="single" w:sz="8" w:color="auto"/>
            </w:tcBorders>
            <w:gridSpan w:val="2"/>
            <w:vMerge w:val="continue"/>
          </w:tcPr>
          <w:p>
            <w:pPr>
              <w:spacing w:after="0"/>
              <w:rPr>
                <w:sz w:val="15"/>
                <w:szCs w:val="15"/>
                <w:color w:val="auto"/>
              </w:rPr>
            </w:pPr>
          </w:p>
        </w:tc>
        <w:tc>
          <w:tcPr>
            <w:tcW w:w="126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72"/>
              <w:spacing w:after="0"/>
              <w:rPr>
                <w:sz w:val="20"/>
                <w:szCs w:val="20"/>
                <w:color w:val="auto"/>
              </w:rPr>
            </w:pPr>
            <w:r>
              <w:rPr>
                <w:rFonts w:ascii="Arial" w:cs="Arial" w:eastAsia="Arial" w:hAnsi="Arial"/>
                <w:sz w:val="18"/>
                <w:szCs w:val="18"/>
                <w:color w:val="auto"/>
              </w:rPr>
              <w:t>745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86"/>
              </w:rPr>
              <w:t>475,440</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(4,967)</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9"/>
              </w:rPr>
              <w:t>470,473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040" w:type="dxa"/>
            <w:vAlign w:val="bottom"/>
          </w:tcPr>
          <w:p>
            <w:pPr>
              <w:jc w:val="right"/>
              <w:ind w:right="372"/>
              <w:spacing w:after="0"/>
              <w:rPr>
                <w:sz w:val="20"/>
                <w:szCs w:val="20"/>
                <w:color w:val="auto"/>
              </w:rPr>
            </w:pPr>
            <w:r>
              <w:rPr>
                <w:rFonts w:ascii="Arial" w:cs="Arial" w:eastAsia="Arial" w:hAnsi="Arial"/>
                <w:sz w:val="18"/>
                <w:szCs w:val="18"/>
                <w:color w:val="auto"/>
              </w:rPr>
              <w:t>51,190</w:t>
            </w:r>
          </w:p>
        </w:tc>
        <w:tc>
          <w:tcPr>
            <w:tcW w:w="340" w:type="dxa"/>
            <w:vAlign w:val="bottom"/>
          </w:tcPr>
          <w:p>
            <w:pPr>
              <w:spacing w:after="0"/>
              <w:rPr>
                <w:sz w:val="18"/>
                <w:szCs w:val="18"/>
                <w:color w:val="auto"/>
              </w:rPr>
            </w:pPr>
          </w:p>
        </w:tc>
        <w:tc>
          <w:tcPr>
            <w:tcW w:w="106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60" w:type="dxa"/>
            <w:vAlign w:val="bottom"/>
          </w:tcPr>
          <w:p>
            <w:pPr>
              <w:jc w:val="right"/>
              <w:ind w:right="353"/>
              <w:spacing w:after="0"/>
              <w:rPr>
                <w:sz w:val="20"/>
                <w:szCs w:val="20"/>
                <w:color w:val="auto"/>
              </w:rPr>
            </w:pPr>
            <w:r>
              <w:rPr>
                <w:rFonts w:ascii="Arial" w:cs="Arial" w:eastAsia="Arial" w:hAnsi="Arial"/>
                <w:sz w:val="18"/>
                <w:szCs w:val="18"/>
                <w:color w:val="auto"/>
              </w:rPr>
              <w:t>(1,004)</w:t>
            </w:r>
          </w:p>
        </w:tc>
        <w:tc>
          <w:tcPr>
            <w:tcW w:w="560" w:type="dxa"/>
            <w:vAlign w:val="bottom"/>
          </w:tcPr>
          <w:p>
            <w:pPr>
              <w:spacing w:after="0"/>
              <w:rPr>
                <w:sz w:val="18"/>
                <w:szCs w:val="18"/>
                <w:color w:val="auto"/>
              </w:rPr>
            </w:pPr>
          </w:p>
        </w:tc>
        <w:tc>
          <w:tcPr>
            <w:tcW w:w="104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50,186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92,028</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(4,747)</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87,281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purchased intangible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60" w:type="dxa"/>
            <w:vAlign w:val="bottom"/>
          </w:tcPr>
          <w:p>
            <w:pPr>
              <w:ind w:left="400"/>
              <w:spacing w:after="0"/>
              <w:rPr>
                <w:sz w:val="20"/>
                <w:szCs w:val="20"/>
                <w:color w:val="auto"/>
              </w:rPr>
            </w:pPr>
            <w:r>
              <w:rPr>
                <w:rFonts w:ascii="Arial" w:cs="Arial" w:eastAsia="Arial" w:hAnsi="Arial"/>
                <w:sz w:val="18"/>
                <w:szCs w:val="18"/>
                <w:color w:val="auto"/>
              </w:rPr>
              <w:t>assets and other</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21,439</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2"/>
              </w:rPr>
              <w:t>(21,439)</w:t>
            </w: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86"/>
              </w:rPr>
              <w:t>640,842</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92"/>
              </w:rPr>
              <w:t>(21,439)</w:t>
            </w: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w w:val="89"/>
              </w:rPr>
              <w:t>(10,718)</w:t>
            </w:r>
          </w:p>
        </w:tc>
        <w:tc>
          <w:tcPr>
            <w:tcW w:w="5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89"/>
              </w:rPr>
              <w:t>608,685</w:t>
            </w:r>
          </w:p>
        </w:tc>
        <w:tc>
          <w:tcPr>
            <w:tcW w:w="0" w:type="dxa"/>
            <w:vAlign w:val="bottom"/>
          </w:tcPr>
          <w:p>
            <w:pPr>
              <w:spacing w:after="0"/>
              <w:rPr>
                <w:sz w:val="1"/>
                <w:szCs w:val="1"/>
                <w:color w:val="auto"/>
              </w:rPr>
            </w:pPr>
          </w:p>
        </w:tc>
      </w:tr>
      <w:tr>
        <w:trPr>
          <w:trHeight w:val="439"/>
        </w:trPr>
        <w:tc>
          <w:tcPr>
            <w:tcW w:w="32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86"/>
              </w:rPr>
              <w:t>103,127</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21,439</w:t>
            </w: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color w:val="auto"/>
                <w:w w:val="98"/>
              </w:rPr>
              <w:t>10,718</w:t>
            </w: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9"/>
              </w:rPr>
              <w:t>135,284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w w:val="99"/>
              </w:rPr>
              <w:t>Interest and other income (expense), net</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22,761</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89"/>
              </w:rPr>
              <w:t>(21,800)</w:t>
            </w:r>
          </w:p>
        </w:tc>
        <w:tc>
          <w:tcPr>
            <w:tcW w:w="4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439"/>
        </w:trPr>
        <w:tc>
          <w:tcPr>
            <w:tcW w:w="32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11,816</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7"/>
              </w:rPr>
              <w:t>5,637</w:t>
            </w: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17,453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68,550</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21,439</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8"/>
                <w:szCs w:val="18"/>
                <w:color w:val="auto"/>
                <w:w w:val="98"/>
              </w:rPr>
              <w:t>10,718</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98"/>
              </w:rPr>
              <w:t>21,800</w:t>
            </w:r>
          </w:p>
        </w:tc>
        <w:tc>
          <w:tcPr>
            <w:tcW w:w="4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(5,637)</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89"/>
              </w:rPr>
              <w:t>116,870</w:t>
            </w:r>
          </w:p>
        </w:tc>
        <w:tc>
          <w:tcPr>
            <w:tcW w:w="0" w:type="dxa"/>
            <w:vAlign w:val="bottom"/>
          </w:tcPr>
          <w:p>
            <w:pPr>
              <w:spacing w:after="0"/>
              <w:rPr>
                <w:sz w:val="1"/>
                <w:szCs w:val="1"/>
                <w:color w:val="auto"/>
              </w:rPr>
            </w:pPr>
          </w:p>
        </w:tc>
      </w:tr>
      <w:tr>
        <w:trPr>
          <w:trHeight w:val="639"/>
        </w:trPr>
        <w:tc>
          <w:tcPr>
            <w:tcW w:w="20" w:type="dxa"/>
            <w:vAlign w:val="bottom"/>
          </w:tcPr>
          <w:p>
            <w:pPr>
              <w:spacing w:after="0"/>
              <w:rPr>
                <w:sz w:val="24"/>
                <w:szCs w:val="24"/>
                <w:color w:val="auto"/>
              </w:rPr>
            </w:pPr>
          </w:p>
        </w:tc>
        <w:tc>
          <w:tcPr>
            <w:tcW w:w="3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p>
      <w:pPr>
        <w:jc w:val="center"/>
        <w:ind w:left="3700"/>
        <w:spacing w:after="0"/>
        <w:rPr>
          <w:sz w:val="20"/>
          <w:szCs w:val="20"/>
          <w:color w:val="auto"/>
        </w:rPr>
      </w:pPr>
      <w:r>
        <w:rPr>
          <w:rFonts w:ascii="Arial" w:cs="Arial" w:eastAsia="Arial" w:hAnsi="Arial"/>
          <w:sz w:val="14"/>
          <w:szCs w:val="14"/>
          <w:b w:val="1"/>
          <w:bCs w:val="1"/>
          <w:color w:val="auto"/>
        </w:rPr>
        <w:t>Six months ended</w:t>
      </w:r>
    </w:p>
    <w:p>
      <w:pPr>
        <w:jc w:val="center"/>
        <w:ind w:left="3700"/>
        <w:spacing w:after="0" w:line="236" w:lineRule="auto"/>
        <w:rPr>
          <w:sz w:val="20"/>
          <w:szCs w:val="20"/>
          <w:color w:val="auto"/>
        </w:rPr>
      </w:pPr>
      <w:r>
        <w:rPr>
          <w:rFonts w:ascii="Arial" w:cs="Arial" w:eastAsia="Arial" w:hAnsi="Arial"/>
          <w:sz w:val="14"/>
          <w:szCs w:val="14"/>
          <w:b w:val="1"/>
          <w:bCs w:val="1"/>
          <w:color w:val="auto"/>
        </w:rPr>
        <w:t>March 31, 2011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16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Reconciliation items</w:t>
            </w:r>
          </w:p>
        </w:tc>
        <w:tc>
          <w:tcPr>
            <w:tcW w:w="6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gridSpan w:val="3"/>
          </w:tcPr>
          <w:p>
            <w:pPr>
              <w:jc w:val="center"/>
              <w:ind w:left="115"/>
              <w:spacing w:after="0" w:line="119" w:lineRule="exact"/>
              <w:rPr>
                <w:sz w:val="20"/>
                <w:szCs w:val="20"/>
                <w:color w:val="auto"/>
              </w:rPr>
            </w:pPr>
            <w:r>
              <w:rPr>
                <w:rFonts w:ascii="Arial" w:cs="Arial" w:eastAsia="Arial" w:hAnsi="Arial"/>
                <w:sz w:val="13"/>
                <w:szCs w:val="13"/>
                <w:b w:val="1"/>
                <w:bCs w:val="1"/>
                <w:color w:val="auto"/>
              </w:rPr>
              <w:t>Amortization of</w:t>
            </w:r>
          </w:p>
        </w:tc>
        <w:tc>
          <w:tcPr>
            <w:tcW w:w="760" w:type="dxa"/>
            <w:vAlign w:val="bottom"/>
          </w:tcPr>
          <w:p>
            <w:pPr>
              <w:spacing w:after="0"/>
              <w:rPr>
                <w:sz w:val="10"/>
                <w:szCs w:val="10"/>
                <w:color w:val="auto"/>
              </w:rPr>
            </w:pP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Equity based</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jc w:val="center"/>
              <w:ind w:right="13"/>
              <w:spacing w:after="0" w:line="149" w:lineRule="exact"/>
              <w:rPr>
                <w:sz w:val="20"/>
                <w:szCs w:val="20"/>
                <w:color w:val="auto"/>
              </w:rPr>
            </w:pPr>
            <w:r>
              <w:rPr>
                <w:rFonts w:ascii="Arial" w:cs="Arial" w:eastAsia="Arial" w:hAnsi="Arial"/>
                <w:sz w:val="14"/>
                <w:szCs w:val="14"/>
                <w:b w:val="1"/>
                <w:bCs w:val="1"/>
                <w:color w:val="auto"/>
                <w:w w:val="87"/>
              </w:rPr>
              <w:t>purchased</w:t>
            </w:r>
          </w:p>
        </w:tc>
        <w:tc>
          <w:tcPr>
            <w:tcW w:w="7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3"/>
            <w:vMerge w:val="restart"/>
          </w:tcPr>
          <w:p>
            <w:pPr>
              <w:jc w:val="right"/>
              <w:ind w:right="329"/>
              <w:spacing w:after="0"/>
              <w:rPr>
                <w:sz w:val="20"/>
                <w:szCs w:val="20"/>
                <w:color w:val="auto"/>
              </w:rPr>
            </w:pPr>
            <w:r>
              <w:rPr>
                <w:rFonts w:ascii="Arial" w:cs="Arial" w:eastAsia="Arial" w:hAnsi="Arial"/>
                <w:sz w:val="14"/>
                <w:szCs w:val="14"/>
                <w:b w:val="1"/>
                <w:bCs w:val="1"/>
                <w:color w:val="auto"/>
              </w:rPr>
              <w:t>GAAP</w:t>
            </w:r>
          </w:p>
        </w:tc>
        <w:tc>
          <w:tcPr>
            <w:tcW w:w="380" w:type="dxa"/>
            <w:vAlign w:val="bottom"/>
          </w:tcPr>
          <w:p>
            <w:pPr>
              <w:spacing w:after="0"/>
              <w:rPr>
                <w:sz w:val="12"/>
                <w:szCs w:val="12"/>
                <w:color w:val="auto"/>
              </w:rPr>
            </w:pPr>
          </w:p>
        </w:tc>
        <w:tc>
          <w:tcPr>
            <w:tcW w:w="1220" w:type="dxa"/>
            <w:vAlign w:val="bottom"/>
            <w:gridSpan w:val="3"/>
          </w:tcPr>
          <w:p>
            <w:pPr>
              <w:jc w:val="center"/>
              <w:ind w:left="115"/>
              <w:spacing w:after="0" w:line="149" w:lineRule="exact"/>
              <w:rPr>
                <w:sz w:val="20"/>
                <w:szCs w:val="20"/>
                <w:color w:val="auto"/>
              </w:rPr>
            </w:pPr>
            <w:r>
              <w:rPr>
                <w:rFonts w:ascii="Arial" w:cs="Arial" w:eastAsia="Arial" w:hAnsi="Arial"/>
                <w:sz w:val="14"/>
                <w:szCs w:val="14"/>
                <w:b w:val="1"/>
                <w:bCs w:val="1"/>
                <w:color w:val="auto"/>
                <w:w w:val="89"/>
              </w:rPr>
              <w:t>intangible assets</w:t>
            </w:r>
          </w:p>
        </w:tc>
        <w:tc>
          <w:tcPr>
            <w:tcW w:w="7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680" w:type="dxa"/>
            <w:vAlign w:val="bottom"/>
          </w:tcPr>
          <w:p>
            <w:pPr>
              <w:spacing w:after="0"/>
              <w:rPr>
                <w:sz w:val="12"/>
                <w:szCs w:val="12"/>
                <w:color w:val="auto"/>
              </w:rPr>
            </w:pPr>
          </w:p>
        </w:tc>
        <w:tc>
          <w:tcPr>
            <w:tcW w:w="128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rPr>
              <w:t>Tax effect</w:t>
            </w: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Borders>
              <w:bottom w:val="single" w:sz="8" w:color="auto"/>
            </w:tcBorders>
            <w:gridSpan w:val="3"/>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13"/>
              <w:spacing w:after="0"/>
              <w:rPr>
                <w:sz w:val="20"/>
                <w:szCs w:val="20"/>
                <w:color w:val="auto"/>
              </w:rPr>
            </w:pPr>
            <w:r>
              <w:rPr>
                <w:rFonts w:ascii="Arial" w:cs="Arial" w:eastAsia="Arial" w:hAnsi="Arial"/>
                <w:sz w:val="14"/>
                <w:szCs w:val="14"/>
                <w:b w:val="1"/>
                <w:bCs w:val="1"/>
                <w:color w:val="auto"/>
                <w:w w:val="90"/>
              </w:rPr>
              <w:t>and other</w:t>
            </w: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5"/>
              </w:rPr>
              <w:t>expense</w:t>
            </w:r>
          </w:p>
        </w:tc>
        <w:tc>
          <w:tcPr>
            <w:tcW w:w="6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vMerge w:val="continue"/>
          </w:tcPr>
          <w:p>
            <w:pPr>
              <w:spacing w:after="0"/>
              <w:rPr>
                <w:sz w:val="15"/>
                <w:szCs w:val="15"/>
                <w:color w:val="auto"/>
              </w:rPr>
            </w:pPr>
          </w:p>
        </w:tc>
        <w:tc>
          <w:tcPr>
            <w:tcW w:w="12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180" w:type="dxa"/>
            <w:vAlign w:val="bottom"/>
          </w:tcPr>
          <w:p>
            <w:pPr>
              <w:spacing w:after="0"/>
              <w:rPr>
                <w:sz w:val="18"/>
                <w:szCs w:val="18"/>
                <w:color w:val="auto"/>
              </w:rPr>
            </w:pPr>
          </w:p>
        </w:tc>
        <w:tc>
          <w:tcPr>
            <w:tcW w:w="76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9"/>
              <w:spacing w:after="0"/>
              <w:rPr>
                <w:sz w:val="20"/>
                <w:szCs w:val="20"/>
                <w:color w:val="auto"/>
              </w:rPr>
            </w:pPr>
            <w:r>
              <w:rPr>
                <w:rFonts w:ascii="Arial" w:cs="Arial" w:eastAsia="Arial" w:hAnsi="Arial"/>
                <w:sz w:val="18"/>
                <w:szCs w:val="18"/>
                <w:color w:val="auto"/>
              </w:rPr>
              <w:t>898</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18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69"/>
              <w:spacing w:after="0"/>
              <w:rPr>
                <w:sz w:val="20"/>
                <w:szCs w:val="20"/>
                <w:color w:val="auto"/>
              </w:rPr>
            </w:pPr>
            <w:r>
              <w:rPr>
                <w:rFonts w:ascii="Arial" w:cs="Arial" w:eastAsia="Arial" w:hAnsi="Arial"/>
                <w:sz w:val="18"/>
                <w:szCs w:val="18"/>
                <w:color w:val="auto"/>
              </w:rPr>
              <w:t>1,021,376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(6,140)</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1,015,236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520" w:type="dxa"/>
            <w:vAlign w:val="bottom"/>
            <w:gridSpan w:val="4"/>
          </w:tcPr>
          <w:p>
            <w:pPr>
              <w:jc w:val="right"/>
              <w:ind w:right="169"/>
              <w:spacing w:after="0"/>
              <w:rPr>
                <w:sz w:val="20"/>
                <w:szCs w:val="20"/>
                <w:color w:val="auto"/>
              </w:rPr>
            </w:pPr>
            <w:r>
              <w:rPr>
                <w:rFonts w:ascii="Arial" w:cs="Arial" w:eastAsia="Arial" w:hAnsi="Arial"/>
                <w:sz w:val="18"/>
                <w:szCs w:val="18"/>
                <w:color w:val="auto"/>
              </w:rPr>
              <w:t>108,528</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(1,166)</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5"/>
              </w:rPr>
              <w:t>107,362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69"/>
              <w:spacing w:after="0"/>
              <w:rPr>
                <w:sz w:val="20"/>
                <w:szCs w:val="20"/>
                <w:color w:val="auto"/>
              </w:rPr>
            </w:pPr>
            <w:r>
              <w:rPr>
                <w:rFonts w:ascii="Arial" w:cs="Arial" w:eastAsia="Arial" w:hAnsi="Arial"/>
                <w:sz w:val="18"/>
                <w:szCs w:val="18"/>
                <w:color w:val="auto"/>
              </w:rPr>
              <w:t>203,421</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89"/>
              </w:rPr>
              <w:t>(10,850)</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192,571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purchased intangible</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tcPr>
          <w:p>
            <w:pPr>
              <w:ind w:left="400"/>
              <w:spacing w:after="0"/>
              <w:rPr>
                <w:sz w:val="20"/>
                <w:szCs w:val="20"/>
                <w:color w:val="auto"/>
              </w:rPr>
            </w:pPr>
            <w:r>
              <w:rPr>
                <w:rFonts w:ascii="Arial" w:cs="Arial" w:eastAsia="Arial" w:hAnsi="Arial"/>
                <w:sz w:val="18"/>
                <w:szCs w:val="18"/>
                <w:color w:val="auto"/>
              </w:rPr>
              <w:t>assets and other</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169"/>
              <w:spacing w:after="0"/>
              <w:rPr>
                <w:sz w:val="20"/>
                <w:szCs w:val="20"/>
                <w:color w:val="auto"/>
              </w:rPr>
            </w:pPr>
            <w:r>
              <w:rPr>
                <w:rFonts w:ascii="Arial" w:cs="Arial" w:eastAsia="Arial" w:hAnsi="Arial"/>
                <w:sz w:val="18"/>
                <w:szCs w:val="18"/>
                <w:color w:val="auto"/>
                <w:w w:val="90"/>
              </w:rPr>
              <w:t>35,753</w:t>
            </w:r>
          </w:p>
        </w:tc>
        <w:tc>
          <w:tcPr>
            <w:tcW w:w="3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9"/>
              </w:rPr>
              <w:t>(35,753)</w:t>
            </w: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tcBorders>
              <w:bottom w:val="single" w:sz="8" w:color="auto"/>
            </w:tcBorders>
            <w:gridSpan w:val="3"/>
            <w:shd w:val="clear" w:color="auto" w:fill="CCEEFF"/>
          </w:tcPr>
          <w:p>
            <w:pPr>
              <w:jc w:val="right"/>
              <w:ind w:right="169"/>
              <w:spacing w:after="0"/>
              <w:rPr>
                <w:sz w:val="20"/>
                <w:szCs w:val="20"/>
                <w:color w:val="auto"/>
              </w:rPr>
            </w:pPr>
            <w:r>
              <w:rPr>
                <w:rFonts w:ascii="Arial" w:cs="Arial" w:eastAsia="Arial" w:hAnsi="Arial"/>
                <w:sz w:val="18"/>
                <w:szCs w:val="18"/>
                <w:color w:val="auto"/>
              </w:rPr>
              <w:t>1,369,976</w:t>
            </w:r>
          </w:p>
        </w:tc>
        <w:tc>
          <w:tcPr>
            <w:tcW w:w="3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89"/>
              </w:rPr>
              <w:t>(35,753)</w:t>
            </w:r>
          </w:p>
        </w:tc>
        <w:tc>
          <w:tcPr>
            <w:tcW w:w="7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89"/>
              </w:rPr>
              <w:t>(18,156)</w:t>
            </w:r>
          </w:p>
        </w:tc>
        <w:tc>
          <w:tcPr>
            <w:tcW w:w="6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1,316,067</w:t>
            </w:r>
          </w:p>
        </w:tc>
        <w:tc>
          <w:tcPr>
            <w:tcW w:w="0" w:type="dxa"/>
            <w:vAlign w:val="bottom"/>
          </w:tcPr>
          <w:p>
            <w:pPr>
              <w:spacing w:after="0"/>
              <w:rPr>
                <w:sz w:val="1"/>
                <w:szCs w:val="1"/>
                <w:color w:val="auto"/>
              </w:rPr>
            </w:pPr>
          </w:p>
        </w:tc>
      </w:tr>
      <w:tr>
        <w:trPr>
          <w:trHeight w:val="439"/>
        </w:trPr>
        <w:tc>
          <w:tcPr>
            <w:tcW w:w="32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4"/>
                <w:szCs w:val="24"/>
                <w:color w:val="auto"/>
              </w:rPr>
            </w:pPr>
          </w:p>
        </w:tc>
        <w:tc>
          <w:tcPr>
            <w:tcW w:w="1520" w:type="dxa"/>
            <w:vAlign w:val="bottom"/>
            <w:gridSpan w:val="4"/>
          </w:tcPr>
          <w:p>
            <w:pPr>
              <w:jc w:val="right"/>
              <w:ind w:right="169"/>
              <w:spacing w:after="0"/>
              <w:rPr>
                <w:sz w:val="20"/>
                <w:szCs w:val="20"/>
                <w:color w:val="auto"/>
              </w:rPr>
            </w:pPr>
            <w:r>
              <w:rPr>
                <w:rFonts w:ascii="Arial" w:cs="Arial" w:eastAsia="Arial" w:hAnsi="Arial"/>
                <w:sz w:val="18"/>
                <w:szCs w:val="18"/>
                <w:color w:val="auto"/>
              </w:rPr>
              <w:t>194,140</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133"/>
              <w:spacing w:after="0"/>
              <w:rPr>
                <w:sz w:val="20"/>
                <w:szCs w:val="20"/>
                <w:color w:val="auto"/>
              </w:rPr>
            </w:pPr>
            <w:r>
              <w:rPr>
                <w:rFonts w:ascii="Arial" w:cs="Arial" w:eastAsia="Arial" w:hAnsi="Arial"/>
                <w:sz w:val="18"/>
                <w:szCs w:val="18"/>
                <w:color w:val="auto"/>
                <w:w w:val="98"/>
              </w:rPr>
              <w:t>35,753</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75"/>
              <w:spacing w:after="0"/>
              <w:rPr>
                <w:sz w:val="20"/>
                <w:szCs w:val="20"/>
                <w:color w:val="auto"/>
              </w:rPr>
            </w:pPr>
            <w:r>
              <w:rPr>
                <w:rFonts w:ascii="Arial" w:cs="Arial" w:eastAsia="Arial" w:hAnsi="Arial"/>
                <w:sz w:val="18"/>
                <w:szCs w:val="18"/>
                <w:color w:val="auto"/>
                <w:w w:val="98"/>
              </w:rPr>
              <w:t>18,156</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5"/>
              </w:rPr>
              <w:t>248,049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169"/>
              <w:spacing w:after="0"/>
              <w:rPr>
                <w:sz w:val="20"/>
                <w:szCs w:val="20"/>
                <w:color w:val="auto"/>
              </w:rPr>
            </w:pPr>
            <w:r>
              <w:rPr>
                <w:rFonts w:ascii="Arial" w:cs="Arial" w:eastAsia="Arial" w:hAnsi="Arial"/>
                <w:sz w:val="18"/>
                <w:szCs w:val="18"/>
                <w:color w:val="auto"/>
                <w:w w:val="90"/>
              </w:rPr>
              <w:t>23,571</w:t>
            </w:r>
          </w:p>
        </w:tc>
        <w:tc>
          <w:tcPr>
            <w:tcW w:w="3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0"/>
              </w:rPr>
              <w:t>11,320</w:t>
            </w:r>
          </w:p>
        </w:tc>
        <w:tc>
          <w:tcPr>
            <w:tcW w:w="3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34,891</w:t>
            </w:r>
          </w:p>
        </w:tc>
        <w:tc>
          <w:tcPr>
            <w:tcW w:w="0" w:type="dxa"/>
            <w:vAlign w:val="bottom"/>
          </w:tcPr>
          <w:p>
            <w:pPr>
              <w:spacing w:after="0"/>
              <w:rPr>
                <w:sz w:val="1"/>
                <w:szCs w:val="1"/>
                <w:color w:val="auto"/>
              </w:rPr>
            </w:pPr>
          </w:p>
        </w:tc>
      </w:tr>
      <w:tr>
        <w:trPr>
          <w:trHeight w:val="439"/>
        </w:trPr>
        <w:tc>
          <w:tcPr>
            <w:tcW w:w="32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4"/>
                <w:szCs w:val="24"/>
                <w:color w:val="auto"/>
              </w:rPr>
            </w:pPr>
          </w:p>
        </w:tc>
        <w:tc>
          <w:tcPr>
            <w:tcW w:w="1520" w:type="dxa"/>
            <w:vAlign w:val="bottom"/>
            <w:gridSpan w:val="4"/>
          </w:tcPr>
          <w:p>
            <w:pPr>
              <w:jc w:val="right"/>
              <w:ind w:right="169"/>
              <w:spacing w:after="0"/>
              <w:rPr>
                <w:sz w:val="20"/>
                <w:szCs w:val="20"/>
                <w:color w:val="auto"/>
              </w:rPr>
            </w:pPr>
            <w:r>
              <w:rPr>
                <w:rFonts w:ascii="Arial" w:cs="Arial" w:eastAsia="Arial" w:hAnsi="Arial"/>
                <w:sz w:val="18"/>
                <w:szCs w:val="18"/>
                <w:color w:val="auto"/>
              </w:rPr>
              <w:t>$  167,501</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2"/>
          </w:tcPr>
          <w:p>
            <w:pPr>
              <w:jc w:val="right"/>
              <w:ind w:right="133"/>
              <w:spacing w:after="0"/>
              <w:rPr>
                <w:sz w:val="20"/>
                <w:szCs w:val="20"/>
                <w:color w:val="auto"/>
              </w:rPr>
            </w:pPr>
            <w:r>
              <w:rPr>
                <w:rFonts w:ascii="Arial" w:cs="Arial" w:eastAsia="Arial" w:hAnsi="Arial"/>
                <w:sz w:val="18"/>
                <w:szCs w:val="18"/>
                <w:color w:val="auto"/>
                <w:w w:val="96"/>
              </w:rPr>
              <w:t>$ 35,753</w:t>
            </w:r>
          </w:p>
        </w:tc>
        <w:tc>
          <w:tcPr>
            <w:tcW w:w="760" w:type="dxa"/>
            <w:vAlign w:val="bottom"/>
          </w:tcPr>
          <w:p>
            <w:pPr>
              <w:spacing w:after="0"/>
              <w:rPr>
                <w:sz w:val="24"/>
                <w:szCs w:val="24"/>
                <w:color w:val="auto"/>
              </w:rPr>
            </w:pPr>
          </w:p>
        </w:tc>
        <w:tc>
          <w:tcPr>
            <w:tcW w:w="920" w:type="dxa"/>
            <w:vAlign w:val="bottom"/>
            <w:gridSpan w:val="2"/>
          </w:tcPr>
          <w:p>
            <w:pPr>
              <w:jc w:val="right"/>
              <w:ind w:right="75"/>
              <w:spacing w:after="0"/>
              <w:rPr>
                <w:sz w:val="20"/>
                <w:szCs w:val="20"/>
                <w:color w:val="auto"/>
              </w:rPr>
            </w:pPr>
            <w:r>
              <w:rPr>
                <w:rFonts w:ascii="Arial" w:cs="Arial" w:eastAsia="Arial" w:hAnsi="Arial"/>
                <w:sz w:val="18"/>
                <w:szCs w:val="18"/>
                <w:color w:val="auto"/>
              </w:rPr>
              <w:t>$ 18,156</w:t>
            </w:r>
          </w:p>
        </w:tc>
        <w:tc>
          <w:tcPr>
            <w:tcW w:w="680" w:type="dxa"/>
            <w:vAlign w:val="bottom"/>
          </w:tcPr>
          <w:p>
            <w:pPr>
              <w:spacing w:after="0"/>
              <w:rPr>
                <w:sz w:val="24"/>
                <w:szCs w:val="24"/>
                <w:color w:val="auto"/>
              </w:rPr>
            </w:pPr>
          </w:p>
        </w:tc>
        <w:tc>
          <w:tcPr>
            <w:tcW w:w="960" w:type="dxa"/>
            <w:vAlign w:val="bottom"/>
            <w:gridSpan w:val="3"/>
          </w:tcPr>
          <w:p>
            <w:pPr>
              <w:jc w:val="right"/>
              <w:ind w:right="110"/>
              <w:spacing w:after="0"/>
              <w:rPr>
                <w:sz w:val="20"/>
                <w:szCs w:val="20"/>
                <w:color w:val="auto"/>
              </w:rPr>
            </w:pPr>
            <w:r>
              <w:rPr>
                <w:rFonts w:ascii="Arial" w:cs="Arial" w:eastAsia="Arial" w:hAnsi="Arial"/>
                <w:sz w:val="18"/>
                <w:szCs w:val="18"/>
                <w:color w:val="auto"/>
                <w:w w:val="95"/>
              </w:rPr>
              <w:t>$(11,320)</w:t>
            </w:r>
          </w:p>
        </w:tc>
        <w:tc>
          <w:tcPr>
            <w:tcW w:w="320" w:type="dxa"/>
            <w:vAlign w:val="bottom"/>
          </w:tcPr>
          <w:p>
            <w:pPr>
              <w:spacing w:after="0"/>
              <w:rPr>
                <w:sz w:val="24"/>
                <w:szCs w:val="24"/>
                <w:color w:val="auto"/>
              </w:rPr>
            </w:pPr>
          </w:p>
        </w:tc>
        <w:tc>
          <w:tcPr>
            <w:tcW w:w="4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5"/>
              </w:rPr>
              <w:t>210,090</w:t>
            </w: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Six months ended</w:t>
            </w:r>
          </w:p>
        </w:tc>
        <w:tc>
          <w:tcPr>
            <w:tcW w:w="6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March 31, 2010</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6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gridSpan w:val="4"/>
          </w:tcPr>
          <w:p>
            <w:pPr>
              <w:jc w:val="center"/>
              <w:ind w:left="129"/>
              <w:spacing w:after="0" w:line="119" w:lineRule="exact"/>
              <w:rPr>
                <w:sz w:val="20"/>
                <w:szCs w:val="20"/>
                <w:color w:val="auto"/>
              </w:rPr>
            </w:pPr>
            <w:r>
              <w:rPr>
                <w:rFonts w:ascii="Arial" w:cs="Arial" w:eastAsia="Arial" w:hAnsi="Arial"/>
                <w:sz w:val="13"/>
                <w:szCs w:val="13"/>
                <w:b w:val="1"/>
                <w:bCs w:val="1"/>
                <w:color w:val="auto"/>
              </w:rPr>
              <w:t>Amortization of</w:t>
            </w:r>
          </w:p>
        </w:tc>
        <w:tc>
          <w:tcPr>
            <w:tcW w:w="1540" w:type="dxa"/>
            <w:vAlign w:val="bottom"/>
            <w:gridSpan w:val="2"/>
            <w:vMerge w:val="restart"/>
          </w:tcPr>
          <w:p>
            <w:pPr>
              <w:jc w:val="center"/>
              <w:ind w:left="493"/>
              <w:spacing w:after="0"/>
              <w:rPr>
                <w:sz w:val="20"/>
                <w:szCs w:val="20"/>
                <w:color w:val="auto"/>
              </w:rPr>
            </w:pPr>
            <w:r>
              <w:rPr>
                <w:rFonts w:ascii="Arial" w:cs="Arial" w:eastAsia="Arial" w:hAnsi="Arial"/>
                <w:sz w:val="14"/>
                <w:szCs w:val="14"/>
                <w:b w:val="1"/>
                <w:bCs w:val="1"/>
                <w:color w:val="auto"/>
                <w:w w:val="91"/>
              </w:rPr>
              <w:t>Equity based</w:t>
            </w:r>
          </w:p>
        </w:tc>
        <w:tc>
          <w:tcPr>
            <w:tcW w:w="200" w:type="dxa"/>
            <w:vAlign w:val="bottom"/>
          </w:tcPr>
          <w:p>
            <w:pPr>
              <w:spacing w:after="0"/>
              <w:rPr>
                <w:sz w:val="10"/>
                <w:szCs w:val="10"/>
                <w:color w:val="auto"/>
              </w:rPr>
            </w:pPr>
          </w:p>
        </w:tc>
        <w:tc>
          <w:tcPr>
            <w:tcW w:w="1400" w:type="dxa"/>
            <w:vAlign w:val="bottom"/>
            <w:gridSpan w:val="2"/>
          </w:tcPr>
          <w:p>
            <w:pPr>
              <w:jc w:val="center"/>
              <w:ind w:left="255"/>
              <w:spacing w:after="0" w:line="119" w:lineRule="exact"/>
              <w:rPr>
                <w:sz w:val="20"/>
                <w:szCs w:val="20"/>
                <w:color w:val="auto"/>
              </w:rPr>
            </w:pPr>
            <w:r>
              <w:rPr>
                <w:rFonts w:ascii="Arial" w:cs="Arial" w:eastAsia="Arial" w:hAnsi="Arial"/>
                <w:sz w:val="13"/>
                <w:szCs w:val="13"/>
                <w:b w:val="1"/>
                <w:bCs w:val="1"/>
                <w:color w:val="auto"/>
              </w:rPr>
              <w:t>Impairment on</w:t>
            </w: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3"/>
          </w:tcPr>
          <w:p>
            <w:pPr>
              <w:jc w:val="center"/>
              <w:ind w:left="249"/>
              <w:spacing w:after="0" w:line="149" w:lineRule="exact"/>
              <w:rPr>
                <w:sz w:val="20"/>
                <w:szCs w:val="20"/>
                <w:color w:val="auto"/>
              </w:rPr>
            </w:pPr>
            <w:r>
              <w:rPr>
                <w:rFonts w:ascii="Arial" w:cs="Arial" w:eastAsia="Arial" w:hAnsi="Arial"/>
                <w:sz w:val="14"/>
                <w:szCs w:val="14"/>
                <w:b w:val="1"/>
                <w:bCs w:val="1"/>
                <w:color w:val="auto"/>
                <w:w w:val="90"/>
              </w:rPr>
              <w:t>purchased</w:t>
            </w:r>
          </w:p>
        </w:tc>
        <w:tc>
          <w:tcPr>
            <w:tcW w:w="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left="255"/>
              <w:spacing w:after="0" w:line="149" w:lineRule="exact"/>
              <w:rPr>
                <w:sz w:val="20"/>
                <w:szCs w:val="20"/>
                <w:color w:val="auto"/>
              </w:rPr>
            </w:pPr>
            <w:r>
              <w:rPr>
                <w:rFonts w:ascii="Arial" w:cs="Arial" w:eastAsia="Arial" w:hAnsi="Arial"/>
                <w:sz w:val="14"/>
                <w:szCs w:val="14"/>
                <w:b w:val="1"/>
                <w:bCs w:val="1"/>
                <w:color w:val="auto"/>
                <w:w w:val="89"/>
              </w:rPr>
              <w:t>investment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restart"/>
          </w:tcPr>
          <w:p>
            <w:pPr>
              <w:jc w:val="right"/>
              <w:ind w:right="139"/>
              <w:spacing w:after="0"/>
              <w:rPr>
                <w:sz w:val="20"/>
                <w:szCs w:val="20"/>
                <w:color w:val="auto"/>
              </w:rPr>
            </w:pPr>
            <w:r>
              <w:rPr>
                <w:rFonts w:ascii="Arial" w:cs="Arial" w:eastAsia="Arial" w:hAnsi="Arial"/>
                <w:sz w:val="14"/>
                <w:szCs w:val="14"/>
                <w:b w:val="1"/>
                <w:bCs w:val="1"/>
                <w:color w:val="auto"/>
              </w:rPr>
              <w:t>GAAP</w:t>
            </w:r>
          </w:p>
        </w:tc>
        <w:tc>
          <w:tcPr>
            <w:tcW w:w="320" w:type="dxa"/>
            <w:vAlign w:val="bottom"/>
          </w:tcPr>
          <w:p>
            <w:pPr>
              <w:spacing w:after="0"/>
              <w:rPr>
                <w:sz w:val="12"/>
                <w:szCs w:val="12"/>
                <w:color w:val="auto"/>
              </w:rPr>
            </w:pPr>
          </w:p>
        </w:tc>
        <w:tc>
          <w:tcPr>
            <w:tcW w:w="1260" w:type="dxa"/>
            <w:vAlign w:val="bottom"/>
            <w:gridSpan w:val="4"/>
          </w:tcPr>
          <w:p>
            <w:pPr>
              <w:jc w:val="center"/>
              <w:ind w:left="109"/>
              <w:spacing w:after="0" w:line="149" w:lineRule="exact"/>
              <w:rPr>
                <w:sz w:val="20"/>
                <w:szCs w:val="20"/>
                <w:color w:val="auto"/>
              </w:rPr>
            </w:pPr>
            <w:r>
              <w:rPr>
                <w:rFonts w:ascii="Arial" w:cs="Arial" w:eastAsia="Arial" w:hAnsi="Arial"/>
                <w:sz w:val="14"/>
                <w:szCs w:val="14"/>
                <w:b w:val="1"/>
                <w:bCs w:val="1"/>
                <w:color w:val="auto"/>
                <w:w w:val="87"/>
              </w:rPr>
              <w:t>intangible assets</w:t>
            </w:r>
          </w:p>
        </w:tc>
        <w:tc>
          <w:tcPr>
            <w:tcW w:w="1540" w:type="dxa"/>
            <w:vAlign w:val="bottom"/>
            <w:gridSpan w:val="2"/>
          </w:tcPr>
          <w:p>
            <w:pPr>
              <w:jc w:val="center"/>
              <w:ind w:left="493"/>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90"/>
              </w:rPr>
              <w:t>in a</w:t>
            </w:r>
          </w:p>
        </w:tc>
        <w:tc>
          <w:tcPr>
            <w:tcW w:w="180" w:type="dxa"/>
            <w:vAlign w:val="bottom"/>
          </w:tcPr>
          <w:p>
            <w:pPr>
              <w:spacing w:after="0"/>
              <w:rPr>
                <w:sz w:val="12"/>
                <w:szCs w:val="12"/>
                <w:color w:val="auto"/>
              </w:rPr>
            </w:pPr>
          </w:p>
        </w:tc>
        <w:tc>
          <w:tcPr>
            <w:tcW w:w="11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Tax effect</w:t>
            </w:r>
          </w:p>
        </w:tc>
        <w:tc>
          <w:tcPr>
            <w:tcW w:w="128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ind w:left="249"/>
              <w:spacing w:after="0"/>
              <w:rPr>
                <w:sz w:val="20"/>
                <w:szCs w:val="20"/>
                <w:color w:val="auto"/>
              </w:rPr>
            </w:pPr>
            <w:r>
              <w:rPr>
                <w:rFonts w:ascii="Arial" w:cs="Arial" w:eastAsia="Arial" w:hAnsi="Arial"/>
                <w:sz w:val="14"/>
                <w:szCs w:val="14"/>
                <w:b w:val="1"/>
                <w:bCs w:val="1"/>
                <w:color w:val="auto"/>
                <w:w w:val="93"/>
              </w:rPr>
              <w:t>and other</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5"/>
              </w:rPr>
              <w:t>expense</w:t>
            </w: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left="235"/>
              <w:spacing w:after="0"/>
              <w:rPr>
                <w:sz w:val="20"/>
                <w:szCs w:val="20"/>
                <w:color w:val="auto"/>
              </w:rPr>
            </w:pPr>
            <w:r>
              <w:rPr>
                <w:rFonts w:ascii="Arial" w:cs="Arial" w:eastAsia="Arial" w:hAnsi="Arial"/>
                <w:sz w:val="14"/>
                <w:szCs w:val="14"/>
                <w:b w:val="1"/>
                <w:bCs w:val="1"/>
                <w:color w:val="auto"/>
                <w:w w:val="91"/>
              </w:rPr>
              <w:t>subsidiary</w:t>
            </w: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vMerge w:val="continue"/>
          </w:tcPr>
          <w:p>
            <w:pPr>
              <w:spacing w:after="0"/>
              <w:rPr>
                <w:sz w:val="15"/>
                <w:szCs w:val="15"/>
                <w:color w:val="auto"/>
              </w:rPr>
            </w:pPr>
          </w:p>
        </w:tc>
        <w:tc>
          <w:tcPr>
            <w:tcW w:w="12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1,187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00" w:type="dxa"/>
            <w:vAlign w:val="bottom"/>
          </w:tcPr>
          <w:p>
            <w:pPr>
              <w:jc w:val="right"/>
              <w:ind w:right="35"/>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ind w:left="32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937,655</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(9,752)</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927,903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101,296</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jc w:val="right"/>
              <w:ind w:right="35"/>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(2,137)</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99,159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183,608</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(9,682)</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173,926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purchased intangible</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tcPr>
          <w:p>
            <w:pPr>
              <w:ind w:left="400"/>
              <w:spacing w:after="0"/>
              <w:rPr>
                <w:sz w:val="20"/>
                <w:szCs w:val="20"/>
                <w:color w:val="auto"/>
              </w:rPr>
            </w:pPr>
            <w:r>
              <w:rPr>
                <w:rFonts w:ascii="Arial" w:cs="Arial" w:eastAsia="Arial" w:hAnsi="Arial"/>
                <w:sz w:val="18"/>
                <w:szCs w:val="18"/>
                <w:color w:val="auto"/>
              </w:rPr>
              <w:t>assets and other</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42,758</w:t>
            </w:r>
          </w:p>
        </w:tc>
        <w:tc>
          <w:tcPr>
            <w:tcW w:w="3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(42,758)</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1,266,504</w:t>
            </w:r>
          </w:p>
        </w:tc>
        <w:tc>
          <w:tcPr>
            <w:tcW w:w="3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(42,758)</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89"/>
              </w:rPr>
              <w:t>(21,571)</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9"/>
              </w:rPr>
              <w:t>1,202,175</w:t>
            </w:r>
          </w:p>
        </w:tc>
        <w:tc>
          <w:tcPr>
            <w:tcW w:w="0" w:type="dxa"/>
            <w:vAlign w:val="bottom"/>
          </w:tcPr>
          <w:p>
            <w:pPr>
              <w:spacing w:after="0"/>
              <w:rPr>
                <w:sz w:val="1"/>
                <w:szCs w:val="1"/>
                <w:color w:val="auto"/>
              </w:rPr>
            </w:pPr>
          </w:p>
        </w:tc>
      </w:tr>
      <w:tr>
        <w:trPr>
          <w:trHeight w:val="439"/>
        </w:trPr>
        <w:tc>
          <w:tcPr>
            <w:tcW w:w="32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202,276</w:t>
            </w: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8"/>
                <w:szCs w:val="18"/>
                <w:color w:val="auto"/>
                <w:w w:val="98"/>
              </w:rPr>
              <w:t>42,758</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98"/>
              </w:rPr>
              <w:t>21,571</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266,605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7"/>
              </w:rPr>
              <w:t>Interest and other income (expense), net</w:t>
            </w: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23,476</w:t>
            </w:r>
          </w:p>
        </w:tc>
        <w:tc>
          <w:tcPr>
            <w:tcW w:w="3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(21,800)</w:t>
            </w:r>
          </w:p>
        </w:tc>
        <w:tc>
          <w:tcPr>
            <w:tcW w:w="1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439"/>
        </w:trPr>
        <w:tc>
          <w:tcPr>
            <w:tcW w:w="32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21,897</w:t>
            </w: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8"/>
              </w:rPr>
              <w:t>13,035</w:t>
            </w: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34,932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156,903</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2"/>
            <w:shd w:val="clear" w:color="auto" w:fill="CCEEFF"/>
          </w:tcPr>
          <w:p>
            <w:pPr>
              <w:jc w:val="right"/>
              <w:ind w:right="35"/>
              <w:spacing w:after="0"/>
              <w:rPr>
                <w:sz w:val="20"/>
                <w:szCs w:val="20"/>
                <w:color w:val="auto"/>
              </w:rPr>
            </w:pPr>
            <w:r>
              <w:rPr>
                <w:rFonts w:ascii="Arial" w:cs="Arial" w:eastAsia="Arial" w:hAnsi="Arial"/>
                <w:sz w:val="18"/>
                <w:szCs w:val="18"/>
                <w:color w:val="auto"/>
                <w:w w:val="98"/>
              </w:rPr>
              <w:t>42,758</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8"/>
              </w:rPr>
              <w:t>21,571</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$ 21,800</w:t>
            </w:r>
          </w:p>
        </w:tc>
        <w:tc>
          <w:tcPr>
            <w:tcW w:w="1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(13,035)</w:t>
            </w:r>
          </w:p>
        </w:tc>
        <w:tc>
          <w:tcPr>
            <w:tcW w:w="4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229,997</w:t>
            </w:r>
          </w:p>
        </w:tc>
        <w:tc>
          <w:tcPr>
            <w:tcW w:w="0" w:type="dxa"/>
            <w:vAlign w:val="bottom"/>
          </w:tcPr>
          <w:p>
            <w:pPr>
              <w:spacing w:after="0"/>
              <w:rPr>
                <w:sz w:val="1"/>
                <w:szCs w:val="1"/>
                <w:color w:val="auto"/>
              </w:rPr>
            </w:pPr>
          </w:p>
        </w:tc>
      </w:tr>
      <w:tr>
        <w:trPr>
          <w:trHeight w:val="639"/>
        </w:trPr>
        <w:tc>
          <w:tcPr>
            <w:tcW w:w="20" w:type="dxa"/>
            <w:vAlign w:val="bottom"/>
          </w:tcPr>
          <w:p>
            <w:pPr>
              <w:spacing w:after="0"/>
              <w:rPr>
                <w:sz w:val="24"/>
                <w:szCs w:val="24"/>
                <w:color w:val="auto"/>
              </w:rPr>
            </w:pPr>
          </w:p>
        </w:tc>
        <w:tc>
          <w:tcPr>
            <w:tcW w:w="31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As of</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March 31, 2011</w:t>
            </w:r>
          </w:p>
        </w:tc>
        <w:tc>
          <w:tcPr>
            <w:tcW w:w="480" w:type="dxa"/>
            <w:vAlign w:val="bottom"/>
          </w:tcPr>
          <w:p>
            <w:pPr>
              <w:spacing w:after="0"/>
              <w:rPr>
                <w:sz w:val="12"/>
                <w:szCs w:val="12"/>
                <w:color w:val="auto"/>
              </w:rPr>
            </w:pPr>
          </w:p>
        </w:tc>
        <w:tc>
          <w:tcPr>
            <w:tcW w:w="12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September 30,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2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interest-bearing investments</w:t>
            </w:r>
          </w:p>
        </w:tc>
        <w:tc>
          <w:tcPr>
            <w:tcW w:w="14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1,156,512</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Accounts receivable, net, including unbilled of $73,278 and $62,246, respectively</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569,277</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receivable</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124,182</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145,278</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112,417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1,995,249</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2,251,799</w:t>
            </w:r>
          </w:p>
        </w:tc>
        <w:tc>
          <w:tcPr>
            <w:tcW w:w="0" w:type="dxa"/>
            <w:vAlign w:val="bottom"/>
          </w:tcPr>
          <w:p>
            <w:pPr>
              <w:spacing w:after="0"/>
              <w:rPr>
                <w:sz w:val="1"/>
                <w:szCs w:val="1"/>
                <w:color w:val="auto"/>
              </w:rPr>
            </w:pPr>
          </w:p>
        </w:tc>
      </w:tr>
      <w:tr>
        <w:trPr>
          <w:trHeight w:val="432"/>
        </w:trPr>
        <w:tc>
          <w:tcPr>
            <w:tcW w:w="7220" w:type="dxa"/>
            <w:vAlign w:val="bottom"/>
            <w:gridSpan w:val="2"/>
          </w:tcPr>
          <w:p>
            <w:pPr>
              <w:spacing w:after="0"/>
              <w:rPr>
                <w:sz w:val="20"/>
                <w:szCs w:val="20"/>
                <w:color w:val="auto"/>
              </w:rPr>
            </w:pPr>
            <w:r>
              <w:rPr>
                <w:rFonts w:ascii="Arial" w:cs="Arial" w:eastAsia="Arial" w:hAnsi="Arial"/>
                <w:sz w:val="18"/>
                <w:szCs w:val="18"/>
                <w:color w:val="auto"/>
              </w:rPr>
              <w:t>Equipment and leasehold improvements, net</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245,534</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258,273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 net</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1,820,189</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1,856,178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481,684</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454,354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4,542,656</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4,820,604</w:t>
            </w: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20" w:type="dxa"/>
            <w:vAlign w:val="bottom"/>
            <w:gridSpan w:val="2"/>
            <w:vMerge w:val="continue"/>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Accounts payable, accruals and other</w:t>
            </w:r>
          </w:p>
        </w:tc>
        <w:tc>
          <w:tcPr>
            <w:tcW w:w="14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543,601</w:t>
            </w: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Short-term financing arrangements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Deferred revenue</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210,437</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184,481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payable</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14,986</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18,117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1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769,024</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1,024,147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592,879</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Shareholders’ equity</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3,180,753</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3,229,380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4,542,656</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4,820,604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720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167,501</w:t>
            </w:r>
          </w:p>
        </w:tc>
        <w:tc>
          <w:tcPr>
            <w:tcW w:w="3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$ 156,903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94,049</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97,524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on investment in a subsidiary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Equity-based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18,156</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21,571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12,756</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Excess tax benefit from equity-based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(152)</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(gain) from short-term interest-bearing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1,577</w:t>
            </w:r>
          </w:p>
        </w:tc>
        <w:tc>
          <w:tcPr>
            <w:tcW w:w="3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20,879</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(25,225)</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28,485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(34,739)</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Accounts payable, accrued expenses and accrued personnel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(69,103)</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34,846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34,293</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(1,085)</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18,939</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7,521</w:t>
            </w:r>
          </w:p>
        </w:tc>
        <w:tc>
          <w:tcPr>
            <w:tcW w:w="0" w:type="dxa"/>
            <w:vAlign w:val="bottom"/>
          </w:tcPr>
          <w:p>
            <w:pPr>
              <w:spacing w:after="0"/>
              <w:rPr>
                <w:sz w:val="1"/>
                <w:szCs w:val="1"/>
                <w:color w:val="auto"/>
              </w:rPr>
            </w:pPr>
          </w:p>
        </w:tc>
      </w:tr>
      <w:tr>
        <w:trPr>
          <w:trHeight w:val="223"/>
        </w:trPr>
        <w:tc>
          <w:tcPr>
            <w:tcW w:w="904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237,846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358,075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(55,456)</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(40,074)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314,857</w:t>
            </w:r>
          </w:p>
        </w:tc>
        <w:tc>
          <w:tcPr>
            <w:tcW w:w="3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747,201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Purchase of short-term interest-bearing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(263,191)</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(871,945)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cash paid for acquisitions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(149,685)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(17,618)</w:t>
            </w:r>
          </w:p>
        </w:tc>
        <w:tc>
          <w:tcPr>
            <w:tcW w:w="3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(21,408)</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(314,503)</w:t>
            </w:r>
          </w:p>
        </w:tc>
        <w:tc>
          <w:tcPr>
            <w:tcW w:w="0" w:type="dxa"/>
            <w:vAlign w:val="bottom"/>
          </w:tcPr>
          <w:p>
            <w:pPr>
              <w:spacing w:after="0"/>
              <w:rPr>
                <w:sz w:val="1"/>
                <w:szCs w:val="1"/>
                <w:color w:val="auto"/>
              </w:rPr>
            </w:pPr>
          </w:p>
        </w:tc>
      </w:tr>
      <w:tr>
        <w:trPr>
          <w:trHeight w:val="439"/>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(200,000)</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Repurchase of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(274,674)</w:t>
            </w:r>
          </w:p>
        </w:tc>
        <w:tc>
          <w:tcPr>
            <w:tcW w:w="3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options exercised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35,096</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Payments under capital lease, short-term financing arrangements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(443)</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(440,021)</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17,200</w:t>
            </w:r>
          </w:p>
        </w:tc>
        <w:tc>
          <w:tcPr>
            <w:tcW w:w="0" w:type="dxa"/>
            <w:vAlign w:val="bottom"/>
          </w:tcPr>
          <w:p>
            <w:pPr>
              <w:spacing w:after="0"/>
              <w:rPr>
                <w:sz w:val="1"/>
                <w:szCs w:val="1"/>
                <w:color w:val="auto"/>
              </w:rPr>
            </w:pPr>
          </w:p>
        </w:tc>
      </w:tr>
      <w:tr>
        <w:trPr>
          <w:trHeight w:val="20"/>
        </w:trPr>
        <w:tc>
          <w:tcPr>
            <w:tcW w:w="9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04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(223,583)</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60,772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1,036,195</w:t>
            </w:r>
          </w:p>
        </w:tc>
        <w:tc>
          <w:tcPr>
            <w:tcW w:w="3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728,762</w:t>
            </w:r>
          </w:p>
        </w:tc>
        <w:tc>
          <w:tcPr>
            <w:tcW w:w="0" w:type="dxa"/>
            <w:vAlign w:val="bottom"/>
          </w:tcPr>
          <w:p>
            <w:pPr>
              <w:spacing w:after="0"/>
              <w:rPr>
                <w:sz w:val="1"/>
                <w:szCs w:val="1"/>
                <w:color w:val="auto"/>
              </w:rPr>
            </w:pPr>
          </w:p>
        </w:tc>
      </w:tr>
      <w:tr>
        <w:trPr>
          <w:trHeight w:val="223"/>
        </w:trPr>
        <w:tc>
          <w:tcPr>
            <w:tcW w:w="90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812,612</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$ 789,534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90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1"/>
              </w:rPr>
              <w:t>Three months ended</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78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rPr>
              <w:t>March 31,</w:t>
            </w:r>
          </w:p>
        </w:tc>
        <w:tc>
          <w:tcPr>
            <w:tcW w:w="1500" w:type="dxa"/>
            <w:vAlign w:val="bottom"/>
            <w:gridSpan w:val="4"/>
          </w:tcPr>
          <w:p>
            <w:pPr>
              <w:ind w:left="540"/>
              <w:spacing w:after="0" w:line="119" w:lineRule="exact"/>
              <w:rPr>
                <w:sz w:val="20"/>
                <w:szCs w:val="20"/>
                <w:color w:val="auto"/>
              </w:rPr>
            </w:pPr>
            <w:r>
              <w:rPr>
                <w:rFonts w:ascii="Arial" w:cs="Arial" w:eastAsia="Arial" w:hAnsi="Arial"/>
                <w:sz w:val="13"/>
                <w:szCs w:val="13"/>
                <w:b w:val="1"/>
                <w:bCs w:val="1"/>
                <w:color w:val="auto"/>
              </w:rPr>
              <w:t>December 31,</w:t>
            </w:r>
          </w:p>
        </w:tc>
        <w:tc>
          <w:tcPr>
            <w:tcW w:w="540" w:type="dxa"/>
            <w:vAlign w:val="bottom"/>
          </w:tcPr>
          <w:p>
            <w:pPr>
              <w:spacing w:after="0"/>
              <w:rPr>
                <w:sz w:val="10"/>
                <w:szCs w:val="10"/>
                <w:color w:val="auto"/>
              </w:rPr>
            </w:pPr>
          </w:p>
        </w:tc>
        <w:tc>
          <w:tcPr>
            <w:tcW w:w="132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240" w:type="dxa"/>
            <w:vAlign w:val="bottom"/>
          </w:tcPr>
          <w:p>
            <w:pPr>
              <w:spacing w:after="0"/>
              <w:rPr>
                <w:sz w:val="10"/>
                <w:szCs w:val="10"/>
                <w:color w:val="auto"/>
              </w:rPr>
            </w:pPr>
          </w:p>
        </w:tc>
        <w:tc>
          <w:tcPr>
            <w:tcW w:w="78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June 30,</w:t>
            </w:r>
          </w:p>
        </w:tc>
        <w:tc>
          <w:tcPr>
            <w:tcW w:w="56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North America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564.6</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569.7</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Europe</w:t>
            </w: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97.2</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98.4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91.0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80.6</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 of World</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7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540" w:type="dxa"/>
            <w:vAlign w:val="bottom"/>
          </w:tcPr>
          <w:p>
            <w:pPr>
              <w:spacing w:after="0"/>
              <w:rPr>
                <w:sz w:val="10"/>
                <w:szCs w:val="10"/>
                <w:color w:val="auto"/>
              </w:rPr>
            </w:pPr>
          </w:p>
        </w:tc>
        <w:tc>
          <w:tcPr>
            <w:tcW w:w="96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December 31,</w:t>
            </w:r>
          </w:p>
        </w:tc>
        <w:tc>
          <w:tcPr>
            <w:tcW w:w="540" w:type="dxa"/>
            <w:vAlign w:val="bottom"/>
          </w:tcPr>
          <w:p>
            <w:pPr>
              <w:spacing w:after="0"/>
              <w:rPr>
                <w:sz w:val="10"/>
                <w:szCs w:val="10"/>
                <w:color w:val="auto"/>
              </w:rPr>
            </w:pPr>
          </w:p>
        </w:tc>
        <w:tc>
          <w:tcPr>
            <w:tcW w:w="1320" w:type="dxa"/>
            <w:vAlign w:val="bottom"/>
            <w:gridSpan w:val="4"/>
          </w:tcPr>
          <w:p>
            <w:pPr>
              <w:ind w:left="60"/>
              <w:spacing w:after="0" w:line="119" w:lineRule="exact"/>
              <w:rPr>
                <w:sz w:val="20"/>
                <w:szCs w:val="20"/>
                <w:color w:val="auto"/>
              </w:rPr>
            </w:pPr>
            <w:r>
              <w:rPr>
                <w:rFonts w:ascii="Arial" w:cs="Arial" w:eastAsia="Arial" w:hAnsi="Arial"/>
                <w:sz w:val="13"/>
                <w:szCs w:val="13"/>
                <w:b w:val="1"/>
                <w:bCs w:val="1"/>
                <w:color w:val="auto"/>
              </w:rPr>
              <w:t>September 30,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6"/>
              </w:rPr>
              <w:t>June 30,</w:t>
            </w:r>
          </w:p>
        </w:tc>
        <w:tc>
          <w:tcPr>
            <w:tcW w:w="560" w:type="dxa"/>
            <w:vAlign w:val="bottom"/>
          </w:tcPr>
          <w:p>
            <w:pPr>
              <w:spacing w:after="0"/>
              <w:rPr>
                <w:sz w:val="10"/>
                <w:szCs w:val="10"/>
                <w:color w:val="auto"/>
              </w:rPr>
            </w:pPr>
          </w:p>
        </w:tc>
        <w:tc>
          <w:tcPr>
            <w:tcW w:w="7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171"/>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Emerging Markets Revenue</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920" w:type="dxa"/>
            <w:vAlign w:val="bottom"/>
            <w:gridSpan w:val="2"/>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52.1</w:t>
            </w:r>
          </w:p>
        </w:tc>
        <w:tc>
          <w:tcPr>
            <w:tcW w:w="540" w:type="dxa"/>
            <w:vAlign w:val="bottom"/>
          </w:tcPr>
          <w:p>
            <w:pPr>
              <w:spacing w:after="0"/>
              <w:rPr>
                <w:sz w:val="19"/>
                <w:szCs w:val="19"/>
                <w:color w:val="auto"/>
              </w:rPr>
            </w:pP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67.8</w:t>
            </w:r>
          </w:p>
        </w:tc>
        <w:tc>
          <w:tcPr>
            <w:tcW w:w="540" w:type="dxa"/>
            <w:vAlign w:val="bottom"/>
          </w:tcPr>
          <w:p>
            <w:pPr>
              <w:spacing w:after="0"/>
              <w:rPr>
                <w:sz w:val="19"/>
                <w:szCs w:val="19"/>
                <w:color w:val="auto"/>
              </w:rPr>
            </w:pP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69.5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56.2</w:t>
            </w:r>
          </w:p>
        </w:tc>
        <w:tc>
          <w:tcPr>
            <w:tcW w:w="5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7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540" w:type="dxa"/>
            <w:vAlign w:val="bottom"/>
          </w:tcPr>
          <w:p>
            <w:pPr>
              <w:spacing w:after="0"/>
              <w:rPr>
                <w:sz w:val="10"/>
                <w:szCs w:val="10"/>
                <w:color w:val="auto"/>
              </w:rPr>
            </w:pPr>
          </w:p>
        </w:tc>
        <w:tc>
          <w:tcPr>
            <w:tcW w:w="96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December 31,</w:t>
            </w:r>
          </w:p>
        </w:tc>
        <w:tc>
          <w:tcPr>
            <w:tcW w:w="540" w:type="dxa"/>
            <w:vAlign w:val="bottom"/>
          </w:tcPr>
          <w:p>
            <w:pPr>
              <w:spacing w:after="0"/>
              <w:rPr>
                <w:sz w:val="10"/>
                <w:szCs w:val="10"/>
                <w:color w:val="auto"/>
              </w:rPr>
            </w:pPr>
          </w:p>
        </w:tc>
        <w:tc>
          <w:tcPr>
            <w:tcW w:w="1320" w:type="dxa"/>
            <w:vAlign w:val="bottom"/>
            <w:gridSpan w:val="4"/>
          </w:tcPr>
          <w:p>
            <w:pPr>
              <w:ind w:left="60"/>
              <w:spacing w:after="0" w:line="119" w:lineRule="exact"/>
              <w:rPr>
                <w:sz w:val="20"/>
                <w:szCs w:val="20"/>
                <w:color w:val="auto"/>
              </w:rPr>
            </w:pPr>
            <w:r>
              <w:rPr>
                <w:rFonts w:ascii="Arial" w:cs="Arial" w:eastAsia="Arial" w:hAnsi="Arial"/>
                <w:sz w:val="13"/>
                <w:szCs w:val="13"/>
                <w:b w:val="1"/>
                <w:bCs w:val="1"/>
                <w:color w:val="auto"/>
              </w:rPr>
              <w:t>September 30,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6"/>
              </w:rPr>
              <w:t>June 30,</w:t>
            </w:r>
          </w:p>
        </w:tc>
        <w:tc>
          <w:tcPr>
            <w:tcW w:w="560" w:type="dxa"/>
            <w:vAlign w:val="bottom"/>
          </w:tcPr>
          <w:p>
            <w:pPr>
              <w:spacing w:after="0"/>
              <w:rPr>
                <w:sz w:val="10"/>
                <w:szCs w:val="10"/>
                <w:color w:val="auto"/>
              </w:rPr>
            </w:pPr>
          </w:p>
        </w:tc>
        <w:tc>
          <w:tcPr>
            <w:tcW w:w="7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171"/>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Managed Services Revenue</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920" w:type="dxa"/>
            <w:vAlign w:val="bottom"/>
            <w:gridSpan w:val="2"/>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382.6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371.2</w:t>
            </w:r>
          </w:p>
        </w:tc>
        <w:tc>
          <w:tcPr>
            <w:tcW w:w="540" w:type="dxa"/>
            <w:vAlign w:val="bottom"/>
          </w:tcPr>
          <w:p>
            <w:pPr>
              <w:spacing w:after="0"/>
              <w:rPr>
                <w:sz w:val="19"/>
                <w:szCs w:val="19"/>
                <w:color w:val="auto"/>
              </w:rPr>
            </w:pP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355.5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368.7</w:t>
            </w:r>
          </w:p>
        </w:tc>
        <w:tc>
          <w:tcPr>
            <w:tcW w:w="5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353.3</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1"/>
              </w:rPr>
              <w:t>Three months ended</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78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rPr>
              <w:t>March 31,</w:t>
            </w:r>
          </w:p>
        </w:tc>
        <w:tc>
          <w:tcPr>
            <w:tcW w:w="1500" w:type="dxa"/>
            <w:vAlign w:val="bottom"/>
            <w:gridSpan w:val="4"/>
          </w:tcPr>
          <w:p>
            <w:pPr>
              <w:ind w:left="540"/>
              <w:spacing w:after="0" w:line="119" w:lineRule="exact"/>
              <w:rPr>
                <w:sz w:val="20"/>
                <w:szCs w:val="20"/>
                <w:color w:val="auto"/>
              </w:rPr>
            </w:pPr>
            <w:r>
              <w:rPr>
                <w:rFonts w:ascii="Arial" w:cs="Arial" w:eastAsia="Arial" w:hAnsi="Arial"/>
                <w:sz w:val="13"/>
                <w:szCs w:val="13"/>
                <w:b w:val="1"/>
                <w:bCs w:val="1"/>
                <w:color w:val="auto"/>
              </w:rPr>
              <w:t>December 31,</w:t>
            </w:r>
          </w:p>
        </w:tc>
        <w:tc>
          <w:tcPr>
            <w:tcW w:w="540" w:type="dxa"/>
            <w:vAlign w:val="bottom"/>
          </w:tcPr>
          <w:p>
            <w:pPr>
              <w:spacing w:after="0"/>
              <w:rPr>
                <w:sz w:val="10"/>
                <w:szCs w:val="10"/>
                <w:color w:val="auto"/>
              </w:rPr>
            </w:pPr>
          </w:p>
        </w:tc>
        <w:tc>
          <w:tcPr>
            <w:tcW w:w="132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240" w:type="dxa"/>
            <w:vAlign w:val="bottom"/>
          </w:tcPr>
          <w:p>
            <w:pPr>
              <w:spacing w:after="0"/>
              <w:rPr>
                <w:sz w:val="10"/>
                <w:szCs w:val="10"/>
                <w:color w:val="auto"/>
              </w:rPr>
            </w:pPr>
          </w:p>
        </w:tc>
        <w:tc>
          <w:tcPr>
            <w:tcW w:w="78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June 30,</w:t>
            </w:r>
          </w:p>
        </w:tc>
        <w:tc>
          <w:tcPr>
            <w:tcW w:w="56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Experience Systems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725.4</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714.9</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Directory</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49.8</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775.2</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762.2</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center"/>
              <w:ind w:right="740"/>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78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rPr>
              <w:t>March 31,</w:t>
            </w:r>
          </w:p>
        </w:tc>
        <w:tc>
          <w:tcPr>
            <w:tcW w:w="1500" w:type="dxa"/>
            <w:vAlign w:val="bottom"/>
            <w:gridSpan w:val="4"/>
          </w:tcPr>
          <w:p>
            <w:pPr>
              <w:ind w:left="540"/>
              <w:spacing w:after="0" w:line="119" w:lineRule="exact"/>
              <w:rPr>
                <w:sz w:val="20"/>
                <w:szCs w:val="20"/>
                <w:color w:val="auto"/>
              </w:rPr>
            </w:pPr>
            <w:r>
              <w:rPr>
                <w:rFonts w:ascii="Arial" w:cs="Arial" w:eastAsia="Arial" w:hAnsi="Arial"/>
                <w:sz w:val="13"/>
                <w:szCs w:val="13"/>
                <w:b w:val="1"/>
                <w:bCs w:val="1"/>
                <w:color w:val="auto"/>
              </w:rPr>
              <w:t>December 31,</w:t>
            </w:r>
          </w:p>
        </w:tc>
        <w:tc>
          <w:tcPr>
            <w:tcW w:w="540" w:type="dxa"/>
            <w:vAlign w:val="bottom"/>
          </w:tcPr>
          <w:p>
            <w:pPr>
              <w:spacing w:after="0"/>
              <w:rPr>
                <w:sz w:val="10"/>
                <w:szCs w:val="10"/>
                <w:color w:val="auto"/>
              </w:rPr>
            </w:pPr>
          </w:p>
        </w:tc>
        <w:tc>
          <w:tcPr>
            <w:tcW w:w="132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240" w:type="dxa"/>
            <w:vAlign w:val="bottom"/>
          </w:tcPr>
          <w:p>
            <w:pPr>
              <w:spacing w:after="0"/>
              <w:rPr>
                <w:sz w:val="10"/>
                <w:szCs w:val="10"/>
                <w:color w:val="auto"/>
              </w:rPr>
            </w:pPr>
          </w:p>
        </w:tc>
        <w:tc>
          <w:tcPr>
            <w:tcW w:w="78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June 30,</w:t>
            </w:r>
          </w:p>
        </w:tc>
        <w:tc>
          <w:tcPr>
            <w:tcW w:w="56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12-Month Backlog</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gridSpan w:val="2"/>
            <w:vMerge w:val="continue"/>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2019-12-10T18:31:26Z</dcterms:created>
  <dcterms:modified xsi:type="dcterms:W3CDTF">2019-12-10T18:31:26Z</dcterms:modified>
</cp:coreProperties>
</file>