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January, 2011</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6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7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0" w:firstLine="225"/>
        <w:spacing w:after="0" w:line="277" w:lineRule="auto"/>
        <w:rPr>
          <w:sz w:val="20"/>
          <w:szCs w:val="20"/>
          <w:color w:val="auto"/>
        </w:rPr>
      </w:pPr>
      <w:r>
        <w:rPr>
          <w:rFonts w:ascii="Arial" w:cs="Arial" w:eastAsia="Arial" w:hAnsi="Arial"/>
          <w:sz w:val="18"/>
          <w:szCs w:val="18"/>
          <w:color w:val="auto"/>
        </w:rPr>
        <w:t>On January 25, 2011, Amdocs Limited (“Amdocs”) issued a press release announcing financial results for the quarter ended December 31, 2010.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3700"/>
              <w:spacing w:after="0"/>
              <w:rPr>
                <w:sz w:val="20"/>
                <w:szCs w:val="20"/>
                <w:color w:val="auto"/>
              </w:rPr>
            </w:pPr>
            <w:r>
              <w:rPr>
                <w:rFonts w:ascii="Arial" w:cs="Arial" w:eastAsia="Arial" w:hAnsi="Arial"/>
                <w:sz w:val="18"/>
                <w:szCs w:val="18"/>
                <w:color w:val="auto"/>
              </w:rPr>
              <w:t>EXHIBIT INDEX</w:t>
            </w:r>
          </w:p>
        </w:tc>
      </w:tr>
      <w:tr>
        <w:trPr>
          <w:trHeight w:val="36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36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000" w:type="dxa"/>
            <w:vAlign w:val="bottom"/>
          </w:tcPr>
          <w:p>
            <w:pPr>
              <w:jc w:val="right"/>
              <w:ind w:right="239"/>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Amdocs Limited Press Release dated January 25, 2011.</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148590</wp:posOffset>
            </wp:positionV>
            <wp:extent cx="5205730"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573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i w:val="1"/>
          <w:iCs w:val="1"/>
          <w:color w:val="auto"/>
        </w:rPr>
        <w:t>Amdocs Limited Reports Quarterly Revenue of $775 Million, Up 6.9% YoY Expects 4-6% Revenue Growth in Fiscal 2011 and Improving Profitability During the Fiscal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right="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fiscal quarter revenue of $775 million, compared to the $760-$780 million guidance range. Similar to what was factored into the guidance, foreign currency movements positively impacted revenue by approximately $6 million sequentially relative to the fourth fiscal quarter of 2010</w:t>
      </w:r>
    </w:p>
    <w:p>
      <w:pPr>
        <w:spacing w:after="0" w:line="108" w:lineRule="exact"/>
        <w:rPr>
          <w:rFonts w:ascii="Arial" w:cs="Arial" w:eastAsia="Arial" w:hAnsi="Arial"/>
          <w:sz w:val="18"/>
          <w:szCs w:val="18"/>
          <w:b w:val="1"/>
          <w:bCs w:val="1"/>
          <w:color w:val="auto"/>
        </w:rPr>
      </w:pPr>
    </w:p>
    <w:p>
      <w:pPr>
        <w:ind w:left="660" w:right="42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fiscal quarter non-GAAP operating income of $120 million; non-GAAP operating margin of 15.5%; GAAP operating income of $88 million</w:t>
      </w:r>
    </w:p>
    <w:p>
      <w:pPr>
        <w:spacing w:after="0" w:line="102" w:lineRule="exact"/>
        <w:rPr>
          <w:rFonts w:ascii="Arial" w:cs="Arial" w:eastAsia="Arial" w:hAnsi="Arial"/>
          <w:sz w:val="18"/>
          <w:szCs w:val="18"/>
          <w:b w:val="1"/>
          <w:bCs w:val="1"/>
          <w:color w:val="auto"/>
        </w:rPr>
      </w:pPr>
    </w:p>
    <w:p>
      <w:pPr>
        <w:ind w:left="660" w:right="4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fiscal quarter diluted non-GAAP EPS of $0.52, compared to the $0.49-$0.58 guidance range, excluding amortization of purchased intangible assets and other acquisition related costs and equity-based compensation expense, net of related tax effects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$0.38 for the first fiscal quarter, compared to the $0.34-$0.45 guidance range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$127 million for the first fiscal quarter</w:t>
      </w:r>
    </w:p>
    <w:p>
      <w:pPr>
        <w:spacing w:after="0" w:line="117" w:lineRule="exact"/>
        <w:rPr>
          <w:rFonts w:ascii="Arial" w:cs="Arial" w:eastAsia="Arial" w:hAnsi="Arial"/>
          <w:sz w:val="18"/>
          <w:szCs w:val="18"/>
          <w:b w:val="1"/>
          <w:bCs w:val="1"/>
          <w:color w:val="auto"/>
        </w:rPr>
      </w:pPr>
    </w:p>
    <w:p>
      <w:pPr>
        <w:ind w:left="660" w:right="42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Twelve-month backlog of $2.56 billion at the end of the first fiscal quarter, up $35 million from the end of the fourth fiscal quarter of 2010</w:t>
      </w:r>
    </w:p>
    <w:p>
      <w:pPr>
        <w:spacing w:after="0" w:line="9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fiscal 2011 guidance: Expected revenue of approximately $775-$790 million and diluted non-GAAP EPS of</w:t>
      </w: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$0.53-$0.60, excluding acquisition-related costs and approximately $0.03-$0.04 per share of equity-based compensation expense, net of related tax effects. Diluted GAAP EPS is expected to be approximately $0.43-$0.51</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Expected revenue growth of 4-6% in fiscal 2011 as compared to fiscal 2010</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$113 million of ordinary shares during the first fiscal quarter</w:t>
      </w:r>
    </w:p>
    <w:p>
      <w:pPr>
        <w:spacing w:after="0" w:line="82"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b w:val="1"/>
          <w:bCs w:val="1"/>
          <w:color w:val="auto"/>
        </w:rPr>
        <w:t xml:space="preserve">ST. LOUIS — January 25, 2011 </w:t>
      </w:r>
      <w:r>
        <w:rPr>
          <w:rFonts w:ascii="Arial" w:cs="Arial" w:eastAsia="Arial" w:hAnsi="Arial"/>
          <w:sz w:val="18"/>
          <w:szCs w:val="18"/>
          <w:color w:val="auto"/>
        </w:rPr>
        <w:t>— Amdocs Limited (NYSE: DOX) today reported that for its first fiscal quarter ended December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was $775.2 million, up 1.7% sequentially from the fourth fiscal quarter of 2010 and up 6.9% as compared to last year’s first fiscal quarter. Net income on a non-GAAP basis was $99.8 million, or $0.52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line="237" w:lineRule="auto"/>
        <w:rPr>
          <w:sz w:val="20"/>
          <w:szCs w:val="20"/>
          <w:color w:val="auto"/>
        </w:rPr>
      </w:pPr>
      <w:r>
        <w:rPr>
          <w:rFonts w:ascii="Arial" w:cs="Arial" w:eastAsia="Arial" w:hAnsi="Arial"/>
          <w:sz w:val="18"/>
          <w:szCs w:val="18"/>
          <w:color w:val="auto"/>
        </w:rPr>
        <w:t>compared to non-GAAP net income of $113.1 million, or $ 0.55 per diluted share, in the first quarter of fiscal 2010. Non-GAAP net income excludes amortization of purchased intangible assets and other acquisition related costs and equity-based compensation expenses of $26.4 million, net of related tax effects, in the first quarter of fiscal 2011 and excludes such amortization and equity-based compensation expenses of $24.8 million, net of related tax effects, in the first quarter of fiscal 2010. The Company’s GAAP net income for the first quarter of fiscal 2011 was $73.4 million, or $0.38 per diluted share, compared to GAAP net income of $88.4 million, or $0.43 per diluted share, in the prior year’s first quarter.</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performance in the first fiscal quarter of 2011 reflects continued revenue growth for Amdocs as a result of healthy demand trends. Additionally, consistent with our guidance, the results reflect a decline in the operating margin due to the effects of several of the current investment initiatives we had cited last quarter, including the one-time impact of winning the strategic emerging markets contract. Furthermore, we made progress over the course of the first quarter with some of our key near-term challenges while sharpening our focus on the long-term growth initiatives of the company,” said Eli Gelman, chief executive officer of Amdocs Management Limited.</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Gelman continued, “Specific to the discussion of near-term profitability, we have important updates on the progress we made against several initiatives and issues that we shared last quarter, including:</w:t>
      </w:r>
    </w:p>
    <w:p>
      <w:pPr>
        <w:spacing w:after="0" w:line="89" w:lineRule="exact"/>
        <w:rPr>
          <w:sz w:val="20"/>
          <w:szCs w:val="20"/>
          <w:color w:val="auto"/>
        </w:rPr>
      </w:pPr>
    </w:p>
    <w:p>
      <w:pPr>
        <w:ind w:left="660" w:right="220" w:hanging="436"/>
        <w:spacing w:after="0" w:line="23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 we are pleased to report that in the first fiscal quarter we won the agreement with the emerging markets customer that we referenced in our November 3, 2010 earnings announcement. While this agreement resulted in a non-recurring upfront expense, it significantly expands a strategic relationship with a key global service provider and, we believe, opens an even larger opportunity for long-term growth in the region in which the emerging markets customer operates.</w:t>
      </w:r>
    </w:p>
    <w:p>
      <w:pPr>
        <w:spacing w:after="0" w:line="107" w:lineRule="exact"/>
        <w:rPr>
          <w:rFonts w:ascii="Arial" w:cs="Arial" w:eastAsia="Arial" w:hAnsi="Arial"/>
          <w:sz w:val="18"/>
          <w:szCs w:val="18"/>
          <w:b w:val="1"/>
          <w:bCs w:val="1"/>
          <w:color w:val="auto"/>
        </w:rPr>
      </w:pPr>
    </w:p>
    <w:p>
      <w:pPr>
        <w:ind w:left="660" w:right="200" w:hanging="436"/>
        <w:spacing w:after="0" w:line="24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Second, we successfully re-scoped our contract with Clearwire to address the changes in the customer’s strategic direction. Amdocs and Clearwire continue to maintain a strong, long-term managed services relationship.</w:t>
      </w:r>
    </w:p>
    <w:p>
      <w:pPr>
        <w:spacing w:after="0" w:line="102" w:lineRule="exact"/>
        <w:rPr>
          <w:rFonts w:ascii="Arial" w:cs="Arial" w:eastAsia="Arial" w:hAnsi="Arial"/>
          <w:sz w:val="18"/>
          <w:szCs w:val="18"/>
          <w:b w:val="1"/>
          <w:bCs w:val="1"/>
          <w:color w:val="auto"/>
        </w:rPr>
      </w:pPr>
    </w:p>
    <w:p>
      <w:pPr>
        <w:ind w:left="660" w:right="2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Third, we have begun to realize early benefits in our employee productivity as a result of the focused investments we made in our knowledge base during the first quarter. Given the importance of employee knowledge to our long-term success, we expect to continue making these investments throughout the remainder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6" w:name="page7"/>
    <w:bookmarkEnd w:id="6"/>
    <w:p>
      <w:pPr>
        <w:ind w:left="660" w:right="28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Lastly, we made important progress with key customer implementations during the first quarter, including in the cable industry; however, we are still engaged in some of the industry’s most complex projects which may require continued investment in the near-term.”</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Gelman concluded, “After my first quarter as CEO, I am even more excited about the opportunities in front of Amdocs. Furthermore, I have greater confidence that we have both identified and are appropriately addressing our near-term challenges while focusing the company on the growth potential ahead of us. Looking forward, we now expect revenue to grow in the range of 4-6% in fiscal 2011 as compared to fiscal 2010. In addition, we expect profitability to improve during the fiscal year as we begin to realize the benefits of our internal and customer-focused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Free cash flow was $127 million for the quarter, comprised of cash flow from operations of $162 million less approximately $35 million in net capital expenditures and other.</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$2.56 billion at the end of the first quarter of fiscal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expects that revenue for the second quarter of fiscal 2011 will be approximately $775-$790 million. Diluted earnings per share on a non-GAAP basis for the second quarter are expected to be $ 0.53-$0.60, excluding acquisition-related costs and approximately $ 0.03-$0.04 per share of equity-based compensation expense, net of related tax effects. Amdocs estimates GAAP diluted earnings per share for the second quarter will be $0.43-$0.51.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Amdocs will host a conference call on January 25, 2011 at 5:00 p.m. Eastern Time to discuss the Company’s first quarter results. The call will be carried live on the Internet via the Amdocs website, www.amdocs.com.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release includes non-GAAP diluted earnings per share and other non-GAAP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 w:name="page8"/>
    <w:bookmarkEnd w:id="7"/>
    <w:p>
      <w:pPr>
        <w:ind w:right="240"/>
        <w:spacing w:after="0"/>
        <w:rPr>
          <w:sz w:val="20"/>
          <w:szCs w:val="20"/>
          <w:color w:val="auto"/>
        </w:rPr>
      </w:pPr>
      <w:r>
        <w:rPr>
          <w:rFonts w:ascii="Arial" w:cs="Arial" w:eastAsia="Arial" w:hAnsi="Arial"/>
          <w:sz w:val="18"/>
          <w:szCs w:val="18"/>
          <w:color w:val="auto"/>
        </w:rPr>
        <w:t>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95"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8" w:name="page9"/>
    <w:bookmarkEnd w:id="8"/>
    <w:p>
      <w:pPr>
        <w:ind w:right="600"/>
        <w:spacing w:after="0" w:line="246" w:lineRule="auto"/>
        <w:rPr>
          <w:sz w:val="20"/>
          <w:szCs w:val="20"/>
          <w:color w:val="auto"/>
        </w:rPr>
      </w:pPr>
      <w:r>
        <w:rPr>
          <w:rFonts w:ascii="Arial" w:cs="Arial" w:eastAsia="Arial" w:hAnsi="Arial"/>
          <w:sz w:val="18"/>
          <w:szCs w:val="18"/>
          <w:color w:val="auto"/>
        </w:rPr>
        <w:t>of the expenses between companies can vary greatly depending on the assumptions used by an individual company in determining the amounts of the expenses.</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approximately $3.0 billion in fiscal 2010, Amdocs has over 19,000 employees and serves customers in more than 60 countries worldwide. For more information, visit Amdocs at www.amdocs.com.</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9" w:name="page10"/>
    <w:bookmarkEnd w:id="9"/>
    <w:p>
      <w:pPr>
        <w:spacing w:after="0" w:line="239" w:lineRule="auto"/>
        <w:rPr>
          <w:sz w:val="20"/>
          <w:szCs w:val="20"/>
          <w:color w:val="auto"/>
        </w:rPr>
      </w:pPr>
      <w:r>
        <w:rPr>
          <w:rFonts w:ascii="Arial" w:cs="Arial" w:eastAsia="Arial" w:hAnsi="Arial"/>
          <w:sz w:val="18"/>
          <w:szCs w:val="18"/>
          <w:color w:val="auto"/>
        </w:rPr>
        <w:t>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2010 filed on December 7, 2010.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234" w:lineRule="auto"/>
        <w:rPr>
          <w:sz w:val="20"/>
          <w:szCs w:val="20"/>
          <w:color w:val="auto"/>
        </w:rPr>
      </w:pPr>
      <w:r>
        <w:rPr>
          <w:rFonts w:ascii="Arial" w:cs="Arial" w:eastAsia="Arial" w:hAnsi="Arial"/>
          <w:sz w:val="18"/>
          <w:szCs w:val="18"/>
          <w:color w:val="auto"/>
        </w:rPr>
        <w:t>Vice President of Investor Relations</w:t>
      </w:r>
    </w:p>
    <w:p>
      <w:pPr>
        <w:spacing w:after="0" w:line="235" w:lineRule="auto"/>
        <w:rPr>
          <w:sz w:val="20"/>
          <w:szCs w:val="20"/>
          <w:color w:val="auto"/>
        </w:rPr>
      </w:pPr>
      <w:r>
        <w:rPr>
          <w:rFonts w:ascii="Arial" w:cs="Arial" w:eastAsia="Arial" w:hAnsi="Arial"/>
          <w:sz w:val="18"/>
          <w:szCs w:val="18"/>
          <w:color w:val="auto"/>
        </w:rPr>
        <w:t>Amdocs</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29,906</w:t>
            </w:r>
          </w:p>
        </w:tc>
        <w:tc>
          <w:tcPr>
            <w:tcW w:w="6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2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745,275</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700,661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775,181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724,811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508,138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462,215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54,992</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104,357</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 and other</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19,410</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687,597</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625,662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87,584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99,149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2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3,117</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84,467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98,434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11,076</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73,391</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share</w:t>
            </w: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0.38</w:t>
            </w:r>
          </w:p>
        </w:tc>
        <w:tc>
          <w:tcPr>
            <w:tcW w:w="6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2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191,599</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205,430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2"/>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192,969</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8"/>
              </w:rPr>
              <w:t>206,656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67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775,181</w:t>
            </w:r>
          </w:p>
        </w:tc>
        <w:tc>
          <w:tcPr>
            <w:tcW w:w="112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w w:val="95"/>
              </w:rPr>
              <w:t>724,811</w:t>
            </w:r>
          </w:p>
        </w:tc>
        <w:tc>
          <w:tcPr>
            <w:tcW w:w="0" w:type="dxa"/>
            <w:vAlign w:val="bottom"/>
          </w:tcPr>
          <w:p>
            <w:pPr>
              <w:spacing w:after="0"/>
              <w:rPr>
                <w:sz w:val="1"/>
                <w:szCs w:val="1"/>
                <w:color w:val="auto"/>
              </w:rPr>
            </w:pPr>
          </w:p>
        </w:tc>
      </w:tr>
      <w:tr>
        <w:trPr>
          <w:trHeight w:val="419"/>
        </w:trPr>
        <w:tc>
          <w:tcPr>
            <w:tcW w:w="832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120,268</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95"/>
              </w:rPr>
              <w:t>131,321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99,769</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w w:val="95"/>
              </w:rPr>
              <w:t>113,127</w:t>
            </w:r>
          </w:p>
        </w:tc>
        <w:tc>
          <w:tcPr>
            <w:tcW w:w="0" w:type="dxa"/>
            <w:vAlign w:val="bottom"/>
          </w:tcPr>
          <w:p>
            <w:pPr>
              <w:spacing w:after="0"/>
              <w:rPr>
                <w:sz w:val="1"/>
                <w:szCs w:val="1"/>
                <w:color w:val="auto"/>
              </w:rPr>
            </w:pPr>
          </w:p>
        </w:tc>
      </w:tr>
      <w:tr>
        <w:trPr>
          <w:trHeight w:val="419"/>
        </w:trPr>
        <w:tc>
          <w:tcPr>
            <w:tcW w:w="832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192,969</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w w:val="95"/>
              </w:rPr>
              <w:t>206,656</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rPr>
              <w:t>December 31, 2010</w:t>
            </w: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center"/>
              <w:ind w:right="232"/>
              <w:spacing w:after="0" w:line="155" w:lineRule="exact"/>
              <w:rPr>
                <w:sz w:val="20"/>
                <w:szCs w:val="20"/>
                <w:color w:val="auto"/>
              </w:rPr>
            </w:pPr>
            <w:r>
              <w:rPr>
                <w:rFonts w:ascii="Arial" w:cs="Arial" w:eastAsia="Arial" w:hAnsi="Arial"/>
                <w:sz w:val="14"/>
                <w:szCs w:val="14"/>
                <w:b w:val="1"/>
                <w:bCs w:val="1"/>
                <w:color w:val="auto"/>
              </w:rPr>
              <w:t>Reconciliation items</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 of</w:t>
            </w: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w:t>
            </w:r>
          </w:p>
        </w:tc>
        <w:tc>
          <w:tcPr>
            <w:tcW w:w="2040" w:type="dxa"/>
            <w:vAlign w:val="bottom"/>
            <w:gridSpan w:val="2"/>
          </w:tcPr>
          <w:p>
            <w:pPr>
              <w:jc w:val="center"/>
              <w:ind w:left="222"/>
              <w:spacing w:after="0"/>
              <w:rPr>
                <w:sz w:val="20"/>
                <w:szCs w:val="20"/>
                <w:color w:val="auto"/>
              </w:rPr>
            </w:pPr>
            <w:r>
              <w:rPr>
                <w:rFonts w:ascii="Arial" w:cs="Arial" w:eastAsia="Arial" w:hAnsi="Arial"/>
                <w:sz w:val="14"/>
                <w:szCs w:val="14"/>
                <w:b w:val="1"/>
                <w:bCs w:val="1"/>
                <w:color w:val="auto"/>
              </w:rPr>
              <w:t>Equity based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 assets</w:t>
            </w:r>
          </w:p>
        </w:tc>
        <w:tc>
          <w:tcPr>
            <w:tcW w:w="204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rPr>
              <w:t>Compensation</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GAAP</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b w:val="1"/>
                <w:bCs w:val="1"/>
                <w:color w:val="auto"/>
              </w:rPr>
              <w:t>expense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Tax effect</w:t>
            </w:r>
          </w:p>
        </w:tc>
        <w:tc>
          <w:tcPr>
            <w:tcW w:w="15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700</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700</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w w:val="98"/>
              </w:rPr>
              <w:t>508,138</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(4,484)</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503,654</w:t>
            </w:r>
          </w:p>
        </w:tc>
      </w:tr>
      <w:tr>
        <w:trPr>
          <w:trHeight w:val="203"/>
        </w:trPr>
        <w:tc>
          <w:tcPr>
            <w:tcW w:w="20" w:type="dxa"/>
            <w:vAlign w:val="bottom"/>
          </w:tcPr>
          <w:p>
            <w:pPr>
              <w:spacing w:after="0"/>
              <w:rPr>
                <w:sz w:val="17"/>
                <w:szCs w:val="17"/>
                <w:color w:val="auto"/>
              </w:rPr>
            </w:pPr>
          </w:p>
        </w:tc>
        <w:tc>
          <w:tcPr>
            <w:tcW w:w="3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24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54,992</w:t>
            </w:r>
          </w:p>
        </w:tc>
        <w:tc>
          <w:tcPr>
            <w:tcW w:w="520" w:type="dxa"/>
            <w:vAlign w:val="bottom"/>
          </w:tcPr>
          <w:p>
            <w:pPr>
              <w:spacing w:after="0"/>
              <w:rPr>
                <w:sz w:val="17"/>
                <w:szCs w:val="17"/>
                <w:color w:val="auto"/>
              </w:rPr>
            </w:pP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1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(849)</w:t>
            </w:r>
          </w:p>
        </w:tc>
        <w:tc>
          <w:tcPr>
            <w:tcW w:w="500" w:type="dxa"/>
            <w:vAlign w:val="bottom"/>
          </w:tcPr>
          <w:p>
            <w:pPr>
              <w:spacing w:after="0"/>
              <w:rPr>
                <w:sz w:val="17"/>
                <w:szCs w:val="17"/>
                <w:color w:val="auto"/>
              </w:rPr>
            </w:pPr>
          </w:p>
        </w:tc>
        <w:tc>
          <w:tcPr>
            <w:tcW w:w="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54,143</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w w:val="98"/>
              </w:rPr>
              <w:t>104,357</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(7,941)</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96,416</w:t>
            </w: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400"/>
              <w:spacing w:after="0" w:line="203" w:lineRule="exact"/>
              <w:rPr>
                <w:sz w:val="20"/>
                <w:szCs w:val="20"/>
                <w:color w:val="auto"/>
              </w:rPr>
            </w:pPr>
            <w:r>
              <w:rPr>
                <w:rFonts w:ascii="Arial" w:cs="Arial" w:eastAsia="Arial" w:hAnsi="Arial"/>
                <w:sz w:val="18"/>
                <w:szCs w:val="18"/>
                <w:color w:val="auto"/>
              </w:rPr>
              <w:t>assets and other</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line="203" w:lineRule="exact"/>
              <w:rPr>
                <w:sz w:val="20"/>
                <w:szCs w:val="20"/>
                <w:color w:val="auto"/>
              </w:rPr>
            </w:pPr>
            <w:r>
              <w:rPr>
                <w:rFonts w:ascii="Arial" w:cs="Arial" w:eastAsia="Arial" w:hAnsi="Arial"/>
                <w:sz w:val="18"/>
                <w:szCs w:val="18"/>
                <w:color w:val="auto"/>
              </w:rPr>
              <w:t>19,410</w:t>
            </w:r>
          </w:p>
        </w:tc>
        <w:tc>
          <w:tcPr>
            <w:tcW w:w="1540" w:type="dxa"/>
            <w:vAlign w:val="bottom"/>
            <w:tcBorders>
              <w:bottom w:val="single" w:sz="8" w:color="auto"/>
            </w:tcBorders>
            <w:gridSpan w:val="2"/>
          </w:tcPr>
          <w:p>
            <w:pPr>
              <w:jc w:val="right"/>
              <w:ind w:right="270"/>
              <w:spacing w:after="0" w:line="203" w:lineRule="exact"/>
              <w:rPr>
                <w:sz w:val="20"/>
                <w:szCs w:val="20"/>
                <w:color w:val="auto"/>
              </w:rPr>
            </w:pPr>
            <w:r>
              <w:rPr>
                <w:rFonts w:ascii="Arial" w:cs="Arial" w:eastAsia="Arial" w:hAnsi="Arial"/>
                <w:sz w:val="18"/>
                <w:szCs w:val="18"/>
                <w:color w:val="auto"/>
              </w:rPr>
              <w:t>(19,410)</w:t>
            </w: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w w:val="98"/>
              </w:rPr>
              <w:t>687,597</w:t>
            </w:r>
          </w:p>
        </w:tc>
        <w:tc>
          <w:tcPr>
            <w:tcW w:w="1540" w:type="dxa"/>
            <w:vAlign w:val="bottom"/>
            <w:tcBorders>
              <w:bottom w:val="single" w:sz="8" w:color="auto"/>
            </w:tcBorders>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(19,410)</w:t>
            </w:r>
          </w:p>
        </w:tc>
        <w:tc>
          <w:tcPr>
            <w:tcW w:w="2040" w:type="dxa"/>
            <w:vAlign w:val="bottom"/>
            <w:tcBorders>
              <w:bottom w:val="single" w:sz="8" w:color="auto"/>
            </w:tcBorders>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(13,274)</w:t>
            </w: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654,913</w:t>
            </w:r>
          </w:p>
        </w:tc>
      </w:tr>
      <w:tr>
        <w:trPr>
          <w:trHeight w:val="210"/>
        </w:trPr>
        <w:tc>
          <w:tcPr>
            <w:tcW w:w="36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87,584</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19,410</w:t>
            </w: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13,274</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120,268</w:t>
            </w:r>
          </w:p>
        </w:tc>
      </w:tr>
      <w:tr>
        <w:trPr>
          <w:trHeight w:val="217"/>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11,076</w:t>
            </w: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6,306</w:t>
            </w:r>
          </w:p>
        </w:tc>
        <w:tc>
          <w:tcPr>
            <w:tcW w:w="6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17,382</w:t>
            </w:r>
          </w:p>
        </w:tc>
      </w:tr>
      <w:tr>
        <w:trPr>
          <w:trHeight w:val="210"/>
        </w:trPr>
        <w:tc>
          <w:tcPr>
            <w:tcW w:w="36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73,391</w:t>
            </w:r>
          </w:p>
        </w:tc>
        <w:tc>
          <w:tcPr>
            <w:tcW w:w="15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$ 19,410</w:t>
            </w:r>
          </w:p>
        </w:tc>
        <w:tc>
          <w:tcPr>
            <w:tcW w:w="204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color w:val="auto"/>
              </w:rPr>
              <w:t>$ 13,274</w:t>
            </w: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$(6,306)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99,769</w:t>
            </w:r>
          </w:p>
        </w:tc>
      </w:tr>
      <w:tr>
        <w:trPr>
          <w:trHeight w:val="3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rPr>
              <w:t>December 31, 2009</w:t>
            </w: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center"/>
              <w:ind w:right="232"/>
              <w:spacing w:after="0" w:line="155" w:lineRule="exact"/>
              <w:rPr>
                <w:sz w:val="20"/>
                <w:szCs w:val="20"/>
                <w:color w:val="auto"/>
              </w:rPr>
            </w:pPr>
            <w:r>
              <w:rPr>
                <w:rFonts w:ascii="Arial" w:cs="Arial" w:eastAsia="Arial" w:hAnsi="Arial"/>
                <w:sz w:val="14"/>
                <w:szCs w:val="14"/>
                <w:b w:val="1"/>
                <w:bCs w:val="1"/>
                <w:color w:val="auto"/>
              </w:rPr>
              <w:t>Reconciliation items</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 of</w:t>
            </w: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purchased</w:t>
            </w:r>
          </w:p>
        </w:tc>
        <w:tc>
          <w:tcPr>
            <w:tcW w:w="204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rPr>
              <w:t>Equity based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intangible assets</w:t>
            </w:r>
          </w:p>
        </w:tc>
        <w:tc>
          <w:tcPr>
            <w:tcW w:w="204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rPr>
              <w:t>compensation</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GAAP</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w w:val="99"/>
              </w:rPr>
              <w:t>expense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Tax effect</w:t>
            </w:r>
          </w:p>
        </w:tc>
        <w:tc>
          <w:tcPr>
            <w:tcW w:w="15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442</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442</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w w:val="98"/>
              </w:rPr>
              <w:t>462,215</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(4,785)</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457,430</w:t>
            </w:r>
          </w:p>
        </w:tc>
      </w:tr>
      <w:tr>
        <w:trPr>
          <w:trHeight w:val="203"/>
        </w:trPr>
        <w:tc>
          <w:tcPr>
            <w:tcW w:w="20" w:type="dxa"/>
            <w:vAlign w:val="bottom"/>
          </w:tcPr>
          <w:p>
            <w:pPr>
              <w:spacing w:after="0"/>
              <w:rPr>
                <w:sz w:val="17"/>
                <w:szCs w:val="17"/>
                <w:color w:val="auto"/>
              </w:rPr>
            </w:pPr>
          </w:p>
        </w:tc>
        <w:tc>
          <w:tcPr>
            <w:tcW w:w="3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24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50,106</w:t>
            </w:r>
          </w:p>
        </w:tc>
        <w:tc>
          <w:tcPr>
            <w:tcW w:w="520" w:type="dxa"/>
            <w:vAlign w:val="bottom"/>
          </w:tcPr>
          <w:p>
            <w:pPr>
              <w:spacing w:after="0"/>
              <w:rPr>
                <w:sz w:val="17"/>
                <w:szCs w:val="17"/>
                <w:color w:val="auto"/>
              </w:rPr>
            </w:pP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1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(1,133)</w:t>
            </w:r>
          </w:p>
        </w:tc>
        <w:tc>
          <w:tcPr>
            <w:tcW w:w="500" w:type="dxa"/>
            <w:vAlign w:val="bottom"/>
          </w:tcPr>
          <w:p>
            <w:pPr>
              <w:spacing w:after="0"/>
              <w:rPr>
                <w:sz w:val="17"/>
                <w:szCs w:val="17"/>
                <w:color w:val="auto"/>
              </w:rPr>
            </w:pPr>
          </w:p>
        </w:tc>
        <w:tc>
          <w:tcPr>
            <w:tcW w:w="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48,973</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91,580</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(4,935)</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86,645</w:t>
            </w: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400"/>
              <w:spacing w:after="0" w:line="203" w:lineRule="exact"/>
              <w:rPr>
                <w:sz w:val="20"/>
                <w:szCs w:val="20"/>
                <w:color w:val="auto"/>
              </w:rPr>
            </w:pPr>
            <w:r>
              <w:rPr>
                <w:rFonts w:ascii="Arial" w:cs="Arial" w:eastAsia="Arial" w:hAnsi="Arial"/>
                <w:sz w:val="18"/>
                <w:szCs w:val="18"/>
                <w:color w:val="auto"/>
              </w:rPr>
              <w:t>assets and other</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line="203" w:lineRule="exact"/>
              <w:rPr>
                <w:sz w:val="20"/>
                <w:szCs w:val="20"/>
                <w:color w:val="auto"/>
              </w:rPr>
            </w:pPr>
            <w:r>
              <w:rPr>
                <w:rFonts w:ascii="Arial" w:cs="Arial" w:eastAsia="Arial" w:hAnsi="Arial"/>
                <w:sz w:val="18"/>
                <w:szCs w:val="18"/>
                <w:color w:val="auto"/>
              </w:rPr>
              <w:t>21,319</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5"/>
              </w:rPr>
              <w:t>(21,319)</w:t>
            </w: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w w:val="98"/>
              </w:rPr>
              <w:t>625,662</w:t>
            </w: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95"/>
              </w:rPr>
              <w:t>(21,319)</w:t>
            </w:r>
          </w:p>
        </w:tc>
        <w:tc>
          <w:tcPr>
            <w:tcW w:w="8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w w:val="98"/>
              </w:rPr>
              <w:t>(10,853)</w:t>
            </w: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593,490</w:t>
            </w:r>
          </w:p>
        </w:tc>
      </w:tr>
      <w:tr>
        <w:trPr>
          <w:trHeight w:val="210"/>
        </w:trPr>
        <w:tc>
          <w:tcPr>
            <w:tcW w:w="36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99,149</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21,319</w:t>
            </w: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10,853</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131,321</w:t>
            </w:r>
          </w:p>
        </w:tc>
      </w:tr>
      <w:tr>
        <w:trPr>
          <w:trHeight w:val="217"/>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10,081</w:t>
            </w: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7,398</w:t>
            </w:r>
          </w:p>
        </w:tc>
        <w:tc>
          <w:tcPr>
            <w:tcW w:w="6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17,479</w:t>
            </w:r>
          </w:p>
        </w:tc>
      </w:tr>
      <w:tr>
        <w:trPr>
          <w:trHeight w:val="210"/>
        </w:trPr>
        <w:tc>
          <w:tcPr>
            <w:tcW w:w="36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c>
          <w:tcPr>
            <w:tcW w:w="1500" w:type="dxa"/>
            <w:vAlign w:val="bottom"/>
            <w:tcBorders>
              <w:bottom w:val="single" w:sz="8" w:color="auto"/>
            </w:tcBorders>
            <w:gridSpan w:val="2"/>
          </w:tcPr>
          <w:p>
            <w:pPr>
              <w:spacing w:after="0"/>
              <w:rPr>
                <w:sz w:val="18"/>
                <w:szCs w:val="18"/>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88,353</w:t>
            </w:r>
          </w:p>
        </w:tc>
        <w:tc>
          <w:tcPr>
            <w:tcW w:w="15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$ 21,319</w:t>
            </w:r>
          </w:p>
        </w:tc>
        <w:tc>
          <w:tcPr>
            <w:tcW w:w="20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color w:val="auto"/>
              </w:rPr>
              <w:t>$ 10,853</w:t>
            </w: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$(7,398)</w:t>
            </w:r>
          </w:p>
        </w:tc>
        <w:tc>
          <w:tcPr>
            <w:tcW w:w="15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$113,127</w:t>
            </w:r>
          </w:p>
        </w:tc>
      </w:tr>
      <w:tr>
        <w:trPr>
          <w:trHeight w:val="625"/>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2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1,251,639</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1,433,299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$65,634 and $62,246, respectively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547,867</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137,879</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156,720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2,094,105</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2,251,799</w:t>
            </w:r>
          </w:p>
        </w:tc>
        <w:tc>
          <w:tcPr>
            <w:tcW w:w="0" w:type="dxa"/>
            <w:vAlign w:val="bottom"/>
          </w:tcPr>
          <w:p>
            <w:pPr>
              <w:spacing w:after="0"/>
              <w:rPr>
                <w:sz w:val="1"/>
                <w:szCs w:val="1"/>
                <w:color w:val="auto"/>
              </w:rPr>
            </w:pP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250,902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1,836,722</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1,856,178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465,614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4,647,343</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4,820,604</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Accounts payable, accruals and other</w:t>
            </w:r>
          </w:p>
        </w:tc>
        <w:tc>
          <w:tcPr>
            <w:tcW w:w="1260" w:type="dxa"/>
            <w:vAlign w:val="bottom"/>
            <w:gridSpan w:val="2"/>
          </w:tcPr>
          <w:p>
            <w:pPr>
              <w:ind w:left="11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614,148</w:t>
            </w:r>
          </w:p>
        </w:tc>
        <w:tc>
          <w:tcPr>
            <w:tcW w:w="7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621,549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financing arrangements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216,258</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16,457</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846,863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1,024,147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581,508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567,077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3,218,972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3,229,380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2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4,647,343</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4,820,604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73,391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net income to net cash provided by operating activities: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49,153</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Equity-based compensation expense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6,903</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Loss (gain) from short-term interest-bearing investments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832</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changes in operating assets and liabilities, net of amounts acquired: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34,330</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(40,891)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(26,751)</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accrued expenses and accrued personnel</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5,462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39,015</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10,122</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162,301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193,507</w:t>
            </w:r>
          </w:p>
        </w:tc>
        <w:tc>
          <w:tcPr>
            <w:tcW w:w="0" w:type="dxa"/>
            <w:vAlign w:val="bottom"/>
          </w:tcPr>
          <w:p>
            <w:pPr>
              <w:spacing w:after="0"/>
              <w:rPr>
                <w:sz w:val="1"/>
                <w:szCs w:val="1"/>
                <w:color w:val="auto"/>
              </w:rPr>
            </w:pPr>
          </w:p>
        </w:tc>
      </w:tr>
      <w:tr>
        <w:trPr>
          <w:trHeight w:val="41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for purchase of equipment and leasehold improvements, net</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(35,340)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Proceeds from sale of short-term interest-bearing investments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124,797</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278,183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short-term interest-bearing investments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(88,605)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(348,662)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 cash paid for acquisitions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Payments under financing arrangements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shares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(113,431)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options exercised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13,845</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under capital lease, short-term financing arrangements and other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(299,814)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(144,333)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1,036,195</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891,862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320"/>
              <w:spacing w:after="0" w:line="143"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2"/>
                <w:szCs w:val="12"/>
                <w:color w:val="auto"/>
              </w:rPr>
            </w:pPr>
          </w:p>
        </w:tc>
        <w:tc>
          <w:tcPr>
            <w:tcW w:w="130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320"/>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564.6</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569.7</w:t>
            </w:r>
          </w:p>
        </w:tc>
        <w:tc>
          <w:tcPr>
            <w:tcW w:w="70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572.3</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572.4</w:t>
            </w:r>
          </w:p>
        </w:tc>
        <w:tc>
          <w:tcPr>
            <w:tcW w:w="5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91.0</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80.6</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 of World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101.5</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762.2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753.2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744.0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320"/>
              <w:spacing w:after="0" w:line="143"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2"/>
                <w:szCs w:val="12"/>
                <w:color w:val="auto"/>
              </w:rPr>
            </w:pPr>
          </w:p>
        </w:tc>
        <w:tc>
          <w:tcPr>
            <w:tcW w:w="130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320"/>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Customer Experience Systems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725.4</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714.9</w:t>
            </w:r>
          </w:p>
        </w:tc>
        <w:tc>
          <w:tcPr>
            <w:tcW w:w="70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693.0</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689.0</w:t>
            </w:r>
          </w:p>
        </w:tc>
        <w:tc>
          <w:tcPr>
            <w:tcW w:w="5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Directory</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60.2</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762.2</w:t>
            </w:r>
          </w:p>
        </w:tc>
        <w:tc>
          <w:tcPr>
            <w:tcW w:w="7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753.2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744.0</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320"/>
              <w:spacing w:after="0" w:line="143"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2"/>
                <w:szCs w:val="12"/>
                <w:color w:val="auto"/>
              </w:rPr>
            </w:pPr>
          </w:p>
        </w:tc>
        <w:tc>
          <w:tcPr>
            <w:tcW w:w="130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320"/>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2,560</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2,525</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2,470</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2019-12-10T18:09:52Z</dcterms:created>
  <dcterms:modified xsi:type="dcterms:W3CDTF">2019-12-10T18:09:52Z</dcterms:modified>
</cp:coreProperties>
</file>