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OMB APPROVAL</w:t>
      </w:r>
    </w:p>
    <w:p>
      <w:pPr>
        <w:ind w:left="2640"/>
        <w:spacing w:after="0"/>
        <w:rPr>
          <w:sz w:val="20"/>
          <w:szCs w:val="20"/>
          <w:color w:val="auto"/>
        </w:rPr>
      </w:pPr>
      <w:r>
        <w:rPr>
          <w:rFonts w:ascii="Courier New" w:cs="Courier New" w:eastAsia="Courier New" w:hAnsi="Courier New"/>
          <w:sz w:val="18"/>
          <w:szCs w:val="18"/>
          <w:color w:val="auto"/>
        </w:rPr>
        <w:t>----------------------------</w:t>
      </w:r>
    </w:p>
    <w:p>
      <w:pPr>
        <w:ind w:left="2320"/>
        <w:spacing w:after="0"/>
        <w:tabs>
          <w:tab w:leader="none" w:pos="462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2860"/>
        <w:spacing w:after="0" w:line="238" w:lineRule="auto"/>
        <w:rPr>
          <w:sz w:val="20"/>
          <w:szCs w:val="20"/>
          <w:color w:val="auto"/>
        </w:rPr>
      </w:pPr>
      <w:r>
        <w:rPr>
          <w:rFonts w:ascii="Courier New" w:cs="Courier New" w:eastAsia="Courier New" w:hAnsi="Courier New"/>
          <w:sz w:val="18"/>
          <w:szCs w:val="18"/>
          <w:color w:val="auto"/>
        </w:rPr>
        <w:t>Expires: February 28, 2009</w:t>
      </w:r>
    </w:p>
    <w:p>
      <w:pPr>
        <w:ind w:left="2960"/>
        <w:spacing w:after="0"/>
        <w:rPr>
          <w:sz w:val="20"/>
          <w:szCs w:val="20"/>
          <w:color w:val="auto"/>
        </w:rPr>
      </w:pPr>
      <w:r>
        <w:rPr>
          <w:rFonts w:ascii="Courier New" w:cs="Courier New" w:eastAsia="Courier New" w:hAnsi="Courier New"/>
          <w:sz w:val="18"/>
          <w:szCs w:val="18"/>
          <w:color w:val="auto"/>
        </w:rPr>
        <w:t>Estimated average burden</w:t>
      </w:r>
    </w:p>
    <w:p>
      <w:pPr>
        <w:ind w:left="2320"/>
        <w:spacing w:after="0" w:line="237" w:lineRule="auto"/>
        <w:rPr>
          <w:sz w:val="20"/>
          <w:szCs w:val="20"/>
          <w:color w:val="auto"/>
        </w:rPr>
      </w:pPr>
      <w:r>
        <w:rPr>
          <w:rFonts w:ascii="Courier New" w:cs="Courier New" w:eastAsia="Courier New" w:hAnsi="Courier New"/>
          <w:sz w:val="18"/>
          <w:szCs w:val="18"/>
          <w:color w:val="auto"/>
        </w:rPr>
        <w:t>hours per response ....... 14.5</w:t>
      </w: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__2__)*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Ltd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G02602103</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January 30, 2009</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information required in the remainder of this cover page shall not be deemed to be "filed" or the purpose of Section 18 of the Securities Exchange Act of 1934 ("Act")or otherwise subject to the liabilities of that section of the Act but shall be subject to all other provisions of the Act (however, see the Notes).</w:t>
      </w:r>
    </w:p>
    <w:p>
      <w:pPr>
        <w:spacing w:after="0" w:line="182" w:lineRule="exact"/>
        <w:rPr>
          <w:sz w:val="24"/>
          <w:szCs w:val="24"/>
          <w:color w:val="auto"/>
        </w:rPr>
      </w:pPr>
    </w:p>
    <w:p>
      <w:pPr>
        <w:ind w:left="1280" w:right="1879" w:hanging="315"/>
        <w:spacing w:after="0" w:line="235"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w:t>
      </w:r>
    </w:p>
    <w:p>
      <w:pPr>
        <w:ind w:left="1800"/>
        <w:spacing w:after="0"/>
        <w:rPr>
          <w:sz w:val="20"/>
          <w:szCs w:val="20"/>
          <w:color w:val="auto"/>
        </w:rPr>
      </w:pPr>
      <w:r>
        <w:rPr>
          <w:rFonts w:ascii="Courier New" w:cs="Courier New" w:eastAsia="Courier New" w:hAnsi="Courier New"/>
          <w:sz w:val="18"/>
          <w:szCs w:val="18"/>
          <w:color w:val="auto"/>
        </w:rPr>
        <w:t>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(8-07)</w:t>
      </w: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CUSIP No.G02602103</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 [_]</w:t>
      </w:r>
    </w:p>
    <w:p>
      <w:pPr>
        <w:sectPr>
          <w:pgSz w:w="11900" w:h="16838" w:orient="portrait"/>
          <w:cols w:equalWidth="0" w:num="1">
            <w:col w:w="10219"/>
          </w:cols>
          <w:pgMar w:left="240" w:top="244" w:right="1440" w:bottom="0" w:gutter="0" w:footer="0" w:header="0"/>
        </w:sectPr>
      </w:pPr>
    </w:p>
    <w:bookmarkStart w:id="1" w:name="page2"/>
    <w:bookmarkEnd w:id="1"/>
    <w:p>
      <w:pPr>
        <w:ind w:left="7600"/>
        <w:spacing w:after="0"/>
        <w:rPr>
          <w:sz w:val="20"/>
          <w:szCs w:val="20"/>
          <w:color w:val="auto"/>
        </w:rPr>
      </w:pPr>
      <w:r>
        <w:rPr>
          <w:rFonts w:ascii="Courier New" w:cs="Courier New" w:eastAsia="Courier New" w:hAnsi="Courier New"/>
          <w:sz w:val="18"/>
          <w:szCs w:val="18"/>
          <w:color w:val="auto"/>
        </w:rPr>
        <w:t>(b) [_]</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Fe, New Mexico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19,734,072</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19,734,072</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420"/>
        <w:spacing w:after="0"/>
        <w:tabs>
          <w:tab w:leader="none" w:pos="21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19,734,072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31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9.68%</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3680" w:val="left"/>
          <w:tab w:leader="none" w:pos="588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 __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1(a).  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1(b).  Address of Issuer's Principal Executive Offices:</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Suite 5, Tower Hill House, Le Bordage, St. Peter Port, Island of Guernsey MO GY1 3QT</w:t>
      </w:r>
    </w:p>
    <w:p>
      <w:pPr>
        <w:spacing w:after="0" w:line="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  Name of Person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2(b).  Address of Principal Business Office, or if None, 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 East Marcy Street, Santa Fe, New Mexico 87501</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2(c).  Citizenship: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2(d).  Title of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2(e).  CUSIP Number:G02602103</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419"/>
        <w:spacing w:after="0"/>
        <w:tabs>
          <w:tab w:leader="none" w:pos="4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3. If this statement is filed pursuant to Sections 240.13d-1(b) or</w:t>
      </w:r>
    </w:p>
    <w:p>
      <w:pPr>
        <w:jc w:val="center"/>
        <w:ind w:right="2419"/>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83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480" w:right="325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 (ii)(E);</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480" w:right="241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419" w:hanging="840"/>
        <w:spacing w:after="0" w:line="236"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240.13d-1(b)(1)(ii)(J).</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3680" w:val="left"/>
          <w:tab w:leader="none" w:pos="568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 __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firstLine="211"/>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19,734,072</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9.68%</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19,734,072</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380" w:hanging="635"/>
        <w:spacing w:after="0"/>
        <w:tabs>
          <w:tab w:leader="none" w:pos="13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19,734,072</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3"/>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3" w:lineRule="exact"/>
        <w:rPr>
          <w:sz w:val="20"/>
          <w:szCs w:val="20"/>
          <w:color w:val="auto"/>
        </w:rPr>
      </w:pPr>
    </w:p>
    <w:p>
      <w:pPr>
        <w:ind w:left="860" w:right="1879" w:hanging="859"/>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Certifications.</w:t>
      </w:r>
    </w:p>
    <w:p>
      <w:pPr>
        <w:spacing w:after="0" w:line="207" w:lineRule="exact"/>
        <w:rPr>
          <w:rFonts w:ascii="Courier New" w:cs="Courier New" w:eastAsia="Courier New" w:hAnsi="Courier New"/>
          <w:sz w:val="16"/>
          <w:szCs w:val="16"/>
          <w:color w:val="auto"/>
        </w:rPr>
      </w:pPr>
    </w:p>
    <w:p>
      <w:pPr>
        <w:ind w:left="740" w:right="1999" w:hanging="416"/>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rFonts w:ascii="Courier New" w:cs="Courier New" w:eastAsia="Courier New" w:hAnsi="Courier New"/>
          <w:sz w:val="18"/>
          <w:szCs w:val="18"/>
          <w:color w:val="auto"/>
        </w:rPr>
      </w:pPr>
    </w:p>
    <w:p>
      <w:pPr>
        <w:ind w:left="740" w:right="1999" w:hanging="416"/>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rFonts w:ascii="Courier New" w:cs="Courier New" w:eastAsia="Courier New" w:hAnsi="Courier New"/>
          <w:sz w:val="18"/>
          <w:szCs w:val="18"/>
          <w:color w:val="auto"/>
        </w:rPr>
      </w:pPr>
    </w:p>
    <w:p>
      <w:pPr>
        <w:ind w:left="74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w:t>
      </w:r>
    </w:p>
    <w:p>
      <w:pPr>
        <w:sectPr>
          <w:pgSz w:w="11900" w:h="16838" w:orient="portrait"/>
          <w:cols w:equalWidth="0" w:num="1">
            <w:col w:w="10219"/>
          </w:cols>
          <w:pgMar w:left="240" w:top="919" w:right="1440" w:bottom="0" w:gutter="0" w:footer="0" w:header="0"/>
        </w:sectPr>
      </w:pPr>
    </w:p>
    <w:bookmarkStart w:id="4" w:name="page5"/>
    <w:bookmarkEnd w:id="4"/>
    <w:p>
      <w:pPr>
        <w:ind w:right="1779"/>
        <w:spacing w:after="0" w:line="236" w:lineRule="auto"/>
        <w:rPr>
          <w:sz w:val="20"/>
          <w:szCs w:val="20"/>
          <w:color w:val="auto"/>
        </w:rPr>
      </w:pPr>
      <w:r>
        <w:rPr>
          <w:rFonts w:ascii="Courier New" w:cs="Courier New" w:eastAsia="Courier New" w:hAnsi="Courier New"/>
          <w:sz w:val="18"/>
          <w:szCs w:val="18"/>
          <w:color w:val="auto"/>
        </w:rPr>
        <w:t>of the issuer of the securities and were not acquired and are not held in connection with or as a participant in any transaction having that purpose or effect.</w:t>
      </w:r>
    </w:p>
    <w:p>
      <w:pPr>
        <w:sectPr>
          <w:pgSz w:w="11900" w:h="16838" w:orient="portrait"/>
          <w:cols w:equalWidth="0" w:num="1">
            <w:col w:w="9479"/>
          </w:cols>
          <w:pgMar w:left="980" w:top="142"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February 3, 2009</w:t>
      </w:r>
    </w:p>
    <w:p>
      <w:pPr>
        <w:jc w:val="center"/>
        <w:ind w:left="10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Sophia Franco-Marquez</w:t>
      </w:r>
    </w:p>
    <w:p>
      <w:pPr>
        <w:jc w:val="center"/>
        <w:ind w:left="11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80"/>
        <w:spacing w:after="0"/>
        <w:rPr>
          <w:sz w:val="20"/>
          <w:szCs w:val="20"/>
          <w:color w:val="auto"/>
        </w:rPr>
      </w:pPr>
      <w:r>
        <w:rPr>
          <w:rFonts w:ascii="Courier New" w:cs="Courier New" w:eastAsia="Courier New" w:hAnsi="Courier New"/>
          <w:sz w:val="18"/>
          <w:szCs w:val="18"/>
          <w:color w:val="auto"/>
        </w:rPr>
        <w:t>Sophia Franco-Marquez/Compliance Specialist</w:t>
      </w:r>
    </w:p>
    <w:p>
      <w:pPr>
        <w:jc w:val="center"/>
        <w:ind w:right="-118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exhibits.See Rule 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17">
    <w:nsid w:val="7C83E45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lowerRoman"/>
      <w:start w:val="4"/>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2019-12-10T16:37:16Z</dcterms:created>
  <dcterms:modified xsi:type="dcterms:W3CDTF">2019-12-10T16:37:16Z</dcterms:modified>
</cp:coreProperties>
</file>