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3"/>
          </w:tcPr>
          <w:p>
            <w:pPr>
              <w:jc w:val="center"/>
              <w:ind w:right="2740"/>
              <w:spacing w:after="0"/>
              <w:rPr>
                <w:sz w:val="20"/>
                <w:szCs w:val="20"/>
                <w:color w:val="auto"/>
              </w:rPr>
            </w:pPr>
            <w:r>
              <w:rPr>
                <w:rFonts w:ascii="Arial" w:cs="Arial" w:eastAsia="Arial" w:hAnsi="Arial"/>
                <w:sz w:val="18"/>
                <w:szCs w:val="18"/>
                <w:color w:val="auto"/>
              </w:rPr>
              <w:t>AMDOCS LIMITED</w:t>
            </w:r>
          </w:p>
        </w:tc>
        <w:tc>
          <w:tcPr>
            <w:tcW w:w="20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2"/>
          </w:tcPr>
          <w:p>
            <w:pPr>
              <w:jc w:val="center"/>
              <w:ind w:right="2960"/>
              <w:spacing w:after="0"/>
              <w:rPr>
                <w:sz w:val="20"/>
                <w:szCs w:val="20"/>
                <w:color w:val="auto"/>
              </w:rPr>
            </w:pPr>
            <w:r>
              <w:rPr>
                <w:rFonts w:ascii="Arial" w:cs="Arial" w:eastAsia="Arial" w:hAnsi="Arial"/>
                <w:sz w:val="18"/>
                <w:szCs w:val="18"/>
                <w:color w:val="auto"/>
                <w:w w:val="97"/>
              </w:rPr>
              <w:t>FORM 6-K</w:t>
            </w:r>
          </w:p>
        </w:tc>
        <w:tc>
          <w:tcPr>
            <w:tcW w:w="20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5"/>
          </w:tcPr>
          <w:p>
            <w:pPr>
              <w:jc w:val="center"/>
              <w:ind w:right="1940"/>
              <w:spacing w:after="0"/>
              <w:rPr>
                <w:sz w:val="20"/>
                <w:szCs w:val="20"/>
                <w:color w:val="auto"/>
              </w:rPr>
            </w:pPr>
            <w:r>
              <w:rPr>
                <w:rFonts w:ascii="Arial" w:cs="Arial" w:eastAsia="Arial" w:hAnsi="Arial"/>
                <w:sz w:val="18"/>
                <w:szCs w:val="18"/>
                <w:color w:val="auto"/>
                <w:w w:val="92"/>
              </w:rPr>
              <w:t>REPORT OF FOREIGN PRIVATE ISSUER</w:t>
            </w:r>
          </w:p>
        </w:tc>
        <w:tc>
          <w:tcPr>
            <w:tcW w:w="20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00" w:type="dxa"/>
            <w:vAlign w:val="bottom"/>
            <w:gridSpan w:val="7"/>
          </w:tcPr>
          <w:p>
            <w:pPr>
              <w:jc w:val="center"/>
              <w:ind w:right="1600"/>
              <w:spacing w:after="0"/>
              <w:rPr>
                <w:sz w:val="20"/>
                <w:szCs w:val="20"/>
                <w:color w:val="auto"/>
              </w:rPr>
            </w:pPr>
            <w:r>
              <w:rPr>
                <w:rFonts w:ascii="Arial" w:cs="Arial" w:eastAsia="Arial" w:hAnsi="Arial"/>
                <w:sz w:val="18"/>
                <w:szCs w:val="18"/>
                <w:color w:val="auto"/>
                <w:w w:val="94"/>
              </w:rPr>
              <w:t>FOR THE QUARTER ENDED MARCH 31, 2017</w:t>
            </w:r>
          </w:p>
        </w:tc>
        <w:tc>
          <w:tcPr>
            <w:tcW w:w="20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gridSpan w:val="2"/>
          </w:tcPr>
          <w:p>
            <w:pPr>
              <w:jc w:val="center"/>
              <w:ind w:right="2960"/>
              <w:spacing w:after="0"/>
              <w:rPr>
                <w:sz w:val="20"/>
                <w:szCs w:val="20"/>
                <w:color w:val="auto"/>
              </w:rPr>
            </w:pPr>
            <w:r>
              <w:rPr>
                <w:rFonts w:ascii="Arial" w:cs="Arial" w:eastAsia="Arial" w:hAnsi="Arial"/>
                <w:sz w:val="18"/>
                <w:szCs w:val="18"/>
                <w:color w:val="auto"/>
              </w:rPr>
              <w:t>INDEX</w:t>
            </w:r>
          </w:p>
        </w:tc>
        <w:tc>
          <w:tcPr>
            <w:tcW w:w="2000" w:type="dxa"/>
            <w:vAlign w:val="bottom"/>
          </w:tcPr>
          <w:p>
            <w:pPr>
              <w:spacing w:after="0"/>
              <w:rPr>
                <w:sz w:val="20"/>
                <w:szCs w:val="20"/>
                <w:color w:val="auto"/>
              </w:rPr>
            </w:pPr>
          </w:p>
        </w:tc>
      </w:tr>
      <w:tr>
        <w:trPr>
          <w:trHeight w:val="419"/>
        </w:trPr>
        <w:tc>
          <w:tcPr>
            <w:tcW w:w="93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2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200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40" w:type="dxa"/>
            <w:vAlign w:val="bottom"/>
            <w:tcBorders>
              <w:top w:val="single" w:sz="8" w:color="0000EE"/>
            </w:tcBorders>
            <w:gridSpan w:val="3"/>
          </w:tcPr>
          <w:p>
            <w:pPr>
              <w:spacing w:after="0"/>
              <w:rPr>
                <w:sz w:val="17"/>
                <w:szCs w:val="17"/>
                <w:color w:val="auto"/>
              </w:rPr>
            </w:pPr>
          </w:p>
        </w:tc>
        <w:tc>
          <w:tcPr>
            <w:tcW w:w="53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70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3"/>
          </w:tcPr>
          <w:p>
            <w:pPr>
              <w:spacing w:after="0"/>
              <w:rPr>
                <w:sz w:val="17"/>
                <w:szCs w:val="17"/>
                <w:color w:val="auto"/>
              </w:rPr>
            </w:pPr>
          </w:p>
        </w:tc>
        <w:tc>
          <w:tcPr>
            <w:tcW w:w="454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2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34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Operating and Financial Review and Prospects</w:t>
              </w:r>
            </w:hyperlink>
          </w:p>
        </w:tc>
        <w:tc>
          <w:tcPr>
            <w:tcW w:w="506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682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8460" w:type="dxa"/>
            <w:vAlign w:val="bottom"/>
            <w:gridSpan w:val="15"/>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Changes in Securities, Use of Proceeds and Issuer Purchases of Equity Securities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58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Reports on Form 6-K</w:t>
              </w:r>
            </w:hyperlink>
          </w:p>
        </w:tc>
        <w:tc>
          <w:tcPr>
            <w:tcW w:w="260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6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822,728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768,660</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326,726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327,063</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818,531</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186,137</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2,217,923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2,100,391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331,523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331,728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2,199,006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2,211,639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224,880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281,527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406,070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5,415,965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136,675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618,518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611,705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244,299</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173,331</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1,350,993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1,366,010</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227,099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284,685</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1,863,049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1,877,794</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273,011 and 270,997 issued and 146,454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tcPr>
          <w:p>
            <w:pPr>
              <w:ind w:left="540"/>
              <w:spacing w:after="0"/>
              <w:rPr>
                <w:sz w:val="20"/>
                <w:szCs w:val="20"/>
                <w:color w:val="auto"/>
              </w:rPr>
            </w:pPr>
            <w:r>
              <w:rPr>
                <w:rFonts w:ascii="Arial" w:cs="Arial" w:eastAsia="Arial" w:hAnsi="Arial"/>
                <w:sz w:val="18"/>
                <w:szCs w:val="18"/>
                <w:color w:val="auto"/>
              </w:rPr>
              <w:t>147,134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3,411,413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3,322,789</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Treasury stock, at cost 126,557 and 123,863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(4,184,759)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(4,024,527)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4,294,351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4,144,827</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3,552,916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3,453,561</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5,415,965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1,920,736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621,737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600,116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1,242,571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1,195,684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126,198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114,465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114,474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234,022</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56,954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51,854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832,228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805,788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1,665,362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1,607,758</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133,781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120,147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133,313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121,607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112,560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$ 112,560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$107,720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$210,353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$208,562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33,869</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20,082</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22,583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(1,168)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25,528</w:t>
            </w:r>
          </w:p>
        </w:tc>
        <w:tc>
          <w:tcPr>
            <w:tcW w:w="0" w:type="dxa"/>
            <w:vAlign w:val="bottom"/>
          </w:tcPr>
          <w:p>
            <w:pPr>
              <w:spacing w:after="0"/>
              <w:rPr>
                <w:sz w:val="1"/>
                <w:szCs w:val="1"/>
                <w:color w:val="auto"/>
              </w:rPr>
            </w:pPr>
          </w:p>
        </w:tc>
      </w:tr>
      <w:tr>
        <w:trPr>
          <w:trHeight w:val="223"/>
        </w:trPr>
        <w:tc>
          <w:tcPr>
            <w:tcW w:w="77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146,580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129,116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231,768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$(4,595) and $(5,737) for the three months ended March 31, 2017 and 2016, respectively, and of $(91) and $(6,720) for the six months ended March 31, 2017 and 2016, respectively.</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$(1) and $(6) for the three months ended March 31, 2017 and 2016, respectively, and of $3 and $4 for the six months ended March 31, 2017 and 2016,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210,353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109,038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275,354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144,920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(145,737)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(69,052)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(160,232)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(152,234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(407,566)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768,660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822,728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823,456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28,164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integrated products and services. The Company designs, develops, markets, supports, implements and operates customer experience solutions primarily for leading wireless, wireline, broadband, cable and satellite service providers throughout the world.</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2016, set forth in the Company’s Annual Report on Form 20-F filed on December 12, 2016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the Company’s annual or any interim goodwill impairment tests in fiscal year 2021 and thereafter.</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the Company beginning in the first quarter of fiscal year 2019, and early adoption is permitted. The Company currently expects adoption of this ASU will not have a material impact on its statement of cash flows.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not have a material impact on its statement of cash flows.</w:t>
      </w:r>
    </w:p>
    <w:p>
      <w:pPr>
        <w:spacing w:after="0" w:line="181"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is currently evaluating the effect that adoption of this ASU will have on its consolidated financial statements.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71"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In March 2016, the FASB issued ASU 2016-08 that clarifies the implementation guidance for principal versus agent considerations in the new revenue standard. In April 2016, the FASB issued ASU</w:t>
      </w:r>
    </w:p>
    <w:p>
      <w:pPr>
        <w:spacing w:after="0" w:line="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The Company is evaluating the methods of its adoption, as well as the effect that adoption of the new revenue standard will have on its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ectPr>
          <w:pgSz w:w="11900" w:h="16838" w:orient="portrait"/>
          <w:cols w:equalWidth="0" w:num="1">
            <w:col w:w="11400"/>
          </w:cols>
          <w:pgMar w:left="240" w:top="459" w:right="259" w:bottom="1440" w:gutter="0" w:footer="0" w:header="0"/>
        </w:sectPr>
      </w:pPr>
    </w:p>
    <w:bookmarkStart w:id="8" w:name="page9"/>
    <w:bookmarkEnd w:id="8"/>
    <w:p>
      <w:pPr>
        <w:ind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125"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2017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As of March 31, 2017</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$406,087</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$406,087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104,936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87,771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37,077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493,858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242,870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736,728</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(17,906)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493,858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284,784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(17,906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760,736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September 30, 2016</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$449,288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105,513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554,801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225,581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780,382</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(24,597)</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554,801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241,648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2017. Level 3 amounts relate to certain acquisition-related liabilities, which were valued using a Monte-Carlo simulation model. These liabilities were included in accrued expenses and other current liabilities as of March 31, 2017 and in both accrued expenses and other current liabilities and other noncurrent liabilities as of September 30, 2016. The reduction in Level 3 liabilities during the six months ended March 31, 2017 was recorded in the consolidated statements of income.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As of March 31, 2017</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$406,087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$406,087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105,096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104,936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87,972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57,001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56,869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35,094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35,094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737,326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141</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736,728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2017, $326,726 of securities were classified as short-term interest-bearing investments and $410,002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2016</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95,852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48,339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42,498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779,809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780,382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2016, $327,063 of securities were classified as short-term interest-bearing investments and $453,319 of securities were classified as cash and cash equivalents.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March 31, 2017,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six months ended March 31, 2017 and 2016. Realized gains and losses on available-for-sale securities are included in earnings and are derived using the first-in-first-out (FIFO) method for determining the cost of securities.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the Company’s available-for-sale securities had the following maturity dates: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Market</w:t>
            </w:r>
          </w:p>
        </w:tc>
      </w:t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$519,073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1 to 2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120,889</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75,050</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3 to 4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9,589</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736,728</w:t>
            </w:r>
          </w:p>
        </w:tc>
        <w:tc>
          <w:tcPr>
            <w:tcW w:w="6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$42,302 as of March 31, 2017.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2017. Notional values are in U.S. dollars and are translated and calculated based on forward rates as of March 31, 2017 for forward contracts, and based on spot rates as of March 31, 2017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420" w:type="dxa"/>
            <w:vAlign w:val="bottom"/>
            <w:gridSpan w:val="3"/>
          </w:tcPr>
          <w:p>
            <w:pPr>
              <w:ind w:left="238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1,366,730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3 to the consolidated financial statements. The fair value of the open foreign exchange contracts recorded as an asset or a liability by the Company on its consolidated balance sheets as of March 31, 2017 and September 30, 2016,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6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Derivatives designated as hedging instruments</w:t>
            </w:r>
          </w:p>
        </w:tc>
        <w:tc>
          <w:tcPr>
            <w:tcW w:w="2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$ 31,061</w:t>
            </w:r>
          </w:p>
        </w:tc>
        <w:tc>
          <w:tcPr>
            <w:tcW w:w="160" w:type="dxa"/>
            <w:vAlign w:val="bottom"/>
          </w:tcPr>
          <w:p>
            <w:pPr>
              <w:spacing w:after="0"/>
              <w:rPr>
                <w:sz w:val="18"/>
                <w:szCs w:val="18"/>
                <w:color w:val="auto"/>
              </w:rPr>
            </w:pP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0"/>
              </w:rPr>
              <w:t>Derivatives not designated as hedging instruments</w:t>
            </w: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5,864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$ 41,914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vMerge w:val="restart"/>
          </w:tcPr>
          <w:p>
            <w:pPr>
              <w:jc w:val="right"/>
              <w:ind w:right="1892"/>
              <w:spacing w:after="0"/>
              <w:rPr>
                <w:sz w:val="20"/>
                <w:szCs w:val="20"/>
                <w:color w:val="auto"/>
              </w:rPr>
            </w:pPr>
            <w:r>
              <w:rPr>
                <w:rFonts w:ascii="Arial" w:cs="Arial" w:eastAsia="Arial" w:hAnsi="Arial"/>
                <w:sz w:val="18"/>
                <w:szCs w:val="18"/>
                <w:color w:val="auto"/>
              </w:rPr>
              <w:t>11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two years. A significant portion of the forward and option contracts outstanding as of March 31, 2017 is scheduled to mature within the next 12 months.</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income, net.</w:t>
      </w:r>
    </w:p>
    <w:p>
      <w:pPr>
        <w:spacing w:after="0" w:line="17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three and six months ended March 31, 2017 and 2016,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Gains (Losses) Reclassified from</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14"/>
          </w:tcPr>
          <w:p>
            <w:pPr>
              <w:jc w:val="right"/>
              <w:ind w:right="460"/>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r>
      <w:tr>
        <w:trPr>
          <w:trHeight w:val="149"/>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7"/>
          </w:tcPr>
          <w:p>
            <w:pPr>
              <w:jc w:val="right"/>
              <w:ind w:right="440"/>
              <w:spacing w:after="0" w:line="149"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3,847</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4,815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(2,703)</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(1,114)</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5,151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6,381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net of tax, is as follows:</w:t>
      </w:r>
    </w:p>
    <w:p>
      <w:pPr>
        <w:spacing w:after="0" w:line="18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$12,514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28,041</w:t>
            </w: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21,907</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(5,458)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35,097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$ 13,077</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were $29,055 and $28,014, or $28,041 and $21,907 net of taxes, during the six months ended March 31, 2017 and 2016,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as of March 31, 2017, a net gain of $27,500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2017 and 2016,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2017 and 2016, respectively, which partially offsets the foreign currency impact from the underlying exposure,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11"/>
          </w:tcPr>
          <w:p>
            <w:pPr>
              <w:ind w:left="80"/>
              <w:spacing w:after="0"/>
              <w:rPr>
                <w:sz w:val="20"/>
                <w:szCs w:val="20"/>
                <w:color w:val="auto"/>
              </w:rPr>
            </w:pPr>
            <w:r>
              <w:rPr>
                <w:rFonts w:ascii="Arial" w:cs="Arial" w:eastAsia="Arial" w:hAnsi="Arial"/>
                <w:sz w:val="14"/>
                <w:szCs w:val="14"/>
                <w:b w:val="1"/>
                <w:bCs w:val="1"/>
                <w:color w:val="auto"/>
                <w:w w:val="94"/>
              </w:rPr>
              <w:t>Gains (Losses) Recognized in Income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8"/>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7"/>
          </w:tcPr>
          <w:p>
            <w:pPr>
              <w:jc w:val="right"/>
              <w:ind w:right="26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4,908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1,207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Interest and other (expense) income,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(5,156)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(9,640)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(7,286)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(1,007)</w:t>
            </w:r>
          </w:p>
        </w:tc>
        <w:tc>
          <w:tcPr>
            <w:tcW w:w="0" w:type="dxa"/>
            <w:vAlign w:val="bottom"/>
          </w:tcPr>
          <w:p>
            <w:pPr>
              <w:spacing w:after="0"/>
              <w:rPr>
                <w:sz w:val="1"/>
                <w:szCs w:val="1"/>
                <w:color w:val="auto"/>
              </w:rPr>
            </w:pPr>
          </w:p>
        </w:tc>
      </w:tr>
      <w:tr>
        <w:trPr>
          <w:trHeight w:val="223"/>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(6,918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(5,334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Accounts Receivable, Net</w:t>
            </w: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5"/>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$727,997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723,921</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150,934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134,122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(34,300)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0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844,631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818,531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20" w:type="dxa"/>
            <w:vAlign w:val="bottom"/>
            <w:vMerge w:val="restart"/>
          </w:tcPr>
          <w:p>
            <w:pPr>
              <w:jc w:val="right"/>
              <w:ind w:right="12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5"/>
          </w:tcPr>
          <w:p>
            <w:pPr>
              <w:jc w:val="center"/>
              <w:ind w:right="540"/>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$220,776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36,875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325,208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618,518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611,705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ind w:left="460"/>
              <w:spacing w:after="0"/>
              <w:rPr>
                <w:sz w:val="20"/>
                <w:szCs w:val="20"/>
                <w:color w:val="auto"/>
              </w:rPr>
            </w:pPr>
            <w:r>
              <w:rPr>
                <w:rFonts w:ascii="Arial" w:cs="Arial" w:eastAsia="Arial" w:hAnsi="Arial"/>
                <w:sz w:val="18"/>
                <w:szCs w:val="18"/>
                <w:color w:val="auto"/>
                <w:w w:val="94"/>
              </w:rPr>
              <w:t>The provision (benefit) for income taxes for the following periods consisted of:</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398"/>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$11,219</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$24,901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$38,529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9,534</w:t>
            </w: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16,889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20,753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30,915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 taxes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12.9%</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Foreign taxes in the six months ended March 31, 2017 included $5,307 of deferred income tax expense as a result of enacted changes in tax laws or rates during the three months ended December 31, 2016. Foreign taxes in the six months ended March 31, 2017 also included a benefit of $7,986 due to conclusions of tax audits in certain jurisdictions during the three months ended December 31, 2016, which resulted in a reduction to the Company’s provision for gross unrecognized tax benefits. In addition, foreign taxes in the three and six months ended March 31, 2017 included a net benefit of $9,037 due to a reduction of taxes payable, partially offset by a reduction of deferred tax asset on operating loss carryforwards of certain of the Company’s subsidiaries resulting from internal structural changes in incorporation in certain jurisdictions in which the Company operates.</w:t>
      </w:r>
    </w:p>
    <w:p>
      <w:pPr>
        <w:spacing w:after="0" w:line="17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Foreign taxes in the six months ended March 31, 2016 included a net benefit of $15,264 due to settlements and conclusions of tax audits in certain jurisdictions during the three months ended March 31, 2016, that resulted in a reduction to the Company’s provision for gross unrecognized tax benefits, partially offset by a decrease to the Company’s taxes receivable. Foreign taxes in the six months ended March 31, 2016 also included a provision for new uncertain tax positions of $22,309 recognized during the three months ended March 31, 2016. In addition, foreign taxes in the six months ended March 31, 2016 included a benefit of $19,963 as a result of a release of tax provision in light of a non-taxable internal capital gain recognized during the three months ended March 31, 2016.</w:t>
      </w:r>
    </w:p>
    <w:p>
      <w:pPr>
        <w:spacing w:after="0" w:line="193"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As of March 31, 2017, deferred tax assets of $94,164, derived primarily from tax credits, net capital and operating loss carry forwards related to some of the Company’s subsidiaries, were offset by valuation allowances due to the uncertainty of realizing tax benefit for such credits and losses.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$196,082 as of March 31, 2017, all of which would affect the effective tax rate if realized.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2017, the Company had accrued $28,590 in income taxes payable for interest and penalties relating to unrecognized tax benefits.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112,560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107,720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210,353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208,562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111,653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106,755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208,626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206,605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111,659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106,764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208,638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206,626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146,595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149,924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150,279</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145,414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148,581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148,869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146,773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150,605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146,963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six months ended March 31, 2017, 1,699 and 1,697 shares, respectively, on a weighted average basis, were attributable to antidilutive outstanding stock options. For the three and six months ended March 31, 2016, 2,009 and 1,459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adopted by the Company’s Board of Directors on February 2, 2016, authorizes the repurchase of up to $750,000 of the Company’s outstanding ordinary shares with no expiration date. In the six months ended March 31, 2017, the Company repurchased approximately 2,694 ordinary shares at an average price of $59.45 per share (excluding broker and transaction fees). As of March 31, 2017, the Company had remaining authority to repurchase up to $436,583 of its outstanding ordinary shares. The authorization permits the Company to purchase its ordinary shares in open market or privately negotiated transactions at times and prices that it considers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March 2017, the Company borrowed an aggregate of $200,000 under its unsecured $500,000 five-year revolving credit facility with a syndicate of banks and repaid it in April 2017. As of March 31, 2017, the Company was in compliance with the financial covenants under the revolving credit facility.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March 31, 2017, the Company had additional uncommitted lines of credit available for general corporate and other specific purposes and had outstanding letters of credit and bank guarantees from various banks totaling $52,703. These were supported by a combination of the uncommitted lines of credit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Awards granted under the Equity Incentive Plan generally vest over a period of four years and stock options have a term of ten years.</w:t>
      </w:r>
    </w:p>
    <w:p>
      <w:pPr>
        <w:spacing w:after="0" w:line="158"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During the six months ended March 31, 2017, the Company granted 487 restricted shares and options to purchase 1,984 ordinary shares. The weighted average fair values associated with these grants were $58.62 per restricted share and $7.61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2017 and 2016 was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Six months ended</w:t>
            </w: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12,674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12,385</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10,184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10,316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24,445</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23,286</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of March 31, 2017, there was $56,423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2017 and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Declaration Date</w:t>
            </w:r>
          </w:p>
        </w:tc>
        <w:tc>
          <w:tcPr>
            <w:tcW w:w="21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Dividends Per</w:t>
            </w:r>
          </w:p>
        </w:tc>
        <w:tc>
          <w:tcPr>
            <w:tcW w:w="20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Record Date</w:t>
            </w:r>
          </w:p>
        </w:tc>
        <w:tc>
          <w:tcPr>
            <w:tcW w:w="15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Amount</w:t>
            </w:r>
          </w:p>
        </w:tc>
        <w:tc>
          <w:tcPr>
            <w:tcW w:w="17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Ordinary Share</w:t>
            </w:r>
          </w:p>
        </w:tc>
        <w:tc>
          <w:tcPr>
            <w:tcW w:w="20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0.220</w:t>
            </w:r>
          </w:p>
        </w:tc>
        <w:tc>
          <w:tcPr>
            <w:tcW w:w="2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31, 2017</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32,223</w:t>
            </w: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0.195</w:t>
            </w: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December 30, 2016</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28,606</w:t>
            </w:r>
          </w:p>
        </w:tc>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3"/>
              </w:rPr>
              <w:t>January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0.195</w:t>
            </w:r>
          </w:p>
        </w:tc>
        <w:tc>
          <w:tcPr>
            <w:tcW w:w="2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March 31, 2016</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29,206</w:t>
            </w: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2015</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0.170</w:t>
            </w: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December 31, 2015</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25,565</w:t>
            </w:r>
          </w:p>
        </w:tc>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3"/>
              </w:rPr>
              <w:t>January 15, 2016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amounts payable as a result of the February 1, 2017 and February 2, 2016 declarations were included in accrued expenses and other current liabilities as of March 31, 2017 and 2016, respectively.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May 9, 2017, the Company’s Board of Directors approved a quarterly dividend payment of $0.22 per share, and set June 30, 2017 as the record date for determining the shareholders entitled to receive the dividend, which is payable on July 14, 2017.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240" w:top="121"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is currently defending a lawsuit against certain of its subsidiaries in Oregon District Court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the suit above.</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Certain of the Company’s subsidiaries are currently in a dispute with a state-owned enterprise in Ecuador, which appears to have political aspects, over a contract under which the Company was providing certain services (and under which the Company does not anticipate to receive material revenues in future periods). The Company’s counterparty has claimed monetary damages and the Company intends to commence litigation asserting its defenses and counterclaims for monetary damages. The Company believes it has solid arguments and intends to vigorously defend its rights; however, the Company is unable to reasonably estimate the ultimate outcome of the above dispute.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2017 and 2016.</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2016, filed on December 12, 2016 with the U.S. Securities and Exchange Commission.</w:t>
      </w:r>
    </w:p>
    <w:p>
      <w:pPr>
        <w:spacing w:after="0" w:line="18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March 29, 2017, Prime Minister of the United Kingdom (“UK”) provided written notification to the European Union (“EU”) of the UK’s intention to withdraw from the EU, which marks the opening of withdrawal negotiations between the UK and the EU, with withdrawal itself scheduled to take effect within two years from the notification date. It remains too early to predict the impact of this withdrawal on the economy in Europe, including the UK. Weakening of economic conditions or economic uncertainties may harm our business. Emergence of such conditions in the UK, or in the rest of Europe, may have an adverse impact on our revenue from Europe, which accounted for 13.8% of our total revenue in fiscal year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Pay TV, entertainment and media industry service providers in developed countries and emerging markets. We develop, implement and manage software and services associated with business support systems (BSS), operational support systems (OSS), open network solutions and big data analytics to enable service providers to efficiently and cost-effectively introduce new products and services, such as mobile financial services, process orders,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believe the demand for our customer experience solutions is driven by our clients continued transformation into digital service providers that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7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digital interaction demands of customers, as a result of which service providers are expected to offer innovative and personalized services that are delivered consistently across channels and with a seamless network experience. Released in the first quarter of fiscal year 2017, Amdocs CES 10.1 spans BSS, OSS, open network solutions and big data analytics (including technologies that we acquired in connection with our recent Vindicia, Brite:Bill and Pontis acquisitions) to enable service providers to accelerate digital capabilities, increase agility, reduce total cost of ownership and progress their network functions virtualization (NFV) transformation journey. In the fourth quarter of fiscal year 2016, Amdocs launched Amdocs Optima, a converged, cloud-based, multi-tenant digital customer management and commerce platform. It serves midsized communications businesses and mobile virtual network enablers.</w:t>
      </w:r>
    </w:p>
    <w:p>
      <w:pPr>
        <w:spacing w:after="0" w:line="17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six months ended March 31, 2017, customers in North America accounted for 65.8% of our revenue, while customers in Europe and the rest of the world accounted for 12.2% and 22.0%, respectively. We maintain development facilities in Brazil, Canada, Cyprus, India, Ireland, Israel, Mexico, the Philippines, the UK and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Revenue from managed services arrangements accounted for approximately $511.1 million and $501.1 million in the three months ended March 31, 2017 and 2016, respectively, and $1.01 billion and $0.99 billion in the six months ended March 31, 2017 and 2016,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our annual or any interim goodwill impairment tests in fiscal year 2021 and thereafter.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us with respect to transactions occurring on or after October 1, 2018 and early adoption is permitted.</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us beginning in the first quarter of fiscal year 2019, and early adoption is permitted. We currently expect adoption of this ASU will not have a material impact on our statement of cash flows.</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us on October 1, 2018, and early adoption in the first interim period of a fiscal year is permitted. We currently expect adoption of this ASU will not have a material impact on our consolidated financial statements.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us on October 1, 2018, and early adoption is permitted. We currently expect adoption of this ASU will not have a material impact on our statement of cash flows.</w:t>
      </w:r>
    </w:p>
    <w:p>
      <w:pPr>
        <w:spacing w:after="0" w:line="18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us beginning in the first quarter of fiscal year 2021 and earlier adoption by one year is permitted. We are currently evaluating the impact of adoption of this ASU on our consolidated financial statements.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are currently evaluating the effect that adoption of this ASU will have on our consolidated financial statements.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us beginning in the first quarter of fiscal year 2020, must be adopted using a modified retrospective method and its early adoption is permitted. We are currently evaluating the impact of adoption of this ASU on our consolidated financial statements.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content of our consolidated financial statements.</w:t>
      </w:r>
    </w:p>
    <w:p>
      <w:pPr>
        <w:spacing w:after="0" w:line="187"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ectPr>
          <w:pgSz w:w="11900" w:h="16838" w:orient="portrait"/>
          <w:cols w:equalWidth="0" w:num="1">
            <w:col w:w="11420"/>
          </w:cols>
          <w:pgMar w:left="240" w:top="459" w:right="239" w:bottom="1440" w:gutter="0" w:footer="0" w:header="0"/>
        </w:sectPr>
      </w:pPr>
    </w:p>
    <w:bookmarkStart w:id="22" w:name="page23"/>
    <w:bookmarkEnd w:id="22"/>
    <w:p>
      <w:pPr>
        <w:ind w:firstLine="456"/>
        <w:spacing w:after="0" w:line="290"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us beginning in the first quarter of fiscal year 2019.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We are evaluating the methods of our adoption, as well as the effect that adoption of the new revenue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2017 and 2016, certain items in our consolidated statements of income reflected as a percentage of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2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64.4</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64.8</w:t>
            </w:r>
          </w:p>
        </w:tc>
        <w:tc>
          <w:tcPr>
            <w:tcW w:w="10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64.7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3"/>
          </w:tcPr>
          <w:p>
            <w:pPr>
              <w:jc w:val="right"/>
              <w:ind w:right="64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11.8</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0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12.7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6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87.0</w:t>
            </w:r>
          </w:p>
        </w:tc>
        <w:tc>
          <w:tcPr>
            <w:tcW w:w="10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87.0</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income, net</w:t>
            </w:r>
          </w:p>
        </w:tc>
        <w:tc>
          <w:tcPr>
            <w:tcW w:w="32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2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40" w:type="dxa"/>
            <w:vAlign w:val="bottom"/>
            <w:vMerge w:val="restart"/>
          </w:tcPr>
          <w:p>
            <w:pPr>
              <w:jc w:val="right"/>
              <w:ind w:right="1410"/>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2017 and 2016</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2017 compared to the six months ended March 31, 2016.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1,920,736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1,847,440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73,296</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1,242,571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1,195,684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46,887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127,293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126,198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1,095</w:t>
            </w: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56,954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51,854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5,100</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1,665,362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1,607,758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57,604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255,374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239,682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15,692</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1,476.1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12,666</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10,875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3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$73.3 million, or 4.0%, to $1,920.7 million in the six months ended March 31, 2017, from $1,847.4 million in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2016. The increase in revenue was attributable to increased activity in North America partially offset by lower revenue from Europe. The increase in revenue was also positively affected by activities related to Vindicia, Brite:Bill and Pontis, which we acquired in September 2016.</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Revenue attributable to the sale of customer experience solutions increased by $89.8 million, or 5.0%, to $1,886.5 million in the six months ended March 31, 2017, from $1,796.7 million in the six months ended March 31, 2016. The increase in revenue was attributable to increased activity in North America partially offset by lower revenue from Europe. Revenue resulting from the sale of customer experience solutions represented 98.2% and 97.3% of our total revenue in the six months ended March 31, 2017 and 2016.</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$16.5 million, or 32.5%, to $34.2 million in the six months ended March 31, 2017, from $50.7 million in the six months ended March 31, 2016. This decrease was primarily attributable to continued slowness in the directory systems market and we anticipate revenue from the sale of directory systems will continue to decline in fiscal year 2017. Revenue from the sale of directory systems represented 1.8% and 2.7% of our total revenue in the six months ended March 31, 2017 and 2016.</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six months ended March 31, 2017, revenue from customers in North America, Europe and the rest of the world accounted for 65.8%, 12.2% and 22.0%, respectively, of total revenue, compared to 63.0%, 14.5% and 22.5%, respectively, the six months ended March 31, 2016. The increase in the percentage of revenue from customers in North America was primarily attributable to increased activity with several customers, particularly AT&amp;T and Pay TV service providers. The decrease in revenue from customers in Europe was attributable to lower revenue from transformation and implementation projects, as well as to negative impact from foreign exchange fluctuations. Revenue from customers in the rest of the world slightly increased during the six months ended March 31, 2017, while total revenue increased at a higher rate, which resulted in a decrease in revenue from customers in the rest of the world as a percentage of total revenue.</w:t>
      </w:r>
    </w:p>
    <w:p>
      <w:pPr>
        <w:spacing w:after="0" w:line="18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of third-party products, as well as fee and royalty payments to software suppliers. Cost of revenue increased by $46.9 million, or 3.9%, to</w:t>
      </w:r>
    </w:p>
    <w:p>
      <w:pPr>
        <w:spacing w:after="0" w:line="273" w:lineRule="auto"/>
        <w:rPr>
          <w:sz w:val="20"/>
          <w:szCs w:val="20"/>
          <w:color w:val="auto"/>
        </w:rPr>
      </w:pPr>
      <w:r>
        <w:rPr>
          <w:rFonts w:ascii="Arial" w:cs="Arial" w:eastAsia="Arial" w:hAnsi="Arial"/>
          <w:sz w:val="17"/>
          <w:szCs w:val="17"/>
          <w:color w:val="auto"/>
        </w:rPr>
        <w:t>$1,242.6 million in the six months ended March 31, 2017, from $1,195.7 million in the six months ended March 31, 2016. As a percentage of revenue, cost of revenue remained flat at 64.7% from the six months ended March 31, 2016 to the six months ended March 31, 2017, as a result of a gain resulting from changes in fair value of certain acquisition-related liabilities recognized in the six months ended March 31, 2017, which was offset by our activity outside of our established markets, where we continued our penetration efforts in order to expand our business into those markets.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$1.1 million, or 0.9%, to $127.3 million in the six months ended March 31, 2017, from $126.2 million in the six months ended March 31, 2016. Research and development expense decreased as a percentage of revenue from 6.8% in the six months ended March 31, 2016, to 6.6% in the six months ended March 31, 2017.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$4.5 million, or 1.9%, to $238.5 million in the six months ended March 31, 2017, from $234.0 million in the six months ended March 31, 2016. The increase in selling, general and administrative expense was primarily attributable to activities related to Vindicia, Brite:Bill and Pontis, which we acquired in September 2016.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six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increased by $5.1 million to $57.0 million from $51.9 million in the six months ended March 31, 2016. The increase in amortization of purchased intangible assets and other was primarily attributable to an increase in amortization of intangible assets due to the acquisitions of Vindicia, Brite:Bill and Pontis, partially offset by timing of amortization charges of previously purchased intangible assets.</w:t>
      </w:r>
    </w:p>
    <w:p>
      <w:pPr>
        <w:spacing w:after="0" w:line="18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$15.7 million, or 6.5%, in the six months ended March 31, 2017, to $255.4 million, or 13.3%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from $239.7 million, or 13.0% of revenue, in the six months ended March 31, 2016. The increase in operating income as a percentage of revenue was attributable to operating expenses, particularly selling, general and administrative expense, increasing at a lower rate than revenue. The increase in operating income was also positively affected by foreign exchange impacts on our operating expenses.</w:t>
      </w:r>
    </w:p>
    <w:p>
      <w:pPr>
        <w:spacing w:after="0" w:line="17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b w:val="1"/>
          <w:bCs w:val="1"/>
          <w:i w:val="1"/>
          <w:iCs w:val="1"/>
          <w:color w:val="auto"/>
        </w:rPr>
        <w:t xml:space="preserve">Interest and Other Expense, Net. </w:t>
      </w:r>
      <w:r>
        <w:rPr>
          <w:rFonts w:ascii="Arial" w:cs="Arial" w:eastAsia="Arial" w:hAnsi="Arial"/>
          <w:sz w:val="16"/>
          <w:szCs w:val="16"/>
          <w:color w:val="auto"/>
        </w:rPr>
        <w:t>Interest and other expense, net, increased from $0.2 million in the six months ended March 31, 2016 to $3.2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six months ended March 31, 2017. The increase in interest and other expense, net, was primarily attributable to foreign exchange impacts.</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2017 were $41.8 million on pre-tax income of $252.1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16.6%, compared to 12.9% in the six months ended March 31, 2016. Our effective tax rate may fluctuate between periods as a result of discrete items that may affect a particular period. Please see Note 8 to our consolidated financial statements.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$1.8 million, or 0.9%, to $210.4 million in the six months ended March 31, 2017, from $208.6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2016. The increase in net income was attributable to the increase in operating income, partially offset by the increase in income taxes coupled with the increase in interest and other expense, net.</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$0.05, or 3.6%, to $1.42 in the six months ended March 31, 2017, from $1.37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March 31, 2016. The increase in diluted earnings per share was primarily attributable to the decrease in the diluted weighted average number of shares outstanding, as well as to the increase in net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March 31, 2017 compared to the three months ended March 31, 2016.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Amount</w:t>
            </w:r>
          </w:p>
        </w:tc>
        <w:tc>
          <w:tcPr>
            <w:tcW w:w="5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$966,009</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$925,935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40,074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621,737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600,116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21,621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67,303</w:t>
            </w:r>
          </w:p>
        </w:tc>
        <w:tc>
          <w:tcPr>
            <w:tcW w:w="14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63,711</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3,592</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114,465</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114,474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27,487</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1,236</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832,228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805,788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26,440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133,781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120,147</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13,634</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(1,928)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(132.1)</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133,313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121,607</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11,706</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20,753</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13,887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6,866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112,560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107,720</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4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$40.1 million, or 4.3%, to $966.0 million in the three months ended March 31, 2017, from $925.9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2016. The increase in revenue was attributable to increased activity in North America, as well as in the rest of the world, partially offset by lower revenue from Europe. The increase in revenue was also positively affected by activities related to Vindicia, Brite:Bill and Pontis, which we acquired in September 2016.</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$46.3 million, or 5.1%, to $948.6 million in the three months ended March 31, 2017, from $902.3 million in the three months ended March 31, 2016. The increase in revenue was attributable to increased activity in North America, as well as in the rest of the world, partially offset by lower revenue from Europe. Revenue resulting from the sale of customer experience solutions represented 98.2% and 97.5% of our total revenue in the three months ended March 31, 2017 and 2016, respectively.</w:t>
      </w:r>
    </w:p>
    <w:p>
      <w:pPr>
        <w:spacing w:after="0" w:line="17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$6.2 million, or 26.3%, to $17.4 million in the three months ended March 31, 2017, from $23.6 million in the three months ended March 31, 2016. This decrease was primarily attributable to continued slowness in the directory systems market and we anticipate revenue from the sale of directory systems will continue to decline in fiscal year 2017. Revenue from the sale of directory systems represented 1.8% and 2.5% of our total revenue in the three months ended March 31, 2017 and 2016, respectively.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three months ended March 31, 2017, revenue from customers in North America, Europe and the rest of the world accounted for 65.9%, 11.9% and 22.2%, respectively, of total revenue, compared to 63.3%, 15.1% and 21.6%, respectively, in the three months ended March 31, 2016. The increase in the percentage of revenue from customers in North America was primarily attributable to increased activity with several customers, particularly AT&amp;T and Pay TV service providers. The decrease in revenue from customers in Europe was primarily attributable to lower revenue from transformation and implementation projects. Revenue from customers in the rest of the world increased as a percentage of total revenue mainly as a result of higher revenue from managed services arrangements for customer experience solutions.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increased by $21.6 million, or 3.6%, to $621.7 million in the three months ended March 31, 2017, from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$600.1 million in the three months ended March 31, 2016. As a percentage of revenue, cost of revenue decreased to 64.4%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2017, from 64.8% in the three months ended March 31, 2016. The increase in the gross margin in the three months ended March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a gain resulting from changes in fair value of certain acquisition-related liabilities recognized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which was partially offset by our activity outside of our established markets, where we continued our penetration efforts in order to expand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those markets.</w:t>
      </w:r>
    </w:p>
    <w:p>
      <w:pPr>
        <w:sectPr>
          <w:pgSz w:w="11900" w:h="16838" w:orient="portrait"/>
          <w:cols w:equalWidth="0" w:num="1">
            <w:col w:w="11420"/>
          </w:cols>
          <w:pgMar w:left="240" w:top="459" w:right="239" w:bottom="1440" w:gutter="0" w:footer="0" w:header="0"/>
        </w:sectPr>
      </w:pPr>
    </w:p>
    <w:bookmarkStart w:id="27" w:name="page28"/>
    <w:bookmarkEnd w:id="27"/>
    <w:p>
      <w:pPr>
        <w:ind w:firstLine="456"/>
        <w:spacing w:after="0" w:line="264"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increased by $3.6 million, or 5.6%, to $67.3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from $63.7 million in the three months ended March 31, 2016. Research and development expense as a percentage of revenue increased to 7.0% in the three months ended March 31, 2017, from 6.9% in the three months ended March 31, 2016.</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25"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remained flat at $114.5 million from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2016 to the three months ended March 31, 2017.</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increased by $1.2 million to $28.7 million from $27.5 million in the three months ended March 31, 2016. The increase in amortization of purchased intangible assets and other was primarily attributable to an increase in amortization of intangible assets due to the acquisitions of Vindicia, Brite:Bill and Pontis, partially offset by timing of amortization charges of previously purchased intangible assets.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$13.6 million, or 11.3%, in the three months ended March 31, 2017, to $133.8 million, or 13.8%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$120.1 million, or 13.0% of revenue, in the three months ended March 31, 2016. The increase in operating income as a percentage of revenue was attributable to operating expenses, particularly cost of revenue, increasing at a lower rate than revenue. The increase in operating income was also positively affected by foreign exchange impacts on our operating expenses.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$1.5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2016 to a net loss of $0.5 million in the three months ended March 31, 2017. This change in interest and other (expense) income, net, was primarily attributable to foreign exchange impacts.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2017 were $20.8 million on pre-tax income of $133.3 million, resulting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15.6%, compared to 11.4% in the three months ended March 31, 2016. Our effective tax rate may fluctuate between periods as a result of discrete items that may affect a particular period. Please see Note 8 to our consolidated financial statements.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$4.8 million, or 4.5%, to $112.6 million in the three months ended March 31, 2017, from $107.7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2016. The increase in net income was primarily attributable to the increase in operating income, partially offset by the increase in income taxes.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$0.05, or 7.0%, to $0.76 in the three months ended March 31, 2017, from $0.71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March 31, 2016. The increase in diluted earnings per share was attributable to the increase in net income, as well as to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debt, totaled $949.5 million as of March 31, 2017, compared to $895.7 million as of September 30, 2016. The increase was mainly attributable to $275.4 million in positive cash flow from operations and $62.4 million of proceeds from stock option exercises, partially offset by $160.2 million used to repurchase our ordinary shares, $69.9 million for capital expenditures, net, and $57.3 million of cash dividend payment. Net cash provided by operating activities amounted to $275.4 million and $316.7 million in the six months ended March 31, 2017 and 2016, respectively.</w:t>
      </w:r>
    </w:p>
    <w:p>
      <w:pPr>
        <w:spacing w:after="0" w:line="1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interest-bearing investments are classified as available-for-sale securities. Such short-term interest-bearing investments consist primarily of money market funds, U.S. government treasuries, corporate bonds and U.S. agency securities. We believe we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conservative investment policy guidelines. Our interest-bearing investments are stated at fair value with the unrealized gains or losses reported as a separate component of accumulated other comprehensive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2017 and 2016, we did not recognize any credit losses. Please see Notes 3 and 4 to the consolidated financial statements.</w:t>
      </w:r>
    </w:p>
    <w:p>
      <w:pPr>
        <w:spacing w:after="0" w:line="15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Revolving Credit Facility, Letters of Credit, Guarantees and Contractual Obligations. </w:t>
      </w:r>
      <w:r>
        <w:rPr>
          <w:rFonts w:ascii="Arial" w:cs="Arial" w:eastAsia="Arial" w:hAnsi="Arial"/>
          <w:sz w:val="18"/>
          <w:szCs w:val="18"/>
          <w:color w:val="auto"/>
        </w:rPr>
        <w:t>In March 2017, we borrowed an aggregate of $200.0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unsecured $500 million revolving credit facility with a syndicate of banks and repaid it in April 2017. As of March 31, 2017, we were in compliance with the financial covenants under the revolving credit facility.</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of March 31, 2017, we had additional uncommitted lines of credit available for general corporate and other specific purposes and had outstanding letters of credit and bank guarantees from various banks totaling $52.7 million. These were supported by a combination of the uncommitted lines of credit that we maintain with various banks.</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2016, filed on December 12, 2016 with the SEC. Since September 30, 2016, there have been no material changes in our aggregate contractual obligations.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$69.9 million in the six months ended March 31, 2017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The current share repurchase plan, adopted by our Board of Directors on February 2, 2016, authorizes the repurchase of up to $750.0 million of the Company’s outstanding ordinary shares with no expiration date. In the six months ended March 31, 2017, we repurchased approximately 2.7 million ordinary shares at an average price of $59.45 per share (excluding broker and transaction fees). As of March 31, 2017, we had remaining authority to repurchase up to $436.6 million of our outstanding ordinary shares. The authorization permits us to purchase our ordinary shares in open market or privately negotiated transactions at times and prices that we consider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2017 and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Declaration Date</w:t>
            </w:r>
          </w:p>
        </w:tc>
        <w:tc>
          <w:tcPr>
            <w:tcW w:w="2100" w:type="dxa"/>
            <w:vAlign w:val="bottom"/>
            <w:gridSpan w:val="2"/>
          </w:tcPr>
          <w:p>
            <w:pPr>
              <w:ind w:left="800"/>
              <w:spacing w:after="0"/>
              <w:rPr>
                <w:sz w:val="20"/>
                <w:szCs w:val="20"/>
                <w:color w:val="auto"/>
              </w:rPr>
            </w:pPr>
            <w:r>
              <w:rPr>
                <w:rFonts w:ascii="Arial" w:cs="Arial" w:eastAsia="Arial" w:hAnsi="Arial"/>
                <w:sz w:val="14"/>
                <w:szCs w:val="14"/>
                <w:b w:val="1"/>
                <w:bCs w:val="1"/>
                <w:color w:val="auto"/>
              </w:rPr>
              <w:t>Dividends Per</w:t>
            </w:r>
          </w:p>
        </w:tc>
        <w:tc>
          <w:tcPr>
            <w:tcW w:w="20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 Amount</w:t>
            </w:r>
          </w:p>
        </w:tc>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Ordinary Share</w:t>
            </w:r>
          </w:p>
        </w:tc>
        <w:tc>
          <w:tcPr>
            <w:tcW w:w="202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0.220</w:t>
            </w: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2017</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32.2</w:t>
            </w: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0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0.195</w:t>
            </w:r>
          </w:p>
        </w:tc>
        <w:tc>
          <w:tcPr>
            <w:tcW w:w="2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December 30, 2016</w:t>
            </w: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28.6</w:t>
            </w:r>
          </w:p>
        </w:tc>
        <w:tc>
          <w:tcPr>
            <w:tcW w:w="1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1"/>
              </w:rPr>
              <w:t>January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1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0.195</w:t>
            </w:r>
          </w:p>
        </w:tc>
        <w:tc>
          <w:tcPr>
            <w:tcW w:w="2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2016</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29.2</w:t>
            </w:r>
          </w:p>
        </w:tc>
        <w:tc>
          <w:tcPr>
            <w:tcW w:w="1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2015</w:t>
            </w:r>
          </w:p>
        </w:tc>
        <w:tc>
          <w:tcPr>
            <w:tcW w:w="10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0.170</w:t>
            </w:r>
          </w:p>
        </w:tc>
        <w:tc>
          <w:tcPr>
            <w:tcW w:w="2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December 31, 2015</w:t>
            </w: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25.6</w:t>
            </w:r>
          </w:p>
        </w:tc>
        <w:tc>
          <w:tcPr>
            <w:tcW w:w="18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1"/>
              </w:rPr>
              <w:t>January 15, 2016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On May 9, 2017, our Board of Directors approved a quarterly dividend payment of $0.22 per share, and set June 30, 2017 as the record date for determining the shareholders entitled to receive the dividend, which is payable on July 14, 2017.</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During the six months ended March 31, 2017 and 2016,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2017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00" w:type="dxa"/>
            <w:vAlign w:val="bottom"/>
            <w:gridSpan w:val="2"/>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Paid per Share(1)</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01/01/17-01/31/17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442,636</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58.74</w:t>
            </w:r>
          </w:p>
        </w:tc>
        <w:tc>
          <w:tcPr>
            <w:tcW w:w="64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442,636</w:t>
            </w:r>
          </w:p>
        </w:tc>
        <w:tc>
          <w:tcPr>
            <w:tcW w:w="3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490,576,418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02/01/17-02/28/17</w:t>
            </w:r>
          </w:p>
        </w:tc>
        <w:tc>
          <w:tcPr>
            <w:tcW w:w="1020" w:type="dxa"/>
            <w:vAlign w:val="bottom"/>
          </w:tcPr>
          <w:p>
            <w:pPr>
              <w:jc w:val="right"/>
              <w:spacing w:after="0"/>
              <w:rPr>
                <w:sz w:val="20"/>
                <w:szCs w:val="20"/>
                <w:color w:val="auto"/>
              </w:rPr>
            </w:pPr>
            <w:r>
              <w:rPr>
                <w:rFonts w:ascii="Arial" w:cs="Arial" w:eastAsia="Arial" w:hAnsi="Arial"/>
                <w:sz w:val="18"/>
                <w:szCs w:val="18"/>
                <w:color w:val="auto"/>
              </w:rPr>
              <w:t>416,928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59.24</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416,928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465,877,025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03/01/17-03/31/17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61.57</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475,806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436,582,566</w:t>
            </w:r>
          </w:p>
        </w:tc>
        <w:tc>
          <w:tcPr>
            <w:tcW w:w="0" w:type="dxa"/>
            <w:vAlign w:val="bottom"/>
          </w:tcPr>
          <w:p>
            <w:pPr>
              <w:spacing w:after="0"/>
              <w:rPr>
                <w:sz w:val="1"/>
                <w:szCs w:val="1"/>
                <w:color w:val="auto"/>
              </w:rPr>
            </w:pPr>
          </w:p>
        </w:tc>
      </w:tr>
      <w:tr>
        <w:trPr>
          <w:trHeight w:val="223"/>
        </w:trPr>
        <w:tc>
          <w:tcPr>
            <w:tcW w:w="458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1,335,370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59.90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1,335,370</w:t>
            </w:r>
          </w:p>
        </w:tc>
        <w:tc>
          <w:tcPr>
            <w:tcW w:w="32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436,582,566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2016, our Board of Directors adopted a share repurchase plan authorizing the repurchase of up to $750.0 million of our outstanding ordinary shares, which has no expiration date. The authorization permits us to purchase our ordinary shares in open market or privately negotiated transactions at times and prices we consider appropriate.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2017:</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January 30,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February 1,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February 13, 2017</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2019-12-06T10:09:43Z</dcterms:created>
  <dcterms:modified xsi:type="dcterms:W3CDTF">2019-12-06T10:09:43Z</dcterms:modified>
</cp:coreProperties>
</file>