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19"/>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UNITED STATES SECURITIES AND EXCHANGE COMMISSION</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FORM 6-K</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REPORT OF FOREIGN PRIVATE ISSUER</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PURSUANT TO RULE 13A-16 OR 15D-16 OF</w:t>
      </w:r>
    </w:p>
    <w:p>
      <w:pPr>
        <w:spacing w:after="0" w:line="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71" w:lineRule="exact"/>
        <w:rPr>
          <w:sz w:val="24"/>
          <w:szCs w:val="24"/>
          <w:color w:val="auto"/>
        </w:rPr>
      </w:pPr>
    </w:p>
    <w:p>
      <w:pPr>
        <w:ind w:left="1860"/>
        <w:spacing w:after="0"/>
        <w:rPr>
          <w:sz w:val="20"/>
          <w:szCs w:val="20"/>
          <w:color w:val="auto"/>
        </w:rPr>
      </w:pPr>
      <w:r>
        <w:rPr>
          <w:rFonts w:ascii="Courier New" w:cs="Courier New" w:eastAsia="Courier New" w:hAnsi="Courier New"/>
          <w:sz w:val="15"/>
          <w:szCs w:val="15"/>
          <w:color w:val="auto"/>
        </w:rPr>
        <w:t>For the Quarter Ended December 31, 2006</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Commission File Number 1-14840</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AMDOCS LIMITED</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Suite 5, Tower Hill House Le Bordage</w:t>
      </w:r>
    </w:p>
    <w:p>
      <w:pPr>
        <w:spacing w:after="0" w:line="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St. Peter Port, Island of Guernsey, GY1 3QT Channel Islands</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Amdocs, Inc.</w:t>
      </w:r>
    </w:p>
    <w:p>
      <w:pPr>
        <w:spacing w:after="0" w:line="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1390 Timberlake Manor Parkway, Chesterfield, Missouri 63017</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74" w:lineRule="exact"/>
        <w:rPr>
          <w:sz w:val="24"/>
          <w:szCs w:val="24"/>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of Form 20-F or Form 40-F:</w:t>
      </w:r>
    </w:p>
    <w:p>
      <w:pPr>
        <w:spacing w:after="0" w:line="172" w:lineRule="exact"/>
        <w:rPr>
          <w:sz w:val="24"/>
          <w:szCs w:val="24"/>
          <w:color w:val="auto"/>
        </w:rPr>
      </w:pPr>
    </w:p>
    <w:p>
      <w:pPr>
        <w:ind w:left="2380"/>
        <w:spacing w:after="0"/>
        <w:tabs>
          <w:tab w:leader="none" w:pos="3700" w:val="left"/>
        </w:tabs>
        <w:rPr>
          <w:sz w:val="20"/>
          <w:szCs w:val="20"/>
          <w:color w:val="auto"/>
        </w:rPr>
      </w:pPr>
      <w:r>
        <w:rPr>
          <w:rFonts w:ascii="Courier New" w:cs="Courier New" w:eastAsia="Courier New" w:hAnsi="Courier New"/>
          <w:sz w:val="15"/>
          <w:szCs w:val="15"/>
          <w:color w:val="auto"/>
        </w:rPr>
        <w:t>FORM 20-F [X]</w:t>
      </w:r>
      <w:r>
        <w:rPr>
          <w:sz w:val="20"/>
          <w:szCs w:val="20"/>
          <w:color w:val="auto"/>
        </w:rPr>
        <w:tab/>
      </w:r>
      <w:r>
        <w:rPr>
          <w:rFonts w:ascii="Courier New" w:cs="Courier New" w:eastAsia="Courier New" w:hAnsi="Courier New"/>
          <w:sz w:val="14"/>
          <w:szCs w:val="14"/>
          <w:color w:val="auto"/>
        </w:rPr>
        <w:t>FORM 40-F [ ]</w:t>
      </w:r>
    </w:p>
    <w:p>
      <w:pPr>
        <w:spacing w:after="0" w:line="174" w:lineRule="exact"/>
        <w:rPr>
          <w:sz w:val="24"/>
          <w:szCs w:val="24"/>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Indicate by check mark if the registrant is submitting the Form 6-K in paper as permitted by Regulation S-T Rule</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101(b)(1):____</w:t>
      </w:r>
    </w:p>
    <w:p>
      <w:pPr>
        <w:spacing w:after="0" w:line="174" w:lineRule="exact"/>
        <w:rPr>
          <w:sz w:val="24"/>
          <w:szCs w:val="24"/>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Indicate by check mark if the registrant is submitting the Form 6-K in paper as permitted by Regulation S-T Rule</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101(b)(7):____</w:t>
      </w:r>
    </w:p>
    <w:p>
      <w:pPr>
        <w:spacing w:after="0" w:line="174" w:lineRule="exact"/>
        <w:rPr>
          <w:sz w:val="24"/>
          <w:szCs w:val="24"/>
          <w:color w:val="auto"/>
        </w:rPr>
      </w:pPr>
    </w:p>
    <w:p>
      <w:pPr>
        <w:ind w:right="3119"/>
        <w:spacing w:after="0" w:line="264"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57" w:lineRule="exact"/>
        <w:rPr>
          <w:sz w:val="24"/>
          <w:szCs w:val="24"/>
          <w:color w:val="auto"/>
        </w:rPr>
      </w:pPr>
    </w:p>
    <w:p>
      <w:pPr>
        <w:ind w:left="3000"/>
        <w:spacing w:after="0"/>
        <w:tabs>
          <w:tab w:leader="none" w:pos="3880" w:val="left"/>
        </w:tabs>
        <w:rPr>
          <w:sz w:val="20"/>
          <w:szCs w:val="20"/>
          <w:color w:val="auto"/>
        </w:rPr>
      </w:pPr>
      <w:r>
        <w:rPr>
          <w:rFonts w:ascii="Courier New" w:cs="Courier New" w:eastAsia="Courier New" w:hAnsi="Courier New"/>
          <w:sz w:val="15"/>
          <w:szCs w:val="15"/>
          <w:color w:val="auto"/>
        </w:rPr>
        <w:t>YES [ ]</w:t>
      </w:r>
      <w:r>
        <w:rPr>
          <w:sz w:val="20"/>
          <w:szCs w:val="20"/>
          <w:color w:val="auto"/>
        </w:rPr>
        <w:tab/>
      </w:r>
      <w:r>
        <w:rPr>
          <w:rFonts w:ascii="Courier New" w:cs="Courier New" w:eastAsia="Courier New" w:hAnsi="Courier New"/>
          <w:sz w:val="14"/>
          <w:szCs w:val="14"/>
          <w:color w:val="auto"/>
        </w:rPr>
        <w:t>NO [X]</w:t>
      </w:r>
    </w:p>
    <w:p>
      <w:pPr>
        <w:spacing w:after="0" w:line="174" w:lineRule="exact"/>
        <w:rPr>
          <w:sz w:val="24"/>
          <w:szCs w:val="24"/>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If "Yes" is marked, indicate below the file number assigned to the registrant in connection with Rule 12g3-2(b): 82-___</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574" w:right="1440" w:bottom="1440" w:gutter="0" w:footer="0" w:header="0"/>
        </w:sectPr>
      </w:pPr>
    </w:p>
    <w:bookmarkStart w:id="1" w:name="page2"/>
    <w:bookmarkEnd w:id="1"/>
    <w:p>
      <w:pPr>
        <w:jc w:val="center"/>
        <w:ind w:right="3119"/>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FORM 6-K</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REPORT OF FOREIGN PRIVATE ISSUER</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FOR THE QUARTER ENDED DECEMBER 31, 2006</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INDEX</w:t>
      </w:r>
    </w:p>
    <w:p>
      <w:pPr>
        <w:spacing w:after="0" w:line="200" w:lineRule="exact"/>
        <w:rPr>
          <w:sz w:val="20"/>
          <w:szCs w:val="20"/>
          <w:color w:val="auto"/>
        </w:rPr>
      </w:pPr>
    </w:p>
    <w:p>
      <w:pPr>
        <w:spacing w:after="0" w:line="31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71" w:lineRule="exact"/>
        <w:rPr>
          <w:sz w:val="20"/>
          <w:szCs w:val="20"/>
          <w:color w:val="auto"/>
        </w:rPr>
      </w:pPr>
    </w:p>
    <w:p>
      <w:pPr>
        <w:ind w:left="440"/>
        <w:spacing w:after="0"/>
        <w:tabs>
          <w:tab w:leader="none" w:pos="122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7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Unaudited Consolidated Financial Statements</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Consolidated Balance Sheets</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Consolidated Statement of Changes in Shareholders' Equity</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71" w:lineRule="exact"/>
        <w:rPr>
          <w:sz w:val="20"/>
          <w:szCs w:val="20"/>
          <w:color w:val="auto"/>
        </w:rPr>
      </w:pPr>
    </w:p>
    <w:p>
      <w:pPr>
        <w:ind w:left="440"/>
        <w:spacing w:after="0"/>
        <w:tabs>
          <w:tab w:leader="none" w:pos="122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Operating and Financial Review and Prospects</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Item 1. Changes in Securities, Use of Proceeds and Issuer Purchases of Equity Securities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Item 2. Reports on Form 6-K</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right="3119"/>
        <w:spacing w:after="0" w:line="261" w:lineRule="auto"/>
        <w:rPr>
          <w:sz w:val="20"/>
          <w:szCs w:val="20"/>
          <w:color w:val="auto"/>
        </w:rPr>
      </w:pPr>
      <w:r>
        <w:rPr>
          <w:rFonts w:ascii="Courier New" w:cs="Courier New" w:eastAsia="Courier New" w:hAnsi="Courier New"/>
          <w:sz w:val="14"/>
          <w:szCs w:val="14"/>
          <w:color w:val="auto"/>
        </w:rPr>
        <w:t>This report on Form 6-K shall be incorporated by reference into the Registration Statements on Form F-3 (File Nos. 333-114079 and 333-114344) and any other Registration Statement filed by the Registrant that by its terms automatically incorporates the Registrant's filings and submissions with the SEC under Sections 13(a), 13(c) or 15(d) of the Securities Exchange Act of 1934.</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28"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6800" w:type="dxa"/>
            <w:vAlign w:val="bottom"/>
          </w:tcPr>
          <w:p>
            <w:pPr>
              <w:ind w:left="40"/>
              <w:spacing w:after="0"/>
              <w:rPr>
                <w:sz w:val="20"/>
                <w:szCs w:val="20"/>
                <w:color w:val="auto"/>
              </w:rPr>
            </w:pPr>
            <w:r>
              <w:rPr>
                <w:rFonts w:ascii="Courier New" w:cs="Courier New" w:eastAsia="Courier New" w:hAnsi="Courier New"/>
                <w:sz w:val="15"/>
                <w:szCs w:val="15"/>
                <w:color w:val="auto"/>
              </w:rPr>
              <w:t>FINANCIAL INFORMATION</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6800" w:type="dxa"/>
            <w:vAlign w:val="bottom"/>
          </w:tcPr>
          <w:p>
            <w:pPr>
              <w:ind w:left="40"/>
              <w:spacing w:after="0"/>
              <w:rPr>
                <w:sz w:val="20"/>
                <w:szCs w:val="20"/>
                <w:color w:val="auto"/>
              </w:rPr>
            </w:pPr>
            <w:r>
              <w:rPr>
                <w:rFonts w:ascii="Courier New" w:cs="Courier New" w:eastAsia="Courier New" w:hAnsi="Courier New"/>
                <w:sz w:val="15"/>
                <w:szCs w:val="15"/>
                <w:color w:val="auto"/>
              </w:rPr>
              <w:t>FINANCIAL STATEMENTS</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1"/>
        </w:trPr>
        <w:tc>
          <w:tcPr>
            <w:tcW w:w="740" w:type="dxa"/>
            <w:vAlign w:val="bottom"/>
          </w:tcPr>
          <w:p>
            <w:pPr>
              <w:spacing w:after="0"/>
              <w:rPr>
                <w:sz w:val="24"/>
                <w:szCs w:val="24"/>
                <w:color w:val="auto"/>
              </w:rPr>
            </w:pPr>
          </w:p>
        </w:tc>
        <w:tc>
          <w:tcPr>
            <w:tcW w:w="6800" w:type="dxa"/>
            <w:vAlign w:val="bottom"/>
          </w:tcPr>
          <w:p>
            <w:pPr>
              <w:ind w:left="2180"/>
              <w:spacing w:after="0"/>
              <w:rPr>
                <w:sz w:val="20"/>
                <w:szCs w:val="20"/>
                <w:color w:val="auto"/>
              </w:rPr>
            </w:pPr>
            <w:r>
              <w:rPr>
                <w:rFonts w:ascii="Courier New" w:cs="Courier New" w:eastAsia="Courier New" w:hAnsi="Courier New"/>
                <w:sz w:val="15"/>
                <w:szCs w:val="15"/>
                <w:color w:val="auto"/>
              </w:rPr>
              <w:t>AMDOCS LIMITED</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740" w:type="dxa"/>
            <w:vAlign w:val="bottom"/>
          </w:tcPr>
          <w:p>
            <w:pPr>
              <w:spacing w:after="0"/>
              <w:rPr>
                <w:sz w:val="14"/>
                <w:szCs w:val="14"/>
                <w:color w:val="auto"/>
              </w:rPr>
            </w:pPr>
          </w:p>
        </w:tc>
        <w:tc>
          <w:tcPr>
            <w:tcW w:w="6800" w:type="dxa"/>
            <w:vAlign w:val="bottom"/>
          </w:tcPr>
          <w:p>
            <w:pPr>
              <w:ind w:left="1640"/>
              <w:spacing w:after="0"/>
              <w:rPr>
                <w:sz w:val="20"/>
                <w:szCs w:val="20"/>
                <w:color w:val="auto"/>
              </w:rPr>
            </w:pPr>
            <w:r>
              <w:rPr>
                <w:rFonts w:ascii="Courier New" w:cs="Courier New" w:eastAsia="Courier New" w:hAnsi="Courier New"/>
                <w:sz w:val="15"/>
                <w:szCs w:val="15"/>
                <w:color w:val="auto"/>
              </w:rPr>
              <w:t>CONSOLIDATED BALANCE SHEETS</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1"/>
        </w:trPr>
        <w:tc>
          <w:tcPr>
            <w:tcW w:w="740" w:type="dxa"/>
            <w:vAlign w:val="bottom"/>
          </w:tcPr>
          <w:p>
            <w:pPr>
              <w:spacing w:after="0"/>
              <w:rPr>
                <w:sz w:val="24"/>
                <w:szCs w:val="24"/>
                <w:color w:val="auto"/>
              </w:rPr>
            </w:pPr>
          </w:p>
        </w:tc>
        <w:tc>
          <w:tcPr>
            <w:tcW w:w="6800" w:type="dxa"/>
            <w:vAlign w:val="bottom"/>
          </w:tcPr>
          <w:p>
            <w:pPr>
              <w:ind w:left="40"/>
              <w:spacing w:after="0"/>
              <w:rPr>
                <w:sz w:val="20"/>
                <w:szCs w:val="20"/>
                <w:color w:val="auto"/>
              </w:rPr>
            </w:pPr>
            <w:r>
              <w:rPr>
                <w:rFonts w:ascii="Courier New" w:cs="Courier New" w:eastAsia="Courier New" w:hAnsi="Courier New"/>
                <w:sz w:val="15"/>
                <w:szCs w:val="15"/>
                <w:color w:val="auto"/>
              </w:rPr>
              <w:t>(dollar and share amounts in thousands, except per share data)</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683"/>
        </w:trPr>
        <w:tc>
          <w:tcPr>
            <w:tcW w:w="74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AS OF</w:t>
            </w:r>
          </w:p>
        </w:tc>
        <w:tc>
          <w:tcPr>
            <w:tcW w:w="1020" w:type="dxa"/>
            <w:vAlign w:val="bottom"/>
          </w:tcPr>
          <w:p>
            <w:pPr>
              <w:spacing w:after="0"/>
              <w:rPr>
                <w:sz w:val="24"/>
                <w:szCs w:val="24"/>
                <w:color w:val="auto"/>
              </w:rPr>
            </w:pPr>
          </w:p>
        </w:tc>
      </w:tr>
      <w:tr>
        <w:trPr>
          <w:trHeight w:val="171"/>
        </w:trPr>
        <w:tc>
          <w:tcPr>
            <w:tcW w:w="74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3020" w:type="dxa"/>
            <w:vAlign w:val="bottom"/>
            <w:gridSpan w:val="4"/>
          </w:tcPr>
          <w:p>
            <w:pPr>
              <w:ind w:left="26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74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16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SEPTEMBER 30,</w:t>
            </w:r>
          </w:p>
        </w:tc>
      </w:tr>
      <w:tr>
        <w:trPr>
          <w:trHeight w:val="171"/>
        </w:trPr>
        <w:tc>
          <w:tcPr>
            <w:tcW w:w="74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2006</w:t>
            </w:r>
          </w:p>
        </w:tc>
        <w:tc>
          <w:tcPr>
            <w:tcW w:w="620" w:type="dxa"/>
            <w:vAlign w:val="bottom"/>
          </w:tcPr>
          <w:p>
            <w:pPr>
              <w:spacing w:after="0"/>
              <w:rPr>
                <w:sz w:val="14"/>
                <w:szCs w:val="14"/>
                <w:color w:val="auto"/>
              </w:rPr>
            </w:pPr>
          </w:p>
        </w:tc>
        <w:tc>
          <w:tcPr>
            <w:tcW w:w="10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2006</w:t>
            </w:r>
          </w:p>
        </w:tc>
      </w:tr>
      <w:tr>
        <w:trPr>
          <w:trHeight w:val="171"/>
        </w:trPr>
        <w:tc>
          <w:tcPr>
            <w:tcW w:w="74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3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3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(UNAUDITED)</w:t>
            </w: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6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75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565,295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607,187</w:t>
            </w:r>
          </w:p>
        </w:tc>
      </w:tr>
      <w:tr>
        <w:trPr>
          <w:trHeight w:val="171"/>
        </w:trPr>
        <w:tc>
          <w:tcPr>
            <w:tcW w:w="75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Short-term interest-bearing investments</w:t>
            </w:r>
          </w:p>
        </w:tc>
        <w:tc>
          <w:tcPr>
            <w:tcW w:w="40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453,235</w:t>
            </w:r>
          </w:p>
        </w:tc>
        <w:tc>
          <w:tcPr>
            <w:tcW w:w="6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372,194</w:t>
            </w:r>
          </w:p>
        </w:tc>
      </w:tr>
      <w:tr>
        <w:trPr>
          <w:trHeight w:val="171"/>
        </w:trPr>
        <w:tc>
          <w:tcPr>
            <w:tcW w:w="75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Accounts receivable, net</w:t>
            </w:r>
          </w:p>
        </w:tc>
        <w:tc>
          <w:tcPr>
            <w:tcW w:w="40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419,438</w:t>
            </w:r>
          </w:p>
        </w:tc>
        <w:tc>
          <w:tcPr>
            <w:tcW w:w="6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425,805</w:t>
            </w:r>
          </w:p>
        </w:tc>
      </w:tr>
      <w:tr>
        <w:trPr>
          <w:trHeight w:val="171"/>
        </w:trPr>
        <w:tc>
          <w:tcPr>
            <w:tcW w:w="75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Deferred income taxes and taxes receivable</w:t>
            </w:r>
          </w:p>
        </w:tc>
        <w:tc>
          <w:tcPr>
            <w:tcW w:w="40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135,534</w:t>
            </w:r>
          </w:p>
        </w:tc>
        <w:tc>
          <w:tcPr>
            <w:tcW w:w="6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136,044</w:t>
            </w:r>
          </w:p>
        </w:tc>
      </w:tr>
      <w:tr>
        <w:trPr>
          <w:trHeight w:val="171"/>
        </w:trPr>
        <w:tc>
          <w:tcPr>
            <w:tcW w:w="75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40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90,724</w:t>
            </w:r>
          </w:p>
        </w:tc>
        <w:tc>
          <w:tcPr>
            <w:tcW w:w="6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97,476</w:t>
            </w:r>
          </w:p>
        </w:tc>
      </w:tr>
      <w:tr>
        <w:trPr>
          <w:trHeight w:val="171"/>
        </w:trPr>
        <w:tc>
          <w:tcPr>
            <w:tcW w:w="74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3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spacing w:after="0"/>
              <w:rPr>
                <w:sz w:val="14"/>
                <w:szCs w:val="14"/>
                <w:color w:val="auto"/>
              </w:rPr>
            </w:pPr>
          </w:p>
        </w:tc>
        <w:tc>
          <w:tcPr>
            <w:tcW w:w="6800" w:type="dxa"/>
            <w:vAlign w:val="bottom"/>
          </w:tcPr>
          <w:p>
            <w:pPr>
              <w:ind w:left="40"/>
              <w:spacing w:after="0"/>
              <w:rPr>
                <w:sz w:val="20"/>
                <w:szCs w:val="20"/>
                <w:color w:val="auto"/>
              </w:rPr>
            </w:pPr>
            <w:r>
              <w:rPr>
                <w:rFonts w:ascii="Courier New" w:cs="Courier New" w:eastAsia="Courier New" w:hAnsi="Courier New"/>
                <w:sz w:val="15"/>
                <w:szCs w:val="15"/>
                <w:color w:val="auto"/>
              </w:rPr>
              <w:t>Total current assets</w:t>
            </w:r>
          </w:p>
        </w:tc>
        <w:tc>
          <w:tcPr>
            <w:tcW w:w="40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1,664,226</w:t>
            </w:r>
          </w:p>
        </w:tc>
        <w:tc>
          <w:tcPr>
            <w:tcW w:w="6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1,638,706</w:t>
            </w:r>
          </w:p>
        </w:tc>
      </w:tr>
      <w:tr>
        <w:trPr>
          <w:trHeight w:val="341"/>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400" w:type="dxa"/>
            <w:vAlign w:val="bottom"/>
          </w:tcPr>
          <w:p>
            <w:pPr>
              <w:spacing w:after="0"/>
              <w:rPr>
                <w:sz w:val="24"/>
                <w:szCs w:val="2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227,644</w:t>
            </w:r>
          </w:p>
        </w:tc>
        <w:tc>
          <w:tcPr>
            <w:tcW w:w="620" w:type="dxa"/>
            <w:vAlign w:val="bottom"/>
          </w:tcPr>
          <w:p>
            <w:pPr>
              <w:spacing w:after="0"/>
              <w:rPr>
                <w:sz w:val="24"/>
                <w:szCs w:val="2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220,290</w:t>
            </w:r>
          </w:p>
        </w:tc>
      </w:tr>
      <w:tr>
        <w:trPr>
          <w:trHeight w:val="171"/>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rPr>
              <w:t>Deferred income taxes</w:t>
            </w:r>
          </w:p>
        </w:tc>
        <w:tc>
          <w:tcPr>
            <w:tcW w:w="40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146,378</w:t>
            </w:r>
          </w:p>
        </w:tc>
        <w:tc>
          <w:tcPr>
            <w:tcW w:w="6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133,690</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Goodwill</w:t>
            </w:r>
          </w:p>
        </w:tc>
        <w:tc>
          <w:tcPr>
            <w:tcW w:w="6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1,467,726</w:t>
            </w:r>
          </w:p>
        </w:tc>
        <w:tc>
          <w:tcPr>
            <w:tcW w:w="6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1,461,606</w:t>
            </w:r>
          </w:p>
        </w:tc>
      </w:tr>
      <w:tr>
        <w:trPr>
          <w:trHeight w:val="171"/>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rPr>
              <w:t>Intangible assets, net</w:t>
            </w:r>
          </w:p>
        </w:tc>
        <w:tc>
          <w:tcPr>
            <w:tcW w:w="40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338,237</w:t>
            </w:r>
          </w:p>
        </w:tc>
        <w:tc>
          <w:tcPr>
            <w:tcW w:w="6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347,716</w:t>
            </w:r>
          </w:p>
        </w:tc>
      </w:tr>
      <w:tr>
        <w:trPr>
          <w:trHeight w:val="171"/>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rPr>
              <w:t>Other noncurrent assets</w:t>
            </w:r>
          </w:p>
        </w:tc>
        <w:tc>
          <w:tcPr>
            <w:tcW w:w="40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166,482</w:t>
            </w:r>
          </w:p>
        </w:tc>
        <w:tc>
          <w:tcPr>
            <w:tcW w:w="6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160,820</w:t>
            </w:r>
          </w:p>
        </w:tc>
      </w:tr>
      <w:tr>
        <w:trPr>
          <w:trHeight w:val="171"/>
        </w:trPr>
        <w:tc>
          <w:tcPr>
            <w:tcW w:w="74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3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spacing w:after="0"/>
              <w:rPr>
                <w:sz w:val="14"/>
                <w:szCs w:val="14"/>
                <w:color w:val="auto"/>
              </w:rPr>
            </w:pPr>
          </w:p>
        </w:tc>
        <w:tc>
          <w:tcPr>
            <w:tcW w:w="6800" w:type="dxa"/>
            <w:vAlign w:val="bottom"/>
          </w:tcPr>
          <w:p>
            <w:pPr>
              <w:ind w:left="40"/>
              <w:spacing w:after="0"/>
              <w:rPr>
                <w:sz w:val="20"/>
                <w:szCs w:val="20"/>
                <w:color w:val="auto"/>
              </w:rPr>
            </w:pPr>
            <w:r>
              <w:rPr>
                <w:rFonts w:ascii="Courier New" w:cs="Courier New" w:eastAsia="Courier New" w:hAnsi="Courier New"/>
                <w:sz w:val="15"/>
                <w:szCs w:val="15"/>
                <w:color w:val="auto"/>
              </w:rPr>
              <w:t>Total assets</w:t>
            </w:r>
          </w:p>
        </w:tc>
        <w:tc>
          <w:tcPr>
            <w:tcW w:w="13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$ 4,010,693</w:t>
            </w:r>
          </w:p>
        </w:tc>
        <w:tc>
          <w:tcPr>
            <w:tcW w:w="16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$ 3,962,828</w:t>
            </w:r>
          </w:p>
        </w:tc>
      </w:tr>
      <w:tr>
        <w:trPr>
          <w:trHeight w:val="171"/>
        </w:trPr>
        <w:tc>
          <w:tcPr>
            <w:tcW w:w="74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3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75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Accounts payable</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125,983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148,398</w:t>
            </w:r>
          </w:p>
        </w:tc>
      </w:tr>
      <w:tr>
        <w:trPr>
          <w:trHeight w:val="171"/>
        </w:trPr>
        <w:tc>
          <w:tcPr>
            <w:tcW w:w="75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Accrued expenses and other current liabilities</w:t>
            </w:r>
          </w:p>
        </w:tc>
        <w:tc>
          <w:tcPr>
            <w:tcW w:w="40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244,412</w:t>
            </w:r>
          </w:p>
        </w:tc>
        <w:tc>
          <w:tcPr>
            <w:tcW w:w="6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270,268</w:t>
            </w:r>
          </w:p>
        </w:tc>
      </w:tr>
      <w:tr>
        <w:trPr>
          <w:trHeight w:val="171"/>
        </w:trPr>
        <w:tc>
          <w:tcPr>
            <w:tcW w:w="75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Accrued personnel costs</w:t>
            </w:r>
          </w:p>
        </w:tc>
        <w:tc>
          <w:tcPr>
            <w:tcW w:w="40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196,609</w:t>
            </w:r>
          </w:p>
        </w:tc>
        <w:tc>
          <w:tcPr>
            <w:tcW w:w="6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178,441</w:t>
            </w:r>
          </w:p>
        </w:tc>
      </w:tr>
      <w:tr>
        <w:trPr>
          <w:trHeight w:val="171"/>
        </w:trPr>
        <w:tc>
          <w:tcPr>
            <w:tcW w:w="75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Short-term portion of financing arrangements</w:t>
            </w:r>
          </w:p>
        </w:tc>
        <w:tc>
          <w:tcPr>
            <w:tcW w:w="40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1,985</w:t>
            </w:r>
          </w:p>
        </w:tc>
        <w:tc>
          <w:tcPr>
            <w:tcW w:w="6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1,963</w:t>
            </w:r>
          </w:p>
        </w:tc>
      </w:tr>
      <w:tr>
        <w:trPr>
          <w:trHeight w:val="171"/>
        </w:trPr>
        <w:tc>
          <w:tcPr>
            <w:tcW w:w="75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40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211,212</w:t>
            </w:r>
          </w:p>
        </w:tc>
        <w:tc>
          <w:tcPr>
            <w:tcW w:w="6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253,376</w:t>
            </w:r>
          </w:p>
        </w:tc>
      </w:tr>
      <w:tr>
        <w:trPr>
          <w:trHeight w:val="171"/>
        </w:trPr>
        <w:tc>
          <w:tcPr>
            <w:tcW w:w="75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Deferred income taxes and taxes payable</w:t>
            </w:r>
          </w:p>
        </w:tc>
        <w:tc>
          <w:tcPr>
            <w:tcW w:w="40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173,557</w:t>
            </w:r>
          </w:p>
        </w:tc>
        <w:tc>
          <w:tcPr>
            <w:tcW w:w="6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179,241</w:t>
            </w:r>
          </w:p>
        </w:tc>
      </w:tr>
      <w:tr>
        <w:trPr>
          <w:trHeight w:val="171"/>
        </w:trPr>
        <w:tc>
          <w:tcPr>
            <w:tcW w:w="74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3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spacing w:after="0"/>
              <w:rPr>
                <w:sz w:val="14"/>
                <w:szCs w:val="14"/>
                <w:color w:val="auto"/>
              </w:rPr>
            </w:pPr>
          </w:p>
        </w:tc>
        <w:tc>
          <w:tcPr>
            <w:tcW w:w="6800" w:type="dxa"/>
            <w:vAlign w:val="bottom"/>
          </w:tcPr>
          <w:p>
            <w:pPr>
              <w:ind w:left="40"/>
              <w:spacing w:after="0"/>
              <w:rPr>
                <w:sz w:val="20"/>
                <w:szCs w:val="20"/>
                <w:color w:val="auto"/>
              </w:rPr>
            </w:pPr>
            <w:r>
              <w:rPr>
                <w:rFonts w:ascii="Courier New" w:cs="Courier New" w:eastAsia="Courier New" w:hAnsi="Courier New"/>
                <w:sz w:val="15"/>
                <w:szCs w:val="15"/>
                <w:color w:val="auto"/>
              </w:rPr>
              <w:t>Total current liabilities</w:t>
            </w:r>
          </w:p>
        </w:tc>
        <w:tc>
          <w:tcPr>
            <w:tcW w:w="40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953,758</w:t>
            </w:r>
          </w:p>
        </w:tc>
        <w:tc>
          <w:tcPr>
            <w:tcW w:w="6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1,031,687</w:t>
            </w:r>
          </w:p>
        </w:tc>
      </w:tr>
      <w:tr>
        <w:trPr>
          <w:trHeight w:val="341"/>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rPr>
              <w:t>Convertible notes</w:t>
            </w:r>
          </w:p>
        </w:tc>
        <w:tc>
          <w:tcPr>
            <w:tcW w:w="400" w:type="dxa"/>
            <w:vAlign w:val="bottom"/>
          </w:tcPr>
          <w:p>
            <w:pPr>
              <w:spacing w:after="0"/>
              <w:rPr>
                <w:sz w:val="24"/>
                <w:szCs w:val="2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450,000</w:t>
            </w:r>
          </w:p>
        </w:tc>
        <w:tc>
          <w:tcPr>
            <w:tcW w:w="620" w:type="dxa"/>
            <w:vAlign w:val="bottom"/>
          </w:tcPr>
          <w:p>
            <w:pPr>
              <w:spacing w:after="0"/>
              <w:rPr>
                <w:sz w:val="24"/>
                <w:szCs w:val="2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450,000</w:t>
            </w:r>
          </w:p>
        </w:tc>
      </w:tr>
      <w:tr>
        <w:trPr>
          <w:trHeight w:val="171"/>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rPr>
              <w:t>Deferred income taxes</w:t>
            </w:r>
          </w:p>
        </w:tc>
        <w:tc>
          <w:tcPr>
            <w:tcW w:w="40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129,393</w:t>
            </w:r>
          </w:p>
        </w:tc>
        <w:tc>
          <w:tcPr>
            <w:tcW w:w="6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129,339</w:t>
            </w:r>
          </w:p>
        </w:tc>
      </w:tr>
      <w:tr>
        <w:trPr>
          <w:trHeight w:val="171"/>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rPr>
              <w:t>Noncurrent liabilities and other</w:t>
            </w:r>
          </w:p>
        </w:tc>
        <w:tc>
          <w:tcPr>
            <w:tcW w:w="40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196,861</w:t>
            </w:r>
          </w:p>
        </w:tc>
        <w:tc>
          <w:tcPr>
            <w:tcW w:w="6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197,637</w:t>
            </w:r>
          </w:p>
        </w:tc>
      </w:tr>
      <w:tr>
        <w:trPr>
          <w:trHeight w:val="171"/>
        </w:trPr>
        <w:tc>
          <w:tcPr>
            <w:tcW w:w="74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3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spacing w:after="0"/>
              <w:rPr>
                <w:sz w:val="14"/>
                <w:szCs w:val="14"/>
                <w:color w:val="auto"/>
              </w:rPr>
            </w:pPr>
          </w:p>
        </w:tc>
        <w:tc>
          <w:tcPr>
            <w:tcW w:w="6800" w:type="dxa"/>
            <w:vAlign w:val="bottom"/>
          </w:tcPr>
          <w:p>
            <w:pPr>
              <w:ind w:left="40"/>
              <w:spacing w:after="0"/>
              <w:rPr>
                <w:sz w:val="20"/>
                <w:szCs w:val="20"/>
                <w:color w:val="auto"/>
              </w:rPr>
            </w:pPr>
            <w:r>
              <w:rPr>
                <w:rFonts w:ascii="Courier New" w:cs="Courier New" w:eastAsia="Courier New" w:hAnsi="Courier New"/>
                <w:sz w:val="15"/>
                <w:szCs w:val="15"/>
                <w:color w:val="auto"/>
              </w:rPr>
              <w:t>Total liabilities</w:t>
            </w:r>
          </w:p>
        </w:tc>
        <w:tc>
          <w:tcPr>
            <w:tcW w:w="40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1,730,012</w:t>
            </w:r>
          </w:p>
        </w:tc>
        <w:tc>
          <w:tcPr>
            <w:tcW w:w="6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1,808,663</w:t>
            </w:r>
          </w:p>
        </w:tc>
      </w:tr>
      <w:tr>
        <w:trPr>
          <w:trHeight w:val="171"/>
        </w:trPr>
        <w:tc>
          <w:tcPr>
            <w:tcW w:w="74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3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rPr>
              <w:t>Shareholders' equity:</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75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Preferred Shares - Authorized 25,000 shares; (pound)0.01 par value; 0 shares</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75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issued and outstanding</w:t>
            </w:r>
          </w:p>
        </w:tc>
        <w:tc>
          <w:tcPr>
            <w:tcW w:w="40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5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Ordinary Shares - Authorized 550,000 shares; (pound)0.01 par value; 234,857 and</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75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233,932 issued and 207,718 and 206,793 outstanding, respectively</w:t>
            </w:r>
          </w:p>
        </w:tc>
        <w:tc>
          <w:tcPr>
            <w:tcW w:w="40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3,781</w:t>
            </w:r>
          </w:p>
        </w:tc>
        <w:tc>
          <w:tcPr>
            <w:tcW w:w="6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3,763</w:t>
            </w:r>
          </w:p>
        </w:tc>
      </w:tr>
      <w:tr>
        <w:trPr>
          <w:trHeight w:val="171"/>
        </w:trPr>
        <w:tc>
          <w:tcPr>
            <w:tcW w:w="75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Additional paid-in capital</w:t>
            </w:r>
          </w:p>
        </w:tc>
        <w:tc>
          <w:tcPr>
            <w:tcW w:w="40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2,066,904</w:t>
            </w:r>
          </w:p>
        </w:tc>
        <w:tc>
          <w:tcPr>
            <w:tcW w:w="6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2,035,309</w:t>
            </w:r>
          </w:p>
        </w:tc>
      </w:tr>
      <w:tr>
        <w:trPr>
          <w:trHeight w:val="171"/>
        </w:trPr>
        <w:tc>
          <w:tcPr>
            <w:tcW w:w="75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Treasury stock, at cost - 27,139 Ordinary Shares</w:t>
            </w:r>
          </w:p>
        </w:tc>
        <w:tc>
          <w:tcPr>
            <w:tcW w:w="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(602,392)</w:t>
            </w:r>
          </w:p>
        </w:tc>
        <w:tc>
          <w:tcPr>
            <w:tcW w:w="6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(602,392)</w:t>
            </w:r>
          </w:p>
        </w:tc>
      </w:tr>
      <w:tr>
        <w:trPr>
          <w:trHeight w:val="171"/>
        </w:trPr>
        <w:tc>
          <w:tcPr>
            <w:tcW w:w="75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Accumulated other comprehensive income</w:t>
            </w:r>
          </w:p>
        </w:tc>
        <w:tc>
          <w:tcPr>
            <w:tcW w:w="40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4,284</w:t>
            </w:r>
          </w:p>
        </w:tc>
        <w:tc>
          <w:tcPr>
            <w:tcW w:w="6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2,723</w:t>
            </w:r>
          </w:p>
        </w:tc>
      </w:tr>
      <w:tr>
        <w:trPr>
          <w:trHeight w:val="171"/>
        </w:trPr>
        <w:tc>
          <w:tcPr>
            <w:tcW w:w="75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Retained earnings</w:t>
            </w:r>
          </w:p>
        </w:tc>
        <w:tc>
          <w:tcPr>
            <w:tcW w:w="40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808,104</w:t>
            </w:r>
          </w:p>
        </w:tc>
        <w:tc>
          <w:tcPr>
            <w:tcW w:w="6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714,762</w:t>
            </w:r>
          </w:p>
        </w:tc>
      </w:tr>
      <w:tr>
        <w:trPr>
          <w:trHeight w:val="171"/>
        </w:trPr>
        <w:tc>
          <w:tcPr>
            <w:tcW w:w="74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3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spacing w:after="0"/>
              <w:rPr>
                <w:sz w:val="14"/>
                <w:szCs w:val="14"/>
                <w:color w:val="auto"/>
              </w:rPr>
            </w:pPr>
          </w:p>
        </w:tc>
        <w:tc>
          <w:tcPr>
            <w:tcW w:w="6800" w:type="dxa"/>
            <w:vAlign w:val="bottom"/>
          </w:tcPr>
          <w:p>
            <w:pPr>
              <w:ind w:left="40"/>
              <w:spacing w:after="0"/>
              <w:rPr>
                <w:sz w:val="20"/>
                <w:szCs w:val="20"/>
                <w:color w:val="auto"/>
              </w:rPr>
            </w:pPr>
            <w:r>
              <w:rPr>
                <w:rFonts w:ascii="Courier New" w:cs="Courier New" w:eastAsia="Courier New" w:hAnsi="Courier New"/>
                <w:sz w:val="15"/>
                <w:szCs w:val="15"/>
                <w:color w:val="auto"/>
              </w:rPr>
              <w:t>Total shareholders' equity</w:t>
            </w:r>
          </w:p>
        </w:tc>
        <w:tc>
          <w:tcPr>
            <w:tcW w:w="40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2,280,681</w:t>
            </w:r>
          </w:p>
        </w:tc>
        <w:tc>
          <w:tcPr>
            <w:tcW w:w="6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2,154,165</w:t>
            </w:r>
          </w:p>
        </w:tc>
      </w:tr>
      <w:tr>
        <w:trPr>
          <w:trHeight w:val="171"/>
        </w:trPr>
        <w:tc>
          <w:tcPr>
            <w:tcW w:w="74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3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spacing w:after="0"/>
              <w:rPr>
                <w:sz w:val="14"/>
                <w:szCs w:val="14"/>
                <w:color w:val="auto"/>
              </w:rPr>
            </w:pPr>
          </w:p>
        </w:tc>
        <w:tc>
          <w:tcPr>
            <w:tcW w:w="6800" w:type="dxa"/>
            <w:vAlign w:val="bottom"/>
          </w:tcPr>
          <w:p>
            <w:pPr>
              <w:ind w:left="4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3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$ 4,010,693</w:t>
            </w:r>
          </w:p>
        </w:tc>
        <w:tc>
          <w:tcPr>
            <w:tcW w:w="16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$ 3,962,828</w:t>
            </w:r>
          </w:p>
        </w:tc>
      </w:tr>
      <w:tr>
        <w:trPr>
          <w:trHeight w:val="171"/>
        </w:trPr>
        <w:tc>
          <w:tcPr>
            <w:tcW w:w="74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3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380"/>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1" w:lineRule="exact"/>
        <w:rPr>
          <w:sz w:val="20"/>
          <w:szCs w:val="20"/>
          <w:color w:val="auto"/>
        </w:rPr>
      </w:pPr>
    </w:p>
    <w:p>
      <w:pPr>
        <w:jc w:val="center"/>
        <w:ind w:right="3380"/>
        <w:spacing w:after="0"/>
        <w:rPr>
          <w:sz w:val="20"/>
          <w:szCs w:val="20"/>
          <w:color w:val="auto"/>
        </w:rPr>
      </w:pPr>
      <w:r>
        <w:rPr>
          <w:rFonts w:ascii="Courier New" w:cs="Courier New" w:eastAsia="Courier New" w:hAnsi="Courier New"/>
          <w:sz w:val="15"/>
          <w:szCs w:val="15"/>
          <w:color w:val="auto"/>
        </w:rPr>
        <w:t>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560"/>
          </w:cols>
          <w:pgMar w:left="240" w:top="628" w:right="1099" w:bottom="1440" w:gutter="0" w:footer="0" w:header="0"/>
        </w:sectPr>
      </w:pPr>
    </w:p>
    <w:bookmarkStart w:id="3" w:name="page4"/>
    <w:bookmarkEnd w:id="3"/>
    <w:p>
      <w:pPr>
        <w:jc w:val="center"/>
        <w:ind w:right="3139"/>
        <w:spacing w:after="0"/>
        <w:rPr>
          <w:sz w:val="20"/>
          <w:szCs w:val="20"/>
          <w:color w:val="auto"/>
        </w:rPr>
      </w:pPr>
      <w:r>
        <w:rPr>
          <w:rFonts w:ascii="Courier New" w:cs="Courier New" w:eastAsia="Courier New" w:hAnsi="Courier New"/>
          <w:sz w:val="15"/>
          <w:szCs w:val="15"/>
          <w:color w:val="auto"/>
        </w:rPr>
        <w:t>AMDOCS LIMITED</w:t>
      </w:r>
    </w:p>
    <w:p>
      <w:pPr>
        <w:spacing w:after="0" w:line="1"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CONSOLIDATED STATEMENTS OF INCOME (UNAUDITED)</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THREE MONTHS</w:t>
            </w:r>
          </w:p>
        </w:tc>
        <w:tc>
          <w:tcPr>
            <w:tcW w:w="7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ENDED</w:t>
            </w:r>
          </w:p>
        </w:tc>
      </w:tr>
      <w:tr>
        <w:trPr>
          <w:trHeight w:val="171"/>
        </w:trPr>
        <w:tc>
          <w:tcPr>
            <w:tcW w:w="3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DECEMBER</w:t>
            </w:r>
          </w:p>
        </w:tc>
        <w:tc>
          <w:tcPr>
            <w:tcW w:w="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31,</w:t>
            </w:r>
          </w:p>
        </w:tc>
      </w:tr>
      <w:tr>
        <w:trPr>
          <w:trHeight w:val="171"/>
        </w:trPr>
        <w:tc>
          <w:tcPr>
            <w:tcW w:w="3900" w:type="dxa"/>
            <w:vAlign w:val="bottom"/>
          </w:tcPr>
          <w:p>
            <w:pPr>
              <w:spacing w:after="0"/>
              <w:rPr>
                <w:sz w:val="14"/>
                <w:szCs w:val="14"/>
                <w:color w:val="auto"/>
              </w:rPr>
            </w:pPr>
          </w:p>
        </w:tc>
        <w:tc>
          <w:tcPr>
            <w:tcW w:w="22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2006</w:t>
            </w:r>
          </w:p>
        </w:tc>
        <w:tc>
          <w:tcPr>
            <w:tcW w:w="140" w:type="dxa"/>
            <w:vAlign w:val="bottom"/>
          </w:tcPr>
          <w:p>
            <w:pPr>
              <w:spacing w:after="0"/>
              <w:rPr>
                <w:sz w:val="14"/>
                <w:szCs w:val="14"/>
                <w:color w:val="auto"/>
              </w:rPr>
            </w:pPr>
          </w:p>
        </w:tc>
        <w:tc>
          <w:tcPr>
            <w:tcW w:w="6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88"/>
              </w:rPr>
              <w:t>2005</w:t>
            </w:r>
          </w:p>
        </w:tc>
      </w:tr>
      <w:tr>
        <w:trPr>
          <w:trHeight w:val="171"/>
        </w:trPr>
        <w:tc>
          <w:tcPr>
            <w:tcW w:w="3900" w:type="dxa"/>
            <w:vAlign w:val="bottom"/>
          </w:tcPr>
          <w:p>
            <w:pPr>
              <w:spacing w:after="0"/>
              <w:rPr>
                <w:sz w:val="14"/>
                <w:szCs w:val="14"/>
                <w:color w:val="auto"/>
              </w:rPr>
            </w:pPr>
          </w:p>
        </w:tc>
        <w:tc>
          <w:tcPr>
            <w:tcW w:w="146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9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License</w:t>
            </w:r>
          </w:p>
        </w:tc>
        <w:tc>
          <w:tcPr>
            <w:tcW w:w="146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$ 31,744</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$ 31,661</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Service</w:t>
            </w:r>
          </w:p>
        </w:tc>
        <w:tc>
          <w:tcPr>
            <w:tcW w:w="36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5"/>
              </w:rPr>
              <w:t>659,288</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555,367</w:t>
            </w:r>
          </w:p>
        </w:tc>
      </w:tr>
      <w:tr>
        <w:trPr>
          <w:trHeight w:val="171"/>
        </w:trPr>
        <w:tc>
          <w:tcPr>
            <w:tcW w:w="3900" w:type="dxa"/>
            <w:vAlign w:val="bottom"/>
          </w:tcPr>
          <w:p>
            <w:pPr>
              <w:spacing w:after="0"/>
              <w:rPr>
                <w:sz w:val="14"/>
                <w:szCs w:val="14"/>
                <w:color w:val="auto"/>
              </w:rPr>
            </w:pPr>
          </w:p>
        </w:tc>
        <w:tc>
          <w:tcPr>
            <w:tcW w:w="146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5"/>
              </w:rPr>
              <w:t>691,032</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587,028</w:t>
            </w:r>
          </w:p>
        </w:tc>
      </w:tr>
      <w:tr>
        <w:trPr>
          <w:trHeight w:val="171"/>
        </w:trPr>
        <w:tc>
          <w:tcPr>
            <w:tcW w:w="3900" w:type="dxa"/>
            <w:vAlign w:val="bottom"/>
          </w:tcPr>
          <w:p>
            <w:pPr>
              <w:spacing w:after="0"/>
              <w:rPr>
                <w:sz w:val="14"/>
                <w:szCs w:val="14"/>
                <w:color w:val="auto"/>
              </w:rPr>
            </w:pPr>
          </w:p>
        </w:tc>
        <w:tc>
          <w:tcPr>
            <w:tcW w:w="146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Cost of license</w:t>
            </w:r>
          </w:p>
        </w:tc>
        <w:tc>
          <w:tcPr>
            <w:tcW w:w="36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1,069</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1,062</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Cost of service</w:t>
            </w:r>
          </w:p>
        </w:tc>
        <w:tc>
          <w:tcPr>
            <w:tcW w:w="36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5"/>
              </w:rPr>
              <w:t>435,121</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374,051</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36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60,468</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43,114</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 administrative</w:t>
            </w:r>
          </w:p>
        </w:tc>
        <w:tc>
          <w:tcPr>
            <w:tcW w:w="36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89,170</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78,550</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Amortization of purchased intangible</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900" w:type="dxa"/>
            <w:vAlign w:val="bottom"/>
          </w:tcPr>
          <w:p>
            <w:pPr>
              <w:ind w:left="440"/>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17,698</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7,572</w:t>
            </w:r>
          </w:p>
        </w:tc>
      </w:tr>
      <w:tr>
        <w:trPr>
          <w:trHeight w:val="171"/>
        </w:trPr>
        <w:tc>
          <w:tcPr>
            <w:tcW w:w="3900" w:type="dxa"/>
            <w:vAlign w:val="bottom"/>
          </w:tcPr>
          <w:p>
            <w:pPr>
              <w:spacing w:after="0"/>
              <w:rPr>
                <w:sz w:val="14"/>
                <w:szCs w:val="14"/>
                <w:color w:val="auto"/>
              </w:rPr>
            </w:pPr>
          </w:p>
        </w:tc>
        <w:tc>
          <w:tcPr>
            <w:tcW w:w="146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5"/>
              </w:rPr>
              <w:t>603,526</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504,349</w:t>
            </w:r>
          </w:p>
        </w:tc>
      </w:tr>
      <w:tr>
        <w:trPr>
          <w:trHeight w:val="171"/>
        </w:trPr>
        <w:tc>
          <w:tcPr>
            <w:tcW w:w="3900" w:type="dxa"/>
            <w:vAlign w:val="bottom"/>
          </w:tcPr>
          <w:p>
            <w:pPr>
              <w:spacing w:after="0"/>
              <w:rPr>
                <w:sz w:val="14"/>
                <w:szCs w:val="14"/>
                <w:color w:val="auto"/>
              </w:rPr>
            </w:pPr>
          </w:p>
        </w:tc>
        <w:tc>
          <w:tcPr>
            <w:tcW w:w="146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9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60" w:type="dxa"/>
            <w:vAlign w:val="bottom"/>
          </w:tcPr>
          <w:p>
            <w:pPr>
              <w:spacing w:after="0"/>
              <w:rPr>
                <w:sz w:val="24"/>
                <w:szCs w:val="2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87,506</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82,679</w:t>
            </w:r>
          </w:p>
        </w:tc>
      </w:tr>
      <w:tr>
        <w:trPr>
          <w:trHeight w:val="341"/>
        </w:trPr>
        <w:tc>
          <w:tcPr>
            <w:tcW w:w="390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w:t>
            </w:r>
          </w:p>
        </w:tc>
        <w:tc>
          <w:tcPr>
            <w:tcW w:w="360" w:type="dxa"/>
            <w:vAlign w:val="bottom"/>
          </w:tcPr>
          <w:p>
            <w:pPr>
              <w:spacing w:after="0"/>
              <w:rPr>
                <w:sz w:val="24"/>
                <w:szCs w:val="2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11,739</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8,414</w:t>
            </w:r>
          </w:p>
        </w:tc>
      </w:tr>
      <w:tr>
        <w:trPr>
          <w:trHeight w:val="171"/>
        </w:trPr>
        <w:tc>
          <w:tcPr>
            <w:tcW w:w="3900" w:type="dxa"/>
            <w:vAlign w:val="bottom"/>
          </w:tcPr>
          <w:p>
            <w:pPr>
              <w:spacing w:after="0"/>
              <w:rPr>
                <w:sz w:val="14"/>
                <w:szCs w:val="14"/>
                <w:color w:val="auto"/>
              </w:rPr>
            </w:pPr>
          </w:p>
        </w:tc>
        <w:tc>
          <w:tcPr>
            <w:tcW w:w="146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36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99,245</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91,093</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36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5,903</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15,759</w:t>
            </w:r>
          </w:p>
        </w:tc>
      </w:tr>
      <w:tr>
        <w:trPr>
          <w:trHeight w:val="171"/>
        </w:trPr>
        <w:tc>
          <w:tcPr>
            <w:tcW w:w="3900" w:type="dxa"/>
            <w:vAlign w:val="bottom"/>
          </w:tcPr>
          <w:p>
            <w:pPr>
              <w:spacing w:after="0"/>
              <w:rPr>
                <w:sz w:val="14"/>
                <w:szCs w:val="14"/>
                <w:color w:val="auto"/>
              </w:rPr>
            </w:pPr>
          </w:p>
        </w:tc>
        <w:tc>
          <w:tcPr>
            <w:tcW w:w="146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6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$ 93,342</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$ 75,334</w:t>
            </w:r>
          </w:p>
        </w:tc>
      </w:tr>
      <w:tr>
        <w:trPr>
          <w:trHeight w:val="171"/>
        </w:trPr>
        <w:tc>
          <w:tcPr>
            <w:tcW w:w="3900" w:type="dxa"/>
            <w:vAlign w:val="bottom"/>
          </w:tcPr>
          <w:p>
            <w:pPr>
              <w:spacing w:after="0"/>
              <w:rPr>
                <w:sz w:val="14"/>
                <w:szCs w:val="14"/>
                <w:color w:val="auto"/>
              </w:rPr>
            </w:pPr>
          </w:p>
        </w:tc>
        <w:tc>
          <w:tcPr>
            <w:tcW w:w="146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0.45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0.38</w:t>
            </w:r>
          </w:p>
        </w:tc>
      </w:tr>
      <w:tr>
        <w:trPr>
          <w:trHeight w:val="171"/>
        </w:trPr>
        <w:tc>
          <w:tcPr>
            <w:tcW w:w="3900" w:type="dxa"/>
            <w:vAlign w:val="bottom"/>
          </w:tcPr>
          <w:p>
            <w:pPr>
              <w:spacing w:after="0"/>
              <w:rPr>
                <w:sz w:val="14"/>
                <w:szCs w:val="14"/>
                <w:color w:val="auto"/>
              </w:rPr>
            </w:pPr>
          </w:p>
        </w:tc>
        <w:tc>
          <w:tcPr>
            <w:tcW w:w="146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0.42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0.36</w:t>
            </w:r>
          </w:p>
        </w:tc>
      </w:tr>
      <w:tr>
        <w:trPr>
          <w:trHeight w:val="171"/>
        </w:trPr>
        <w:tc>
          <w:tcPr>
            <w:tcW w:w="3900" w:type="dxa"/>
            <w:vAlign w:val="bottom"/>
          </w:tcPr>
          <w:p>
            <w:pPr>
              <w:spacing w:after="0"/>
              <w:rPr>
                <w:sz w:val="14"/>
                <w:szCs w:val="14"/>
                <w:color w:val="auto"/>
              </w:rPr>
            </w:pPr>
          </w:p>
        </w:tc>
        <w:tc>
          <w:tcPr>
            <w:tcW w:w="146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90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 shares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3900" w:type="dxa"/>
            <w:vAlign w:val="bottom"/>
          </w:tcPr>
          <w:p>
            <w:pPr>
              <w:ind w:left="260"/>
              <w:spacing w:after="0"/>
              <w:rPr>
                <w:sz w:val="20"/>
                <w:szCs w:val="20"/>
                <w:color w:val="auto"/>
              </w:rPr>
            </w:pPr>
            <w:r>
              <w:rPr>
                <w:rFonts w:ascii="Courier New" w:cs="Courier New" w:eastAsia="Courier New" w:hAnsi="Courier New"/>
                <w:sz w:val="15"/>
                <w:szCs w:val="15"/>
                <w:color w:val="auto"/>
              </w:rPr>
              <w:t>outstanding</w:t>
            </w:r>
          </w:p>
        </w:tc>
        <w:tc>
          <w:tcPr>
            <w:tcW w:w="36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5"/>
              </w:rPr>
              <w:t>206,450</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200,525</w:t>
            </w:r>
          </w:p>
        </w:tc>
      </w:tr>
      <w:tr>
        <w:trPr>
          <w:trHeight w:val="171"/>
        </w:trPr>
        <w:tc>
          <w:tcPr>
            <w:tcW w:w="3900" w:type="dxa"/>
            <w:vAlign w:val="bottom"/>
          </w:tcPr>
          <w:p>
            <w:pPr>
              <w:spacing w:after="0"/>
              <w:rPr>
                <w:sz w:val="14"/>
                <w:szCs w:val="14"/>
                <w:color w:val="auto"/>
              </w:rPr>
            </w:pPr>
          </w:p>
        </w:tc>
        <w:tc>
          <w:tcPr>
            <w:tcW w:w="146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shares</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900" w:type="dxa"/>
            <w:vAlign w:val="bottom"/>
          </w:tcPr>
          <w:p>
            <w:pPr>
              <w:ind w:left="260"/>
              <w:spacing w:after="0"/>
              <w:rPr>
                <w:sz w:val="20"/>
                <w:szCs w:val="20"/>
                <w:color w:val="auto"/>
              </w:rPr>
            </w:pPr>
            <w:r>
              <w:rPr>
                <w:rFonts w:ascii="Courier New" w:cs="Courier New" w:eastAsia="Courier New" w:hAnsi="Courier New"/>
                <w:sz w:val="15"/>
                <w:szCs w:val="15"/>
                <w:color w:val="auto"/>
              </w:rPr>
              <w:t>outstanding</w:t>
            </w:r>
          </w:p>
        </w:tc>
        <w:tc>
          <w:tcPr>
            <w:tcW w:w="36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5"/>
              </w:rPr>
              <w:t>222,718</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214,871</w:t>
            </w:r>
          </w:p>
        </w:tc>
      </w:tr>
      <w:tr>
        <w:trPr>
          <w:trHeight w:val="171"/>
        </w:trPr>
        <w:tc>
          <w:tcPr>
            <w:tcW w:w="3900" w:type="dxa"/>
            <w:vAlign w:val="bottom"/>
          </w:tcPr>
          <w:p>
            <w:pPr>
              <w:spacing w:after="0"/>
              <w:rPr>
                <w:sz w:val="14"/>
                <w:szCs w:val="14"/>
                <w:color w:val="auto"/>
              </w:rPr>
            </w:pPr>
          </w:p>
        </w:tc>
        <w:tc>
          <w:tcPr>
            <w:tcW w:w="146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8" w:right="1440" w:bottom="1440" w:gutter="0" w:footer="0" w:header="0"/>
        </w:sectPr>
      </w:pPr>
    </w:p>
    <w:bookmarkStart w:id="4" w:name="page5"/>
    <w:bookmarkEnd w:id="4"/>
    <w:p>
      <w:pPr>
        <w:jc w:val="center"/>
        <w:ind w:right="4420"/>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CONSOLIDATED STATEMENT OF CHANGES IN SHAREHOLDERS' EQUITY (UNAUDITED)</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(dollar and share amounts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Accumulated</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2480" w:type="dxa"/>
            <w:vAlign w:val="bottom"/>
          </w:tcPr>
          <w:p>
            <w:pPr>
              <w:spacing w:after="0"/>
              <w:rPr>
                <w:sz w:val="14"/>
                <w:szCs w:val="14"/>
                <w:color w:val="auto"/>
              </w:rPr>
            </w:pPr>
          </w:p>
        </w:tc>
        <w:tc>
          <w:tcPr>
            <w:tcW w:w="2700" w:type="dxa"/>
            <w:vAlign w:val="bottom"/>
            <w:gridSpan w:val="3"/>
          </w:tcPr>
          <w:p>
            <w:pPr>
              <w:jc w:val="right"/>
              <w:ind w:right="586"/>
              <w:spacing w:after="0"/>
              <w:rPr>
                <w:sz w:val="20"/>
                <w:szCs w:val="20"/>
                <w:color w:val="auto"/>
              </w:rPr>
            </w:pPr>
            <w:r>
              <w:rPr>
                <w:rFonts w:ascii="Courier New" w:cs="Courier New" w:eastAsia="Courier New" w:hAnsi="Courier New"/>
                <w:sz w:val="15"/>
                <w:szCs w:val="15"/>
                <w:color w:val="auto"/>
              </w:rPr>
              <w:t>Ordinary Shares</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Additional</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ind w:left="120"/>
              <w:spacing w:after="0"/>
              <w:rPr>
                <w:sz w:val="20"/>
                <w:szCs w:val="20"/>
                <w:color w:val="auto"/>
              </w:rPr>
            </w:pPr>
            <w:r>
              <w:rPr>
                <w:rFonts w:ascii="Courier New" w:cs="Courier New" w:eastAsia="Courier New" w:hAnsi="Courier New"/>
                <w:sz w:val="15"/>
                <w:szCs w:val="15"/>
                <w:color w:val="auto"/>
              </w:rPr>
              <w:t>Other</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2480" w:type="dxa"/>
            <w:vAlign w:val="bottom"/>
          </w:tcPr>
          <w:p>
            <w:pPr>
              <w:spacing w:after="0"/>
              <w:rPr>
                <w:sz w:val="14"/>
                <w:szCs w:val="14"/>
                <w:color w:val="auto"/>
              </w:rPr>
            </w:pPr>
          </w:p>
        </w:tc>
        <w:tc>
          <w:tcPr>
            <w:tcW w:w="270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Paid-in</w:t>
            </w:r>
          </w:p>
        </w:tc>
        <w:tc>
          <w:tcPr>
            <w:tcW w:w="220" w:type="dxa"/>
            <w:vAlign w:val="bottom"/>
          </w:tcPr>
          <w:p>
            <w:pPr>
              <w:spacing w:after="0"/>
              <w:rPr>
                <w:sz w:val="14"/>
                <w:szCs w:val="14"/>
                <w:color w:val="auto"/>
              </w:rPr>
            </w:pP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Treasury</w:t>
            </w:r>
          </w:p>
        </w:tc>
        <w:tc>
          <w:tcPr>
            <w:tcW w:w="13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Comprehensive</w:t>
            </w:r>
          </w:p>
        </w:tc>
        <w:tc>
          <w:tcPr>
            <w:tcW w:w="16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Retained</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Shareholders'</w:t>
            </w:r>
          </w:p>
        </w:tc>
      </w:tr>
      <w:tr>
        <w:trPr>
          <w:trHeight w:val="171"/>
        </w:trPr>
        <w:tc>
          <w:tcPr>
            <w:tcW w:w="2480" w:type="dxa"/>
            <w:vAlign w:val="bottom"/>
          </w:tcPr>
          <w:p>
            <w:pPr>
              <w:spacing w:after="0"/>
              <w:rPr>
                <w:sz w:val="14"/>
                <w:szCs w:val="14"/>
                <w:color w:val="auto"/>
              </w:rPr>
            </w:pP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Shares</w:t>
            </w:r>
          </w:p>
        </w:tc>
        <w:tc>
          <w:tcPr>
            <w:tcW w:w="46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Amount</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Capital</w:t>
            </w:r>
          </w:p>
        </w:tc>
        <w:tc>
          <w:tcPr>
            <w:tcW w:w="22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Stock</w:t>
            </w:r>
          </w:p>
        </w:tc>
        <w:tc>
          <w:tcPr>
            <w:tcW w:w="360" w:type="dxa"/>
            <w:vAlign w:val="bottom"/>
          </w:tcPr>
          <w:p>
            <w:pPr>
              <w:spacing w:after="0"/>
              <w:rPr>
                <w:sz w:val="14"/>
                <w:szCs w:val="14"/>
                <w:color w:val="auto"/>
              </w:rPr>
            </w:pPr>
          </w:p>
        </w:tc>
        <w:tc>
          <w:tcPr>
            <w:tcW w:w="1020" w:type="dxa"/>
            <w:vAlign w:val="bottom"/>
          </w:tcPr>
          <w:p>
            <w:pPr>
              <w:ind w:left="120"/>
              <w:spacing w:after="0"/>
              <w:rPr>
                <w:sz w:val="20"/>
                <w:szCs w:val="20"/>
                <w:color w:val="auto"/>
              </w:rPr>
            </w:pPr>
            <w:r>
              <w:rPr>
                <w:rFonts w:ascii="Courier New" w:cs="Courier New" w:eastAsia="Courier New" w:hAnsi="Courier New"/>
                <w:sz w:val="15"/>
                <w:szCs w:val="15"/>
                <w:color w:val="auto"/>
              </w:rPr>
              <w:t>Income</w:t>
            </w:r>
          </w:p>
        </w:tc>
        <w:tc>
          <w:tcPr>
            <w:tcW w:w="1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Earnings</w:t>
            </w:r>
          </w:p>
        </w:tc>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rPr>
              <w:t>Equity</w:t>
            </w:r>
          </w:p>
        </w:tc>
      </w:tr>
      <w:tr>
        <w:trPr>
          <w:trHeight w:val="171"/>
        </w:trPr>
        <w:tc>
          <w:tcPr>
            <w:tcW w:w="2480" w:type="dxa"/>
            <w:vAlign w:val="bottom"/>
          </w:tcPr>
          <w:p>
            <w:pPr>
              <w:spacing w:after="0"/>
              <w:rPr>
                <w:sz w:val="14"/>
                <w:szCs w:val="14"/>
                <w:color w:val="auto"/>
              </w:rPr>
            </w:pP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480" w:type="dxa"/>
            <w:vAlign w:val="bottom"/>
          </w:tcPr>
          <w:p>
            <w:pPr>
              <w:spacing w:after="0"/>
              <w:rPr>
                <w:sz w:val="20"/>
                <w:szCs w:val="20"/>
                <w:color w:val="auto"/>
              </w:rPr>
            </w:pPr>
            <w:r>
              <w:rPr>
                <w:rFonts w:ascii="Courier New" w:cs="Courier New" w:eastAsia="Courier New" w:hAnsi="Courier New"/>
                <w:sz w:val="15"/>
                <w:szCs w:val="15"/>
                <w:color w:val="auto"/>
              </w:rPr>
              <w:t>BALANCE AS OF SEPTEMBER 30,</w:t>
            </w: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2480" w:type="dxa"/>
            <w:vAlign w:val="bottom"/>
          </w:tcPr>
          <w:p>
            <w:pPr>
              <w:ind w:left="80"/>
              <w:spacing w:after="0"/>
              <w:rPr>
                <w:sz w:val="20"/>
                <w:szCs w:val="20"/>
                <w:color w:val="auto"/>
              </w:rPr>
            </w:pPr>
            <w:r>
              <w:rPr>
                <w:rFonts w:ascii="Courier New" w:cs="Courier New" w:eastAsia="Courier New" w:hAnsi="Courier New"/>
                <w:sz w:val="15"/>
                <w:szCs w:val="15"/>
                <w:color w:val="auto"/>
              </w:rPr>
              <w:t>2006</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206,793</w:t>
            </w:r>
          </w:p>
        </w:tc>
        <w:tc>
          <w:tcPr>
            <w:tcW w:w="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3,763</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$ 2,035,309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(602,392)</w:t>
            </w:r>
          </w:p>
        </w:tc>
        <w:tc>
          <w:tcPr>
            <w:tcW w:w="3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2,723</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714,762</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$ 2,154,165</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93,342</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93,342</w:t>
            </w: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Unrealized gain on</w:t>
            </w: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248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w:t>
            </w: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2480" w:type="dxa"/>
            <w:vAlign w:val="bottom"/>
          </w:tcPr>
          <w:p>
            <w:pPr>
              <w:ind w:left="440"/>
              <w:spacing w:after="0"/>
              <w:rPr>
                <w:sz w:val="20"/>
                <w:szCs w:val="20"/>
                <w:color w:val="auto"/>
              </w:rPr>
            </w:pPr>
            <w:r>
              <w:rPr>
                <w:rFonts w:ascii="Courier New" w:cs="Courier New" w:eastAsia="Courier New" w:hAnsi="Courier New"/>
                <w:sz w:val="15"/>
                <w:szCs w:val="15"/>
                <w:color w:val="auto"/>
              </w:rPr>
              <w:t>hedging contracts, net</w:t>
            </w: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2480" w:type="dxa"/>
            <w:vAlign w:val="bottom"/>
          </w:tcPr>
          <w:p>
            <w:pPr>
              <w:ind w:left="440"/>
              <w:spacing w:after="0"/>
              <w:rPr>
                <w:sz w:val="20"/>
                <w:szCs w:val="20"/>
                <w:color w:val="auto"/>
              </w:rPr>
            </w:pPr>
            <w:r>
              <w:rPr>
                <w:rFonts w:ascii="Courier New" w:cs="Courier New" w:eastAsia="Courier New" w:hAnsi="Courier New"/>
                <w:sz w:val="15"/>
                <w:szCs w:val="15"/>
                <w:color w:val="auto"/>
              </w:rPr>
              <w:t>of $825 tax</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1,667</w:t>
            </w:r>
          </w:p>
        </w:tc>
        <w:tc>
          <w:tcPr>
            <w:tcW w:w="16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1,667</w:t>
            </w: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Unrealized loss on</w:t>
            </w: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2480" w:type="dxa"/>
            <w:vAlign w:val="bottom"/>
          </w:tcPr>
          <w:p>
            <w:pPr>
              <w:ind w:left="440"/>
              <w:spacing w:after="0"/>
              <w:rPr>
                <w:sz w:val="20"/>
                <w:szCs w:val="20"/>
                <w:color w:val="auto"/>
              </w:rPr>
            </w:pPr>
            <w:r>
              <w:rPr>
                <w:rFonts w:ascii="Courier New" w:cs="Courier New" w:eastAsia="Courier New" w:hAnsi="Courier New"/>
                <w:sz w:val="15"/>
                <w:szCs w:val="15"/>
                <w:color w:val="auto"/>
              </w:rPr>
              <w:t>short-term</w:t>
            </w: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2480" w:type="dxa"/>
            <w:vAlign w:val="bottom"/>
          </w:tcPr>
          <w:p>
            <w:pPr>
              <w:ind w:left="440"/>
              <w:spacing w:after="0"/>
              <w:rPr>
                <w:sz w:val="20"/>
                <w:szCs w:val="20"/>
                <w:color w:val="auto"/>
              </w:rPr>
            </w:pPr>
            <w:r>
              <w:rPr>
                <w:rFonts w:ascii="Courier New" w:cs="Courier New" w:eastAsia="Courier New" w:hAnsi="Courier New"/>
                <w:sz w:val="15"/>
                <w:szCs w:val="15"/>
                <w:color w:val="auto"/>
              </w:rPr>
              <w:t>interest-bearing</w:t>
            </w: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2480" w:type="dxa"/>
            <w:vAlign w:val="bottom"/>
          </w:tcPr>
          <w:p>
            <w:pPr>
              <w:ind w:left="440"/>
              <w:spacing w:after="0"/>
              <w:rPr>
                <w:sz w:val="20"/>
                <w:szCs w:val="20"/>
                <w:color w:val="auto"/>
              </w:rPr>
            </w:pPr>
            <w:r>
              <w:rPr>
                <w:rFonts w:ascii="Courier New" w:cs="Courier New" w:eastAsia="Courier New" w:hAnsi="Courier New"/>
                <w:sz w:val="15"/>
                <w:szCs w:val="15"/>
                <w:color w:val="auto"/>
              </w:rPr>
              <w:t>investments, net of</w:t>
            </w: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2480" w:type="dxa"/>
            <w:vAlign w:val="bottom"/>
          </w:tcPr>
          <w:p>
            <w:pPr>
              <w:ind w:left="440"/>
              <w:spacing w:after="0"/>
              <w:rPr>
                <w:sz w:val="20"/>
                <w:szCs w:val="20"/>
                <w:color w:val="auto"/>
              </w:rPr>
            </w:pPr>
            <w:r>
              <w:rPr>
                <w:rFonts w:ascii="Courier New" w:cs="Courier New" w:eastAsia="Courier New" w:hAnsi="Courier New"/>
                <w:sz w:val="15"/>
                <w:szCs w:val="15"/>
                <w:color w:val="auto"/>
              </w:rPr>
              <w:t>$(9) tax</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(106)</w:t>
            </w:r>
          </w:p>
        </w:tc>
        <w:tc>
          <w:tcPr>
            <w:tcW w:w="16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r>
      <w:tr>
        <w:trPr>
          <w:trHeight w:val="171"/>
        </w:trPr>
        <w:tc>
          <w:tcPr>
            <w:tcW w:w="2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Comprehensive income</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94,903</w:t>
            </w:r>
          </w:p>
        </w:tc>
      </w:tr>
      <w:tr>
        <w:trPr>
          <w:trHeight w:val="171"/>
        </w:trPr>
        <w:tc>
          <w:tcPr>
            <w:tcW w:w="2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Employee stock options</w:t>
            </w: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2480" w:type="dxa"/>
            <w:vAlign w:val="bottom"/>
          </w:tcPr>
          <w:p>
            <w:pPr>
              <w:ind w:left="260"/>
              <w:spacing w:after="0"/>
              <w:rPr>
                <w:sz w:val="20"/>
                <w:szCs w:val="20"/>
                <w:color w:val="auto"/>
              </w:rPr>
            </w:pPr>
            <w:r>
              <w:rPr>
                <w:rFonts w:ascii="Courier New" w:cs="Courier New" w:eastAsia="Courier New" w:hAnsi="Courier New"/>
                <w:sz w:val="15"/>
                <w:szCs w:val="15"/>
                <w:color w:val="auto"/>
              </w:rPr>
              <w:t>exercised</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804</w:t>
            </w:r>
          </w:p>
        </w:tc>
        <w:tc>
          <w:tcPr>
            <w:tcW w:w="46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15,484</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15,500</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Issuance of restricted</w:t>
            </w: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2480" w:type="dxa"/>
            <w:vAlign w:val="bottom"/>
          </w:tcPr>
          <w:p>
            <w:pPr>
              <w:ind w:left="260"/>
              <w:spacing w:after="0"/>
              <w:rPr>
                <w:sz w:val="20"/>
                <w:szCs w:val="20"/>
                <w:color w:val="auto"/>
              </w:rPr>
            </w:pPr>
            <w:r>
              <w:rPr>
                <w:rFonts w:ascii="Courier New" w:cs="Courier New" w:eastAsia="Courier New" w:hAnsi="Courier New"/>
                <w:sz w:val="15"/>
                <w:szCs w:val="15"/>
                <w:color w:val="auto"/>
              </w:rPr>
              <w:t>stock, net of</w:t>
            </w: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2480" w:type="dxa"/>
            <w:vAlign w:val="bottom"/>
          </w:tcPr>
          <w:p>
            <w:pPr>
              <w:ind w:left="260"/>
              <w:spacing w:after="0"/>
              <w:rPr>
                <w:sz w:val="20"/>
                <w:szCs w:val="20"/>
                <w:color w:val="auto"/>
              </w:rPr>
            </w:pPr>
            <w:r>
              <w:rPr>
                <w:rFonts w:ascii="Courier New" w:cs="Courier New" w:eastAsia="Courier New" w:hAnsi="Courier New"/>
                <w:sz w:val="15"/>
                <w:szCs w:val="15"/>
                <w:color w:val="auto"/>
              </w:rPr>
              <w:t>cancellations</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121</w:t>
            </w:r>
          </w:p>
        </w:tc>
        <w:tc>
          <w:tcPr>
            <w:tcW w:w="46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Tax benefit of stock</w:t>
            </w: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2480" w:type="dxa"/>
            <w:vAlign w:val="bottom"/>
          </w:tcPr>
          <w:p>
            <w:pPr>
              <w:ind w:left="260"/>
              <w:spacing w:after="0"/>
              <w:rPr>
                <w:sz w:val="20"/>
                <w:szCs w:val="20"/>
                <w:color w:val="auto"/>
              </w:rPr>
            </w:pPr>
            <w:r>
              <w:rPr>
                <w:rFonts w:ascii="Courier New" w:cs="Courier New" w:eastAsia="Courier New" w:hAnsi="Courier New"/>
                <w:sz w:val="15"/>
                <w:szCs w:val="15"/>
                <w:color w:val="auto"/>
              </w:rPr>
              <w:t>options exercised</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774</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774</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Equity-based compensation</w:t>
            </w: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2480" w:type="dxa"/>
            <w:vAlign w:val="bottom"/>
          </w:tcPr>
          <w:p>
            <w:pPr>
              <w:ind w:left="260"/>
              <w:spacing w:after="0"/>
              <w:rPr>
                <w:sz w:val="20"/>
                <w:szCs w:val="20"/>
                <w:color w:val="auto"/>
              </w:rPr>
            </w:pPr>
            <w:r>
              <w:rPr>
                <w:rFonts w:ascii="Courier New" w:cs="Courier New" w:eastAsia="Courier New" w:hAnsi="Courier New"/>
                <w:sz w:val="15"/>
                <w:szCs w:val="15"/>
                <w:color w:val="auto"/>
              </w:rPr>
              <w:t>expense related to</w:t>
            </w: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2480" w:type="dxa"/>
            <w:vAlign w:val="bottom"/>
          </w:tcPr>
          <w:p>
            <w:pPr>
              <w:ind w:left="260"/>
              <w:spacing w:after="0"/>
              <w:rPr>
                <w:sz w:val="20"/>
                <w:szCs w:val="20"/>
                <w:color w:val="auto"/>
              </w:rPr>
            </w:pPr>
            <w:r>
              <w:rPr>
                <w:rFonts w:ascii="Courier New" w:cs="Courier New" w:eastAsia="Courier New" w:hAnsi="Courier New"/>
                <w:sz w:val="15"/>
                <w:szCs w:val="15"/>
                <w:color w:val="auto"/>
              </w:rPr>
              <w:t>employees</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15,325</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15,325</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Equity-based compensation</w:t>
            </w: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2480" w:type="dxa"/>
            <w:vAlign w:val="bottom"/>
          </w:tcPr>
          <w:p>
            <w:pPr>
              <w:ind w:left="260"/>
              <w:spacing w:after="0"/>
              <w:rPr>
                <w:sz w:val="20"/>
                <w:szCs w:val="20"/>
                <w:color w:val="auto"/>
              </w:rPr>
            </w:pPr>
            <w:r>
              <w:rPr>
                <w:rFonts w:ascii="Courier New" w:cs="Courier New" w:eastAsia="Courier New" w:hAnsi="Courier New"/>
                <w:sz w:val="15"/>
                <w:szCs w:val="15"/>
                <w:color w:val="auto"/>
              </w:rPr>
              <w:t>expense related to non</w:t>
            </w: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2480" w:type="dxa"/>
            <w:vAlign w:val="bottom"/>
          </w:tcPr>
          <w:p>
            <w:pPr>
              <w:ind w:left="260"/>
              <w:spacing w:after="0"/>
              <w:rPr>
                <w:sz w:val="20"/>
                <w:szCs w:val="20"/>
                <w:color w:val="auto"/>
              </w:rPr>
            </w:pPr>
            <w:r>
              <w:rPr>
                <w:rFonts w:ascii="Courier New" w:cs="Courier New" w:eastAsia="Courier New" w:hAnsi="Courier New"/>
                <w:sz w:val="15"/>
                <w:szCs w:val="15"/>
                <w:color w:val="auto"/>
              </w:rPr>
              <w:t>employee stock options</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w:t>
            </w:r>
          </w:p>
        </w:tc>
      </w:tr>
      <w:tr>
        <w:trPr>
          <w:trHeight w:val="171"/>
        </w:trPr>
        <w:tc>
          <w:tcPr>
            <w:tcW w:w="2480" w:type="dxa"/>
            <w:vAlign w:val="bottom"/>
          </w:tcPr>
          <w:p>
            <w:pPr>
              <w:spacing w:after="0"/>
              <w:rPr>
                <w:sz w:val="14"/>
                <w:szCs w:val="14"/>
                <w:color w:val="auto"/>
              </w:rPr>
            </w:pP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BALANCE AS OF  DECEMBER 31,</w:t>
            </w: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2006</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207,718</w:t>
            </w:r>
          </w:p>
        </w:tc>
        <w:tc>
          <w:tcPr>
            <w:tcW w:w="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3,781</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$ 2,066,904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(602,392)</w:t>
            </w:r>
          </w:p>
        </w:tc>
        <w:tc>
          <w:tcPr>
            <w:tcW w:w="3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4,284</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808,104</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$ 2,280,681</w:t>
            </w:r>
          </w:p>
        </w:tc>
      </w:tr>
      <w:tr>
        <w:trPr>
          <w:trHeight w:val="171"/>
        </w:trPr>
        <w:tc>
          <w:tcPr>
            <w:tcW w:w="2480" w:type="dxa"/>
            <w:vAlign w:val="bottom"/>
          </w:tcPr>
          <w:p>
            <w:pPr>
              <w:spacing w:after="0"/>
              <w:rPr>
                <w:sz w:val="14"/>
                <w:szCs w:val="14"/>
                <w:color w:val="auto"/>
              </w:rPr>
            </w:pP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4520"/>
        <w:spacing w:after="0"/>
        <w:rPr>
          <w:sz w:val="20"/>
          <w:szCs w:val="20"/>
          <w:color w:val="auto"/>
        </w:rPr>
      </w:pPr>
      <w:r>
        <w:rPr>
          <w:rFonts w:ascii="Courier New" w:cs="Courier New" w:eastAsia="Courier New" w:hAnsi="Courier New"/>
          <w:sz w:val="15"/>
          <w:szCs w:val="15"/>
          <w:color w:val="auto"/>
        </w:rPr>
        <w:t>As of December 31, 2006 and September 30, 2006, accumulated other comprehensive income is comprised of unrealized gain on foreign currency hedging contracts, net of tax, of $4,509 and $2,841, respectively, and unrealized loss on short-term interest-bearing investments, net of tax, of $(225) and $(118), respectively.</w:t>
      </w:r>
    </w:p>
    <w:p>
      <w:pPr>
        <w:spacing w:after="0" w:line="172"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1"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20"/>
          </w:cols>
          <w:pgMar w:left="240" w:top="628" w:right="139" w:bottom="1440" w:gutter="0" w:footer="0" w:header="0"/>
        </w:sectPr>
      </w:pPr>
    </w:p>
    <w:bookmarkStart w:id="5" w:name="page6"/>
    <w:bookmarkEnd w:id="5"/>
    <w:p>
      <w:pPr>
        <w:jc w:val="center"/>
        <w:ind w:right="3139"/>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CONSOLIDATED STATEMENTS OF CASH FLOWS (UNAUDITED)</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(dollar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31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THREE MONTHS ENDED DECEMBER 31,</w:t>
            </w:r>
          </w:p>
        </w:tc>
      </w:tr>
      <w:tr>
        <w:trPr>
          <w:trHeight w:val="171"/>
        </w:trPr>
        <w:tc>
          <w:tcPr>
            <w:tcW w:w="5220" w:type="dxa"/>
            <w:vAlign w:val="bottom"/>
          </w:tcPr>
          <w:p>
            <w:pPr>
              <w:spacing w:after="0"/>
              <w:rPr>
                <w:sz w:val="14"/>
                <w:szCs w:val="14"/>
                <w:color w:val="auto"/>
              </w:rPr>
            </w:pPr>
          </w:p>
        </w:tc>
        <w:tc>
          <w:tcPr>
            <w:tcW w:w="3120" w:type="dxa"/>
            <w:vAlign w:val="bottom"/>
            <w:gridSpan w:val="4"/>
          </w:tcPr>
          <w:p>
            <w:pPr>
              <w:ind w:left="360"/>
              <w:spacing w:after="0"/>
              <w:rPr>
                <w:sz w:val="20"/>
                <w:szCs w:val="20"/>
                <w:color w:val="auto"/>
              </w:rPr>
            </w:pPr>
            <w:r>
              <w:rPr>
                <w:rFonts w:ascii="Courier New" w:cs="Courier New" w:eastAsia="Courier New" w:hAnsi="Courier New"/>
                <w:sz w:val="15"/>
                <w:szCs w:val="15"/>
                <w:color w:val="auto"/>
              </w:rPr>
              <w:t>------------------------------</w:t>
            </w:r>
          </w:p>
        </w:tc>
      </w:tr>
      <w:tr>
        <w:trPr>
          <w:trHeight w:val="171"/>
        </w:trPr>
        <w:tc>
          <w:tcPr>
            <w:tcW w:w="5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2006</w:t>
            </w:r>
          </w:p>
        </w:tc>
        <w:tc>
          <w:tcPr>
            <w:tcW w:w="52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2005</w:t>
            </w:r>
          </w:p>
        </w:tc>
      </w:tr>
      <w:tr>
        <w:trPr>
          <w:trHeight w:val="171"/>
        </w:trPr>
        <w:tc>
          <w:tcPr>
            <w:tcW w:w="5220" w:type="dxa"/>
            <w:vAlign w:val="bottom"/>
          </w:tcPr>
          <w:p>
            <w:pPr>
              <w:spacing w:after="0"/>
              <w:rPr>
                <w:sz w:val="14"/>
                <w:szCs w:val="14"/>
                <w:color w:val="auto"/>
              </w:rPr>
            </w:pPr>
          </w:p>
        </w:tc>
        <w:tc>
          <w:tcPr>
            <w:tcW w:w="17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522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93,342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75,334</w:t>
            </w: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 provided by</w:t>
            </w:r>
          </w:p>
        </w:tc>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220" w:type="dxa"/>
            <w:vAlign w:val="bottom"/>
          </w:tcPr>
          <w:p>
            <w:pPr>
              <w:ind w:left="440"/>
              <w:spacing w:after="0"/>
              <w:rPr>
                <w:sz w:val="20"/>
                <w:szCs w:val="20"/>
                <w:color w:val="auto"/>
              </w:rPr>
            </w:pPr>
            <w:r>
              <w:rPr>
                <w:rFonts w:ascii="Courier New" w:cs="Courier New" w:eastAsia="Courier New" w:hAnsi="Courier New"/>
                <w:sz w:val="15"/>
                <w:szCs w:val="15"/>
                <w:color w:val="auto"/>
              </w:rPr>
              <w:t>operating activities:</w:t>
            </w:r>
          </w:p>
        </w:tc>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220" w:type="dxa"/>
            <w:vAlign w:val="bottom"/>
          </w:tcPr>
          <w:p>
            <w:pPr>
              <w:ind w:left="260"/>
              <w:spacing w:after="0"/>
              <w:rPr>
                <w:sz w:val="20"/>
                <w:szCs w:val="20"/>
                <w:color w:val="auto"/>
              </w:rPr>
            </w:pPr>
            <w:r>
              <w:rPr>
                <w:rFonts w:ascii="Courier New" w:cs="Courier New" w:eastAsia="Courier New" w:hAnsi="Courier New"/>
                <w:sz w:val="15"/>
                <w:szCs w:val="15"/>
                <w:color w:val="auto"/>
              </w:rPr>
              <w:t>Depreciation and amortization</w:t>
            </w:r>
          </w:p>
        </w:tc>
        <w:tc>
          <w:tcPr>
            <w:tcW w:w="460" w:type="dxa"/>
            <w:vAlign w:val="bottom"/>
          </w:tcPr>
          <w:p>
            <w:pPr>
              <w:spacing w:after="0"/>
              <w:rPr>
                <w:sz w:val="14"/>
                <w:szCs w:val="14"/>
                <w:color w:val="auto"/>
              </w:rPr>
            </w:pP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38,042</w:t>
            </w:r>
          </w:p>
        </w:tc>
        <w:tc>
          <w:tcPr>
            <w:tcW w:w="5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28,632</w:t>
            </w:r>
          </w:p>
        </w:tc>
      </w:tr>
      <w:tr>
        <w:trPr>
          <w:trHeight w:val="171"/>
        </w:trPr>
        <w:tc>
          <w:tcPr>
            <w:tcW w:w="5220" w:type="dxa"/>
            <w:vAlign w:val="bottom"/>
          </w:tcPr>
          <w:p>
            <w:pPr>
              <w:ind w:left="260"/>
              <w:spacing w:after="0"/>
              <w:rPr>
                <w:sz w:val="20"/>
                <w:szCs w:val="20"/>
                <w:color w:val="auto"/>
              </w:rPr>
            </w:pPr>
            <w:r>
              <w:rPr>
                <w:rFonts w:ascii="Courier New" w:cs="Courier New" w:eastAsia="Courier New" w:hAnsi="Courier New"/>
                <w:sz w:val="15"/>
                <w:szCs w:val="15"/>
                <w:color w:val="auto"/>
              </w:rPr>
              <w:t>(Gain) loss on sale of equipment</w:t>
            </w:r>
          </w:p>
        </w:tc>
        <w:tc>
          <w:tcPr>
            <w:tcW w:w="460" w:type="dxa"/>
            <w:vAlign w:val="bottom"/>
          </w:tcPr>
          <w:p>
            <w:pPr>
              <w:spacing w:after="0"/>
              <w:rPr>
                <w:sz w:val="14"/>
                <w:szCs w:val="14"/>
                <w:color w:val="auto"/>
              </w:rPr>
            </w:pP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(171)</w:t>
            </w:r>
          </w:p>
        </w:tc>
        <w:tc>
          <w:tcPr>
            <w:tcW w:w="5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w:t>
            </w:r>
          </w:p>
        </w:tc>
      </w:tr>
      <w:tr>
        <w:trPr>
          <w:trHeight w:val="171"/>
        </w:trPr>
        <w:tc>
          <w:tcPr>
            <w:tcW w:w="5220" w:type="dxa"/>
            <w:vAlign w:val="bottom"/>
          </w:tcPr>
          <w:p>
            <w:pPr>
              <w:ind w:left="260"/>
              <w:spacing w:after="0"/>
              <w:rPr>
                <w:sz w:val="20"/>
                <w:szCs w:val="20"/>
                <w:color w:val="auto"/>
              </w:rPr>
            </w:pPr>
            <w:r>
              <w:rPr>
                <w:rFonts w:ascii="Courier New" w:cs="Courier New" w:eastAsia="Courier New" w:hAnsi="Courier New"/>
                <w:sz w:val="15"/>
                <w:szCs w:val="15"/>
                <w:color w:val="auto"/>
              </w:rPr>
              <w:t>Equity-based compensation expense</w:t>
            </w:r>
          </w:p>
        </w:tc>
        <w:tc>
          <w:tcPr>
            <w:tcW w:w="460" w:type="dxa"/>
            <w:vAlign w:val="bottom"/>
          </w:tcPr>
          <w:p>
            <w:pPr>
              <w:spacing w:after="0"/>
              <w:rPr>
                <w:sz w:val="14"/>
                <w:szCs w:val="14"/>
                <w:color w:val="auto"/>
              </w:rPr>
            </w:pP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15,325</w:t>
            </w:r>
          </w:p>
        </w:tc>
        <w:tc>
          <w:tcPr>
            <w:tcW w:w="5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11,060</w:t>
            </w:r>
          </w:p>
        </w:tc>
      </w:tr>
      <w:tr>
        <w:trPr>
          <w:trHeight w:val="171"/>
        </w:trPr>
        <w:tc>
          <w:tcPr>
            <w:tcW w:w="522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460" w:type="dxa"/>
            <w:vAlign w:val="bottom"/>
          </w:tcPr>
          <w:p>
            <w:pPr>
              <w:spacing w:after="0"/>
              <w:rPr>
                <w:sz w:val="14"/>
                <w:szCs w:val="14"/>
                <w:color w:val="auto"/>
              </w:rPr>
            </w:pP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(2,928)</w:t>
            </w:r>
          </w:p>
        </w:tc>
        <w:tc>
          <w:tcPr>
            <w:tcW w:w="5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5,827</w:t>
            </w:r>
          </w:p>
        </w:tc>
      </w:tr>
      <w:tr>
        <w:trPr>
          <w:trHeight w:val="171"/>
        </w:trPr>
        <w:tc>
          <w:tcPr>
            <w:tcW w:w="5220" w:type="dxa"/>
            <w:vAlign w:val="bottom"/>
          </w:tcPr>
          <w:p>
            <w:pPr>
              <w:ind w:left="260"/>
              <w:spacing w:after="0"/>
              <w:rPr>
                <w:sz w:val="20"/>
                <w:szCs w:val="20"/>
                <w:color w:val="auto"/>
              </w:rPr>
            </w:pPr>
            <w:r>
              <w:rPr>
                <w:rFonts w:ascii="Courier New" w:cs="Courier New" w:eastAsia="Courier New" w:hAnsi="Courier New"/>
                <w:sz w:val="15"/>
                <w:szCs w:val="15"/>
                <w:color w:val="auto"/>
              </w:rPr>
              <w:t>Excess tax benefit from equity-based compensation</w:t>
            </w:r>
          </w:p>
        </w:tc>
        <w:tc>
          <w:tcPr>
            <w:tcW w:w="460" w:type="dxa"/>
            <w:vAlign w:val="bottom"/>
          </w:tcPr>
          <w:p>
            <w:pPr>
              <w:spacing w:after="0"/>
              <w:rPr>
                <w:sz w:val="14"/>
                <w:szCs w:val="14"/>
                <w:color w:val="auto"/>
              </w:rPr>
            </w:pP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(154)</w:t>
            </w:r>
          </w:p>
        </w:tc>
        <w:tc>
          <w:tcPr>
            <w:tcW w:w="5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(610)</w:t>
            </w:r>
          </w:p>
        </w:tc>
      </w:tr>
      <w:tr>
        <w:trPr>
          <w:trHeight w:val="171"/>
        </w:trPr>
        <w:tc>
          <w:tcPr>
            <w:tcW w:w="5220" w:type="dxa"/>
            <w:vAlign w:val="bottom"/>
          </w:tcPr>
          <w:p>
            <w:pPr>
              <w:ind w:left="260"/>
              <w:spacing w:after="0"/>
              <w:rPr>
                <w:sz w:val="20"/>
                <w:szCs w:val="20"/>
                <w:color w:val="auto"/>
              </w:rPr>
            </w:pPr>
            <w:r>
              <w:rPr>
                <w:rFonts w:ascii="Courier New" w:cs="Courier New" w:eastAsia="Courier New" w:hAnsi="Courier New"/>
                <w:sz w:val="15"/>
                <w:szCs w:val="15"/>
                <w:color w:val="auto"/>
              </w:rPr>
              <w:t>Realized gain from short-term interest-bearing</w:t>
            </w:r>
          </w:p>
        </w:tc>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220" w:type="dxa"/>
            <w:vAlign w:val="bottom"/>
          </w:tcPr>
          <w:p>
            <w:pPr>
              <w:ind w:left="440"/>
              <w:spacing w:after="0"/>
              <w:rPr>
                <w:sz w:val="20"/>
                <w:szCs w:val="20"/>
                <w:color w:val="auto"/>
              </w:rPr>
            </w:pPr>
            <w:r>
              <w:rPr>
                <w:rFonts w:ascii="Courier New" w:cs="Courier New" w:eastAsia="Courier New" w:hAnsi="Courier New"/>
                <w:sz w:val="15"/>
                <w:szCs w:val="15"/>
                <w:color w:val="auto"/>
              </w:rPr>
              <w:t>investments</w:t>
            </w:r>
          </w:p>
        </w:tc>
        <w:tc>
          <w:tcPr>
            <w:tcW w:w="460" w:type="dxa"/>
            <w:vAlign w:val="bottom"/>
          </w:tcPr>
          <w:p>
            <w:pPr>
              <w:spacing w:after="0"/>
              <w:rPr>
                <w:sz w:val="14"/>
                <w:szCs w:val="14"/>
                <w:color w:val="auto"/>
              </w:rPr>
            </w:pP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(1,255)</w:t>
            </w:r>
          </w:p>
        </w:tc>
        <w:tc>
          <w:tcPr>
            <w:tcW w:w="5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(2,355)</w:t>
            </w: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 net of</w:t>
            </w:r>
          </w:p>
        </w:tc>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220" w:type="dxa"/>
            <w:vAlign w:val="bottom"/>
          </w:tcPr>
          <w:p>
            <w:pPr>
              <w:ind w:left="260"/>
              <w:spacing w:after="0"/>
              <w:rPr>
                <w:sz w:val="20"/>
                <w:szCs w:val="20"/>
                <w:color w:val="auto"/>
              </w:rPr>
            </w:pPr>
            <w:r>
              <w:rPr>
                <w:rFonts w:ascii="Courier New" w:cs="Courier New" w:eastAsia="Courier New" w:hAnsi="Courier New"/>
                <w:sz w:val="15"/>
                <w:szCs w:val="15"/>
                <w:color w:val="auto"/>
              </w:rPr>
              <w:t>amounts acquired:</w:t>
            </w:r>
          </w:p>
        </w:tc>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22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w:t>
            </w:r>
          </w:p>
        </w:tc>
        <w:tc>
          <w:tcPr>
            <w:tcW w:w="460" w:type="dxa"/>
            <w:vAlign w:val="bottom"/>
          </w:tcPr>
          <w:p>
            <w:pPr>
              <w:spacing w:after="0"/>
              <w:rPr>
                <w:sz w:val="14"/>
                <w:szCs w:val="14"/>
                <w:color w:val="auto"/>
              </w:rPr>
            </w:pP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7,113</w:t>
            </w:r>
          </w:p>
        </w:tc>
        <w:tc>
          <w:tcPr>
            <w:tcW w:w="5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(39,250)</w:t>
            </w:r>
          </w:p>
        </w:tc>
      </w:tr>
      <w:tr>
        <w:trPr>
          <w:trHeight w:val="171"/>
        </w:trPr>
        <w:tc>
          <w:tcPr>
            <w:tcW w:w="522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460" w:type="dxa"/>
            <w:vAlign w:val="bottom"/>
          </w:tcPr>
          <w:p>
            <w:pPr>
              <w:spacing w:after="0"/>
              <w:rPr>
                <w:sz w:val="14"/>
                <w:szCs w:val="14"/>
                <w:color w:val="auto"/>
              </w:rPr>
            </w:pP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7,280</w:t>
            </w:r>
          </w:p>
        </w:tc>
        <w:tc>
          <w:tcPr>
            <w:tcW w:w="5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(3,641)</w:t>
            </w:r>
          </w:p>
        </w:tc>
      </w:tr>
      <w:tr>
        <w:trPr>
          <w:trHeight w:val="171"/>
        </w:trPr>
        <w:tc>
          <w:tcPr>
            <w:tcW w:w="5220" w:type="dxa"/>
            <w:vAlign w:val="bottom"/>
          </w:tcPr>
          <w:p>
            <w:pPr>
              <w:ind w:left="260"/>
              <w:spacing w:after="0"/>
              <w:rPr>
                <w:sz w:val="20"/>
                <w:szCs w:val="20"/>
                <w:color w:val="auto"/>
              </w:rPr>
            </w:pPr>
            <w:r>
              <w:rPr>
                <w:rFonts w:ascii="Courier New" w:cs="Courier New" w:eastAsia="Courier New" w:hAnsi="Courier New"/>
                <w:sz w:val="15"/>
                <w:szCs w:val="15"/>
                <w:color w:val="auto"/>
              </w:rPr>
              <w:t>Other noncurrent assets</w:t>
            </w:r>
          </w:p>
        </w:tc>
        <w:tc>
          <w:tcPr>
            <w:tcW w:w="460" w:type="dxa"/>
            <w:vAlign w:val="bottom"/>
          </w:tcPr>
          <w:p>
            <w:pPr>
              <w:spacing w:after="0"/>
              <w:rPr>
                <w:sz w:val="14"/>
                <w:szCs w:val="14"/>
                <w:color w:val="auto"/>
              </w:rPr>
            </w:pP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(6,091)</w:t>
            </w:r>
          </w:p>
        </w:tc>
        <w:tc>
          <w:tcPr>
            <w:tcW w:w="5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(2,433)</w:t>
            </w:r>
          </w:p>
        </w:tc>
      </w:tr>
      <w:tr>
        <w:trPr>
          <w:trHeight w:val="171"/>
        </w:trPr>
        <w:tc>
          <w:tcPr>
            <w:tcW w:w="522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460" w:type="dxa"/>
            <w:vAlign w:val="bottom"/>
          </w:tcPr>
          <w:p>
            <w:pPr>
              <w:spacing w:after="0"/>
              <w:rPr>
                <w:sz w:val="14"/>
                <w:szCs w:val="14"/>
                <w:color w:val="auto"/>
              </w:rPr>
            </w:pP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11,390</w:t>
            </w:r>
          </w:p>
        </w:tc>
        <w:tc>
          <w:tcPr>
            <w:tcW w:w="5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26,240</w:t>
            </w:r>
          </w:p>
        </w:tc>
      </w:tr>
      <w:tr>
        <w:trPr>
          <w:trHeight w:val="171"/>
        </w:trPr>
        <w:tc>
          <w:tcPr>
            <w:tcW w:w="522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460" w:type="dxa"/>
            <w:vAlign w:val="bottom"/>
          </w:tcPr>
          <w:p>
            <w:pPr>
              <w:spacing w:after="0"/>
              <w:rPr>
                <w:sz w:val="14"/>
                <w:szCs w:val="14"/>
                <w:color w:val="auto"/>
              </w:rPr>
            </w:pP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(46,986)</w:t>
            </w:r>
          </w:p>
        </w:tc>
        <w:tc>
          <w:tcPr>
            <w:tcW w:w="5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(14,066)</w:t>
            </w:r>
          </w:p>
        </w:tc>
      </w:tr>
      <w:tr>
        <w:trPr>
          <w:trHeight w:val="171"/>
        </w:trPr>
        <w:tc>
          <w:tcPr>
            <w:tcW w:w="5220" w:type="dxa"/>
            <w:vAlign w:val="bottom"/>
          </w:tcPr>
          <w:p>
            <w:pPr>
              <w:ind w:left="260"/>
              <w:spacing w:after="0"/>
              <w:rPr>
                <w:sz w:val="20"/>
                <w:szCs w:val="20"/>
                <w:color w:val="auto"/>
              </w:rPr>
            </w:pPr>
            <w:r>
              <w:rPr>
                <w:rFonts w:ascii="Courier New" w:cs="Courier New" w:eastAsia="Courier New" w:hAnsi="Courier New"/>
                <w:sz w:val="15"/>
                <w:szCs w:val="15"/>
                <w:color w:val="auto"/>
              </w:rPr>
              <w:t>Income taxes payable</w:t>
            </w:r>
          </w:p>
        </w:tc>
        <w:tc>
          <w:tcPr>
            <w:tcW w:w="460" w:type="dxa"/>
            <w:vAlign w:val="bottom"/>
          </w:tcPr>
          <w:p>
            <w:pPr>
              <w:spacing w:after="0"/>
              <w:rPr>
                <w:sz w:val="14"/>
                <w:szCs w:val="14"/>
                <w:color w:val="auto"/>
              </w:rPr>
            </w:pP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(19,884)</w:t>
            </w:r>
          </w:p>
        </w:tc>
        <w:tc>
          <w:tcPr>
            <w:tcW w:w="5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(953)</w:t>
            </w:r>
          </w:p>
        </w:tc>
      </w:tr>
      <w:tr>
        <w:trPr>
          <w:trHeight w:val="171"/>
        </w:trPr>
        <w:tc>
          <w:tcPr>
            <w:tcW w:w="5220" w:type="dxa"/>
            <w:vAlign w:val="bottom"/>
          </w:tcPr>
          <w:p>
            <w:pPr>
              <w:ind w:left="260"/>
              <w:spacing w:after="0"/>
              <w:rPr>
                <w:sz w:val="20"/>
                <w:szCs w:val="20"/>
                <w:color w:val="auto"/>
              </w:rPr>
            </w:pPr>
            <w:r>
              <w:rPr>
                <w:rFonts w:ascii="Courier New" w:cs="Courier New" w:eastAsia="Courier New" w:hAnsi="Courier New"/>
                <w:sz w:val="15"/>
                <w:szCs w:val="15"/>
                <w:color w:val="auto"/>
              </w:rPr>
              <w:t>Noncurrent liabilities and other</w:t>
            </w:r>
          </w:p>
        </w:tc>
        <w:tc>
          <w:tcPr>
            <w:tcW w:w="460" w:type="dxa"/>
            <w:vAlign w:val="bottom"/>
          </w:tcPr>
          <w:p>
            <w:pPr>
              <w:spacing w:after="0"/>
              <w:rPr>
                <w:sz w:val="14"/>
                <w:szCs w:val="14"/>
                <w:color w:val="auto"/>
              </w:rPr>
            </w:pP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4,058</w:t>
            </w:r>
          </w:p>
        </w:tc>
        <w:tc>
          <w:tcPr>
            <w:tcW w:w="5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(384)</w:t>
            </w:r>
          </w:p>
        </w:tc>
      </w:tr>
      <w:tr>
        <w:trPr>
          <w:trHeight w:val="171"/>
        </w:trPr>
        <w:tc>
          <w:tcPr>
            <w:tcW w:w="5220" w:type="dxa"/>
            <w:vAlign w:val="bottom"/>
          </w:tcPr>
          <w:p>
            <w:pPr>
              <w:spacing w:after="0"/>
              <w:rPr>
                <w:sz w:val="14"/>
                <w:szCs w:val="14"/>
                <w:color w:val="auto"/>
              </w:rPr>
            </w:pPr>
          </w:p>
        </w:tc>
        <w:tc>
          <w:tcPr>
            <w:tcW w:w="17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460" w:type="dxa"/>
            <w:vAlign w:val="bottom"/>
          </w:tcPr>
          <w:p>
            <w:pPr>
              <w:spacing w:after="0"/>
              <w:rPr>
                <w:sz w:val="14"/>
                <w:szCs w:val="14"/>
                <w:color w:val="auto"/>
              </w:rPr>
            </w:pP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99,081</w:t>
            </w:r>
          </w:p>
        </w:tc>
        <w:tc>
          <w:tcPr>
            <w:tcW w:w="5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83,474</w:t>
            </w:r>
          </w:p>
        </w:tc>
      </w:tr>
      <w:tr>
        <w:trPr>
          <w:trHeight w:val="171"/>
        </w:trPr>
        <w:tc>
          <w:tcPr>
            <w:tcW w:w="5220" w:type="dxa"/>
            <w:vAlign w:val="bottom"/>
          </w:tcPr>
          <w:p>
            <w:pPr>
              <w:spacing w:after="0"/>
              <w:rPr>
                <w:sz w:val="14"/>
                <w:szCs w:val="14"/>
                <w:color w:val="auto"/>
              </w:rPr>
            </w:pPr>
          </w:p>
        </w:tc>
        <w:tc>
          <w:tcPr>
            <w:tcW w:w="17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522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 leasehold</w:t>
            </w:r>
          </w:p>
        </w:tc>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220" w:type="dxa"/>
            <w:vAlign w:val="bottom"/>
          </w:tcPr>
          <w:p>
            <w:pPr>
              <w:ind w:left="440"/>
              <w:spacing w:after="0"/>
              <w:rPr>
                <w:sz w:val="20"/>
                <w:szCs w:val="20"/>
                <w:color w:val="auto"/>
              </w:rPr>
            </w:pPr>
            <w:r>
              <w:rPr>
                <w:rFonts w:ascii="Courier New" w:cs="Courier New" w:eastAsia="Courier New" w:hAnsi="Courier New"/>
                <w:sz w:val="15"/>
                <w:szCs w:val="15"/>
                <w:color w:val="auto"/>
              </w:rPr>
              <w:t>improvements</w:t>
            </w:r>
          </w:p>
        </w:tc>
        <w:tc>
          <w:tcPr>
            <w:tcW w:w="460" w:type="dxa"/>
            <w:vAlign w:val="bottom"/>
          </w:tcPr>
          <w:p>
            <w:pPr>
              <w:spacing w:after="0"/>
              <w:rPr>
                <w:sz w:val="14"/>
                <w:szCs w:val="14"/>
                <w:color w:val="auto"/>
              </w:rPr>
            </w:pP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450</w:t>
            </w:r>
          </w:p>
        </w:tc>
        <w:tc>
          <w:tcPr>
            <w:tcW w:w="5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1,143</w:t>
            </w: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 and</w:t>
            </w:r>
          </w:p>
        </w:tc>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220" w:type="dxa"/>
            <w:vAlign w:val="bottom"/>
          </w:tcPr>
          <w:p>
            <w:pPr>
              <w:ind w:left="440"/>
              <w:spacing w:after="0"/>
              <w:rPr>
                <w:sz w:val="20"/>
                <w:szCs w:val="20"/>
                <w:color w:val="auto"/>
              </w:rPr>
            </w:pPr>
            <w:r>
              <w:rPr>
                <w:rFonts w:ascii="Courier New" w:cs="Courier New" w:eastAsia="Courier New" w:hAnsi="Courier New"/>
                <w:sz w:val="15"/>
                <w:szCs w:val="15"/>
                <w:color w:val="auto"/>
              </w:rPr>
              <w:t>leasehold improvements</w:t>
            </w:r>
          </w:p>
        </w:tc>
        <w:tc>
          <w:tcPr>
            <w:tcW w:w="460" w:type="dxa"/>
            <w:vAlign w:val="bottom"/>
          </w:tcPr>
          <w:p>
            <w:pPr>
              <w:spacing w:after="0"/>
              <w:rPr>
                <w:sz w:val="14"/>
                <w:szCs w:val="14"/>
                <w:color w:val="auto"/>
              </w:rPr>
            </w:pP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(50,568)</w:t>
            </w:r>
          </w:p>
        </w:tc>
        <w:tc>
          <w:tcPr>
            <w:tcW w:w="5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(14,059)</w:t>
            </w: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rPr>
              <w:t>Proceeds from sale of short-term interest-bearing</w:t>
            </w:r>
          </w:p>
        </w:tc>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220" w:type="dxa"/>
            <w:vAlign w:val="bottom"/>
          </w:tcPr>
          <w:p>
            <w:pPr>
              <w:ind w:left="440"/>
              <w:spacing w:after="0"/>
              <w:rPr>
                <w:sz w:val="20"/>
                <w:szCs w:val="20"/>
                <w:color w:val="auto"/>
              </w:rPr>
            </w:pPr>
            <w:r>
              <w:rPr>
                <w:rFonts w:ascii="Courier New" w:cs="Courier New" w:eastAsia="Courier New" w:hAnsi="Courier New"/>
                <w:sz w:val="15"/>
                <w:szCs w:val="15"/>
                <w:color w:val="auto"/>
              </w:rPr>
              <w:t>investments</w:t>
            </w:r>
          </w:p>
        </w:tc>
        <w:tc>
          <w:tcPr>
            <w:tcW w:w="460" w:type="dxa"/>
            <w:vAlign w:val="bottom"/>
          </w:tcPr>
          <w:p>
            <w:pPr>
              <w:spacing w:after="0"/>
              <w:rPr>
                <w:sz w:val="14"/>
                <w:szCs w:val="14"/>
                <w:color w:val="auto"/>
              </w:rPr>
            </w:pP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216,001</w:t>
            </w:r>
          </w:p>
        </w:tc>
        <w:tc>
          <w:tcPr>
            <w:tcW w:w="5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173,727</w:t>
            </w: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rPr>
              <w:t>Purchase of short-term interest-bearing investments</w:t>
            </w:r>
          </w:p>
        </w:tc>
        <w:tc>
          <w:tcPr>
            <w:tcW w:w="460" w:type="dxa"/>
            <w:vAlign w:val="bottom"/>
          </w:tcPr>
          <w:p>
            <w:pPr>
              <w:spacing w:after="0"/>
              <w:rPr>
                <w:sz w:val="14"/>
                <w:szCs w:val="14"/>
                <w:color w:val="auto"/>
              </w:rPr>
            </w:pP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93"/>
              </w:rPr>
              <w:t>(295,903)</w:t>
            </w:r>
          </w:p>
        </w:tc>
        <w:tc>
          <w:tcPr>
            <w:tcW w:w="5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(419,803)</w:t>
            </w: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rPr>
              <w:t>Net cash paid for acquisition</w:t>
            </w:r>
          </w:p>
        </w:tc>
        <w:tc>
          <w:tcPr>
            <w:tcW w:w="460" w:type="dxa"/>
            <w:vAlign w:val="bottom"/>
          </w:tcPr>
          <w:p>
            <w:pPr>
              <w:spacing w:after="0"/>
              <w:rPr>
                <w:sz w:val="14"/>
                <w:szCs w:val="14"/>
                <w:color w:val="auto"/>
              </w:rPr>
            </w:pP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(26,595)</w:t>
            </w:r>
          </w:p>
        </w:tc>
        <w:tc>
          <w:tcPr>
            <w:tcW w:w="5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(1,406)</w:t>
            </w:r>
          </w:p>
        </w:tc>
      </w:tr>
      <w:tr>
        <w:trPr>
          <w:trHeight w:val="171"/>
        </w:trPr>
        <w:tc>
          <w:tcPr>
            <w:tcW w:w="5220" w:type="dxa"/>
            <w:vAlign w:val="bottom"/>
          </w:tcPr>
          <w:p>
            <w:pPr>
              <w:spacing w:after="0"/>
              <w:rPr>
                <w:sz w:val="14"/>
                <w:szCs w:val="14"/>
                <w:color w:val="auto"/>
              </w:rPr>
            </w:pPr>
          </w:p>
        </w:tc>
        <w:tc>
          <w:tcPr>
            <w:tcW w:w="17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460" w:type="dxa"/>
            <w:vAlign w:val="bottom"/>
          </w:tcPr>
          <w:p>
            <w:pPr>
              <w:spacing w:after="0"/>
              <w:rPr>
                <w:sz w:val="14"/>
                <w:szCs w:val="14"/>
                <w:color w:val="auto"/>
              </w:rPr>
            </w:pP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93"/>
              </w:rPr>
              <w:t>(156,615)</w:t>
            </w:r>
          </w:p>
        </w:tc>
        <w:tc>
          <w:tcPr>
            <w:tcW w:w="5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(260,398)</w:t>
            </w:r>
          </w:p>
        </w:tc>
      </w:tr>
      <w:tr>
        <w:trPr>
          <w:trHeight w:val="171"/>
        </w:trPr>
        <w:tc>
          <w:tcPr>
            <w:tcW w:w="5220" w:type="dxa"/>
            <w:vAlign w:val="bottom"/>
          </w:tcPr>
          <w:p>
            <w:pPr>
              <w:spacing w:after="0"/>
              <w:rPr>
                <w:sz w:val="14"/>
                <w:szCs w:val="14"/>
                <w:color w:val="auto"/>
              </w:rPr>
            </w:pPr>
          </w:p>
        </w:tc>
        <w:tc>
          <w:tcPr>
            <w:tcW w:w="17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522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rPr>
              <w:t>Proceeds from employee stock options exercised</w:t>
            </w:r>
          </w:p>
        </w:tc>
        <w:tc>
          <w:tcPr>
            <w:tcW w:w="460" w:type="dxa"/>
            <w:vAlign w:val="bottom"/>
          </w:tcPr>
          <w:p>
            <w:pPr>
              <w:spacing w:after="0"/>
              <w:rPr>
                <w:sz w:val="14"/>
                <w:szCs w:val="14"/>
                <w:color w:val="auto"/>
              </w:rPr>
            </w:pP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15,500</w:t>
            </w:r>
          </w:p>
        </w:tc>
        <w:tc>
          <w:tcPr>
            <w:tcW w:w="5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8,146</w:t>
            </w: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rPr>
              <w:t>Excess tax benefit from equity-based compensation</w:t>
            </w:r>
          </w:p>
        </w:tc>
        <w:tc>
          <w:tcPr>
            <w:tcW w:w="460" w:type="dxa"/>
            <w:vAlign w:val="bottom"/>
          </w:tcPr>
          <w:p>
            <w:pPr>
              <w:spacing w:after="0"/>
              <w:rPr>
                <w:sz w:val="14"/>
                <w:szCs w:val="14"/>
                <w:color w:val="auto"/>
              </w:rPr>
            </w:pP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154</w:t>
            </w:r>
          </w:p>
        </w:tc>
        <w:tc>
          <w:tcPr>
            <w:tcW w:w="5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610</w:t>
            </w: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rPr>
              <w:t>Principal payments under financing arrangements and</w:t>
            </w:r>
          </w:p>
        </w:tc>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22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460" w:type="dxa"/>
            <w:vAlign w:val="bottom"/>
          </w:tcPr>
          <w:p>
            <w:pPr>
              <w:spacing w:after="0"/>
              <w:rPr>
                <w:sz w:val="14"/>
                <w:szCs w:val="14"/>
                <w:color w:val="auto"/>
              </w:rPr>
            </w:pP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(3,708)</w:t>
            </w: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rPr>
              <w:t>Principal payments on capital lease obligations</w:t>
            </w:r>
          </w:p>
        </w:tc>
        <w:tc>
          <w:tcPr>
            <w:tcW w:w="460" w:type="dxa"/>
            <w:vAlign w:val="bottom"/>
          </w:tcPr>
          <w:p>
            <w:pPr>
              <w:spacing w:after="0"/>
              <w:rPr>
                <w:sz w:val="14"/>
                <w:szCs w:val="14"/>
                <w:color w:val="auto"/>
              </w:rPr>
            </w:pP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(12)</w:t>
            </w:r>
          </w:p>
        </w:tc>
        <w:tc>
          <w:tcPr>
            <w:tcW w:w="5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(1,288)</w:t>
            </w:r>
          </w:p>
        </w:tc>
      </w:tr>
      <w:tr>
        <w:trPr>
          <w:trHeight w:val="171"/>
        </w:trPr>
        <w:tc>
          <w:tcPr>
            <w:tcW w:w="5220" w:type="dxa"/>
            <w:vAlign w:val="bottom"/>
          </w:tcPr>
          <w:p>
            <w:pPr>
              <w:spacing w:after="0"/>
              <w:rPr>
                <w:sz w:val="14"/>
                <w:szCs w:val="14"/>
                <w:color w:val="auto"/>
              </w:rPr>
            </w:pPr>
          </w:p>
        </w:tc>
        <w:tc>
          <w:tcPr>
            <w:tcW w:w="17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rPr>
              <w:t>Net cash provided by financing activities</w:t>
            </w:r>
          </w:p>
        </w:tc>
        <w:tc>
          <w:tcPr>
            <w:tcW w:w="460" w:type="dxa"/>
            <w:vAlign w:val="bottom"/>
          </w:tcPr>
          <w:p>
            <w:pPr>
              <w:spacing w:after="0"/>
              <w:rPr>
                <w:sz w:val="14"/>
                <w:szCs w:val="14"/>
                <w:color w:val="auto"/>
              </w:rPr>
            </w:pP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15,642</w:t>
            </w:r>
          </w:p>
        </w:tc>
        <w:tc>
          <w:tcPr>
            <w:tcW w:w="5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3,760</w:t>
            </w:r>
          </w:p>
        </w:tc>
      </w:tr>
      <w:tr>
        <w:trPr>
          <w:trHeight w:val="171"/>
        </w:trPr>
        <w:tc>
          <w:tcPr>
            <w:tcW w:w="5220" w:type="dxa"/>
            <w:vAlign w:val="bottom"/>
          </w:tcPr>
          <w:p>
            <w:pPr>
              <w:spacing w:after="0"/>
              <w:rPr>
                <w:sz w:val="14"/>
                <w:szCs w:val="14"/>
                <w:color w:val="auto"/>
              </w:rPr>
            </w:pPr>
          </w:p>
        </w:tc>
        <w:tc>
          <w:tcPr>
            <w:tcW w:w="17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5220" w:type="dxa"/>
            <w:vAlign w:val="bottom"/>
          </w:tcPr>
          <w:p>
            <w:pPr>
              <w:spacing w:after="0"/>
              <w:rPr>
                <w:sz w:val="20"/>
                <w:szCs w:val="20"/>
                <w:color w:val="auto"/>
              </w:rPr>
            </w:pPr>
            <w:r>
              <w:rPr>
                <w:rFonts w:ascii="Courier New" w:cs="Courier New" w:eastAsia="Courier New" w:hAnsi="Courier New"/>
                <w:sz w:val="15"/>
                <w:szCs w:val="15"/>
                <w:color w:val="auto"/>
              </w:rPr>
              <w:t>Net decrease in cash and cash equivalents</w:t>
            </w:r>
          </w:p>
        </w:tc>
        <w:tc>
          <w:tcPr>
            <w:tcW w:w="460" w:type="dxa"/>
            <w:vAlign w:val="bottom"/>
          </w:tcPr>
          <w:p>
            <w:pPr>
              <w:spacing w:after="0"/>
              <w:rPr>
                <w:sz w:val="24"/>
                <w:szCs w:val="24"/>
                <w:color w:val="auto"/>
              </w:rPr>
            </w:pP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(41,892)</w:t>
            </w:r>
          </w:p>
        </w:tc>
        <w:tc>
          <w:tcPr>
            <w:tcW w:w="520" w:type="dxa"/>
            <w:vAlign w:val="bottom"/>
          </w:tcPr>
          <w:p>
            <w:pPr>
              <w:spacing w:after="0"/>
              <w:rPr>
                <w:sz w:val="24"/>
                <w:szCs w:val="2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(173,164)</w:t>
            </w: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460" w:type="dxa"/>
            <w:vAlign w:val="bottom"/>
          </w:tcPr>
          <w:p>
            <w:pPr>
              <w:spacing w:after="0"/>
              <w:rPr>
                <w:sz w:val="14"/>
                <w:szCs w:val="14"/>
                <w:color w:val="auto"/>
              </w:rPr>
            </w:pP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607,187</w:t>
            </w:r>
          </w:p>
        </w:tc>
        <w:tc>
          <w:tcPr>
            <w:tcW w:w="5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707,552</w:t>
            </w:r>
          </w:p>
        </w:tc>
      </w:tr>
      <w:tr>
        <w:trPr>
          <w:trHeight w:val="171"/>
        </w:trPr>
        <w:tc>
          <w:tcPr>
            <w:tcW w:w="5220" w:type="dxa"/>
            <w:vAlign w:val="bottom"/>
          </w:tcPr>
          <w:p>
            <w:pPr>
              <w:spacing w:after="0"/>
              <w:rPr>
                <w:sz w:val="14"/>
                <w:szCs w:val="14"/>
                <w:color w:val="auto"/>
              </w:rPr>
            </w:pPr>
          </w:p>
        </w:tc>
        <w:tc>
          <w:tcPr>
            <w:tcW w:w="17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7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$ 565,295</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$ 534,388</w:t>
            </w:r>
          </w:p>
        </w:tc>
      </w:tr>
      <w:tr>
        <w:trPr>
          <w:trHeight w:val="171"/>
        </w:trPr>
        <w:tc>
          <w:tcPr>
            <w:tcW w:w="5220" w:type="dxa"/>
            <w:vAlign w:val="bottom"/>
          </w:tcPr>
          <w:p>
            <w:pPr>
              <w:spacing w:after="0"/>
              <w:rPr>
                <w:sz w:val="14"/>
                <w:szCs w:val="14"/>
                <w:color w:val="auto"/>
              </w:rPr>
            </w:pPr>
          </w:p>
        </w:tc>
        <w:tc>
          <w:tcPr>
            <w:tcW w:w="17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5220" w:type="dxa"/>
            <w:vAlign w:val="bottom"/>
          </w:tcPr>
          <w:p>
            <w:pPr>
              <w:spacing w:after="0"/>
              <w:rPr>
                <w:sz w:val="20"/>
                <w:szCs w:val="20"/>
                <w:color w:val="auto"/>
              </w:rPr>
            </w:pPr>
            <w:r>
              <w:rPr>
                <w:rFonts w:ascii="Courier New" w:cs="Courier New" w:eastAsia="Courier New" w:hAnsi="Courier New"/>
                <w:sz w:val="15"/>
                <w:szCs w:val="15"/>
                <w:color w:val="auto"/>
              </w:rPr>
              <w:t>SUPPLEMENTARY CASH FLOW INFORMATION</w:t>
            </w: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rPr>
              <w:t>Cash paid for:</w:t>
            </w:r>
          </w:p>
        </w:tc>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220" w:type="dxa"/>
            <w:vAlign w:val="bottom"/>
          </w:tcPr>
          <w:p>
            <w:pPr>
              <w:ind w:left="260"/>
              <w:spacing w:after="0"/>
              <w:rPr>
                <w:sz w:val="20"/>
                <w:szCs w:val="20"/>
                <w:color w:val="auto"/>
              </w:rPr>
            </w:pPr>
            <w:r>
              <w:rPr>
                <w:rFonts w:ascii="Courier New" w:cs="Courier New" w:eastAsia="Courier New" w:hAnsi="Courier New"/>
                <w:sz w:val="15"/>
                <w:szCs w:val="15"/>
                <w:color w:val="auto"/>
              </w:rPr>
              <w:t>Income taxes, net of refunds</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22,754</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10,644</w:t>
            </w:r>
          </w:p>
        </w:tc>
      </w:tr>
      <w:tr>
        <w:trPr>
          <w:trHeight w:val="171"/>
        </w:trPr>
        <w:tc>
          <w:tcPr>
            <w:tcW w:w="5220" w:type="dxa"/>
            <w:vAlign w:val="bottom"/>
          </w:tcPr>
          <w:p>
            <w:pPr>
              <w:ind w:left="260"/>
              <w:spacing w:after="0"/>
              <w:rPr>
                <w:sz w:val="20"/>
                <w:szCs w:val="20"/>
                <w:color w:val="auto"/>
              </w:rPr>
            </w:pPr>
            <w:r>
              <w:rPr>
                <w:rFonts w:ascii="Courier New" w:cs="Courier New" w:eastAsia="Courier New" w:hAnsi="Courier New"/>
                <w:sz w:val="15"/>
                <w:szCs w:val="15"/>
                <w:color w:val="auto"/>
              </w:rPr>
              <w:t>Interest</w:t>
            </w:r>
          </w:p>
        </w:tc>
        <w:tc>
          <w:tcPr>
            <w:tcW w:w="460" w:type="dxa"/>
            <w:vAlign w:val="bottom"/>
          </w:tcPr>
          <w:p>
            <w:pPr>
              <w:spacing w:after="0"/>
              <w:rPr>
                <w:sz w:val="14"/>
                <w:szCs w:val="14"/>
                <w:color w:val="auto"/>
              </w:rPr>
            </w:pP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441</w:t>
            </w:r>
          </w:p>
        </w:tc>
        <w:tc>
          <w:tcPr>
            <w:tcW w:w="5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282</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8" w:right="1440" w:bottom="1440" w:gutter="0" w:footer="0" w:header="0"/>
        </w:sectPr>
      </w:pPr>
    </w:p>
    <w:bookmarkStart w:id="6" w:name="page7"/>
    <w:bookmarkEnd w:id="6"/>
    <w:p>
      <w:pPr>
        <w:jc w:val="center"/>
        <w:ind w:right="3110"/>
        <w:spacing w:after="0"/>
        <w:rPr>
          <w:sz w:val="20"/>
          <w:szCs w:val="20"/>
          <w:color w:val="auto"/>
        </w:rPr>
      </w:pPr>
      <w:r>
        <w:rPr>
          <w:rFonts w:ascii="Courier New" w:cs="Courier New" w:eastAsia="Courier New" w:hAnsi="Courier New"/>
          <w:sz w:val="15"/>
          <w:szCs w:val="15"/>
          <w:color w:val="auto"/>
        </w:rPr>
        <w:t>AMDOCS LIMITED</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7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71" w:lineRule="exact"/>
        <w:rPr>
          <w:sz w:val="20"/>
          <w:szCs w:val="20"/>
          <w:color w:val="auto"/>
        </w:rPr>
      </w:pPr>
    </w:p>
    <w:p>
      <w:pPr>
        <w:ind w:left="529" w:hanging="529"/>
        <w:spacing w:after="0"/>
        <w:tabs>
          <w:tab w:leader="none" w:pos="52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1" w:lineRule="exact"/>
        <w:rPr>
          <w:sz w:val="20"/>
          <w:szCs w:val="20"/>
          <w:color w:val="auto"/>
        </w:rPr>
      </w:pPr>
    </w:p>
    <w:p>
      <w:pPr>
        <w:ind w:left="1069"/>
        <w:spacing w:after="0"/>
        <w:rPr>
          <w:sz w:val="20"/>
          <w:szCs w:val="20"/>
          <w:color w:val="auto"/>
        </w:rPr>
      </w:pPr>
      <w:r>
        <w:rPr>
          <w:rFonts w:ascii="Courier New" w:cs="Courier New" w:eastAsia="Courier New" w:hAnsi="Courier New"/>
          <w:sz w:val="15"/>
          <w:szCs w:val="15"/>
          <w:color w:val="auto"/>
        </w:rPr>
        <w:t>Amdocs Limited (the "Company") is a leading provider of software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products and services primarily to the communications industry. The Company</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and its subsidiaries operate in one segment offering products and services that</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enable their customers to move toward an integrated approach to customer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management. The Company designs, develops, markets, supports, operates, and</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provides managed services for information system solutions primarily for leading</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communications companies throughout the world.</w:t>
      </w:r>
    </w:p>
    <w:p>
      <w:pPr>
        <w:spacing w:after="0" w:line="174" w:lineRule="exact"/>
        <w:rPr>
          <w:sz w:val="20"/>
          <w:szCs w:val="20"/>
          <w:color w:val="auto"/>
        </w:rPr>
      </w:pPr>
    </w:p>
    <w:p>
      <w:pPr>
        <w:ind w:left="9" w:right="3119" w:firstLine="1065"/>
        <w:spacing w:after="0"/>
        <w:rPr>
          <w:sz w:val="20"/>
          <w:szCs w:val="20"/>
          <w:color w:val="auto"/>
        </w:rPr>
      </w:pPr>
      <w:r>
        <w:rPr>
          <w:rFonts w:ascii="Courier New" w:cs="Courier New" w:eastAsia="Courier New" w:hAnsi="Courier New"/>
          <w:sz w:val="15"/>
          <w:szCs w:val="15"/>
          <w:color w:val="auto"/>
        </w:rPr>
        <w:t>The unaudited consolidated financial statements of the Company have been prepared in accordance with U.S. generally accepted accounting principles ("GAAP"). In the opinion of the Company's management, all adjustments considered necessary for a fair presentation of the unaudited interim consolidated financial statements have been included herein and are of a normal recurring nature.</w:t>
      </w:r>
    </w:p>
    <w:p>
      <w:pPr>
        <w:spacing w:after="0" w:line="175" w:lineRule="exact"/>
        <w:rPr>
          <w:sz w:val="20"/>
          <w:szCs w:val="20"/>
          <w:color w:val="auto"/>
        </w:rPr>
      </w:pPr>
    </w:p>
    <w:p>
      <w:pPr>
        <w:ind w:left="9" w:right="3299" w:firstLine="1065"/>
        <w:spacing w:after="0"/>
        <w:rPr>
          <w:sz w:val="20"/>
          <w:szCs w:val="20"/>
          <w:color w:val="auto"/>
        </w:rPr>
      </w:pPr>
      <w:r>
        <w:rPr>
          <w:rFonts w:ascii="Courier New" w:cs="Courier New" w:eastAsia="Courier New" w:hAnsi="Courier New"/>
          <w:sz w:val="15"/>
          <w:szCs w:val="15"/>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175" w:lineRule="exact"/>
        <w:rPr>
          <w:sz w:val="20"/>
          <w:szCs w:val="20"/>
          <w:color w:val="auto"/>
        </w:rPr>
      </w:pPr>
    </w:p>
    <w:p>
      <w:pPr>
        <w:ind w:left="9" w:right="3119" w:firstLine="1065"/>
        <w:spacing w:after="0"/>
        <w:rPr>
          <w:sz w:val="20"/>
          <w:szCs w:val="20"/>
          <w:color w:val="auto"/>
        </w:rPr>
      </w:pPr>
      <w:r>
        <w:rPr>
          <w:rFonts w:ascii="Courier New" w:cs="Courier New" w:eastAsia="Courier New" w:hAnsi="Courier New"/>
          <w:sz w:val="15"/>
          <w:szCs w:val="15"/>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2006, set forth in the Company's Annual Report on Form 20-F filed on December 13, 2006 with the U.S. Securities and Exchange Commission (the "SEC").</w:t>
      </w:r>
    </w:p>
    <w:p>
      <w:pPr>
        <w:spacing w:after="0" w:line="175" w:lineRule="exact"/>
        <w:rPr>
          <w:sz w:val="20"/>
          <w:szCs w:val="20"/>
          <w:color w:val="auto"/>
        </w:rPr>
      </w:pPr>
    </w:p>
    <w:p>
      <w:pPr>
        <w:ind w:left="1069"/>
        <w:spacing w:after="0"/>
        <w:rPr>
          <w:sz w:val="20"/>
          <w:szCs w:val="20"/>
          <w:color w:val="auto"/>
        </w:rPr>
      </w:pPr>
      <w:r>
        <w:rPr>
          <w:rFonts w:ascii="Courier New" w:cs="Courier New" w:eastAsia="Courier New" w:hAnsi="Courier New"/>
          <w:sz w:val="15"/>
          <w:szCs w:val="15"/>
          <w:color w:val="auto"/>
        </w:rPr>
        <w:t>Reclassification</w:t>
      </w:r>
    </w:p>
    <w:p>
      <w:pPr>
        <w:spacing w:after="0" w:line="174" w:lineRule="exact"/>
        <w:rPr>
          <w:sz w:val="20"/>
          <w:szCs w:val="20"/>
          <w:color w:val="auto"/>
        </w:rPr>
      </w:pPr>
    </w:p>
    <w:p>
      <w:pPr>
        <w:ind w:left="9" w:right="3299" w:firstLine="1065"/>
        <w:spacing w:after="0" w:line="238" w:lineRule="auto"/>
        <w:rPr>
          <w:sz w:val="20"/>
          <w:szCs w:val="20"/>
          <w:color w:val="auto"/>
        </w:rPr>
      </w:pPr>
      <w:r>
        <w:rPr>
          <w:rFonts w:ascii="Courier New" w:cs="Courier New" w:eastAsia="Courier New" w:hAnsi="Courier New"/>
          <w:sz w:val="15"/>
          <w:szCs w:val="15"/>
          <w:color w:val="auto"/>
        </w:rPr>
        <w:t>Certain immaterial amounts in prior year financial statements have been reclassified to conform to the current year presentation.</w:t>
      </w:r>
    </w:p>
    <w:p>
      <w:pPr>
        <w:spacing w:after="0" w:line="172" w:lineRule="exact"/>
        <w:rPr>
          <w:sz w:val="20"/>
          <w:szCs w:val="20"/>
          <w:color w:val="auto"/>
        </w:rPr>
      </w:pPr>
    </w:p>
    <w:p>
      <w:pPr>
        <w:ind w:left="529" w:hanging="529"/>
        <w:spacing w:after="0"/>
        <w:tabs>
          <w:tab w:leader="none" w:pos="52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w:t>
      </w:r>
    </w:p>
    <w:p>
      <w:pPr>
        <w:spacing w:after="0" w:line="174" w:lineRule="exact"/>
        <w:rPr>
          <w:sz w:val="20"/>
          <w:szCs w:val="20"/>
          <w:color w:val="auto"/>
        </w:rPr>
      </w:pPr>
    </w:p>
    <w:p>
      <w:pPr>
        <w:ind w:left="9" w:right="3119" w:firstLine="1065"/>
        <w:spacing w:after="0"/>
        <w:rPr>
          <w:sz w:val="20"/>
          <w:szCs w:val="20"/>
          <w:color w:val="auto"/>
        </w:rPr>
      </w:pPr>
      <w:r>
        <w:rPr>
          <w:rFonts w:ascii="Courier New" w:cs="Courier New" w:eastAsia="Courier New" w:hAnsi="Courier New"/>
          <w:sz w:val="15"/>
          <w:szCs w:val="15"/>
          <w:color w:val="auto"/>
        </w:rPr>
        <w:t>In September 2006, the FASB issued Statement No. 157, "Fair Value Measurements" ("SFAS 157"). SFAS 157 defines fair value, establishes a framework for measuring fair value in generally accepted accounting principles, and expands disclosures about fair value measurements. SFAS 157 applies under other accounting pronouncements that require or permit fair value measurements. SFAS 157 will be effective for fiscal years beginning after November 15, 2007, and interim periods within those fiscal years. The Company is currently evaluating the effect that the application of SFAS 157 will have on its consolidated results of operations and financial condition.</w:t>
      </w:r>
    </w:p>
    <w:p>
      <w:pPr>
        <w:spacing w:after="0" w:line="177" w:lineRule="exact"/>
        <w:rPr>
          <w:sz w:val="20"/>
          <w:szCs w:val="20"/>
          <w:color w:val="auto"/>
        </w:rPr>
      </w:pPr>
    </w:p>
    <w:p>
      <w:pPr>
        <w:ind w:left="9" w:right="3119" w:firstLine="1065"/>
        <w:spacing w:after="0"/>
        <w:rPr>
          <w:sz w:val="20"/>
          <w:szCs w:val="20"/>
          <w:color w:val="auto"/>
        </w:rPr>
      </w:pPr>
      <w:r>
        <w:rPr>
          <w:rFonts w:ascii="Courier New" w:cs="Courier New" w:eastAsia="Courier New" w:hAnsi="Courier New"/>
          <w:sz w:val="15"/>
          <w:szCs w:val="15"/>
          <w:color w:val="auto"/>
        </w:rPr>
        <w:t>In September 2006, the SEC issued Staff Accounting Bulletin No. 108, "Financial Statements - Considering the Effects of Prior Year Misstatements when Quantifying Misstatements in Current Year Financial Statements" ("SAB 108"). SAB 108 requires companies to quantify the impact of all correcting misstatements, including both the carryover and reversing effects of prior year misstatements, on the current year financial statements. SAB 108 is effective for fiscal years ending after November 15, 2006. The</w:t>
      </w:r>
    </w:p>
    <w:p>
      <w:pPr>
        <w:spacing w:after="0" w:line="17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8"/>
          </w:cols>
          <w:pgMar w:left="231" w:top="457" w:right="1440" w:bottom="1440" w:gutter="0" w:footer="0" w:header="0"/>
        </w:sectPr>
      </w:pPr>
    </w:p>
    <w:bookmarkStart w:id="7" w:name="page8"/>
    <w:bookmarkEnd w:id="7"/>
    <w:p>
      <w:pPr>
        <w:jc w:val="center"/>
        <w:ind w:right="3110"/>
        <w:spacing w:after="0"/>
        <w:rPr>
          <w:sz w:val="20"/>
          <w:szCs w:val="20"/>
          <w:color w:val="auto"/>
        </w:rPr>
      </w:pPr>
      <w:r>
        <w:rPr>
          <w:rFonts w:ascii="Courier New" w:cs="Courier New" w:eastAsia="Courier New" w:hAnsi="Courier New"/>
          <w:sz w:val="15"/>
          <w:szCs w:val="15"/>
          <w:color w:val="auto"/>
        </w:rPr>
        <w:t>AMDOCS LIMITED</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7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74" w:lineRule="exact"/>
        <w:rPr>
          <w:sz w:val="20"/>
          <w:szCs w:val="20"/>
          <w:color w:val="auto"/>
        </w:rPr>
      </w:pPr>
    </w:p>
    <w:p>
      <w:pPr>
        <w:ind w:left="9" w:right="3399"/>
        <w:spacing w:after="0" w:line="238" w:lineRule="auto"/>
        <w:rPr>
          <w:sz w:val="20"/>
          <w:szCs w:val="20"/>
          <w:color w:val="auto"/>
        </w:rPr>
      </w:pPr>
      <w:r>
        <w:rPr>
          <w:rFonts w:ascii="Courier New" w:cs="Courier New" w:eastAsia="Courier New" w:hAnsi="Courier New"/>
          <w:sz w:val="15"/>
          <w:szCs w:val="15"/>
          <w:color w:val="auto"/>
        </w:rPr>
        <w:t>Company applied the provisions of SAB 108 in the first quarter of fiscal 2007 and there was no impact to the consolidated financial statements.</w:t>
      </w:r>
    </w:p>
    <w:p>
      <w:pPr>
        <w:spacing w:after="0" w:line="175" w:lineRule="exact"/>
        <w:rPr>
          <w:sz w:val="20"/>
          <w:szCs w:val="20"/>
          <w:color w:val="auto"/>
        </w:rPr>
      </w:pPr>
    </w:p>
    <w:p>
      <w:pPr>
        <w:ind w:left="9" w:right="3119" w:firstLine="1065"/>
        <w:spacing w:after="0"/>
        <w:rPr>
          <w:sz w:val="20"/>
          <w:szCs w:val="20"/>
          <w:color w:val="auto"/>
        </w:rPr>
      </w:pPr>
      <w:r>
        <w:rPr>
          <w:rFonts w:ascii="Courier New" w:cs="Courier New" w:eastAsia="Courier New" w:hAnsi="Courier New"/>
          <w:sz w:val="15"/>
          <w:szCs w:val="15"/>
          <w:color w:val="auto"/>
        </w:rPr>
        <w:t>In June 2006, the FASB issued Interpretation No. 48, "Accounting for Uncertainty in Income Taxes," An Interpretation of SFAS No. 109, ("FIN 48"). FIN 48 clarifies the accounting for uncertainty in income taxes recognized in an enterprise's financial statements in accordance with SFAS No. 109, Accounting for Income Taxes. FIN 48 also prescribes a recognition threshold and measurement attribute for the financial statement recognition and measurement of a tax position taken or expected to be taken in a tax return that results in a tax benefit. Additionally, FIN 48 provides guidance on de-recognition, income statement classification of interest and penalties, accounting in interim periods, disclosure, and transition. This interpretation is effective for fiscal years beginning after December 15, 2006. The Company is currently evaluating the effect that the application of FIN 48 will have on its consolidated results of operations and financial condition.</w:t>
      </w:r>
    </w:p>
    <w:p>
      <w:pPr>
        <w:spacing w:after="0" w:line="180" w:lineRule="exact"/>
        <w:rPr>
          <w:sz w:val="20"/>
          <w:szCs w:val="20"/>
          <w:color w:val="auto"/>
        </w:rPr>
      </w:pPr>
    </w:p>
    <w:p>
      <w:pPr>
        <w:ind w:left="9" w:right="3119" w:firstLine="1065"/>
        <w:spacing w:after="0" w:line="259" w:lineRule="auto"/>
        <w:rPr>
          <w:sz w:val="20"/>
          <w:szCs w:val="20"/>
          <w:color w:val="auto"/>
        </w:rPr>
      </w:pPr>
      <w:r>
        <w:rPr>
          <w:rFonts w:ascii="Courier New" w:cs="Courier New" w:eastAsia="Courier New" w:hAnsi="Courier New"/>
          <w:sz w:val="14"/>
          <w:szCs w:val="14"/>
          <w:color w:val="auto"/>
        </w:rPr>
        <w:t>In February 2006, the FASB issued SFAS No. 155, "Accounting for Certain Hybrid Financial Instruments," an amendment of FASB Statement No. 133 and 140 ("SFAS 155"), which permits fair value measurement for any hybrid financial instrument that contains an embedded derivative that otherwise, would require bifurcation, with changes in fair value recognized in earnings. The fair-value election will eliminate the need to separately recognize certain derivatives embedded in hybrid financial instruments under FASB Statement No. 133, Accounting for Derivative Instruments and Hedging Activities. In January 2007, the FASB issued Statement 133 Implementation Issue No. B40 "Application of Paragraph 13(b) to Securitized Interests in Prepayable Financial Assets", which provides a possibility of an exemption from bifurcation analysis in paragraph 13(b) of Statement 133 for certain securitized interests in prepayable financial assets. The Company applied the provisions of SFAS 155 and Statement 133 Implementation Issue No. B40 in the first quarter of fiscal 2007 and there was no impact to the consolidated financial statements.</w:t>
      </w:r>
    </w:p>
    <w:p>
      <w:pPr>
        <w:spacing w:after="0" w:line="332" w:lineRule="exact"/>
        <w:rPr>
          <w:sz w:val="20"/>
          <w:szCs w:val="20"/>
          <w:color w:val="auto"/>
        </w:rPr>
      </w:pPr>
    </w:p>
    <w:p>
      <w:pPr>
        <w:ind w:left="529" w:hanging="529"/>
        <w:spacing w:after="0"/>
        <w:tabs>
          <w:tab w:leader="none" w:pos="52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RECEIVABLE, NET</w:t>
      </w:r>
    </w:p>
    <w:p>
      <w:pPr>
        <w:spacing w:after="0" w:line="171" w:lineRule="exact"/>
        <w:rPr>
          <w:sz w:val="20"/>
          <w:szCs w:val="20"/>
          <w:color w:val="auto"/>
        </w:rPr>
      </w:pPr>
    </w:p>
    <w:p>
      <w:pPr>
        <w:ind w:left="1069"/>
        <w:spacing w:after="0"/>
        <w:rPr>
          <w:sz w:val="20"/>
          <w:szCs w:val="20"/>
          <w:color w:val="auto"/>
        </w:rPr>
      </w:pPr>
      <w:r>
        <w:rPr>
          <w:rFonts w:ascii="Courier New" w:cs="Courier New" w:eastAsia="Courier New" w:hAnsi="Courier New"/>
          <w:sz w:val="15"/>
          <w:szCs w:val="15"/>
          <w:color w:val="auto"/>
        </w:rPr>
        <w:t>Accounts receivable, net consists of the following:</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AS OF</w:t>
            </w:r>
          </w:p>
        </w:tc>
        <w:tc>
          <w:tcPr>
            <w:tcW w:w="980" w:type="dxa"/>
            <w:vAlign w:val="bottom"/>
          </w:tcPr>
          <w:p>
            <w:pPr>
              <w:spacing w:after="0"/>
              <w:rPr>
                <w:sz w:val="14"/>
                <w:szCs w:val="14"/>
                <w:color w:val="auto"/>
              </w:rPr>
            </w:pPr>
          </w:p>
        </w:tc>
      </w:tr>
      <w:tr>
        <w:trPr>
          <w:trHeight w:val="171"/>
        </w:trPr>
        <w:tc>
          <w:tcPr>
            <w:tcW w:w="2840" w:type="dxa"/>
            <w:vAlign w:val="bottom"/>
          </w:tcPr>
          <w:p>
            <w:pPr>
              <w:spacing w:after="0"/>
              <w:rPr>
                <w:sz w:val="14"/>
                <w:szCs w:val="14"/>
                <w:color w:val="auto"/>
              </w:rPr>
            </w:pPr>
          </w:p>
        </w:tc>
        <w:tc>
          <w:tcPr>
            <w:tcW w:w="2840" w:type="dxa"/>
            <w:vAlign w:val="bottom"/>
            <w:gridSpan w:val="4"/>
          </w:tcPr>
          <w:p>
            <w:pPr>
              <w:ind w:left="16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84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1"/>
        </w:trPr>
        <w:tc>
          <w:tcPr>
            <w:tcW w:w="2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88"/>
              </w:rPr>
              <w:t>2006</w:t>
            </w:r>
          </w:p>
        </w:tc>
        <w:tc>
          <w:tcPr>
            <w:tcW w:w="620" w:type="dxa"/>
            <w:vAlign w:val="bottom"/>
          </w:tcPr>
          <w:p>
            <w:pPr>
              <w:spacing w:after="0"/>
              <w:rPr>
                <w:sz w:val="14"/>
                <w:szCs w:val="14"/>
                <w:color w:val="auto"/>
              </w:rPr>
            </w:pP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2006</w:t>
            </w:r>
          </w:p>
        </w:tc>
      </w:tr>
      <w:tr>
        <w:trPr>
          <w:trHeight w:val="171"/>
        </w:trPr>
        <w:tc>
          <w:tcPr>
            <w:tcW w:w="284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8"/>
              </w:rPr>
              <w:t>------------</w:t>
            </w:r>
          </w:p>
        </w:tc>
        <w:tc>
          <w:tcPr>
            <w:tcW w:w="160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2840" w:type="dxa"/>
            <w:vAlign w:val="bottom"/>
          </w:tcPr>
          <w:p>
            <w:pPr>
              <w:spacing w:after="0"/>
              <w:rPr>
                <w:sz w:val="20"/>
                <w:szCs w:val="20"/>
                <w:color w:val="auto"/>
              </w:rPr>
            </w:pPr>
            <w:r>
              <w:rPr>
                <w:rFonts w:ascii="Courier New" w:cs="Courier New" w:eastAsia="Courier New" w:hAnsi="Courier New"/>
                <w:sz w:val="15"/>
                <w:szCs w:val="15"/>
                <w:color w:val="auto"/>
              </w:rPr>
              <w:t>Accounts receivable - billed</w:t>
            </w:r>
          </w:p>
        </w:tc>
        <w:tc>
          <w:tcPr>
            <w:tcW w:w="4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373,520</w:t>
            </w:r>
          </w:p>
        </w:tc>
        <w:tc>
          <w:tcPr>
            <w:tcW w:w="6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383,763</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Accounts receivable - unbilled</w:t>
            </w:r>
          </w:p>
        </w:tc>
        <w:tc>
          <w:tcPr>
            <w:tcW w:w="44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60,866</w:t>
            </w:r>
          </w:p>
        </w:tc>
        <w:tc>
          <w:tcPr>
            <w:tcW w:w="62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54,117</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Less - allowances</w:t>
            </w:r>
          </w:p>
        </w:tc>
        <w:tc>
          <w:tcPr>
            <w:tcW w:w="4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(14,948)</w:t>
            </w:r>
          </w:p>
        </w:tc>
        <w:tc>
          <w:tcPr>
            <w:tcW w:w="6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(12,075)</w:t>
            </w:r>
          </w:p>
        </w:tc>
      </w:tr>
      <w:tr>
        <w:trPr>
          <w:trHeight w:val="171"/>
        </w:trPr>
        <w:tc>
          <w:tcPr>
            <w:tcW w:w="284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Accounts receivable, net</w:t>
            </w:r>
          </w:p>
        </w:tc>
        <w:tc>
          <w:tcPr>
            <w:tcW w:w="4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419,438</w:t>
            </w:r>
          </w:p>
        </w:tc>
        <w:tc>
          <w:tcPr>
            <w:tcW w:w="6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425,805</w:t>
            </w:r>
          </w:p>
        </w:tc>
      </w:tr>
      <w:tr>
        <w:trPr>
          <w:trHeight w:val="171"/>
        </w:trPr>
        <w:tc>
          <w:tcPr>
            <w:tcW w:w="284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512"/>
        </w:trPr>
        <w:tc>
          <w:tcPr>
            <w:tcW w:w="2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w:t>
            </w: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28"/>
          </w:cols>
          <w:pgMar w:left="231" w:top="628" w:right="1440" w:bottom="1440" w:gutter="0" w:footer="0" w:header="0"/>
        </w:sectPr>
      </w:pPr>
    </w:p>
    <w:bookmarkStart w:id="8" w:name="page9"/>
    <w:bookmarkEnd w:id="8"/>
    <w:p>
      <w:pPr>
        <w:jc w:val="center"/>
        <w:ind w:right="3110"/>
        <w:spacing w:after="0"/>
        <w:rPr>
          <w:sz w:val="20"/>
          <w:szCs w:val="20"/>
          <w:color w:val="auto"/>
        </w:rPr>
      </w:pPr>
      <w:r>
        <w:rPr>
          <w:rFonts w:ascii="Courier New" w:cs="Courier New" w:eastAsia="Courier New" w:hAnsi="Courier New"/>
          <w:sz w:val="15"/>
          <w:szCs w:val="15"/>
          <w:color w:val="auto"/>
        </w:rPr>
        <w:t>AMDOCS LIMITED</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7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71" w:lineRule="exact"/>
        <w:rPr>
          <w:sz w:val="20"/>
          <w:szCs w:val="20"/>
          <w:color w:val="auto"/>
        </w:rPr>
      </w:pPr>
    </w:p>
    <w:p>
      <w:pPr>
        <w:ind w:left="529" w:hanging="529"/>
        <w:spacing w:after="0"/>
        <w:tabs>
          <w:tab w:leader="none" w:pos="52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174" w:lineRule="exact"/>
        <w:rPr>
          <w:sz w:val="20"/>
          <w:szCs w:val="20"/>
          <w:color w:val="auto"/>
        </w:rPr>
      </w:pPr>
    </w:p>
    <w:p>
      <w:pPr>
        <w:ind w:left="9" w:right="3219" w:firstLine="1065"/>
        <w:spacing w:after="0" w:line="239" w:lineRule="auto"/>
        <w:rPr>
          <w:sz w:val="20"/>
          <w:szCs w:val="20"/>
          <w:color w:val="auto"/>
        </w:rPr>
      </w:pPr>
      <w:r>
        <w:rPr>
          <w:rFonts w:ascii="Courier New" w:cs="Courier New" w:eastAsia="Courier New" w:hAnsi="Courier New"/>
          <w:sz w:val="15"/>
          <w:szCs w:val="15"/>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76" w:lineRule="exact"/>
        <w:rPr>
          <w:sz w:val="20"/>
          <w:szCs w:val="20"/>
          <w:color w:val="auto"/>
        </w:rPr>
      </w:pPr>
    </w:p>
    <w:p>
      <w:pPr>
        <w:ind w:left="9" w:right="3119" w:firstLine="1065"/>
        <w:spacing w:after="0" w:line="238" w:lineRule="auto"/>
        <w:rPr>
          <w:sz w:val="20"/>
          <w:szCs w:val="20"/>
          <w:color w:val="auto"/>
        </w:rPr>
      </w:pPr>
      <w:r>
        <w:rPr>
          <w:rFonts w:ascii="Courier New" w:cs="Courier New" w:eastAsia="Courier New" w:hAnsi="Courier New"/>
          <w:sz w:val="15"/>
          <w:szCs w:val="15"/>
          <w:color w:val="auto"/>
        </w:rPr>
        <w:t>The following table sets forth the reconciliation from net income to comprehensive income for the following periods: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20" w:type="dxa"/>
            <w:vAlign w:val="bottom"/>
            <w:gridSpan w:val="3"/>
          </w:tcPr>
          <w:p>
            <w:pPr>
              <w:jc w:val="center"/>
              <w:ind w:right="186"/>
              <w:spacing w:after="0"/>
              <w:rPr>
                <w:sz w:val="20"/>
                <w:szCs w:val="20"/>
                <w:color w:val="auto"/>
              </w:rPr>
            </w:pPr>
            <w:r>
              <w:rPr>
                <w:rFonts w:ascii="Courier New" w:cs="Courier New" w:eastAsia="Courier New" w:hAnsi="Courier New"/>
                <w:sz w:val="15"/>
                <w:szCs w:val="15"/>
                <w:color w:val="auto"/>
                <w:w w:val="98"/>
              </w:rPr>
              <w:t>THREE MONTHS ENDED</w:t>
            </w:r>
          </w:p>
        </w:tc>
      </w:tr>
      <w:tr>
        <w:trPr>
          <w:trHeight w:val="171"/>
        </w:trPr>
        <w:tc>
          <w:tcPr>
            <w:tcW w:w="3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00" w:type="dxa"/>
            <w:vAlign w:val="bottom"/>
            <w:gridSpan w:val="2"/>
          </w:tcPr>
          <w:p>
            <w:pPr>
              <w:jc w:val="center"/>
              <w:ind w:left="366"/>
              <w:spacing w:after="0"/>
              <w:rPr>
                <w:sz w:val="20"/>
                <w:szCs w:val="20"/>
                <w:color w:val="auto"/>
              </w:rPr>
            </w:pPr>
            <w:r>
              <w:rPr>
                <w:rFonts w:ascii="Courier New" w:cs="Courier New" w:eastAsia="Courier New" w:hAnsi="Courier New"/>
                <w:sz w:val="15"/>
                <w:szCs w:val="15"/>
                <w:color w:val="auto"/>
                <w:w w:val="98"/>
              </w:rPr>
              <w:t>DECEMBER 31,</w:t>
            </w:r>
          </w:p>
        </w:tc>
        <w:tc>
          <w:tcPr>
            <w:tcW w:w="720" w:type="dxa"/>
            <w:vAlign w:val="bottom"/>
          </w:tcPr>
          <w:p>
            <w:pPr>
              <w:spacing w:after="0"/>
              <w:rPr>
                <w:sz w:val="14"/>
                <w:szCs w:val="14"/>
                <w:color w:val="auto"/>
              </w:rPr>
            </w:pPr>
          </w:p>
        </w:tc>
      </w:tr>
      <w:tr>
        <w:trPr>
          <w:trHeight w:val="171"/>
        </w:trPr>
        <w:tc>
          <w:tcPr>
            <w:tcW w:w="3180" w:type="dxa"/>
            <w:vAlign w:val="bottom"/>
          </w:tcPr>
          <w:p>
            <w:pPr>
              <w:spacing w:after="0"/>
              <w:rPr>
                <w:sz w:val="14"/>
                <w:szCs w:val="14"/>
                <w:color w:val="auto"/>
              </w:rPr>
            </w:pPr>
          </w:p>
        </w:tc>
        <w:tc>
          <w:tcPr>
            <w:tcW w:w="276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4"/>
              </w:rPr>
              <w:t>2006</w:t>
            </w:r>
          </w:p>
        </w:tc>
        <w:tc>
          <w:tcPr>
            <w:tcW w:w="62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2005</w:t>
            </w:r>
          </w:p>
        </w:tc>
      </w:tr>
      <w:tr>
        <w:trPr>
          <w:trHeight w:val="171"/>
        </w:trPr>
        <w:tc>
          <w:tcPr>
            <w:tcW w:w="318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31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93,342</w:t>
            </w:r>
          </w:p>
        </w:tc>
        <w:tc>
          <w:tcPr>
            <w:tcW w:w="6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75,334</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Other comprehensive income (loss):</w:t>
            </w: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180" w:type="dxa"/>
            <w:vAlign w:val="bottom"/>
          </w:tcPr>
          <w:p>
            <w:pPr>
              <w:ind w:left="160"/>
              <w:spacing w:after="0"/>
              <w:rPr>
                <w:sz w:val="20"/>
                <w:szCs w:val="20"/>
                <w:color w:val="auto"/>
              </w:rPr>
            </w:pPr>
            <w:r>
              <w:rPr>
                <w:rFonts w:ascii="Courier New" w:cs="Courier New" w:eastAsia="Courier New" w:hAnsi="Courier New"/>
                <w:sz w:val="15"/>
                <w:szCs w:val="15"/>
                <w:color w:val="auto"/>
              </w:rPr>
              <w:t>Unrealized gain on foreign</w:t>
            </w: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180" w:type="dxa"/>
            <w:vAlign w:val="bottom"/>
          </w:tcPr>
          <w:p>
            <w:pPr>
              <w:ind w:left="260"/>
              <w:spacing w:after="0"/>
              <w:rPr>
                <w:sz w:val="20"/>
                <w:szCs w:val="20"/>
                <w:color w:val="auto"/>
              </w:rPr>
            </w:pPr>
            <w:r>
              <w:rPr>
                <w:rFonts w:ascii="Courier New" w:cs="Courier New" w:eastAsia="Courier New" w:hAnsi="Courier New"/>
                <w:sz w:val="15"/>
                <w:szCs w:val="15"/>
                <w:color w:val="auto"/>
              </w:rPr>
              <w:t>currency hedging contracts, net</w:t>
            </w: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180" w:type="dxa"/>
            <w:vAlign w:val="bottom"/>
          </w:tcPr>
          <w:p>
            <w:pPr>
              <w:ind w:left="260"/>
              <w:spacing w:after="0"/>
              <w:rPr>
                <w:sz w:val="20"/>
                <w:szCs w:val="20"/>
                <w:color w:val="auto"/>
              </w:rPr>
            </w:pPr>
            <w:r>
              <w:rPr>
                <w:rFonts w:ascii="Courier New" w:cs="Courier New" w:eastAsia="Courier New" w:hAnsi="Courier New"/>
                <w:sz w:val="15"/>
                <w:szCs w:val="15"/>
                <w:color w:val="auto"/>
              </w:rPr>
              <w:t>of tax</w:t>
            </w:r>
          </w:p>
        </w:tc>
        <w:tc>
          <w:tcPr>
            <w:tcW w:w="54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1,667</w:t>
            </w:r>
          </w:p>
        </w:tc>
        <w:tc>
          <w:tcPr>
            <w:tcW w:w="62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2,653</w:t>
            </w:r>
          </w:p>
        </w:tc>
      </w:tr>
      <w:tr>
        <w:trPr>
          <w:trHeight w:val="171"/>
        </w:trPr>
        <w:tc>
          <w:tcPr>
            <w:tcW w:w="3180" w:type="dxa"/>
            <w:vAlign w:val="bottom"/>
          </w:tcPr>
          <w:p>
            <w:pPr>
              <w:ind w:left="160"/>
              <w:spacing w:after="0"/>
              <w:rPr>
                <w:sz w:val="20"/>
                <w:szCs w:val="20"/>
                <w:color w:val="auto"/>
              </w:rPr>
            </w:pPr>
            <w:r>
              <w:rPr>
                <w:rFonts w:ascii="Courier New" w:cs="Courier New" w:eastAsia="Courier New" w:hAnsi="Courier New"/>
                <w:sz w:val="15"/>
                <w:szCs w:val="15"/>
                <w:color w:val="auto"/>
              </w:rPr>
              <w:t>Unrealized (loss) gain on</w:t>
            </w: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180" w:type="dxa"/>
            <w:vAlign w:val="bottom"/>
          </w:tcPr>
          <w:p>
            <w:pPr>
              <w:ind w:left="260"/>
              <w:spacing w:after="0"/>
              <w:rPr>
                <w:sz w:val="20"/>
                <w:szCs w:val="20"/>
                <w:color w:val="auto"/>
              </w:rPr>
            </w:pPr>
            <w:r>
              <w:rPr>
                <w:rFonts w:ascii="Courier New" w:cs="Courier New" w:eastAsia="Courier New" w:hAnsi="Courier New"/>
                <w:sz w:val="15"/>
                <w:szCs w:val="15"/>
                <w:color w:val="auto"/>
              </w:rPr>
              <w:t>short-term interest-bearing</w:t>
            </w: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180" w:type="dxa"/>
            <w:vAlign w:val="bottom"/>
          </w:tcPr>
          <w:p>
            <w:pPr>
              <w:ind w:left="260"/>
              <w:spacing w:after="0"/>
              <w:rPr>
                <w:sz w:val="20"/>
                <w:szCs w:val="20"/>
                <w:color w:val="auto"/>
              </w:rPr>
            </w:pPr>
            <w:r>
              <w:rPr>
                <w:rFonts w:ascii="Courier New" w:cs="Courier New" w:eastAsia="Courier New" w:hAnsi="Courier New"/>
                <w:sz w:val="15"/>
                <w:szCs w:val="15"/>
                <w:color w:val="auto"/>
              </w:rPr>
              <w:t>investments, net of tax</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(106)</w:t>
            </w:r>
          </w:p>
        </w:tc>
        <w:tc>
          <w:tcPr>
            <w:tcW w:w="62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w:t>
            </w:r>
          </w:p>
        </w:tc>
      </w:tr>
      <w:tr>
        <w:trPr>
          <w:trHeight w:val="171"/>
        </w:trPr>
        <w:tc>
          <w:tcPr>
            <w:tcW w:w="3180" w:type="dxa"/>
            <w:vAlign w:val="bottom"/>
          </w:tcPr>
          <w:p>
            <w:pPr>
              <w:spacing w:after="0"/>
              <w:rPr>
                <w:sz w:val="14"/>
                <w:szCs w:val="14"/>
                <w:color w:val="auto"/>
              </w:rPr>
            </w:pPr>
          </w:p>
        </w:tc>
        <w:tc>
          <w:tcPr>
            <w:tcW w:w="14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94,903</w:t>
            </w:r>
          </w:p>
        </w:tc>
        <w:tc>
          <w:tcPr>
            <w:tcW w:w="6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78,037</w:t>
            </w:r>
          </w:p>
        </w:tc>
      </w:tr>
      <w:tr>
        <w:trPr>
          <w:trHeight w:val="171"/>
        </w:trPr>
        <w:tc>
          <w:tcPr>
            <w:tcW w:w="3180" w:type="dxa"/>
            <w:vAlign w:val="bottom"/>
          </w:tcPr>
          <w:p>
            <w:pPr>
              <w:spacing w:after="0"/>
              <w:rPr>
                <w:sz w:val="14"/>
                <w:szCs w:val="14"/>
                <w:color w:val="auto"/>
              </w:rPr>
            </w:pPr>
          </w:p>
        </w:tc>
        <w:tc>
          <w:tcPr>
            <w:tcW w:w="14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529" w:hanging="529"/>
        <w:spacing w:after="0"/>
        <w:tabs>
          <w:tab w:leader="none" w:pos="52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1" w:lineRule="exact"/>
        <w:rPr>
          <w:sz w:val="20"/>
          <w:szCs w:val="20"/>
          <w:color w:val="auto"/>
        </w:rPr>
      </w:pPr>
    </w:p>
    <w:p>
      <w:pPr>
        <w:ind w:left="1069"/>
        <w:spacing w:after="0"/>
        <w:rPr>
          <w:sz w:val="20"/>
          <w:szCs w:val="20"/>
          <w:color w:val="auto"/>
        </w:rPr>
      </w:pPr>
      <w:r>
        <w:rPr>
          <w:rFonts w:ascii="Courier New" w:cs="Courier New" w:eastAsia="Courier New" w:hAnsi="Courier New"/>
          <w:sz w:val="15"/>
          <w:szCs w:val="15"/>
          <w:color w:val="auto"/>
        </w:rPr>
        <w:t>The provision for income taxes for the following periods consisted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of:</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8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2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80" w:type="dxa"/>
            <w:vAlign w:val="bottom"/>
            <w:gridSpan w:val="3"/>
          </w:tcPr>
          <w:p>
            <w:pPr>
              <w:jc w:val="right"/>
              <w:ind w:right="64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2040" w:type="dxa"/>
            <w:vAlign w:val="bottom"/>
          </w:tcPr>
          <w:p>
            <w:pPr>
              <w:spacing w:after="0"/>
              <w:rPr>
                <w:sz w:val="14"/>
                <w:szCs w:val="14"/>
                <w:color w:val="auto"/>
              </w:rPr>
            </w:pPr>
          </w:p>
        </w:tc>
        <w:tc>
          <w:tcPr>
            <w:tcW w:w="3900" w:type="dxa"/>
            <w:vAlign w:val="bottom"/>
            <w:gridSpan w:val="4"/>
          </w:tcPr>
          <w:p>
            <w:pPr>
              <w:ind w:left="132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2006</w:t>
            </w:r>
          </w:p>
        </w:tc>
        <w:tc>
          <w:tcPr>
            <w:tcW w:w="480" w:type="dxa"/>
            <w:vAlign w:val="bottom"/>
          </w:tcPr>
          <w:p>
            <w:pPr>
              <w:spacing w:after="0"/>
              <w:rPr>
                <w:sz w:val="14"/>
                <w:szCs w:val="14"/>
                <w:color w:val="auto"/>
              </w:rPr>
            </w:pPr>
          </w:p>
        </w:tc>
        <w:tc>
          <w:tcPr>
            <w:tcW w:w="9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2005</w:t>
            </w:r>
          </w:p>
        </w:tc>
      </w:tr>
      <w:tr>
        <w:trPr>
          <w:trHeight w:val="171"/>
        </w:trPr>
        <w:tc>
          <w:tcPr>
            <w:tcW w:w="2040" w:type="dxa"/>
            <w:vAlign w:val="bottom"/>
          </w:tcPr>
          <w:p>
            <w:pPr>
              <w:spacing w:after="0"/>
              <w:rPr>
                <w:sz w:val="14"/>
                <w:szCs w:val="14"/>
                <w:color w:val="auto"/>
              </w:rPr>
            </w:pPr>
          </w:p>
        </w:tc>
        <w:tc>
          <w:tcPr>
            <w:tcW w:w="2520" w:type="dxa"/>
            <w:vAlign w:val="bottom"/>
            <w:gridSpan w:val="2"/>
          </w:tcPr>
          <w:p>
            <w:pPr>
              <w:ind w:left="132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420" w:type="dxa"/>
            <w:vAlign w:val="bottom"/>
          </w:tcPr>
          <w:p>
            <w:pPr>
              <w:ind w:left="132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3,744</w:t>
            </w:r>
          </w:p>
        </w:tc>
        <w:tc>
          <w:tcPr>
            <w:tcW w:w="4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9,932</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4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2,159</w:t>
            </w:r>
          </w:p>
        </w:tc>
        <w:tc>
          <w:tcPr>
            <w:tcW w:w="48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5,827</w:t>
            </w:r>
          </w:p>
        </w:tc>
      </w:tr>
      <w:tr>
        <w:trPr>
          <w:trHeight w:val="171"/>
        </w:trPr>
        <w:tc>
          <w:tcPr>
            <w:tcW w:w="2040" w:type="dxa"/>
            <w:vAlign w:val="bottom"/>
          </w:tcPr>
          <w:p>
            <w:pPr>
              <w:spacing w:after="0"/>
              <w:rPr>
                <w:sz w:val="14"/>
                <w:szCs w:val="14"/>
                <w:color w:val="auto"/>
              </w:rPr>
            </w:pPr>
          </w:p>
        </w:tc>
        <w:tc>
          <w:tcPr>
            <w:tcW w:w="2520" w:type="dxa"/>
            <w:vAlign w:val="bottom"/>
            <w:gridSpan w:val="2"/>
          </w:tcPr>
          <w:p>
            <w:pPr>
              <w:ind w:left="132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040" w:type="dxa"/>
            <w:vAlign w:val="bottom"/>
          </w:tcPr>
          <w:p>
            <w:pPr>
              <w:spacing w:after="0"/>
              <w:rPr>
                <w:sz w:val="14"/>
                <w:szCs w:val="14"/>
                <w:color w:val="auto"/>
              </w:rPr>
            </w:pPr>
          </w:p>
        </w:tc>
        <w:tc>
          <w:tcPr>
            <w:tcW w:w="1420" w:type="dxa"/>
            <w:vAlign w:val="bottom"/>
          </w:tcPr>
          <w:p>
            <w:pPr>
              <w:ind w:left="132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5,903</w:t>
            </w:r>
          </w:p>
        </w:tc>
        <w:tc>
          <w:tcPr>
            <w:tcW w:w="4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15,759</w:t>
            </w:r>
          </w:p>
        </w:tc>
      </w:tr>
      <w:tr>
        <w:trPr>
          <w:trHeight w:val="171"/>
        </w:trPr>
        <w:tc>
          <w:tcPr>
            <w:tcW w:w="2040" w:type="dxa"/>
            <w:vAlign w:val="bottom"/>
          </w:tcPr>
          <w:p>
            <w:pPr>
              <w:spacing w:after="0"/>
              <w:rPr>
                <w:sz w:val="14"/>
                <w:szCs w:val="14"/>
                <w:color w:val="auto"/>
              </w:rPr>
            </w:pPr>
          </w:p>
        </w:tc>
        <w:tc>
          <w:tcPr>
            <w:tcW w:w="2520" w:type="dxa"/>
            <w:vAlign w:val="bottom"/>
            <w:gridSpan w:val="2"/>
          </w:tcPr>
          <w:p>
            <w:pPr>
              <w:ind w:left="132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512"/>
        </w:trPr>
        <w:tc>
          <w:tcPr>
            <w:tcW w:w="2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jc w:val="right"/>
              <w:ind w:right="947"/>
              <w:spacing w:after="0"/>
              <w:rPr>
                <w:sz w:val="20"/>
                <w:szCs w:val="20"/>
                <w:color w:val="auto"/>
              </w:rPr>
            </w:pPr>
            <w:r>
              <w:rPr>
                <w:rFonts w:ascii="Courier New" w:cs="Courier New" w:eastAsia="Courier New" w:hAnsi="Courier New"/>
                <w:sz w:val="14"/>
                <w:szCs w:val="14"/>
                <w:color w:val="auto"/>
                <w:w w:val="70"/>
              </w:rPr>
              <w:t>8</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28"/>
          </w:cols>
          <w:pgMar w:left="231" w:top="628" w:right="1440" w:bottom="1440" w:gutter="0" w:footer="0" w:header="0"/>
        </w:sectPr>
      </w:pPr>
    </w:p>
    <w:bookmarkStart w:id="9" w:name="page10"/>
    <w:bookmarkEnd w:id="9"/>
    <w:p>
      <w:pPr>
        <w:jc w:val="center"/>
        <w:ind w:right="3110"/>
        <w:spacing w:after="0"/>
        <w:rPr>
          <w:sz w:val="20"/>
          <w:szCs w:val="20"/>
          <w:color w:val="auto"/>
        </w:rPr>
      </w:pPr>
      <w:r>
        <w:rPr>
          <w:rFonts w:ascii="Courier New" w:cs="Courier New" w:eastAsia="Courier New" w:hAnsi="Courier New"/>
          <w:sz w:val="15"/>
          <w:szCs w:val="15"/>
          <w:color w:val="auto"/>
        </w:rPr>
        <w:t>AMDOCS LIMITED</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7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74" w:lineRule="exact"/>
        <w:rPr>
          <w:sz w:val="20"/>
          <w:szCs w:val="20"/>
          <w:color w:val="auto"/>
        </w:rPr>
      </w:pPr>
    </w:p>
    <w:p>
      <w:pPr>
        <w:ind w:left="9" w:right="3219" w:firstLine="532"/>
        <w:spacing w:after="0" w:line="238" w:lineRule="auto"/>
        <w:rPr>
          <w:sz w:val="20"/>
          <w:szCs w:val="20"/>
          <w:color w:val="auto"/>
        </w:rPr>
      </w:pPr>
      <w:r>
        <w:rPr>
          <w:rFonts w:ascii="Courier New" w:cs="Courier New" w:eastAsia="Courier New" w:hAnsi="Courier New"/>
          <w:sz w:val="15"/>
          <w:szCs w:val="15"/>
          <w:color w:val="auto"/>
        </w:rPr>
        <w:t>The effective income tax rate varied from the statutory Guernsey tax rate as follows for the following periods: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20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3000" w:type="dxa"/>
            <w:vAlign w:val="bottom"/>
          </w:tcPr>
          <w:p>
            <w:pPr>
              <w:spacing w:after="0"/>
              <w:rPr>
                <w:sz w:val="14"/>
                <w:szCs w:val="14"/>
                <w:color w:val="auto"/>
              </w:rPr>
            </w:pPr>
          </w:p>
        </w:tc>
        <w:tc>
          <w:tcPr>
            <w:tcW w:w="204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300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2006</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2005</w:t>
            </w:r>
          </w:p>
        </w:tc>
      </w:tr>
      <w:tr>
        <w:trPr>
          <w:trHeight w:val="171"/>
        </w:trPr>
        <w:tc>
          <w:tcPr>
            <w:tcW w:w="300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00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20%</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(20)</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Foreign taxes (1)</w:t>
            </w: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w:t>
            </w:r>
          </w:p>
        </w:tc>
      </w:tr>
      <w:tr>
        <w:trPr>
          <w:trHeight w:val="171"/>
        </w:trPr>
        <w:tc>
          <w:tcPr>
            <w:tcW w:w="300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000" w:type="dxa"/>
            <w:vAlign w:val="bottom"/>
          </w:tcPr>
          <w:p>
            <w:pPr>
              <w:spacing w:after="0"/>
              <w:rPr>
                <w:sz w:val="20"/>
                <w:szCs w:val="20"/>
                <w:color w:val="auto"/>
              </w:rPr>
            </w:pPr>
            <w:r>
              <w:rPr>
                <w:rFonts w:ascii="Courier New" w:cs="Courier New" w:eastAsia="Courier New" w:hAnsi="Courier New"/>
                <w:sz w:val="15"/>
                <w:szCs w:val="15"/>
                <w:color w:val="auto"/>
              </w:rPr>
              <w:t>Income tax rate before effect of</w:t>
            </w: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acquisition-related costs, and</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equity-based compensation</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expense</w:t>
            </w: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Effect of acquisition-related</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costs and stock based</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compensation expense</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w:t>
            </w:r>
          </w:p>
        </w:tc>
      </w:tr>
      <w:tr>
        <w:trPr>
          <w:trHeight w:val="171"/>
        </w:trPr>
        <w:tc>
          <w:tcPr>
            <w:tcW w:w="300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17%</w:t>
            </w:r>
          </w:p>
        </w:tc>
      </w:tr>
      <w:tr>
        <w:trPr>
          <w:trHeight w:val="171"/>
        </w:trPr>
        <w:tc>
          <w:tcPr>
            <w:tcW w:w="300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529" w:right="3119" w:hanging="529"/>
        <w:spacing w:after="0" w:line="239" w:lineRule="auto"/>
        <w:tabs>
          <w:tab w:leader="none" w:pos="52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three months ended December 31, 2006 includes the Company's net release of $8,748 of tax reserves attributable to a resolved tax audit of a prior year, as well as changes in the Company's tax reserves made during the quarter in the ordinary course of business.</w:t>
      </w:r>
    </w:p>
    <w:p>
      <w:pPr>
        <w:spacing w:after="0" w:line="176" w:lineRule="exact"/>
        <w:rPr>
          <w:sz w:val="20"/>
          <w:szCs w:val="20"/>
          <w:color w:val="auto"/>
        </w:rPr>
      </w:pPr>
    </w:p>
    <w:p>
      <w:pPr>
        <w:ind w:left="9" w:right="3399" w:firstLine="532"/>
        <w:spacing w:after="0" w:line="238" w:lineRule="auto"/>
        <w:rPr>
          <w:sz w:val="20"/>
          <w:szCs w:val="20"/>
          <w:color w:val="auto"/>
        </w:rPr>
      </w:pPr>
      <w:r>
        <w:rPr>
          <w:rFonts w:ascii="Courier New" w:cs="Courier New" w:eastAsia="Courier New" w:hAnsi="Courier New"/>
          <w:sz w:val="15"/>
          <w:szCs w:val="15"/>
          <w:color w:val="auto"/>
        </w:rPr>
        <w:t>As a Guernsey corporation with tax-exempt status, the Company's overall effective tax rate is attributable to foreign taxes.</w:t>
      </w:r>
    </w:p>
    <w:p>
      <w:pPr>
        <w:spacing w:after="0" w:line="175" w:lineRule="exact"/>
        <w:rPr>
          <w:sz w:val="20"/>
          <w:szCs w:val="20"/>
          <w:color w:val="auto"/>
        </w:rPr>
      </w:pPr>
    </w:p>
    <w:p>
      <w:pPr>
        <w:ind w:left="9" w:right="3119" w:firstLine="532"/>
        <w:spacing w:after="0"/>
        <w:rPr>
          <w:sz w:val="20"/>
          <w:szCs w:val="20"/>
          <w:color w:val="auto"/>
        </w:rPr>
      </w:pPr>
      <w:r>
        <w:rPr>
          <w:rFonts w:ascii="Courier New" w:cs="Courier New" w:eastAsia="Courier New" w:hAnsi="Courier New"/>
          <w:sz w:val="15"/>
          <w:szCs w:val="15"/>
          <w:color w:val="auto"/>
        </w:rPr>
        <w:t>As of December 31, 2006, deferred tax assets of $30,340, derived from net capital and operating loss carry forwards related to some of the Company's subsidiaries, were offset by valuation allowances related to the uncertainty of realizing tax benefit for such losses. When realization of the tax benefits associated with such net capital and operating losses is deemed more likely than not, the valuation allowance will be released through income taxes or through goodwill when it relates to a business combination.</w:t>
      </w:r>
    </w:p>
    <w:p>
      <w:pPr>
        <w:spacing w:after="0" w:line="17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8"/>
          </w:cols>
          <w:pgMar w:left="231" w:top="628" w:right="1440" w:bottom="1440" w:gutter="0" w:footer="0" w:header="0"/>
        </w:sectPr>
      </w:pPr>
    </w:p>
    <w:bookmarkStart w:id="10" w:name="page11"/>
    <w:bookmarkEnd w:id="10"/>
    <w:p>
      <w:pPr>
        <w:jc w:val="center"/>
        <w:ind w:right="3130"/>
        <w:spacing w:after="0"/>
        <w:rPr>
          <w:sz w:val="20"/>
          <w:szCs w:val="20"/>
          <w:color w:val="auto"/>
        </w:rPr>
      </w:pPr>
      <w:r>
        <w:rPr>
          <w:rFonts w:ascii="Courier New" w:cs="Courier New" w:eastAsia="Courier New" w:hAnsi="Courier New"/>
          <w:sz w:val="15"/>
          <w:szCs w:val="15"/>
          <w:color w:val="auto"/>
        </w:rPr>
        <w:t>AMDOCS LIMITED</w:t>
      </w:r>
    </w:p>
    <w:p>
      <w:pPr>
        <w:spacing w:after="0" w:line="1" w:lineRule="exact"/>
        <w:rPr>
          <w:sz w:val="20"/>
          <w:szCs w:val="20"/>
          <w:color w:val="auto"/>
        </w:rPr>
      </w:pPr>
    </w:p>
    <w:p>
      <w:pPr>
        <w:jc w:val="center"/>
        <w:ind w:right="3130"/>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7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71" w:lineRule="exact"/>
        <w:rPr>
          <w:sz w:val="20"/>
          <w:szCs w:val="20"/>
          <w:color w:val="auto"/>
        </w:rPr>
      </w:pPr>
    </w:p>
    <w:p>
      <w:pPr>
        <w:ind w:left="529" w:hanging="529"/>
        <w:spacing w:after="0"/>
        <w:tabs>
          <w:tab w:leader="none" w:pos="52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4" w:lineRule="exact"/>
        <w:rPr>
          <w:sz w:val="20"/>
          <w:szCs w:val="20"/>
          <w:color w:val="auto"/>
        </w:rPr>
      </w:pPr>
    </w:p>
    <w:p>
      <w:pPr>
        <w:ind w:left="9" w:right="3839" w:firstLine="444"/>
        <w:spacing w:after="0" w:line="238" w:lineRule="auto"/>
        <w:rPr>
          <w:sz w:val="20"/>
          <w:szCs w:val="20"/>
          <w:color w:val="auto"/>
        </w:rPr>
      </w:pPr>
      <w:r>
        <w:rPr>
          <w:rFonts w:ascii="Courier New" w:cs="Courier New" w:eastAsia="Courier New" w:hAnsi="Courier New"/>
          <w:sz w:val="15"/>
          <w:szCs w:val="15"/>
          <w:color w:val="auto"/>
        </w:rPr>
        <w:t>The following table sets forth the computation of basic and diluted earnings per share:</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w w:val="97"/>
              </w:rPr>
              <w:t>THREE MONTHS ENDED</w:t>
            </w:r>
          </w:p>
        </w:tc>
      </w:tr>
      <w:tr>
        <w:trPr>
          <w:trHeight w:val="171"/>
        </w:trPr>
        <w:tc>
          <w:tcPr>
            <w:tcW w:w="1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1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140" w:type="dxa"/>
            <w:vAlign w:val="bottom"/>
            <w:gridSpan w:val="4"/>
          </w:tcPr>
          <w:p>
            <w:pPr>
              <w:ind w:left="26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1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2006</w:t>
            </w:r>
          </w:p>
        </w:tc>
        <w:tc>
          <w:tcPr>
            <w:tcW w:w="22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2005</w:t>
            </w:r>
          </w:p>
        </w:tc>
      </w:tr>
      <w:tr>
        <w:trPr>
          <w:trHeight w:val="171"/>
        </w:trPr>
        <w:tc>
          <w:tcPr>
            <w:tcW w:w="1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2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33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Numerator for basic earnings per</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rPr>
              <w:t>share</w:t>
            </w:r>
          </w:p>
        </w:tc>
        <w:tc>
          <w:tcPr>
            <w:tcW w:w="212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$ 93,342</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$ 75,334</w:t>
            </w:r>
          </w:p>
        </w:tc>
      </w:tr>
      <w:tr>
        <w:trPr>
          <w:trHeight w:val="171"/>
        </w:trPr>
        <w:tc>
          <w:tcPr>
            <w:tcW w:w="33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Effect of assumed conversion of</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3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convertible notes</w:t>
            </w:r>
          </w:p>
        </w:tc>
        <w:tc>
          <w:tcPr>
            <w:tcW w:w="3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985</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1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Numerator for diluted earnings per</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rPr>
              <w:t>share</w:t>
            </w:r>
          </w:p>
        </w:tc>
        <w:tc>
          <w:tcPr>
            <w:tcW w:w="212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$ 94,327</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$ 76,334</w:t>
            </w:r>
          </w:p>
        </w:tc>
      </w:tr>
      <w:tr>
        <w:trPr>
          <w:trHeight w:val="171"/>
        </w:trPr>
        <w:tc>
          <w:tcPr>
            <w:tcW w:w="1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2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3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Denominator for basic earnings per</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rPr>
              <w:t>share -</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weighted average number</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3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of shares outstanding</w:t>
            </w:r>
          </w:p>
        </w:tc>
        <w:tc>
          <w:tcPr>
            <w:tcW w:w="3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206,450</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200,525</w:t>
            </w:r>
          </w:p>
        </w:tc>
      </w:tr>
      <w:tr>
        <w:trPr>
          <w:trHeight w:val="171"/>
        </w:trPr>
        <w:tc>
          <w:tcPr>
            <w:tcW w:w="33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Effect of assumed conversion of</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3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convertible notes</w:t>
            </w:r>
          </w:p>
        </w:tc>
        <w:tc>
          <w:tcPr>
            <w:tcW w:w="3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10,436</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10,436</w:t>
            </w:r>
          </w:p>
        </w:tc>
      </w:tr>
      <w:tr>
        <w:trPr>
          <w:trHeight w:val="171"/>
        </w:trPr>
        <w:tc>
          <w:tcPr>
            <w:tcW w:w="33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Effect of dilutive stock options</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rPr>
              <w:t>granted</w:t>
            </w:r>
          </w:p>
        </w:tc>
        <w:tc>
          <w:tcPr>
            <w:tcW w:w="2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5,522</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3,870</w:t>
            </w:r>
          </w:p>
        </w:tc>
      </w:tr>
      <w:tr>
        <w:trPr>
          <w:trHeight w:val="171"/>
        </w:trPr>
        <w:tc>
          <w:tcPr>
            <w:tcW w:w="33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Effect of restricted stock issued</w:t>
            </w:r>
          </w:p>
        </w:tc>
        <w:tc>
          <w:tcPr>
            <w:tcW w:w="3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310</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w:t>
            </w:r>
          </w:p>
        </w:tc>
      </w:tr>
      <w:tr>
        <w:trPr>
          <w:trHeight w:val="171"/>
        </w:trPr>
        <w:tc>
          <w:tcPr>
            <w:tcW w:w="1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w w:val="96"/>
              </w:rPr>
              <w:t>Denominator</w:t>
            </w:r>
          </w:p>
        </w:tc>
        <w:tc>
          <w:tcPr>
            <w:tcW w:w="2120" w:type="dxa"/>
            <w:vAlign w:val="bottom"/>
          </w:tcPr>
          <w:p>
            <w:pPr>
              <w:ind w:left="180"/>
              <w:spacing w:after="0"/>
              <w:rPr>
                <w:sz w:val="20"/>
                <w:szCs w:val="20"/>
                <w:color w:val="auto"/>
              </w:rPr>
            </w:pPr>
            <w:r>
              <w:rPr>
                <w:rFonts w:ascii="Courier New" w:cs="Courier New" w:eastAsia="Courier New" w:hAnsi="Courier New"/>
                <w:sz w:val="15"/>
                <w:szCs w:val="15"/>
                <w:color w:val="auto"/>
              </w:rPr>
              <w:t>for diluted earnings</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3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per share - adjusted weighted</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3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average shares and assumed</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3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conversions</w:t>
            </w:r>
          </w:p>
        </w:tc>
        <w:tc>
          <w:tcPr>
            <w:tcW w:w="3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222,718</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214,871</w:t>
            </w:r>
          </w:p>
        </w:tc>
      </w:tr>
      <w:tr>
        <w:trPr>
          <w:trHeight w:val="171"/>
        </w:trPr>
        <w:tc>
          <w:tcPr>
            <w:tcW w:w="1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3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Basic earnings per share</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0.45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0.38</w:t>
            </w:r>
          </w:p>
        </w:tc>
      </w:tr>
      <w:tr>
        <w:trPr>
          <w:trHeight w:val="171"/>
        </w:trPr>
        <w:tc>
          <w:tcPr>
            <w:tcW w:w="1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3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Diluted earnings per share</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0.42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0.36</w:t>
            </w:r>
          </w:p>
        </w:tc>
      </w:tr>
      <w:tr>
        <w:trPr>
          <w:trHeight w:val="171"/>
        </w:trPr>
        <w:tc>
          <w:tcPr>
            <w:tcW w:w="1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1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10</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228"/>
          </w:cols>
          <w:pgMar w:left="231" w:top="628" w:right="1440" w:bottom="1440" w:gutter="0" w:footer="0" w:header="0"/>
        </w:sectPr>
      </w:pPr>
    </w:p>
    <w:bookmarkStart w:id="11" w:name="page12"/>
    <w:bookmarkEnd w:id="11"/>
    <w:p>
      <w:pPr>
        <w:jc w:val="center"/>
        <w:ind w:right="3110"/>
        <w:spacing w:after="0"/>
        <w:rPr>
          <w:sz w:val="20"/>
          <w:szCs w:val="20"/>
          <w:color w:val="auto"/>
        </w:rPr>
      </w:pPr>
      <w:r>
        <w:rPr>
          <w:rFonts w:ascii="Courier New" w:cs="Courier New" w:eastAsia="Courier New" w:hAnsi="Courier New"/>
          <w:sz w:val="15"/>
          <w:szCs w:val="15"/>
          <w:color w:val="auto"/>
        </w:rPr>
        <w:t>AMDOCS LIMITED</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7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74" w:lineRule="exact"/>
        <w:rPr>
          <w:sz w:val="20"/>
          <w:szCs w:val="20"/>
          <w:color w:val="auto"/>
        </w:rPr>
      </w:pPr>
    </w:p>
    <w:p>
      <w:pPr>
        <w:jc w:val="right"/>
        <w:ind w:left="1069" w:right="8639" w:hanging="1069"/>
        <w:spacing w:after="0" w:line="516" w:lineRule="auto"/>
        <w:tabs>
          <w:tab w:leader="none" w:pos="536"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 CRAMER</w:t>
      </w:r>
    </w:p>
    <w:p>
      <w:pPr>
        <w:spacing w:after="0" w:line="1" w:lineRule="exact"/>
        <w:rPr>
          <w:sz w:val="20"/>
          <w:szCs w:val="20"/>
          <w:color w:val="auto"/>
        </w:rPr>
      </w:pPr>
    </w:p>
    <w:p>
      <w:pPr>
        <w:ind w:left="9" w:right="3119" w:firstLine="1065"/>
        <w:spacing w:after="0"/>
        <w:rPr>
          <w:sz w:val="20"/>
          <w:szCs w:val="20"/>
          <w:color w:val="auto"/>
        </w:rPr>
      </w:pPr>
      <w:r>
        <w:rPr>
          <w:rFonts w:ascii="Courier New" w:cs="Courier New" w:eastAsia="Courier New" w:hAnsi="Courier New"/>
          <w:sz w:val="15"/>
          <w:szCs w:val="15"/>
          <w:color w:val="auto"/>
        </w:rPr>
        <w:t>On August 14, 2006, the Company acquired all of the capital stock of Cramer Systems Group Limited, or Cramer, a privately-held leading provider of operations support systems (OSS) solutions. The Company expects that this acquisition will enable it to leverage and greatly enhance its current assets in the BSS (business support systems) and OSS market.</w:t>
      </w:r>
    </w:p>
    <w:p>
      <w:pPr>
        <w:spacing w:after="0" w:line="174" w:lineRule="exact"/>
        <w:rPr>
          <w:sz w:val="20"/>
          <w:szCs w:val="20"/>
          <w:color w:val="auto"/>
        </w:rPr>
      </w:pPr>
    </w:p>
    <w:p>
      <w:pPr>
        <w:ind w:left="9" w:right="3299" w:firstLine="1065"/>
        <w:spacing w:after="0"/>
        <w:rPr>
          <w:sz w:val="20"/>
          <w:szCs w:val="20"/>
          <w:color w:val="auto"/>
        </w:rPr>
      </w:pPr>
      <w:r>
        <w:rPr>
          <w:rFonts w:ascii="Courier New" w:cs="Courier New" w:eastAsia="Courier New" w:hAnsi="Courier New"/>
          <w:sz w:val="15"/>
          <w:szCs w:val="15"/>
          <w:color w:val="auto"/>
        </w:rPr>
        <w:t>The aggregate purchase price for Cramer was $421,182, which consisted of $412,775 in cash (including cash on hand), $2,228 related to the assumption of stock options and restricted shares held by Cramer employees and $6,179 of transaction costs. The purchase price was adjusted in the first quarter of fiscal 2007 as a result of post closing adjustments which were not material. The fair value of the stock options was estimated using the Black-Scholes option pricing model and the fair value of the restricted shares was valued based on the market value of the underlying shares at the date of grant.</w:t>
      </w:r>
    </w:p>
    <w:p>
      <w:pPr>
        <w:spacing w:after="0" w:line="175" w:lineRule="exact"/>
        <w:rPr>
          <w:sz w:val="20"/>
          <w:szCs w:val="20"/>
          <w:color w:val="auto"/>
        </w:rPr>
      </w:pPr>
    </w:p>
    <w:p>
      <w:pPr>
        <w:ind w:left="1069"/>
        <w:spacing w:after="0"/>
        <w:rPr>
          <w:sz w:val="20"/>
          <w:szCs w:val="20"/>
          <w:color w:val="auto"/>
        </w:rPr>
      </w:pPr>
      <w:r>
        <w:rPr>
          <w:rFonts w:ascii="Courier New" w:cs="Courier New" w:eastAsia="Courier New" w:hAnsi="Courier New"/>
          <w:sz w:val="15"/>
          <w:szCs w:val="15"/>
          <w:color w:val="auto"/>
        </w:rPr>
        <w:t>The following is the allocation of the purchase price:</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340" w:type="dxa"/>
            <w:vAlign w:val="bottom"/>
          </w:tcPr>
          <w:p>
            <w:pPr>
              <w:spacing w:after="0"/>
              <w:rPr>
                <w:sz w:val="20"/>
                <w:szCs w:val="20"/>
                <w:color w:val="auto"/>
              </w:rPr>
            </w:pPr>
            <w:r>
              <w:rPr>
                <w:rFonts w:ascii="Courier New" w:cs="Courier New" w:eastAsia="Courier New" w:hAnsi="Courier New"/>
                <w:sz w:val="15"/>
                <w:szCs w:val="15"/>
                <w:color w:val="auto"/>
              </w:rPr>
              <w:t>Assets acquired</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  93,797</w:t>
            </w:r>
          </w:p>
        </w:tc>
      </w:tr>
      <w:tr>
        <w:trPr>
          <w:trHeight w:val="341"/>
        </w:trPr>
        <w:tc>
          <w:tcPr>
            <w:tcW w:w="4340" w:type="dxa"/>
            <w:vAlign w:val="bottom"/>
          </w:tcPr>
          <w:p>
            <w:pPr>
              <w:spacing w:after="0"/>
              <w:rPr>
                <w:sz w:val="20"/>
                <w:szCs w:val="20"/>
                <w:color w:val="auto"/>
              </w:rPr>
            </w:pPr>
            <w:r>
              <w:rPr>
                <w:rFonts w:ascii="Courier New" w:cs="Courier New" w:eastAsia="Courier New" w:hAnsi="Courier New"/>
                <w:sz w:val="15"/>
                <w:szCs w:val="15"/>
                <w:color w:val="auto"/>
              </w:rPr>
              <w:t>Liabilities assumed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(72,748)</w:t>
            </w:r>
          </w:p>
        </w:tc>
      </w:tr>
      <w:tr>
        <w:trPr>
          <w:trHeight w:val="171"/>
        </w:trPr>
        <w:tc>
          <w:tcPr>
            <w:tcW w:w="434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Net assets acquired</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21,049</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Core technology</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88,690</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Customer arrangements</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69,043</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Trademark</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2,160</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In-process research and development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17,310</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Deferred taxes resulting from the difference</w:t>
            </w:r>
          </w:p>
        </w:tc>
        <w:tc>
          <w:tcPr>
            <w:tcW w:w="1060" w:type="dxa"/>
            <w:vAlign w:val="bottom"/>
          </w:tcPr>
          <w:p>
            <w:pPr>
              <w:spacing w:after="0"/>
              <w:rPr>
                <w:sz w:val="14"/>
                <w:szCs w:val="14"/>
                <w:color w:val="auto"/>
              </w:rPr>
            </w:pP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between the assigned value of certain assets</w:t>
            </w:r>
          </w:p>
        </w:tc>
        <w:tc>
          <w:tcPr>
            <w:tcW w:w="1060" w:type="dxa"/>
            <w:vAlign w:val="bottom"/>
          </w:tcPr>
          <w:p>
            <w:pPr>
              <w:spacing w:after="0"/>
              <w:rPr>
                <w:sz w:val="14"/>
                <w:szCs w:val="14"/>
                <w:color w:val="auto"/>
              </w:rPr>
            </w:pP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and their respective tax bases and loss carry</w:t>
            </w:r>
          </w:p>
        </w:tc>
        <w:tc>
          <w:tcPr>
            <w:tcW w:w="1060" w:type="dxa"/>
            <w:vAlign w:val="bottom"/>
          </w:tcPr>
          <w:p>
            <w:pPr>
              <w:spacing w:after="0"/>
              <w:rPr>
                <w:sz w:val="14"/>
                <w:szCs w:val="14"/>
                <w:color w:val="auto"/>
              </w:rPr>
            </w:pP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forward, net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(31,816)</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254,746</w:t>
            </w:r>
          </w:p>
        </w:tc>
      </w:tr>
      <w:tr>
        <w:trPr>
          <w:trHeight w:val="171"/>
        </w:trPr>
        <w:tc>
          <w:tcPr>
            <w:tcW w:w="434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$ 421,182</w:t>
            </w:r>
          </w:p>
        </w:tc>
      </w:tr>
      <w:tr>
        <w:trPr>
          <w:trHeight w:val="171"/>
        </w:trPr>
        <w:tc>
          <w:tcPr>
            <w:tcW w:w="434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1069"/>
        <w:spacing w:after="0"/>
        <w:rPr>
          <w:sz w:val="20"/>
          <w:szCs w:val="20"/>
          <w:color w:val="auto"/>
        </w:rPr>
      </w:pPr>
      <w:r>
        <w:rPr>
          <w:rFonts w:ascii="Courier New" w:cs="Courier New" w:eastAsia="Courier New" w:hAnsi="Courier New"/>
          <w:sz w:val="15"/>
          <w:szCs w:val="15"/>
          <w:color w:val="auto"/>
        </w:rPr>
        <w:t>QPASS</w:t>
      </w:r>
    </w:p>
    <w:p>
      <w:pPr>
        <w:spacing w:after="0" w:line="174" w:lineRule="exact"/>
        <w:rPr>
          <w:sz w:val="20"/>
          <w:szCs w:val="20"/>
          <w:color w:val="auto"/>
        </w:rPr>
      </w:pPr>
    </w:p>
    <w:p>
      <w:pPr>
        <w:ind w:left="9" w:right="3399" w:firstLine="1065"/>
        <w:spacing w:after="0"/>
        <w:rPr>
          <w:sz w:val="20"/>
          <w:szCs w:val="20"/>
          <w:color w:val="auto"/>
        </w:rPr>
      </w:pPr>
      <w:r>
        <w:rPr>
          <w:rFonts w:ascii="Courier New" w:cs="Courier New" w:eastAsia="Courier New" w:hAnsi="Courier New"/>
          <w:sz w:val="15"/>
          <w:szCs w:val="15"/>
          <w:color w:val="auto"/>
        </w:rPr>
        <w:t>On May 31, 2006, the Company acquired all of the capital stock of Qpass Inc., or Qpass, a leading provider of digital commerce software and solutions. The Company expects that this acquisition will allow it to support service providers and media companies seeking to launch and monetize digital content, and believes that this acquisition positions it as the leader in the emerging digital content market.</w:t>
      </w:r>
    </w:p>
    <w:p>
      <w:pPr>
        <w:spacing w:after="0" w:line="175" w:lineRule="exact"/>
        <w:rPr>
          <w:sz w:val="20"/>
          <w:szCs w:val="20"/>
          <w:color w:val="auto"/>
        </w:rPr>
      </w:pPr>
    </w:p>
    <w:p>
      <w:pPr>
        <w:ind w:left="9" w:right="3119" w:firstLine="1065"/>
        <w:spacing w:after="0" w:line="262" w:lineRule="auto"/>
        <w:rPr>
          <w:sz w:val="20"/>
          <w:szCs w:val="20"/>
          <w:color w:val="auto"/>
        </w:rPr>
      </w:pPr>
      <w:r>
        <w:rPr>
          <w:rFonts w:ascii="Courier New" w:cs="Courier New" w:eastAsia="Courier New" w:hAnsi="Courier New"/>
          <w:sz w:val="14"/>
          <w:szCs w:val="14"/>
          <w:color w:val="auto"/>
        </w:rPr>
        <w:t>The aggregate purchase price for Qpass was $282,015, which consisted of $274,024 in cash, $2,405 related to the assumption of stock options held by Qpass employees and $5,586 of transaction costs. The fair value of the stock options was estimated using the Black-Scholes option pricing model.</w:t>
      </w:r>
    </w:p>
    <w:p>
      <w:pPr>
        <w:spacing w:after="0" w:line="158"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8"/>
          </w:cols>
          <w:pgMar w:left="231" w:top="628" w:right="1440" w:bottom="1440" w:gutter="0" w:footer="0" w:header="0"/>
        </w:sectPr>
      </w:pPr>
    </w:p>
    <w:bookmarkStart w:id="12" w:name="page13"/>
    <w:bookmarkEnd w:id="12"/>
    <w:p>
      <w:pPr>
        <w:jc w:val="center"/>
        <w:ind w:right="3119"/>
        <w:spacing w:after="0"/>
        <w:rPr>
          <w:sz w:val="20"/>
          <w:szCs w:val="20"/>
          <w:color w:val="auto"/>
        </w:rPr>
      </w:pPr>
      <w:r>
        <w:rPr>
          <w:rFonts w:ascii="Courier New" w:cs="Courier New" w:eastAsia="Courier New" w:hAnsi="Courier New"/>
          <w:sz w:val="15"/>
          <w:szCs w:val="15"/>
          <w:color w:val="auto"/>
        </w:rPr>
        <w:t>AMDOCS LIMITED</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7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DST INNOVIS</w:t>
      </w:r>
    </w:p>
    <w:p>
      <w:pPr>
        <w:spacing w:after="0" w:line="174" w:lineRule="exact"/>
        <w:rPr>
          <w:sz w:val="20"/>
          <w:szCs w:val="20"/>
          <w:color w:val="auto"/>
        </w:rPr>
      </w:pPr>
    </w:p>
    <w:p>
      <w:pPr>
        <w:ind w:right="3119" w:firstLine="1065"/>
        <w:spacing w:after="0" w:line="260" w:lineRule="auto"/>
        <w:rPr>
          <w:sz w:val="20"/>
          <w:szCs w:val="20"/>
          <w:color w:val="auto"/>
        </w:rPr>
      </w:pPr>
      <w:r>
        <w:rPr>
          <w:rFonts w:ascii="Courier New" w:cs="Courier New" w:eastAsia="Courier New" w:hAnsi="Courier New"/>
          <w:sz w:val="14"/>
          <w:szCs w:val="14"/>
          <w:color w:val="auto"/>
        </w:rPr>
        <w:t>On July 1, 2005, the Company acquired from DST Systems, Inc., or DST, all of the common stock of DST's wholly owned subsidiaries, DST Innovis, Inc. and DST Interactive, Inc. The Company refers to these acquired subsidiaries together as DST Innovis, a leading provider of customer care and billing solutions to broadband cable and satellite companies. The purchase price for DST Innovis was $237,461, which included $3,150 of transaction costs.</w:t>
      </w:r>
    </w:p>
    <w:p>
      <w:pPr>
        <w:spacing w:after="0" w:line="164" w:lineRule="exact"/>
        <w:rPr>
          <w:sz w:val="20"/>
          <w:szCs w:val="20"/>
          <w:color w:val="auto"/>
        </w:rPr>
      </w:pPr>
    </w:p>
    <w:p>
      <w:pPr>
        <w:ind w:right="3399" w:firstLine="1065"/>
        <w:spacing w:after="0" w:line="261" w:lineRule="auto"/>
        <w:rPr>
          <w:sz w:val="20"/>
          <w:szCs w:val="20"/>
          <w:color w:val="auto"/>
        </w:rPr>
      </w:pPr>
      <w:r>
        <w:rPr>
          <w:rFonts w:ascii="Courier New" w:cs="Courier New" w:eastAsia="Courier New" w:hAnsi="Courier New"/>
          <w:sz w:val="14"/>
          <w:szCs w:val="14"/>
          <w:color w:val="auto"/>
        </w:rPr>
        <w:t>In addition, the Company commenced integration activities with respect to the DST Innovis business based on a plan to exit specific research and development activities and to terminate employees associated with these activities. The liabilities associated with this plan, which were recorded as part of the purchase accounting, are presented in the following table:</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00" w:type="dxa"/>
            <w:vAlign w:val="bottom"/>
          </w:tcPr>
          <w:p>
            <w:pPr>
              <w:spacing w:after="0"/>
              <w:rPr>
                <w:sz w:val="14"/>
                <w:szCs w:val="14"/>
                <w:color w:val="auto"/>
              </w:rPr>
            </w:pPr>
          </w:p>
        </w:tc>
        <w:tc>
          <w:tcPr>
            <w:tcW w:w="12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CONTRACTUAL</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2700" w:type="dxa"/>
            <w:vAlign w:val="bottom"/>
          </w:tcPr>
          <w:p>
            <w:pPr>
              <w:spacing w:after="0"/>
              <w:rPr>
                <w:sz w:val="14"/>
                <w:szCs w:val="14"/>
                <w:color w:val="auto"/>
              </w:rPr>
            </w:pPr>
          </w:p>
        </w:tc>
        <w:tc>
          <w:tcPr>
            <w:tcW w:w="12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OBLIGATIONS</w:t>
            </w:r>
          </w:p>
        </w:tc>
        <w:tc>
          <w:tcPr>
            <w:tcW w:w="260" w:type="dxa"/>
            <w:vAlign w:val="bottom"/>
          </w:tcPr>
          <w:p>
            <w:pPr>
              <w:spacing w:after="0"/>
              <w:rPr>
                <w:sz w:val="14"/>
                <w:szCs w:val="14"/>
                <w:color w:val="auto"/>
              </w:rPr>
            </w:pPr>
          </w:p>
        </w:tc>
        <w:tc>
          <w:tcPr>
            <w:tcW w:w="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27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2700" w:type="dxa"/>
            <w:vAlign w:val="bottom"/>
          </w:tcPr>
          <w:p>
            <w:pPr>
              <w:spacing w:after="0"/>
              <w:rPr>
                <w:sz w:val="20"/>
                <w:szCs w:val="20"/>
                <w:color w:val="auto"/>
              </w:rPr>
            </w:pPr>
            <w:r>
              <w:rPr>
                <w:rFonts w:ascii="Courier New" w:cs="Courier New" w:eastAsia="Courier New" w:hAnsi="Courier New"/>
                <w:sz w:val="15"/>
                <w:szCs w:val="15"/>
                <w:color w:val="auto"/>
              </w:rPr>
              <w:t>Balance as of October 1, 2006</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6,875</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112</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6,987</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Cash payments</w:t>
            </w:r>
          </w:p>
        </w:tc>
        <w:tc>
          <w:tcPr>
            <w:tcW w:w="36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(314)</w:t>
            </w:r>
          </w:p>
        </w:tc>
        <w:tc>
          <w:tcPr>
            <w:tcW w:w="260" w:type="dxa"/>
            <w:vAlign w:val="bottom"/>
          </w:tcPr>
          <w:p>
            <w:pPr>
              <w:spacing w:after="0"/>
              <w:rPr>
                <w:sz w:val="14"/>
                <w:szCs w:val="14"/>
                <w:color w:val="auto"/>
              </w:rPr>
            </w:pP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(314)</w:t>
            </w:r>
          </w:p>
        </w:tc>
      </w:tr>
      <w:tr>
        <w:trPr>
          <w:trHeight w:val="171"/>
        </w:trPr>
        <w:tc>
          <w:tcPr>
            <w:tcW w:w="2700" w:type="dxa"/>
            <w:vAlign w:val="bottom"/>
          </w:tcPr>
          <w:p>
            <w:pPr>
              <w:spacing w:after="0"/>
              <w:rPr>
                <w:sz w:val="14"/>
                <w:szCs w:val="14"/>
                <w:color w:val="auto"/>
              </w:rPr>
            </w:pP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Balance as of December 31,</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6,561</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112</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6,673</w:t>
            </w:r>
          </w:p>
        </w:tc>
      </w:tr>
      <w:tr>
        <w:trPr>
          <w:trHeight w:val="171"/>
        </w:trPr>
        <w:tc>
          <w:tcPr>
            <w:tcW w:w="2700" w:type="dxa"/>
            <w:vAlign w:val="bottom"/>
          </w:tcPr>
          <w:p>
            <w:pPr>
              <w:spacing w:after="0"/>
              <w:rPr>
                <w:sz w:val="14"/>
                <w:szCs w:val="14"/>
                <w:color w:val="auto"/>
              </w:rPr>
            </w:pP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512"/>
        </w:trPr>
        <w:tc>
          <w:tcPr>
            <w:tcW w:w="2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13" w:name="page14"/>
    <w:bookmarkEnd w:id="13"/>
    <w:p>
      <w:pPr>
        <w:jc w:val="center"/>
        <w:ind w:right="3110"/>
        <w:spacing w:after="0"/>
        <w:rPr>
          <w:sz w:val="20"/>
          <w:szCs w:val="20"/>
          <w:color w:val="auto"/>
        </w:rPr>
      </w:pPr>
      <w:r>
        <w:rPr>
          <w:rFonts w:ascii="Courier New" w:cs="Courier New" w:eastAsia="Courier New" w:hAnsi="Courier New"/>
          <w:sz w:val="15"/>
          <w:szCs w:val="15"/>
          <w:color w:val="auto"/>
        </w:rPr>
        <w:t>AMDOCS LIMITED</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7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71" w:lineRule="exact"/>
        <w:rPr>
          <w:sz w:val="20"/>
          <w:szCs w:val="20"/>
          <w:color w:val="auto"/>
        </w:rPr>
      </w:pPr>
    </w:p>
    <w:p>
      <w:pPr>
        <w:ind w:left="529" w:hanging="529"/>
        <w:spacing w:after="0"/>
        <w:tabs>
          <w:tab w:leader="none" w:pos="52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BENEFITS</w:t>
      </w:r>
    </w:p>
    <w:p>
      <w:pPr>
        <w:spacing w:after="0" w:line="174" w:lineRule="exact"/>
        <w:rPr>
          <w:sz w:val="20"/>
          <w:szCs w:val="20"/>
          <w:color w:val="auto"/>
        </w:rPr>
      </w:pPr>
    </w:p>
    <w:p>
      <w:pPr>
        <w:ind w:left="9" w:right="3119" w:firstLine="532"/>
        <w:spacing w:after="0"/>
        <w:rPr>
          <w:sz w:val="20"/>
          <w:szCs w:val="20"/>
          <w:color w:val="auto"/>
        </w:rPr>
      </w:pPr>
      <w:r>
        <w:rPr>
          <w:rFonts w:ascii="Courier New" w:cs="Courier New" w:eastAsia="Courier New" w:hAnsi="Courier New"/>
          <w:sz w:val="15"/>
          <w:szCs w:val="15"/>
          <w:color w:val="auto"/>
        </w:rPr>
        <w:t>The Company maintains non-contributory defined benefit plans that provide for pension, other retirement and post-employment benefits for employees of a Canadian subsidiary based on length of service and rate of pay. Contributions by the Company are based on various generally accepted actuarial methods and reflect actuarial assumptions concerning future investment returns, salary projections and future service benefits. Plan assets consist primarily of Canadian and other equities, government and corporate bonds, debentures and secured mortgages, which are held in units of the BCE Master Trust Fund, a trust established by Bell Canada for the collective investment of registered pension plan assets.</w:t>
      </w:r>
    </w:p>
    <w:p>
      <w:pPr>
        <w:spacing w:after="0" w:line="178" w:lineRule="exact"/>
        <w:rPr>
          <w:sz w:val="20"/>
          <w:szCs w:val="20"/>
          <w:color w:val="auto"/>
        </w:rPr>
      </w:pPr>
    </w:p>
    <w:p>
      <w:pPr>
        <w:ind w:left="9" w:right="3579" w:firstLine="532"/>
        <w:spacing w:after="0" w:line="238" w:lineRule="auto"/>
        <w:rPr>
          <w:sz w:val="20"/>
          <w:szCs w:val="20"/>
          <w:color w:val="auto"/>
        </w:rPr>
      </w:pPr>
      <w:r>
        <w:rPr>
          <w:rFonts w:ascii="Courier New" w:cs="Courier New" w:eastAsia="Courier New" w:hAnsi="Courier New"/>
          <w:sz w:val="15"/>
          <w:szCs w:val="15"/>
          <w:color w:val="auto"/>
        </w:rPr>
        <w:t>The net periodic benefit costs under these plans for the three months ended December 31, 2006 and 2005, were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THREE MONTHS ENDED</w:t>
            </w:r>
          </w:p>
        </w:tc>
        <w:tc>
          <w:tcPr>
            <w:tcW w:w="260" w:type="dxa"/>
            <w:vAlign w:val="bottom"/>
          </w:tcPr>
          <w:p>
            <w:pPr>
              <w:spacing w:after="0"/>
              <w:rPr>
                <w:sz w:val="14"/>
                <w:szCs w:val="14"/>
                <w:color w:val="auto"/>
              </w:rPr>
            </w:pPr>
          </w:p>
        </w:tc>
        <w:tc>
          <w:tcPr>
            <w:tcW w:w="204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DECEMBER 31, 2006</w:t>
            </w:r>
          </w:p>
        </w:tc>
        <w:tc>
          <w:tcPr>
            <w:tcW w:w="260" w:type="dxa"/>
            <w:vAlign w:val="bottom"/>
          </w:tcPr>
          <w:p>
            <w:pPr>
              <w:spacing w:after="0"/>
              <w:rPr>
                <w:sz w:val="14"/>
                <w:szCs w:val="14"/>
                <w:color w:val="auto"/>
              </w:rPr>
            </w:pPr>
          </w:p>
        </w:tc>
        <w:tc>
          <w:tcPr>
            <w:tcW w:w="204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DECEMBER 31, 2005</w:t>
            </w:r>
          </w:p>
        </w:tc>
      </w:tr>
      <w:tr>
        <w:trPr>
          <w:trHeight w:val="171"/>
        </w:trPr>
        <w:tc>
          <w:tcPr>
            <w:tcW w:w="288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Courier New" w:cs="Courier New" w:eastAsia="Courier New" w:hAnsi="Courier New"/>
                <w:sz w:val="8"/>
                <w:szCs w:val="8"/>
                <w:color w:val="auto"/>
                <w:w w:val="86"/>
              </w:rPr>
              <w:t>------------------------</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30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PENSION</w:t>
            </w:r>
          </w:p>
        </w:tc>
        <w:tc>
          <w:tcPr>
            <w:tcW w:w="32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PENSION</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OTHER</w:t>
            </w:r>
          </w:p>
        </w:tc>
      </w:tr>
      <w:tr>
        <w:trPr>
          <w:trHeight w:val="171"/>
        </w:trPr>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4"/>
              </w:rPr>
              <w:t>BENEFITS</w:t>
            </w:r>
          </w:p>
        </w:tc>
        <w:tc>
          <w:tcPr>
            <w:tcW w:w="32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4"/>
              </w:rPr>
              <w:t>BENEFITS</w:t>
            </w:r>
          </w:p>
        </w:tc>
        <w:tc>
          <w:tcPr>
            <w:tcW w:w="26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BENEFITS</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BENEFITS</w:t>
            </w:r>
          </w:p>
        </w:tc>
      </w:tr>
      <w:tr>
        <w:trPr>
          <w:trHeight w:val="171"/>
        </w:trPr>
        <w:tc>
          <w:tcPr>
            <w:tcW w:w="288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w:t>
            </w:r>
          </w:p>
        </w:tc>
      </w:tr>
      <w:tr>
        <w:trPr>
          <w:trHeight w:val="341"/>
        </w:trPr>
        <w:tc>
          <w:tcPr>
            <w:tcW w:w="2880" w:type="dxa"/>
            <w:vAlign w:val="bottom"/>
          </w:tcPr>
          <w:p>
            <w:pPr>
              <w:spacing w:after="0"/>
              <w:rPr>
                <w:sz w:val="20"/>
                <w:szCs w:val="20"/>
                <w:color w:val="auto"/>
              </w:rPr>
            </w:pPr>
            <w:r>
              <w:rPr>
                <w:rFonts w:ascii="Courier New" w:cs="Courier New" w:eastAsia="Courier New" w:hAnsi="Courier New"/>
                <w:sz w:val="15"/>
                <w:szCs w:val="15"/>
                <w:color w:val="auto"/>
              </w:rPr>
              <w:t>Service costs</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308</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50</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769</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102</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rPr>
              <w:t>Interest on benefit obligations</w:t>
            </w:r>
          </w:p>
        </w:tc>
        <w:tc>
          <w:tcPr>
            <w:tcW w:w="22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700</w:t>
            </w:r>
          </w:p>
        </w:tc>
        <w:tc>
          <w:tcPr>
            <w:tcW w:w="3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128</w:t>
            </w:r>
          </w:p>
        </w:tc>
        <w:tc>
          <w:tcPr>
            <w:tcW w:w="2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956</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166</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rPr>
              <w:t>Expected return on plan assets</w:t>
            </w:r>
          </w:p>
        </w:tc>
        <w:tc>
          <w:tcPr>
            <w:tcW w:w="2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(666)</w:t>
            </w:r>
          </w:p>
        </w:tc>
        <w:tc>
          <w:tcPr>
            <w:tcW w:w="3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(796)</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rPr>
              <w:t>Curtailment and other</w:t>
            </w:r>
          </w:p>
        </w:tc>
        <w:tc>
          <w:tcPr>
            <w:tcW w:w="22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(168)</w:t>
            </w:r>
          </w:p>
        </w:tc>
        <w:tc>
          <w:tcPr>
            <w:tcW w:w="2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880" w:type="dxa"/>
            <w:vAlign w:val="bottom"/>
          </w:tcPr>
          <w:p>
            <w:pPr>
              <w:spacing w:after="0"/>
              <w:rPr>
                <w:sz w:val="14"/>
                <w:szCs w:val="14"/>
                <w:color w:val="auto"/>
              </w:rPr>
            </w:pPr>
          </w:p>
        </w:tc>
        <w:tc>
          <w:tcPr>
            <w:tcW w:w="11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880" w:type="dxa"/>
            <w:vAlign w:val="bottom"/>
          </w:tcPr>
          <w:p>
            <w:pPr>
              <w:spacing w:after="0"/>
              <w:rPr>
                <w:sz w:val="14"/>
                <w:szCs w:val="1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342</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929</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268</w:t>
            </w:r>
          </w:p>
        </w:tc>
      </w:tr>
      <w:tr>
        <w:trPr>
          <w:trHeight w:val="171"/>
        </w:trPr>
        <w:tc>
          <w:tcPr>
            <w:tcW w:w="2880" w:type="dxa"/>
            <w:vAlign w:val="bottom"/>
          </w:tcPr>
          <w:p>
            <w:pPr>
              <w:spacing w:after="0"/>
              <w:rPr>
                <w:sz w:val="14"/>
                <w:szCs w:val="14"/>
                <w:color w:val="auto"/>
              </w:rPr>
            </w:pPr>
          </w:p>
        </w:tc>
        <w:tc>
          <w:tcPr>
            <w:tcW w:w="11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299" w:firstLine="532"/>
        <w:spacing w:after="0" w:line="262" w:lineRule="auto"/>
        <w:rPr>
          <w:sz w:val="20"/>
          <w:szCs w:val="20"/>
          <w:color w:val="auto"/>
        </w:rPr>
      </w:pPr>
      <w:r>
        <w:rPr>
          <w:rFonts w:ascii="Courier New" w:cs="Courier New" w:eastAsia="Courier New" w:hAnsi="Courier New"/>
          <w:sz w:val="14"/>
          <w:szCs w:val="14"/>
          <w:color w:val="auto"/>
        </w:rPr>
        <w:t>In the three months ended December 31, 2006, the Company made contributions of $744 to the pension plan and $113 for other benefits. The Company expects to make contributions for the fiscal year ending September 30, 2007 of approximately $1,700 to the pension plan and $200 for other benefits.</w:t>
      </w:r>
    </w:p>
    <w:p>
      <w:pPr>
        <w:spacing w:after="0" w:line="158" w:lineRule="exact"/>
        <w:rPr>
          <w:sz w:val="20"/>
          <w:szCs w:val="20"/>
          <w:color w:val="auto"/>
        </w:rPr>
      </w:pPr>
    </w:p>
    <w:p>
      <w:pPr>
        <w:ind w:left="529" w:hanging="529"/>
        <w:spacing w:after="0"/>
        <w:tabs>
          <w:tab w:leader="none" w:pos="52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AND INCENTIVE PLAN</w:t>
      </w:r>
    </w:p>
    <w:p>
      <w:pPr>
        <w:spacing w:after="0" w:line="174" w:lineRule="exact"/>
        <w:rPr>
          <w:sz w:val="20"/>
          <w:szCs w:val="20"/>
          <w:color w:val="auto"/>
        </w:rPr>
      </w:pPr>
    </w:p>
    <w:p>
      <w:pPr>
        <w:ind w:left="9" w:right="3119" w:firstLine="532"/>
        <w:spacing w:after="0"/>
        <w:rPr>
          <w:sz w:val="20"/>
          <w:szCs w:val="20"/>
          <w:color w:val="auto"/>
        </w:rPr>
      </w:pPr>
      <w:r>
        <w:rPr>
          <w:rFonts w:ascii="Courier New" w:cs="Courier New" w:eastAsia="Courier New" w:hAnsi="Courier New"/>
          <w:sz w:val="15"/>
          <w:szCs w:val="15"/>
          <w:color w:val="auto"/>
        </w:rPr>
        <w:t>In January 1998, the Company adopted the 1998 Stock Option and Incentive Plan (the "Plan"), which provides for the grant of restricted stock awards, stock options and other equity-based awards to employees, officers, directors and consultants. The purpose of the Plan is to enable the Company to attract and retain qualified personnel and to motivate such persons by providing them with an equity participation in the Company. Since its adoption, the Plan has been amended on several occasions to, among other things, increase the number of Ordinary Shares issuable under the Plan. In January 2006, the maximum number of Ordinary Shares authorized to be granted under the Plan was increased from 38,300 to 46,300. Awards granted under the Plan generally vest over a period of four years and stock options have a term of ten years. In the fourth quarter of fiscal 2005, the Company commenced routinely granting restricted shares and the Company's equity-based grant package may be comprised of restricted stock awards and a fewer number of stock options.</w:t>
      </w:r>
    </w:p>
    <w:p>
      <w:pPr>
        <w:spacing w:after="0" w:line="178"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8"/>
          </w:cols>
          <w:pgMar w:left="231" w:top="628" w:right="1440" w:bottom="1440" w:gutter="0" w:footer="0" w:header="0"/>
        </w:sectPr>
      </w:pPr>
    </w:p>
    <w:bookmarkStart w:id="14" w:name="page15"/>
    <w:bookmarkEnd w:id="14"/>
    <w:p>
      <w:pPr>
        <w:jc w:val="center"/>
        <w:ind w:right="3119"/>
        <w:spacing w:after="0"/>
        <w:rPr>
          <w:sz w:val="20"/>
          <w:szCs w:val="20"/>
          <w:color w:val="auto"/>
        </w:rPr>
      </w:pPr>
      <w:r>
        <w:rPr>
          <w:rFonts w:ascii="Courier New" w:cs="Courier New" w:eastAsia="Courier New" w:hAnsi="Courier New"/>
          <w:sz w:val="15"/>
          <w:szCs w:val="15"/>
          <w:color w:val="auto"/>
        </w:rPr>
        <w:t>AMDOCS LIMITED</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74" w:lineRule="exact"/>
        <w:rPr>
          <w:sz w:val="20"/>
          <w:szCs w:val="20"/>
          <w:color w:val="auto"/>
        </w:rPr>
      </w:pPr>
    </w:p>
    <w:p>
      <w:pPr>
        <w:ind w:right="3299" w:firstLine="532"/>
        <w:spacing w:after="0" w:line="239" w:lineRule="auto"/>
        <w:rPr>
          <w:sz w:val="20"/>
          <w:szCs w:val="20"/>
          <w:color w:val="auto"/>
        </w:rPr>
      </w:pPr>
      <w:r>
        <w:rPr>
          <w:rFonts w:ascii="Courier New" w:cs="Courier New" w:eastAsia="Courier New" w:hAnsi="Courier New"/>
          <w:sz w:val="15"/>
          <w:szCs w:val="15"/>
          <w:color w:val="auto"/>
        </w:rPr>
        <w:t>The following table summarizes information about options to purchase the Company's Ordinary Shares, as well as changes during the three month period ended December 31, 2006:</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WEIGHTED</w:t>
            </w:r>
          </w:p>
        </w:tc>
      </w:tr>
      <w:tr>
        <w:trPr>
          <w:trHeight w:val="171"/>
        </w:trPr>
        <w:tc>
          <w:tcPr>
            <w:tcW w:w="3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WEIGHTED</w:t>
            </w:r>
          </w:p>
        </w:tc>
        <w:tc>
          <w:tcPr>
            <w:tcW w:w="11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AVERAGE</w:t>
            </w:r>
          </w:p>
        </w:tc>
      </w:tr>
      <w:tr>
        <w:trPr>
          <w:trHeight w:val="171"/>
        </w:trPr>
        <w:tc>
          <w:tcPr>
            <w:tcW w:w="3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AVERAGE</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REMAINING</w:t>
            </w:r>
          </w:p>
        </w:tc>
      </w:tr>
      <w:tr>
        <w:trPr>
          <w:trHeight w:val="171"/>
        </w:trPr>
        <w:tc>
          <w:tcPr>
            <w:tcW w:w="3680" w:type="dxa"/>
            <w:vAlign w:val="bottom"/>
          </w:tcPr>
          <w:p>
            <w:pPr>
              <w:spacing w:after="0"/>
              <w:rPr>
                <w:sz w:val="14"/>
                <w:szCs w:val="14"/>
                <w:color w:val="auto"/>
              </w:rPr>
            </w:pPr>
          </w:p>
        </w:tc>
        <w:tc>
          <w:tcPr>
            <w:tcW w:w="1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NUMBER OF</w:t>
            </w:r>
          </w:p>
        </w:tc>
        <w:tc>
          <w:tcPr>
            <w:tcW w:w="9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EXERCISE</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CONTRACTUAL</w:t>
            </w:r>
          </w:p>
        </w:tc>
      </w:tr>
      <w:tr>
        <w:trPr>
          <w:trHeight w:val="171"/>
        </w:trPr>
        <w:tc>
          <w:tcPr>
            <w:tcW w:w="3680" w:type="dxa"/>
            <w:vAlign w:val="bottom"/>
          </w:tcPr>
          <w:p>
            <w:pPr>
              <w:spacing w:after="0"/>
              <w:rPr>
                <w:sz w:val="14"/>
                <w:szCs w:val="14"/>
                <w:color w:val="auto"/>
              </w:rPr>
            </w:pPr>
          </w:p>
        </w:tc>
        <w:tc>
          <w:tcPr>
            <w:tcW w:w="1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OPTIONS</w:t>
            </w:r>
          </w:p>
        </w:tc>
        <w:tc>
          <w:tcPr>
            <w:tcW w:w="18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3"/>
              </w:rPr>
              <w:t>PRICE</w:t>
            </w: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TERM</w:t>
            </w:r>
          </w:p>
        </w:tc>
      </w:tr>
      <w:tr>
        <w:trPr>
          <w:trHeight w:val="171"/>
        </w:trPr>
        <w:tc>
          <w:tcPr>
            <w:tcW w:w="3680" w:type="dxa"/>
            <w:vAlign w:val="bottom"/>
          </w:tcPr>
          <w:p>
            <w:pPr>
              <w:spacing w:after="0"/>
              <w:rPr>
                <w:sz w:val="14"/>
                <w:szCs w:val="14"/>
                <w:color w:val="auto"/>
              </w:rPr>
            </w:pPr>
          </w:p>
        </w:tc>
        <w:tc>
          <w:tcPr>
            <w:tcW w:w="1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680" w:type="dxa"/>
            <w:vAlign w:val="bottom"/>
          </w:tcPr>
          <w:p>
            <w:pPr>
              <w:spacing w:after="0"/>
              <w:rPr>
                <w:sz w:val="20"/>
                <w:szCs w:val="20"/>
                <w:color w:val="auto"/>
              </w:rPr>
            </w:pPr>
            <w:r>
              <w:rPr>
                <w:rFonts w:ascii="Courier New" w:cs="Courier New" w:eastAsia="Courier New" w:hAnsi="Courier New"/>
                <w:sz w:val="15"/>
                <w:szCs w:val="15"/>
                <w:color w:val="auto"/>
              </w:rPr>
              <w:t>Outstanding as of October 1, 2006</w:t>
            </w:r>
          </w:p>
        </w:tc>
        <w:tc>
          <w:tcPr>
            <w:tcW w:w="1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22,794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29.02</w:t>
            </w:r>
          </w:p>
        </w:tc>
        <w:tc>
          <w:tcPr>
            <w:tcW w:w="1100" w:type="dxa"/>
            <w:vAlign w:val="bottom"/>
          </w:tcPr>
          <w:p>
            <w:pPr>
              <w:spacing w:after="0"/>
              <w:rPr>
                <w:sz w:val="24"/>
                <w:szCs w:val="24"/>
                <w:color w:val="auto"/>
              </w:rPr>
            </w:pPr>
          </w:p>
        </w:tc>
      </w:tr>
      <w:tr>
        <w:trPr>
          <w:trHeight w:val="341"/>
        </w:trPr>
        <w:tc>
          <w:tcPr>
            <w:tcW w:w="368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882</w:t>
            </w:r>
          </w:p>
        </w:tc>
        <w:tc>
          <w:tcPr>
            <w:tcW w:w="180" w:type="dxa"/>
            <w:vAlign w:val="bottom"/>
          </w:tcPr>
          <w:p>
            <w:pPr>
              <w:spacing w:after="0"/>
              <w:rPr>
                <w:sz w:val="24"/>
                <w:szCs w:val="2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38.97</w:t>
            </w:r>
          </w:p>
        </w:tc>
        <w:tc>
          <w:tcPr>
            <w:tcW w:w="1100" w:type="dxa"/>
            <w:vAlign w:val="bottom"/>
          </w:tcPr>
          <w:p>
            <w:pPr>
              <w:spacing w:after="0"/>
              <w:rPr>
                <w:sz w:val="24"/>
                <w:szCs w:val="24"/>
                <w:color w:val="auto"/>
              </w:rPr>
            </w:pP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(804)</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19.28</w:t>
            </w:r>
          </w:p>
        </w:tc>
        <w:tc>
          <w:tcPr>
            <w:tcW w:w="1100" w:type="dxa"/>
            <w:vAlign w:val="bottom"/>
          </w:tcPr>
          <w:p>
            <w:pPr>
              <w:spacing w:after="0"/>
              <w:rPr>
                <w:sz w:val="14"/>
                <w:szCs w:val="14"/>
                <w:color w:val="auto"/>
              </w:rPr>
            </w:pP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(189)</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35.71</w:t>
            </w:r>
          </w:p>
        </w:tc>
        <w:tc>
          <w:tcPr>
            <w:tcW w:w="1100" w:type="dxa"/>
            <w:vAlign w:val="bottom"/>
          </w:tcPr>
          <w:p>
            <w:pPr>
              <w:spacing w:after="0"/>
              <w:rPr>
                <w:sz w:val="14"/>
                <w:szCs w:val="14"/>
                <w:color w:val="auto"/>
              </w:rPr>
            </w:pPr>
          </w:p>
        </w:tc>
      </w:tr>
      <w:tr>
        <w:trPr>
          <w:trHeight w:val="171"/>
        </w:trPr>
        <w:tc>
          <w:tcPr>
            <w:tcW w:w="3680" w:type="dxa"/>
            <w:vAlign w:val="bottom"/>
          </w:tcPr>
          <w:p>
            <w:pPr>
              <w:spacing w:after="0"/>
              <w:rPr>
                <w:sz w:val="14"/>
                <w:szCs w:val="14"/>
                <w:color w:val="auto"/>
              </w:rPr>
            </w:pPr>
          </w:p>
        </w:tc>
        <w:tc>
          <w:tcPr>
            <w:tcW w:w="1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Outstanding as of December 31, 2006</w:t>
            </w:r>
          </w:p>
        </w:tc>
        <w:tc>
          <w:tcPr>
            <w:tcW w:w="1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22,683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29.70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6.39</w:t>
            </w:r>
          </w:p>
        </w:tc>
      </w:tr>
      <w:tr>
        <w:trPr>
          <w:trHeight w:val="171"/>
        </w:trPr>
        <w:tc>
          <w:tcPr>
            <w:tcW w:w="3680" w:type="dxa"/>
            <w:vAlign w:val="bottom"/>
          </w:tcPr>
          <w:p>
            <w:pPr>
              <w:spacing w:after="0"/>
              <w:rPr>
                <w:sz w:val="14"/>
                <w:szCs w:val="14"/>
                <w:color w:val="auto"/>
              </w:rPr>
            </w:pPr>
          </w:p>
        </w:tc>
        <w:tc>
          <w:tcPr>
            <w:tcW w:w="1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680" w:type="dxa"/>
            <w:vAlign w:val="bottom"/>
          </w:tcPr>
          <w:p>
            <w:pPr>
              <w:spacing w:after="0"/>
              <w:rPr>
                <w:sz w:val="20"/>
                <w:szCs w:val="20"/>
                <w:color w:val="auto"/>
              </w:rPr>
            </w:pPr>
            <w:r>
              <w:rPr>
                <w:rFonts w:ascii="Courier New" w:cs="Courier New" w:eastAsia="Courier New" w:hAnsi="Courier New"/>
                <w:sz w:val="15"/>
                <w:szCs w:val="15"/>
                <w:color w:val="auto"/>
              </w:rPr>
              <w:t>Exercisable on December 31, 2006</w:t>
            </w:r>
          </w:p>
        </w:tc>
        <w:tc>
          <w:tcPr>
            <w:tcW w:w="1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14,100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30.68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5.05</w:t>
            </w:r>
          </w:p>
        </w:tc>
      </w:tr>
      <w:tr>
        <w:trPr>
          <w:trHeight w:val="171"/>
        </w:trPr>
        <w:tc>
          <w:tcPr>
            <w:tcW w:w="3680" w:type="dxa"/>
            <w:vAlign w:val="bottom"/>
          </w:tcPr>
          <w:p>
            <w:pPr>
              <w:spacing w:after="0"/>
              <w:rPr>
                <w:sz w:val="14"/>
                <w:szCs w:val="14"/>
                <w:color w:val="auto"/>
              </w:rPr>
            </w:pPr>
          </w:p>
        </w:tc>
        <w:tc>
          <w:tcPr>
            <w:tcW w:w="1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579" w:firstLine="532"/>
        <w:spacing w:after="0" w:line="239" w:lineRule="auto"/>
        <w:rPr>
          <w:sz w:val="20"/>
          <w:szCs w:val="20"/>
          <w:color w:val="auto"/>
        </w:rPr>
      </w:pPr>
      <w:r>
        <w:rPr>
          <w:rFonts w:ascii="Courier New" w:cs="Courier New" w:eastAsia="Courier New" w:hAnsi="Courier New"/>
          <w:sz w:val="15"/>
          <w:szCs w:val="15"/>
          <w:color w:val="auto"/>
        </w:rPr>
        <w:t>The following table summarizes information relating to awards of restricted shares, as well as changes to such awards during the three month period ended on December 31, 2006:</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WEIGHTED</w:t>
            </w:r>
          </w:p>
        </w:tc>
      </w:tr>
      <w:tr>
        <w:trPr>
          <w:trHeight w:val="171"/>
        </w:trPr>
        <w:tc>
          <w:tcPr>
            <w:tcW w:w="4740" w:type="dxa"/>
            <w:vAlign w:val="bottom"/>
          </w:tcPr>
          <w:p>
            <w:pPr>
              <w:spacing w:after="0"/>
              <w:rPr>
                <w:sz w:val="14"/>
                <w:szCs w:val="14"/>
                <w:color w:val="auto"/>
              </w:rPr>
            </w:pPr>
          </w:p>
        </w:tc>
        <w:tc>
          <w:tcPr>
            <w:tcW w:w="19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NUMBER OF</w:t>
            </w:r>
          </w:p>
        </w:tc>
        <w:tc>
          <w:tcPr>
            <w:tcW w:w="220" w:type="dxa"/>
            <w:vAlign w:val="bottom"/>
          </w:tcPr>
          <w:p>
            <w:pPr>
              <w:spacing w:after="0"/>
              <w:rPr>
                <w:sz w:val="14"/>
                <w:szCs w:val="14"/>
                <w:color w:val="auto"/>
              </w:rPr>
            </w:pP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AVERAGE GRANT</w:t>
            </w:r>
          </w:p>
        </w:tc>
      </w:tr>
      <w:tr>
        <w:trPr>
          <w:trHeight w:val="171"/>
        </w:trPr>
        <w:tc>
          <w:tcPr>
            <w:tcW w:w="4740" w:type="dxa"/>
            <w:vAlign w:val="bottom"/>
          </w:tcPr>
          <w:p>
            <w:pPr>
              <w:spacing w:after="0"/>
              <w:rPr>
                <w:sz w:val="14"/>
                <w:szCs w:val="14"/>
                <w:color w:val="auto"/>
              </w:rPr>
            </w:pPr>
          </w:p>
        </w:tc>
        <w:tc>
          <w:tcPr>
            <w:tcW w:w="196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SHARES</w:t>
            </w:r>
          </w:p>
        </w:tc>
        <w:tc>
          <w:tcPr>
            <w:tcW w:w="146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7"/>
              </w:rPr>
              <w:t>DATE FAIR VALUE</w:t>
            </w:r>
          </w:p>
        </w:tc>
      </w:tr>
      <w:tr>
        <w:trPr>
          <w:trHeight w:val="171"/>
        </w:trPr>
        <w:tc>
          <w:tcPr>
            <w:tcW w:w="4740" w:type="dxa"/>
            <w:vAlign w:val="bottom"/>
          </w:tcPr>
          <w:p>
            <w:pPr>
              <w:spacing w:after="0"/>
              <w:rPr>
                <w:sz w:val="14"/>
                <w:szCs w:val="14"/>
                <w:color w:val="auto"/>
              </w:rPr>
            </w:pPr>
          </w:p>
        </w:tc>
        <w:tc>
          <w:tcPr>
            <w:tcW w:w="19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740" w:type="dxa"/>
            <w:vAlign w:val="bottom"/>
          </w:tcPr>
          <w:p>
            <w:pPr>
              <w:spacing w:after="0"/>
              <w:rPr>
                <w:sz w:val="20"/>
                <w:szCs w:val="20"/>
                <w:color w:val="auto"/>
              </w:rPr>
            </w:pPr>
            <w:r>
              <w:rPr>
                <w:rFonts w:ascii="Courier New" w:cs="Courier New" w:eastAsia="Courier New" w:hAnsi="Courier New"/>
                <w:sz w:val="15"/>
                <w:szCs w:val="15"/>
                <w:color w:val="auto"/>
              </w:rPr>
              <w:t>Outstanding unvested shares as of October 1, 2006</w:t>
            </w:r>
          </w:p>
        </w:tc>
        <w:tc>
          <w:tcPr>
            <w:tcW w:w="19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780</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32.89</w:t>
            </w:r>
          </w:p>
        </w:tc>
      </w:tr>
      <w:tr>
        <w:trPr>
          <w:trHeight w:val="341"/>
        </w:trPr>
        <w:tc>
          <w:tcPr>
            <w:tcW w:w="474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9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126</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38.94</w:t>
            </w: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rPr>
              <w:t>Vested</w:t>
            </w:r>
          </w:p>
        </w:tc>
        <w:tc>
          <w:tcPr>
            <w:tcW w:w="19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(82)</w:t>
            </w: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29.16</w:t>
            </w: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9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w:t>
            </w: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40.69</w:t>
            </w:r>
          </w:p>
        </w:tc>
      </w:tr>
      <w:tr>
        <w:trPr>
          <w:trHeight w:val="171"/>
        </w:trPr>
        <w:tc>
          <w:tcPr>
            <w:tcW w:w="4740" w:type="dxa"/>
            <w:vAlign w:val="bottom"/>
          </w:tcPr>
          <w:p>
            <w:pPr>
              <w:spacing w:after="0"/>
              <w:rPr>
                <w:sz w:val="14"/>
                <w:szCs w:val="14"/>
                <w:color w:val="auto"/>
              </w:rPr>
            </w:pPr>
          </w:p>
        </w:tc>
        <w:tc>
          <w:tcPr>
            <w:tcW w:w="19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rPr>
              <w:t>Outstanding unvested shares as of</w:t>
            </w: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rPr>
              <w:t>December 31, 2006</w:t>
            </w:r>
          </w:p>
        </w:tc>
        <w:tc>
          <w:tcPr>
            <w:tcW w:w="19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819</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34.15</w:t>
            </w:r>
          </w:p>
        </w:tc>
      </w:tr>
      <w:tr>
        <w:trPr>
          <w:trHeight w:val="171"/>
        </w:trPr>
        <w:tc>
          <w:tcPr>
            <w:tcW w:w="4740" w:type="dxa"/>
            <w:vAlign w:val="bottom"/>
          </w:tcPr>
          <w:p>
            <w:pPr>
              <w:spacing w:after="0"/>
              <w:rPr>
                <w:sz w:val="14"/>
                <w:szCs w:val="14"/>
                <w:color w:val="auto"/>
              </w:rPr>
            </w:pPr>
          </w:p>
        </w:tc>
        <w:tc>
          <w:tcPr>
            <w:tcW w:w="19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532"/>
        <w:spacing w:after="0" w:line="261" w:lineRule="auto"/>
        <w:rPr>
          <w:sz w:val="20"/>
          <w:szCs w:val="20"/>
          <w:color w:val="auto"/>
        </w:rPr>
      </w:pPr>
      <w:r>
        <w:rPr>
          <w:rFonts w:ascii="Courier New" w:cs="Courier New" w:eastAsia="Courier New" w:hAnsi="Courier New"/>
          <w:sz w:val="14"/>
          <w:szCs w:val="14"/>
          <w:color w:val="auto"/>
        </w:rPr>
        <w:t>As of December 31, 2006, there was $62,554 of unrecognized compensation expense related to unvested stock options and unvested restricted stock awards. The Company recognizes compensation costs using the graded vesting attribution method which results in a weighted average period of approximately one year over which the unrecognized compensation expense is expected to be recognized.</w:t>
      </w:r>
    </w:p>
    <w:p>
      <w:pPr>
        <w:spacing w:after="0" w:line="162" w:lineRule="exact"/>
        <w:rPr>
          <w:sz w:val="20"/>
          <w:szCs w:val="20"/>
          <w:color w:val="auto"/>
        </w:rPr>
      </w:pPr>
    </w:p>
    <w:p>
      <w:pPr>
        <w:ind w:right="3299" w:firstLine="532"/>
        <w:spacing w:after="0" w:line="239" w:lineRule="auto"/>
        <w:rPr>
          <w:sz w:val="20"/>
          <w:szCs w:val="20"/>
          <w:color w:val="auto"/>
        </w:rPr>
      </w:pPr>
      <w:r>
        <w:rPr>
          <w:rFonts w:ascii="Courier New" w:cs="Courier New" w:eastAsia="Courier New" w:hAnsi="Courier New"/>
          <w:sz w:val="15"/>
          <w:szCs w:val="15"/>
          <w:color w:val="auto"/>
        </w:rPr>
        <w:t>On October 1, 2005, the Company adopted FASB Statement No. 123 (revised 2004), "Share-Based Payment," a revision of SFAS No. 123 ("SFAS 123(R)"). SFAS 123(R) requires all equity-based payments to employees, including grants of employee stock options, to be recognized in the income</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28" w:right="1440" w:bottom="1440" w:gutter="0" w:footer="0" w:header="0"/>
        </w:sectPr>
      </w:pPr>
    </w:p>
    <w:bookmarkStart w:id="15" w:name="page16"/>
    <w:bookmarkEnd w:id="15"/>
    <w:p>
      <w:pPr>
        <w:jc w:val="center"/>
        <w:ind w:right="3130"/>
        <w:spacing w:after="0"/>
        <w:rPr>
          <w:sz w:val="20"/>
          <w:szCs w:val="20"/>
          <w:color w:val="auto"/>
        </w:rPr>
      </w:pPr>
      <w:r>
        <w:rPr>
          <w:rFonts w:ascii="Courier New" w:cs="Courier New" w:eastAsia="Courier New" w:hAnsi="Courier New"/>
          <w:sz w:val="15"/>
          <w:szCs w:val="15"/>
          <w:color w:val="auto"/>
        </w:rPr>
        <w:t>AMDOCS LIMITED</w:t>
      </w:r>
    </w:p>
    <w:p>
      <w:pPr>
        <w:spacing w:after="0" w:line="1" w:lineRule="exact"/>
        <w:rPr>
          <w:sz w:val="20"/>
          <w:szCs w:val="20"/>
          <w:color w:val="auto"/>
        </w:rPr>
      </w:pPr>
    </w:p>
    <w:p>
      <w:pPr>
        <w:jc w:val="center"/>
        <w:ind w:right="3130"/>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7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74" w:lineRule="exact"/>
        <w:rPr>
          <w:sz w:val="20"/>
          <w:szCs w:val="20"/>
          <w:color w:val="auto"/>
        </w:rPr>
      </w:pPr>
    </w:p>
    <w:p>
      <w:pPr>
        <w:ind w:left="9" w:right="3299"/>
        <w:spacing w:after="0" w:line="239" w:lineRule="auto"/>
        <w:rPr>
          <w:sz w:val="20"/>
          <w:szCs w:val="20"/>
          <w:color w:val="auto"/>
        </w:rPr>
      </w:pPr>
      <w:r>
        <w:rPr>
          <w:rFonts w:ascii="Courier New" w:cs="Courier New" w:eastAsia="Courier New" w:hAnsi="Courier New"/>
          <w:sz w:val="15"/>
          <w:szCs w:val="15"/>
          <w:color w:val="auto"/>
        </w:rPr>
        <w:t>statement based on their fair values. In March 2005, the SEC issued Staff Accounting Bulletin No. 107 ("SAB 107"), which provides supplemental implementation guidance on SFAS 123(R). The Company has applied the provisions of SAB 107 in its adoption of SFAS 123(R).</w:t>
      </w:r>
    </w:p>
    <w:p>
      <w:pPr>
        <w:spacing w:after="0" w:line="176" w:lineRule="exact"/>
        <w:rPr>
          <w:sz w:val="20"/>
          <w:szCs w:val="20"/>
          <w:color w:val="auto"/>
        </w:rPr>
      </w:pPr>
    </w:p>
    <w:p>
      <w:pPr>
        <w:ind w:left="9" w:right="3299" w:firstLine="532"/>
        <w:spacing w:after="0" w:line="238" w:lineRule="auto"/>
        <w:rPr>
          <w:sz w:val="20"/>
          <w:szCs w:val="20"/>
          <w:color w:val="auto"/>
        </w:rPr>
      </w:pPr>
      <w:r>
        <w:rPr>
          <w:rFonts w:ascii="Courier New" w:cs="Courier New" w:eastAsia="Courier New" w:hAnsi="Courier New"/>
          <w:sz w:val="15"/>
          <w:szCs w:val="15"/>
          <w:color w:val="auto"/>
        </w:rPr>
        <w:t>Employee equity-based compensation pre-tax expense under SFAS 123(R) for the three months ended December 31, 2006 and 2005 was as follows: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3680" w:type="dxa"/>
            <w:vAlign w:val="bottom"/>
          </w:tcPr>
          <w:p>
            <w:pPr>
              <w:spacing w:after="0"/>
              <w:rPr>
                <w:sz w:val="14"/>
                <w:szCs w:val="14"/>
                <w:color w:val="auto"/>
              </w:rPr>
            </w:pPr>
          </w:p>
        </w:tc>
        <w:tc>
          <w:tcPr>
            <w:tcW w:w="306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DECEMBER 31,</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DECEMBER 31,</w:t>
            </w:r>
          </w:p>
        </w:tc>
      </w:tr>
      <w:tr>
        <w:trPr>
          <w:trHeight w:val="171"/>
        </w:trPr>
        <w:tc>
          <w:tcPr>
            <w:tcW w:w="3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rPr>
              <w:t>2006</w:t>
            </w:r>
          </w:p>
        </w:tc>
        <w:tc>
          <w:tcPr>
            <w:tcW w:w="18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2005</w:t>
            </w:r>
          </w:p>
        </w:tc>
      </w:tr>
      <w:tr>
        <w:trPr>
          <w:trHeight w:val="171"/>
        </w:trPr>
        <w:tc>
          <w:tcPr>
            <w:tcW w:w="3680" w:type="dxa"/>
            <w:vAlign w:val="bottom"/>
          </w:tcPr>
          <w:p>
            <w:pPr>
              <w:spacing w:after="0"/>
              <w:rPr>
                <w:sz w:val="14"/>
                <w:szCs w:val="14"/>
                <w:color w:val="auto"/>
              </w:rPr>
            </w:pPr>
          </w:p>
        </w:tc>
        <w:tc>
          <w:tcPr>
            <w:tcW w:w="18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680" w:type="dxa"/>
            <w:vAlign w:val="bottom"/>
          </w:tcPr>
          <w:p>
            <w:pPr>
              <w:spacing w:after="0"/>
              <w:rPr>
                <w:sz w:val="20"/>
                <w:szCs w:val="20"/>
                <w:color w:val="auto"/>
              </w:rPr>
            </w:pPr>
            <w:r>
              <w:rPr>
                <w:rFonts w:ascii="Courier New" w:cs="Courier New" w:eastAsia="Courier New" w:hAnsi="Courier New"/>
                <w:sz w:val="15"/>
                <w:szCs w:val="15"/>
                <w:color w:val="auto"/>
              </w:rPr>
              <w:t>Cost of service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6,322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4,355</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66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1,778</w:t>
            </w:r>
          </w:p>
        </w:tc>
        <w:tc>
          <w:tcPr>
            <w:tcW w:w="1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1,089</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66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7,225</w:t>
            </w:r>
          </w:p>
        </w:tc>
        <w:tc>
          <w:tcPr>
            <w:tcW w:w="1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5,616</w:t>
            </w:r>
          </w:p>
        </w:tc>
      </w:tr>
      <w:tr>
        <w:trPr>
          <w:trHeight w:val="171"/>
        </w:trPr>
        <w:tc>
          <w:tcPr>
            <w:tcW w:w="3680" w:type="dxa"/>
            <w:vAlign w:val="bottom"/>
          </w:tcPr>
          <w:p>
            <w:pPr>
              <w:spacing w:after="0"/>
              <w:rPr>
                <w:sz w:val="14"/>
                <w:szCs w:val="14"/>
                <w:color w:val="auto"/>
              </w:rPr>
            </w:pPr>
          </w:p>
        </w:tc>
        <w:tc>
          <w:tcPr>
            <w:tcW w:w="18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15,325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11,060</w:t>
            </w:r>
          </w:p>
        </w:tc>
      </w:tr>
    </w:tbl>
    <w:p>
      <w:pPr>
        <w:spacing w:after="0" w:line="345" w:lineRule="exact"/>
        <w:rPr>
          <w:sz w:val="20"/>
          <w:szCs w:val="20"/>
          <w:color w:val="auto"/>
        </w:rPr>
      </w:pPr>
    </w:p>
    <w:p>
      <w:pPr>
        <w:ind w:left="9" w:right="3579" w:firstLine="532"/>
        <w:spacing w:after="0" w:line="264" w:lineRule="auto"/>
        <w:rPr>
          <w:sz w:val="20"/>
          <w:szCs w:val="20"/>
          <w:color w:val="auto"/>
        </w:rPr>
      </w:pPr>
      <w:r>
        <w:rPr>
          <w:rFonts w:ascii="Courier New" w:cs="Courier New" w:eastAsia="Courier New" w:hAnsi="Courier New"/>
          <w:sz w:val="14"/>
          <w:szCs w:val="14"/>
          <w:color w:val="auto"/>
        </w:rPr>
        <w:t>The total income tax benefit recognized in the income statement for stock-based compensation (including restricted shares) for the three months ended December 31, 2006 and 2005 was $2,392 and $1,403, respectively.</w:t>
      </w:r>
    </w:p>
    <w:p>
      <w:pPr>
        <w:spacing w:after="0" w:line="159" w:lineRule="exact"/>
        <w:rPr>
          <w:sz w:val="20"/>
          <w:szCs w:val="20"/>
          <w:color w:val="auto"/>
        </w:rPr>
      </w:pPr>
    </w:p>
    <w:p>
      <w:pPr>
        <w:ind w:left="9" w:right="3299" w:firstLine="532"/>
        <w:spacing w:after="0" w:line="261" w:lineRule="auto"/>
        <w:rPr>
          <w:sz w:val="20"/>
          <w:szCs w:val="20"/>
          <w:color w:val="auto"/>
        </w:rPr>
      </w:pPr>
      <w:r>
        <w:rPr>
          <w:rFonts w:ascii="Courier New" w:cs="Courier New" w:eastAsia="Courier New" w:hAnsi="Courier New"/>
          <w:sz w:val="14"/>
          <w:szCs w:val="14"/>
          <w:color w:val="auto"/>
        </w:rPr>
        <w:t>The Company selected the Black-Scholes option pricing model as the most appropriate fair value method for its equity-based awards and recognizes compensation costs using the graded vesting attribution method. The Black-Scholes option pricing model assumptions used are noted in the following table (all in weighted averages for options granted during the period):</w:t>
      </w:r>
    </w:p>
    <w:p>
      <w:pPr>
        <w:spacing w:after="0" w:line="200" w:lineRule="exact"/>
        <w:rPr>
          <w:sz w:val="20"/>
          <w:szCs w:val="20"/>
          <w:color w:val="auto"/>
        </w:rPr>
      </w:pPr>
    </w:p>
    <w:p>
      <w:pPr>
        <w:spacing w:after="0" w:line="30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w w:val="99"/>
              </w:rPr>
              <w:t>THREE MONTHS ENDED</w:t>
            </w:r>
          </w:p>
        </w:tc>
        <w:tc>
          <w:tcPr>
            <w:tcW w:w="50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DECEMBER 31,</w:t>
            </w:r>
          </w:p>
        </w:tc>
        <w:tc>
          <w:tcPr>
            <w:tcW w:w="50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312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c>
          <w:tcPr>
            <w:tcW w:w="50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1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620" w:type="dxa"/>
            <w:vAlign w:val="bottom"/>
          </w:tcPr>
          <w:p>
            <w:pPr>
              <w:spacing w:after="0"/>
              <w:rPr>
                <w:sz w:val="20"/>
                <w:szCs w:val="20"/>
                <w:color w:val="auto"/>
              </w:rPr>
            </w:pPr>
            <w:r>
              <w:rPr>
                <w:rFonts w:ascii="Courier New" w:cs="Courier New" w:eastAsia="Courier New" w:hAnsi="Courier New"/>
                <w:sz w:val="15"/>
                <w:szCs w:val="15"/>
                <w:color w:val="auto"/>
              </w:rPr>
              <w:t>Risk-free interest rate (1)</w:t>
            </w:r>
          </w:p>
        </w:tc>
        <w:tc>
          <w:tcPr>
            <w:tcW w:w="980" w:type="dxa"/>
            <w:vAlign w:val="bottom"/>
          </w:tcPr>
          <w:p>
            <w:pPr>
              <w:spacing w:after="0"/>
              <w:rPr>
                <w:sz w:val="24"/>
                <w:szCs w:val="2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4.46%</w:t>
            </w:r>
          </w:p>
        </w:tc>
        <w:tc>
          <w:tcPr>
            <w:tcW w:w="7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4.45%</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Expected life of stock options (2)</w:t>
            </w:r>
          </w:p>
        </w:tc>
        <w:tc>
          <w:tcPr>
            <w:tcW w:w="98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4.36</w:t>
            </w:r>
          </w:p>
        </w:tc>
        <w:tc>
          <w:tcPr>
            <w:tcW w:w="740" w:type="dxa"/>
            <w:vAlign w:val="bottom"/>
          </w:tcPr>
          <w:p>
            <w:pPr>
              <w:spacing w:after="0"/>
              <w:rPr>
                <w:sz w:val="14"/>
                <w:szCs w:val="14"/>
                <w:color w:val="auto"/>
              </w:rPr>
            </w:pP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4.50</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Expected volatility (3)</w:t>
            </w:r>
          </w:p>
        </w:tc>
        <w:tc>
          <w:tcPr>
            <w:tcW w:w="98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0.33</w:t>
            </w:r>
          </w:p>
        </w:tc>
        <w:tc>
          <w:tcPr>
            <w:tcW w:w="740" w:type="dxa"/>
            <w:vAlign w:val="bottom"/>
          </w:tcPr>
          <w:p>
            <w:pPr>
              <w:spacing w:after="0"/>
              <w:rPr>
                <w:sz w:val="14"/>
                <w:szCs w:val="14"/>
                <w:color w:val="auto"/>
              </w:rPr>
            </w:pP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0.35</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Expected dividend yield (4)</w:t>
            </w:r>
          </w:p>
        </w:tc>
        <w:tc>
          <w:tcPr>
            <w:tcW w:w="980" w:type="dxa"/>
            <w:vAlign w:val="bottom"/>
          </w:tcPr>
          <w:p>
            <w:pPr>
              <w:spacing w:after="0"/>
              <w:rPr>
                <w:sz w:val="14"/>
                <w:szCs w:val="14"/>
                <w:color w:val="auto"/>
              </w:rPr>
            </w:pPr>
          </w:p>
        </w:tc>
        <w:tc>
          <w:tcPr>
            <w:tcW w:w="900" w:type="dxa"/>
            <w:vAlign w:val="bottom"/>
          </w:tcPr>
          <w:p>
            <w:pPr>
              <w:ind w:left="360"/>
              <w:spacing w:after="0"/>
              <w:rPr>
                <w:sz w:val="20"/>
                <w:szCs w:val="20"/>
                <w:color w:val="auto"/>
              </w:rPr>
            </w:pPr>
            <w:r>
              <w:rPr>
                <w:rFonts w:ascii="Courier New" w:cs="Courier New" w:eastAsia="Courier New" w:hAnsi="Courier New"/>
                <w:sz w:val="15"/>
                <w:szCs w:val="15"/>
                <w:color w:val="auto"/>
              </w:rPr>
              <w:t>None</w:t>
            </w:r>
          </w:p>
        </w:tc>
        <w:tc>
          <w:tcPr>
            <w:tcW w:w="740" w:type="dxa"/>
            <w:vAlign w:val="bottom"/>
          </w:tcPr>
          <w:p>
            <w:pPr>
              <w:spacing w:after="0"/>
              <w:rPr>
                <w:sz w:val="14"/>
                <w:szCs w:val="14"/>
                <w:color w:val="auto"/>
              </w:rPr>
            </w:pP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None</w:t>
            </w:r>
          </w:p>
        </w:tc>
      </w:tr>
      <w:tr>
        <w:trPr>
          <w:trHeight w:val="341"/>
        </w:trPr>
        <w:tc>
          <w:tcPr>
            <w:tcW w:w="3620" w:type="dxa"/>
            <w:vAlign w:val="bottom"/>
          </w:tcPr>
          <w:p>
            <w:pPr>
              <w:spacing w:after="0"/>
              <w:rPr>
                <w:sz w:val="20"/>
                <w:szCs w:val="20"/>
                <w:color w:val="auto"/>
              </w:rPr>
            </w:pPr>
            <w:r>
              <w:rPr>
                <w:rFonts w:ascii="Courier New" w:cs="Courier New" w:eastAsia="Courier New" w:hAnsi="Courier New"/>
                <w:sz w:val="15"/>
                <w:szCs w:val="15"/>
                <w:color w:val="auto"/>
              </w:rPr>
              <w:t>Fair value per option</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13.14</w:t>
            </w:r>
          </w:p>
        </w:tc>
        <w:tc>
          <w:tcPr>
            <w:tcW w:w="74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9.69</w:t>
            </w:r>
          </w:p>
        </w:tc>
      </w:tr>
    </w:tbl>
    <w:p>
      <w:pPr>
        <w:spacing w:after="0" w:line="345" w:lineRule="exact"/>
        <w:rPr>
          <w:sz w:val="20"/>
          <w:szCs w:val="20"/>
          <w:color w:val="auto"/>
        </w:rPr>
      </w:pPr>
    </w:p>
    <w:p>
      <w:pPr>
        <w:ind w:left="529" w:right="3919" w:hanging="529"/>
        <w:spacing w:after="0" w:line="271" w:lineRule="auto"/>
        <w:tabs>
          <w:tab w:leader="none" w:pos="529"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Risk-free interest rate is based upon U.S. Treasury yield curve appropriate for the term of the Company's employee stock options.</w:t>
      </w:r>
    </w:p>
    <w:p>
      <w:pPr>
        <w:spacing w:after="0" w:line="151" w:lineRule="exact"/>
        <w:rPr>
          <w:rFonts w:ascii="Courier New" w:cs="Courier New" w:eastAsia="Courier New" w:hAnsi="Courier New"/>
          <w:sz w:val="14"/>
          <w:szCs w:val="14"/>
          <w:color w:val="auto"/>
        </w:rPr>
      </w:pPr>
    </w:p>
    <w:p>
      <w:pPr>
        <w:ind w:left="529" w:hanging="529"/>
        <w:spacing w:after="0"/>
        <w:tabs>
          <w:tab w:leader="none" w:pos="52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Expected life of stock options is based upon historical experience.</w:t>
      </w:r>
    </w:p>
    <w:p>
      <w:pPr>
        <w:spacing w:after="0" w:line="174" w:lineRule="exact"/>
        <w:rPr>
          <w:rFonts w:ascii="Courier New" w:cs="Courier New" w:eastAsia="Courier New" w:hAnsi="Courier New"/>
          <w:sz w:val="15"/>
          <w:szCs w:val="15"/>
          <w:color w:val="auto"/>
        </w:rPr>
      </w:pPr>
    </w:p>
    <w:p>
      <w:pPr>
        <w:ind w:left="529" w:right="3219" w:hanging="529"/>
        <w:spacing w:after="0"/>
        <w:tabs>
          <w:tab w:leader="none" w:pos="52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Expected volatility for the three months ended December 31, 2006 and 2005 is based on a combination of implied volatility of the Company's traded options and historical stock price volatility ("blended volatility"). The selection of the blended volatility approach was based upon the availability of traded options on the Company's shares and the Company's assessment that blended volatility is more representative of future share price trends than historical volatility.</w:t>
      </w:r>
    </w:p>
    <w:p>
      <w:pPr>
        <w:spacing w:after="0" w:line="175" w:lineRule="exact"/>
        <w:rPr>
          <w:rFonts w:ascii="Courier New" w:cs="Courier New" w:eastAsia="Courier New" w:hAnsi="Courier New"/>
          <w:sz w:val="15"/>
          <w:szCs w:val="15"/>
          <w:color w:val="auto"/>
        </w:rPr>
      </w:pPr>
    </w:p>
    <w:p>
      <w:pPr>
        <w:ind w:left="529" w:right="3659" w:hanging="529"/>
        <w:spacing w:after="0" w:line="238" w:lineRule="auto"/>
        <w:tabs>
          <w:tab w:leader="none" w:pos="52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Expected dividend yield is based on the Company's history and future expectation of dividend payouts.</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8"/>
          </w:cols>
          <w:pgMar w:left="231" w:top="628" w:right="1440" w:bottom="1440" w:gutter="0" w:footer="0" w:header="0"/>
        </w:sectPr>
      </w:pPr>
    </w:p>
    <w:bookmarkStart w:id="16" w:name="page17"/>
    <w:bookmarkEnd w:id="16"/>
    <w:p>
      <w:pPr>
        <w:jc w:val="center"/>
        <w:ind w:right="3110"/>
        <w:spacing w:after="0"/>
        <w:rPr>
          <w:sz w:val="20"/>
          <w:szCs w:val="20"/>
          <w:color w:val="auto"/>
        </w:rPr>
      </w:pPr>
      <w:r>
        <w:rPr>
          <w:rFonts w:ascii="Courier New" w:cs="Courier New" w:eastAsia="Courier New" w:hAnsi="Courier New"/>
          <w:sz w:val="15"/>
          <w:szCs w:val="15"/>
          <w:color w:val="auto"/>
        </w:rPr>
        <w:t>AMDOCS LIMITED</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7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74" w:lineRule="exact"/>
        <w:rPr>
          <w:sz w:val="20"/>
          <w:szCs w:val="20"/>
          <w:color w:val="auto"/>
        </w:rPr>
      </w:pPr>
    </w:p>
    <w:p>
      <w:pPr>
        <w:ind w:left="9" w:right="3759" w:firstLine="1065"/>
        <w:spacing w:after="0" w:line="239" w:lineRule="auto"/>
        <w:rPr>
          <w:sz w:val="20"/>
          <w:szCs w:val="20"/>
          <w:color w:val="auto"/>
        </w:rPr>
      </w:pPr>
      <w:r>
        <w:rPr>
          <w:rFonts w:ascii="Courier New" w:cs="Courier New" w:eastAsia="Courier New" w:hAnsi="Courier New"/>
          <w:sz w:val="15"/>
          <w:szCs w:val="15"/>
          <w:color w:val="auto"/>
        </w:rPr>
        <w:t>Equity-based compensation recognized is reduced for estimated forfeitures and revised, if necessary, in subsequent periods if actual forfeitures differ from those estimates.</w:t>
      </w:r>
    </w:p>
    <w:p>
      <w:pPr>
        <w:spacing w:after="0" w:line="172" w:lineRule="exact"/>
        <w:rPr>
          <w:sz w:val="20"/>
          <w:szCs w:val="20"/>
          <w:color w:val="auto"/>
        </w:rPr>
      </w:pPr>
    </w:p>
    <w:p>
      <w:pPr>
        <w:ind w:left="529" w:hanging="529"/>
        <w:spacing w:after="0"/>
        <w:tabs>
          <w:tab w:leader="none" w:pos="52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71" w:lineRule="exact"/>
        <w:rPr>
          <w:sz w:val="20"/>
          <w:szCs w:val="20"/>
          <w:color w:val="auto"/>
        </w:rPr>
      </w:pPr>
    </w:p>
    <w:p>
      <w:pPr>
        <w:ind w:left="1069"/>
        <w:spacing w:after="0"/>
        <w:rPr>
          <w:sz w:val="20"/>
          <w:szCs w:val="20"/>
          <w:color w:val="auto"/>
        </w:rPr>
      </w:pPr>
      <w:r>
        <w:rPr>
          <w:rFonts w:ascii="Courier New" w:cs="Courier New" w:eastAsia="Courier New" w:hAnsi="Courier New"/>
          <w:sz w:val="15"/>
          <w:szCs w:val="15"/>
          <w:color w:val="auto"/>
        </w:rPr>
        <w:t>Legal Proceedings</w:t>
      </w:r>
    </w:p>
    <w:p>
      <w:pPr>
        <w:spacing w:after="0" w:line="174" w:lineRule="exact"/>
        <w:rPr>
          <w:sz w:val="20"/>
          <w:szCs w:val="20"/>
          <w:color w:val="auto"/>
        </w:rPr>
      </w:pPr>
    </w:p>
    <w:p>
      <w:pPr>
        <w:ind w:left="9" w:right="3219" w:firstLine="1065"/>
        <w:spacing w:after="0"/>
        <w:rPr>
          <w:sz w:val="20"/>
          <w:szCs w:val="20"/>
          <w:color w:val="auto"/>
        </w:rPr>
      </w:pPr>
      <w:r>
        <w:rPr>
          <w:rFonts w:ascii="Courier New" w:cs="Courier New" w:eastAsia="Courier New" w:hAnsi="Courier New"/>
          <w:sz w:val="15"/>
          <w:szCs w:val="15"/>
          <w:color w:val="auto"/>
        </w:rPr>
        <w:t>The Company is involved in various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174" w:lineRule="exact"/>
        <w:rPr>
          <w:sz w:val="20"/>
          <w:szCs w:val="20"/>
          <w:color w:val="auto"/>
        </w:rPr>
      </w:pPr>
    </w:p>
    <w:p>
      <w:pPr>
        <w:ind w:left="9" w:right="3119" w:firstLine="1065"/>
        <w:spacing w:after="0"/>
        <w:rPr>
          <w:sz w:val="20"/>
          <w:szCs w:val="20"/>
          <w:color w:val="auto"/>
        </w:rPr>
      </w:pPr>
      <w:r>
        <w:rPr>
          <w:rFonts w:ascii="Courier New" w:cs="Courier New" w:eastAsia="Courier New" w:hAnsi="Courier New"/>
          <w:sz w:val="15"/>
          <w:szCs w:val="15"/>
          <w:color w:val="auto"/>
        </w:rPr>
        <w:t>The Company generally sells its products with a limited warranty for a period of 90 days. The Company's policy is to account for warranty costs, if needed, based on historical trends in product failure. Based on the Company's experience, only minimal warranty services have been required and, as a result, the Company did not accrue any amounts for product warranty liability during the three months ended December 31, 2006 and 2005.</w:t>
      </w:r>
    </w:p>
    <w:p>
      <w:pPr>
        <w:spacing w:after="0" w:line="175" w:lineRule="exact"/>
        <w:rPr>
          <w:sz w:val="20"/>
          <w:szCs w:val="20"/>
          <w:color w:val="auto"/>
        </w:rPr>
      </w:pPr>
    </w:p>
    <w:p>
      <w:pPr>
        <w:ind w:left="9" w:right="3119" w:firstLine="1065"/>
        <w:spacing w:after="0"/>
        <w:rPr>
          <w:sz w:val="20"/>
          <w:szCs w:val="20"/>
          <w:color w:val="auto"/>
        </w:rPr>
      </w:pPr>
      <w:r>
        <w:rPr>
          <w:rFonts w:ascii="Courier New" w:cs="Courier New" w:eastAsia="Courier New" w:hAnsi="Courier New"/>
          <w:sz w:val="15"/>
          <w:szCs w:val="15"/>
          <w:color w:val="auto"/>
        </w:rPr>
        <w:t>The Company generally indemnifies its customers against claims of intellectual property infringement made by third parties arising from the use of the Company's software. To date, the Company has incurred only minimal costs as a result of such obligations and has not accrued any liabilities related to such indemnification in its consolidated financial statements.</w:t>
      </w:r>
    </w:p>
    <w:p>
      <w:pPr>
        <w:spacing w:after="0" w:line="172" w:lineRule="exact"/>
        <w:rPr>
          <w:sz w:val="20"/>
          <w:szCs w:val="20"/>
          <w:color w:val="auto"/>
        </w:rPr>
      </w:pPr>
    </w:p>
    <w:p>
      <w:pPr>
        <w:ind w:left="529" w:hanging="529"/>
        <w:spacing w:after="0"/>
        <w:tabs>
          <w:tab w:leader="none" w:pos="52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w:t>
      </w:r>
    </w:p>
    <w:p>
      <w:pPr>
        <w:spacing w:after="0" w:line="174" w:lineRule="exact"/>
        <w:rPr>
          <w:sz w:val="20"/>
          <w:szCs w:val="20"/>
          <w:color w:val="auto"/>
        </w:rPr>
      </w:pPr>
    </w:p>
    <w:p>
      <w:pPr>
        <w:ind w:left="9" w:right="3119" w:firstLine="1065"/>
        <w:spacing w:after="0"/>
        <w:rPr>
          <w:sz w:val="20"/>
          <w:szCs w:val="20"/>
          <w:color w:val="auto"/>
        </w:rPr>
      </w:pPr>
      <w:r>
        <w:rPr>
          <w:rFonts w:ascii="Courier New" w:cs="Courier New" w:eastAsia="Courier New" w:hAnsi="Courier New"/>
          <w:sz w:val="15"/>
          <w:szCs w:val="15"/>
          <w:color w:val="auto"/>
        </w:rPr>
        <w:t>On January 3, 2007, the Company signed an agreement to acquire SigValue Technologies, Inc. ("SigValue"), a provider of an integrated billing, customer care, and service control platform designed for telecommunications service providers in high-growth emerging markets around the world, where the customer base is predominantly composed of mobile pre-paid subscribers. Prior to the acquisition the Company owned 14% of SigValue's outstanding capital stock. Under the terms of the agreement, the Company will acquire all of SigValue's remaining share capital for approximately $54,000 in cash, net of cash on hand. The Company expects to complete this acquisition during the second quarter of fiscal 2007, subject to regulatory approvals and other conditions customary to such transactions. The Company expects that this acquisition will expand its offering for the fast growing emerging markets.</w:t>
      </w:r>
    </w:p>
    <w:p>
      <w:pPr>
        <w:spacing w:after="0" w:line="177"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8"/>
          </w:cols>
          <w:pgMar w:left="231" w:top="628" w:right="1440" w:bottom="1440" w:gutter="0" w:footer="0" w:header="0"/>
        </w:sectPr>
      </w:pPr>
    </w:p>
    <w:bookmarkStart w:id="17" w:name="page18"/>
    <w:bookmarkEnd w:id="17"/>
    <w:p>
      <w:pPr>
        <w:spacing w:after="0"/>
        <w:tabs>
          <w:tab w:leader="none" w:pos="500" w:val="left"/>
        </w:tabs>
        <w:rPr>
          <w:sz w:val="20"/>
          <w:szCs w:val="20"/>
          <w:color w:val="auto"/>
        </w:rPr>
      </w:pPr>
      <w:r>
        <w:rPr>
          <w:rFonts w:ascii="Courier New" w:cs="Courier New" w:eastAsia="Courier New" w:hAnsi="Courier New"/>
          <w:sz w:val="15"/>
          <w:szCs w:val="15"/>
          <w:color w:val="auto"/>
        </w:rPr>
        <w:t>ITEM</w:t>
      </w:r>
      <w:r>
        <w:rPr>
          <w:sz w:val="20"/>
          <w:szCs w:val="20"/>
          <w:color w:val="auto"/>
        </w:rPr>
        <w:tab/>
      </w:r>
      <w:r>
        <w:rPr>
          <w:rFonts w:ascii="Courier New" w:cs="Courier New" w:eastAsia="Courier New" w:hAnsi="Courier New"/>
          <w:sz w:val="14"/>
          <w:szCs w:val="14"/>
          <w:color w:val="auto"/>
        </w:rPr>
        <w:t>2. OPERATING AND FINANCIAL REVIEW AND PROSPECTS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 LOOKING STATEMENTS</w:t>
      </w:r>
    </w:p>
    <w:p>
      <w:pPr>
        <w:spacing w:after="0" w:line="174" w:lineRule="exact"/>
        <w:rPr>
          <w:sz w:val="20"/>
          <w:szCs w:val="20"/>
          <w:color w:val="auto"/>
        </w:rPr>
      </w:pPr>
    </w:p>
    <w:p>
      <w:pPr>
        <w:ind w:right="3119" w:firstLine="887"/>
        <w:spacing w:after="0" w:line="259" w:lineRule="auto"/>
        <w:rPr>
          <w:sz w:val="20"/>
          <w:szCs w:val="20"/>
          <w:color w:val="auto"/>
        </w:rPr>
      </w:pPr>
      <w:r>
        <w:rPr>
          <w:rFonts w:ascii="Courier New" w:cs="Courier New" w:eastAsia="Courier New" w:hAnsi="Courier New"/>
          <w:sz w:val="14"/>
          <w:szCs w:val="14"/>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163"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2006 that we filed on December 13, 2006 with the United States Securities and Exchange Commission ("SEC").</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4" w:lineRule="exact"/>
        <w:rPr>
          <w:sz w:val="20"/>
          <w:szCs w:val="20"/>
          <w:color w:val="auto"/>
        </w:rPr>
      </w:pPr>
    </w:p>
    <w:p>
      <w:pPr>
        <w:ind w:right="3399" w:firstLine="887"/>
        <w:spacing w:after="0" w:line="271" w:lineRule="auto"/>
        <w:rPr>
          <w:sz w:val="20"/>
          <w:szCs w:val="20"/>
          <w:color w:val="auto"/>
        </w:rPr>
      </w:pPr>
      <w:r>
        <w:rPr>
          <w:rFonts w:ascii="Courier New" w:cs="Courier New" w:eastAsia="Courier New" w:hAnsi="Courier New"/>
          <w:sz w:val="14"/>
          <w:szCs w:val="14"/>
          <w:color w:val="auto"/>
        </w:rPr>
        <w:t>In this section, we discuss the general financial condition and the results of operations for Amdocs Limited and its subsidiaries including:</w:t>
      </w:r>
    </w:p>
    <w:p>
      <w:pPr>
        <w:spacing w:after="0" w:line="151" w:lineRule="exact"/>
        <w:rPr>
          <w:sz w:val="20"/>
          <w:szCs w:val="20"/>
          <w:color w:val="auto"/>
        </w:rPr>
      </w:pPr>
    </w:p>
    <w:p>
      <w:pPr>
        <w:ind w:left="880" w:hanging="534"/>
        <w:spacing w:after="0"/>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factors that affect our business,</w:t>
      </w:r>
    </w:p>
    <w:p>
      <w:pPr>
        <w:spacing w:after="0" w:line="174" w:lineRule="exact"/>
        <w:rPr>
          <w:rFonts w:ascii="Courier New" w:cs="Courier New" w:eastAsia="Courier New" w:hAnsi="Courier New"/>
          <w:sz w:val="15"/>
          <w:szCs w:val="15"/>
          <w:color w:val="auto"/>
        </w:rPr>
      </w:pPr>
    </w:p>
    <w:p>
      <w:pPr>
        <w:ind w:left="880" w:right="3479" w:hanging="534"/>
        <w:spacing w:after="0" w:line="238"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revenue and costs for the three months ended December 31, 2006 and 2005,</w:t>
      </w:r>
    </w:p>
    <w:p>
      <w:pPr>
        <w:spacing w:after="0" w:line="174" w:lineRule="exact"/>
        <w:rPr>
          <w:rFonts w:ascii="Courier New" w:cs="Courier New" w:eastAsia="Courier New" w:hAnsi="Courier New"/>
          <w:sz w:val="15"/>
          <w:szCs w:val="15"/>
          <w:color w:val="auto"/>
        </w:rPr>
      </w:pPr>
    </w:p>
    <w:p>
      <w:pPr>
        <w:ind w:left="880" w:right="3299" w:hanging="534"/>
        <w:spacing w:after="0" w:line="238"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reasons why such revenue and costs were different from period to period,</w:t>
      </w:r>
    </w:p>
    <w:p>
      <w:pPr>
        <w:spacing w:after="0" w:line="172" w:lineRule="exact"/>
        <w:rPr>
          <w:rFonts w:ascii="Courier New" w:cs="Courier New" w:eastAsia="Courier New" w:hAnsi="Courier New"/>
          <w:sz w:val="15"/>
          <w:szCs w:val="15"/>
          <w:color w:val="auto"/>
        </w:rPr>
      </w:pPr>
    </w:p>
    <w:p>
      <w:pPr>
        <w:ind w:left="880" w:hanging="534"/>
        <w:spacing w:after="0"/>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revenue,</w:t>
      </w:r>
    </w:p>
    <w:p>
      <w:pPr>
        <w:spacing w:after="0" w:line="171" w:lineRule="exact"/>
        <w:rPr>
          <w:rFonts w:ascii="Courier New" w:cs="Courier New" w:eastAsia="Courier New" w:hAnsi="Courier New"/>
          <w:sz w:val="15"/>
          <w:szCs w:val="15"/>
          <w:color w:val="auto"/>
        </w:rPr>
      </w:pPr>
    </w:p>
    <w:p>
      <w:pPr>
        <w:ind w:left="880" w:hanging="534"/>
        <w:spacing w:after="0"/>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all of this affects our overall financial condition,</w:t>
      </w:r>
    </w:p>
    <w:p>
      <w:pPr>
        <w:spacing w:after="0" w:line="174" w:lineRule="exact"/>
        <w:rPr>
          <w:rFonts w:ascii="Courier New" w:cs="Courier New" w:eastAsia="Courier New" w:hAnsi="Courier New"/>
          <w:sz w:val="15"/>
          <w:szCs w:val="15"/>
          <w:color w:val="auto"/>
        </w:rPr>
      </w:pPr>
    </w:p>
    <w:p>
      <w:pPr>
        <w:ind w:left="880" w:right="3219" w:hanging="534"/>
        <w:spacing w:after="0" w:line="238"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capital expenditures for the three months ended December 31, 2006 and 2005,</w:t>
      </w:r>
    </w:p>
    <w:p>
      <w:pPr>
        <w:spacing w:after="0" w:line="174" w:lineRule="exact"/>
        <w:rPr>
          <w:rFonts w:ascii="Courier New" w:cs="Courier New" w:eastAsia="Courier New" w:hAnsi="Courier New"/>
          <w:sz w:val="15"/>
          <w:szCs w:val="15"/>
          <w:color w:val="auto"/>
        </w:rPr>
      </w:pPr>
    </w:p>
    <w:p>
      <w:pPr>
        <w:ind w:left="880" w:right="4099" w:hanging="534"/>
        <w:spacing w:after="0" w:line="238"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changes in our business, including those resulting from acquisitions of other businesses, and</w:t>
      </w:r>
    </w:p>
    <w:p>
      <w:pPr>
        <w:spacing w:after="0" w:line="174" w:lineRule="exact"/>
        <w:rPr>
          <w:rFonts w:ascii="Courier New" w:cs="Courier New" w:eastAsia="Courier New" w:hAnsi="Courier New"/>
          <w:sz w:val="15"/>
          <w:szCs w:val="15"/>
          <w:color w:val="auto"/>
        </w:rPr>
      </w:pPr>
    </w:p>
    <w:p>
      <w:pPr>
        <w:ind w:left="880" w:right="3479" w:hanging="534"/>
        <w:spacing w:after="0" w:line="238"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cash to pay for future capital expenditures and possible acquisitions.</w:t>
      </w:r>
    </w:p>
    <w:p>
      <w:pPr>
        <w:spacing w:after="0" w:line="175"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In this section, we also analyze and explain the changes in the specific line items in our consolidated statements of income between the three months ended December 31, 2006 and 2005. You should read this section in conjunction with our consolidated financial statements.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28"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OVERVIEW OF BUSINESS AND TREND INFORMATION</w:t>
      </w:r>
    </w:p>
    <w:p>
      <w:pPr>
        <w:spacing w:after="0" w:line="174" w:lineRule="exact"/>
        <w:rPr>
          <w:sz w:val="20"/>
          <w:szCs w:val="20"/>
          <w:color w:val="auto"/>
        </w:rPr>
      </w:pPr>
    </w:p>
    <w:p>
      <w:pPr>
        <w:ind w:right="3299" w:firstLine="1065"/>
        <w:spacing w:after="0" w:line="271" w:lineRule="auto"/>
        <w:rPr>
          <w:sz w:val="20"/>
          <w:szCs w:val="20"/>
          <w:color w:val="auto"/>
        </w:rPr>
      </w:pPr>
      <w:r>
        <w:rPr>
          <w:rFonts w:ascii="Courier New" w:cs="Courier New" w:eastAsia="Courier New" w:hAnsi="Courier New"/>
          <w:sz w:val="14"/>
          <w:szCs w:val="14"/>
          <w:color w:val="auto"/>
        </w:rPr>
        <w:t>Consolidation in the communications industry is continuing, and competition among incumbent and new entrant service providers is intensifying.</w:t>
      </w:r>
    </w:p>
    <w:p>
      <w:pPr>
        <w:spacing w:after="0" w:line="154" w:lineRule="exact"/>
        <w:rPr>
          <w:sz w:val="20"/>
          <w:szCs w:val="20"/>
          <w:color w:val="auto"/>
        </w:rPr>
      </w:pPr>
    </w:p>
    <w:p>
      <w:pPr>
        <w:ind w:right="3119" w:firstLine="1065"/>
        <w:spacing w:after="0"/>
        <w:rPr>
          <w:sz w:val="20"/>
          <w:szCs w:val="20"/>
          <w:color w:val="auto"/>
        </w:rPr>
      </w:pPr>
      <w:r>
        <w:rPr>
          <w:rFonts w:ascii="Courier New" w:cs="Courier New" w:eastAsia="Courier New" w:hAnsi="Courier New"/>
          <w:sz w:val="15"/>
          <w:szCs w:val="15"/>
          <w:color w:val="auto"/>
        </w:rPr>
        <w:t>At the same time, convergence is accelerating, with consumers expecting continuous access to next-generation, bundled voice, data and video services through any device. We believe service providers are responding to this challenge and are seeking to develop new revenue streams that take advantage of ubiquitous connectivity and convergence.</w:t>
      </w:r>
    </w:p>
    <w:p>
      <w:pPr>
        <w:spacing w:after="0" w:line="174" w:lineRule="exact"/>
        <w:rPr>
          <w:sz w:val="20"/>
          <w:szCs w:val="20"/>
          <w:color w:val="auto"/>
        </w:rPr>
      </w:pPr>
    </w:p>
    <w:p>
      <w:pPr>
        <w:ind w:right="3119" w:firstLine="1065"/>
        <w:spacing w:after="0"/>
        <w:rPr>
          <w:sz w:val="20"/>
          <w:szCs w:val="20"/>
          <w:color w:val="auto"/>
        </w:rPr>
      </w:pPr>
      <w:r>
        <w:rPr>
          <w:rFonts w:ascii="Courier New" w:cs="Courier New" w:eastAsia="Courier New" w:hAnsi="Courier New"/>
          <w:sz w:val="15"/>
          <w:szCs w:val="15"/>
          <w:color w:val="auto"/>
        </w:rPr>
        <w:t>In this changing environment, we believe service providers will succeed if they differentiate themselves by delivering a customer experience that is simple, personal, and valuable at every point of service. We believe this will require service providers to adopt the strategy of integrated customer management, or ICM.</w:t>
      </w:r>
    </w:p>
    <w:p>
      <w:pPr>
        <w:spacing w:after="0" w:line="174" w:lineRule="exact"/>
        <w:rPr>
          <w:sz w:val="20"/>
          <w:szCs w:val="20"/>
          <w:color w:val="auto"/>
        </w:rPr>
      </w:pPr>
    </w:p>
    <w:p>
      <w:pPr>
        <w:ind w:right="3299" w:firstLine="1065"/>
        <w:spacing w:after="0" w:line="239" w:lineRule="auto"/>
        <w:rPr>
          <w:sz w:val="20"/>
          <w:szCs w:val="20"/>
          <w:color w:val="auto"/>
        </w:rPr>
      </w:pPr>
      <w:r>
        <w:rPr>
          <w:rFonts w:ascii="Courier New" w:cs="Courier New" w:eastAsia="Courier New" w:hAnsi="Courier New"/>
          <w:sz w:val="15"/>
          <w:szCs w:val="15"/>
          <w:color w:val="auto"/>
        </w:rPr>
        <w:t>We refer to Amdocs systems as ICM-Enabling Systems because they allow many of the world's leading service providers to deliver an intentional, integrated and innovative customer experience:</w:t>
      </w:r>
    </w:p>
    <w:p>
      <w:pPr>
        <w:spacing w:after="0" w:line="175" w:lineRule="exact"/>
        <w:rPr>
          <w:sz w:val="20"/>
          <w:szCs w:val="20"/>
          <w:color w:val="auto"/>
        </w:rPr>
      </w:pPr>
    </w:p>
    <w:p>
      <w:pPr>
        <w:ind w:left="1580" w:right="3919" w:hanging="347"/>
        <w:spacing w:after="0" w:line="271" w:lineRule="auto"/>
        <w:tabs>
          <w:tab w:leader="none" w:pos="15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intentional experience by offering consistency and simplicity across any device, channel or network;</w:t>
      </w:r>
    </w:p>
    <w:p>
      <w:pPr>
        <w:spacing w:after="0" w:line="153" w:lineRule="exact"/>
        <w:rPr>
          <w:rFonts w:ascii="Courier New" w:cs="Courier New" w:eastAsia="Courier New" w:hAnsi="Courier New"/>
          <w:sz w:val="14"/>
          <w:szCs w:val="14"/>
          <w:color w:val="auto"/>
        </w:rPr>
      </w:pPr>
    </w:p>
    <w:p>
      <w:pPr>
        <w:ind w:left="1580" w:right="3119" w:hanging="347"/>
        <w:spacing w:after="0" w:line="264" w:lineRule="auto"/>
        <w:tabs>
          <w:tab w:leader="none" w:pos="15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integrated experience by providing integrated business and operational service support, maximizing operational excellence for a total cost of service advantage for service providers;</w:t>
      </w:r>
    </w:p>
    <w:p>
      <w:pPr>
        <w:spacing w:after="0" w:line="159" w:lineRule="exact"/>
        <w:rPr>
          <w:rFonts w:ascii="Courier New" w:cs="Courier New" w:eastAsia="Courier New" w:hAnsi="Courier New"/>
          <w:sz w:val="14"/>
          <w:szCs w:val="14"/>
          <w:color w:val="auto"/>
        </w:rPr>
      </w:pPr>
    </w:p>
    <w:p>
      <w:pPr>
        <w:ind w:left="1580" w:right="3219" w:hanging="347"/>
        <w:spacing w:after="0" w:line="239" w:lineRule="auto"/>
        <w:tabs>
          <w:tab w:leader="none" w:pos="15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innovative experience by supporting sophisticated multi-play, internet protocol (IP) and digital content services for a unique time-to-leadership advantage.</w:t>
      </w:r>
    </w:p>
    <w:p>
      <w:pPr>
        <w:spacing w:after="0" w:line="175" w:lineRule="exact"/>
        <w:rPr>
          <w:sz w:val="20"/>
          <w:szCs w:val="20"/>
          <w:color w:val="auto"/>
        </w:rPr>
      </w:pPr>
    </w:p>
    <w:p>
      <w:pPr>
        <w:ind w:right="3219" w:firstLine="1065"/>
        <w:spacing w:after="0" w:line="239" w:lineRule="auto"/>
        <w:rPr>
          <w:sz w:val="20"/>
          <w:szCs w:val="20"/>
          <w:color w:val="auto"/>
        </w:rPr>
      </w:pPr>
      <w:r>
        <w:rPr>
          <w:rFonts w:ascii="Courier New" w:cs="Courier New" w:eastAsia="Courier New" w:hAnsi="Courier New"/>
          <w:sz w:val="15"/>
          <w:szCs w:val="15"/>
          <w:color w:val="auto"/>
        </w:rPr>
        <w:t>We provide software, services and industry expertise to help our customers execute ICM strategies and achieve service, operational and financial excellence.</w:t>
      </w:r>
    </w:p>
    <w:p>
      <w:pPr>
        <w:spacing w:after="0" w:line="175" w:lineRule="exact"/>
        <w:rPr>
          <w:sz w:val="20"/>
          <w:szCs w:val="20"/>
          <w:color w:val="auto"/>
        </w:rPr>
      </w:pPr>
    </w:p>
    <w:p>
      <w:pPr>
        <w:ind w:right="3119" w:firstLine="1065"/>
        <w:spacing w:after="0"/>
        <w:rPr>
          <w:sz w:val="20"/>
          <w:szCs w:val="20"/>
          <w:color w:val="auto"/>
        </w:rPr>
      </w:pPr>
      <w:r>
        <w:rPr>
          <w:rFonts w:ascii="Courier New" w:cs="Courier New" w:eastAsia="Courier New" w:hAnsi="Courier New"/>
          <w:sz w:val="15"/>
          <w:szCs w:val="15"/>
          <w:color w:val="auto"/>
        </w:rPr>
        <w:t>Our market focus is primarily tier one and tier two companies in the communications industry, including leading wireline and wireless telecommunications, broadband cable and satellite companies. In fiscal 2006, we acquired Qpass Inc. and Cramer Systems Group Limited - which we refer to as Qpass and Cramer - to further enhance our portfolio of products offerings, provide a complete end-to-end offering (combined business support and operations support systems, or BSS/OSS) and meet the growing demand for the delivery of next-generation services.</w:t>
      </w:r>
    </w:p>
    <w:p>
      <w:pPr>
        <w:spacing w:after="0" w:line="177" w:lineRule="exact"/>
        <w:rPr>
          <w:sz w:val="20"/>
          <w:szCs w:val="20"/>
          <w:color w:val="auto"/>
        </w:rPr>
      </w:pPr>
    </w:p>
    <w:p>
      <w:pPr>
        <w:ind w:right="3399" w:firstLine="1065"/>
        <w:spacing w:after="0" w:line="261" w:lineRule="auto"/>
        <w:rPr>
          <w:sz w:val="20"/>
          <w:szCs w:val="20"/>
          <w:color w:val="auto"/>
        </w:rPr>
      </w:pPr>
      <w:r>
        <w:rPr>
          <w:rFonts w:ascii="Courier New" w:cs="Courier New" w:eastAsia="Courier New" w:hAnsi="Courier New"/>
          <w:sz w:val="14"/>
          <w:szCs w:val="14"/>
          <w:color w:val="auto"/>
        </w:rPr>
        <w:t>We believe that the digital content space promises to be a key growth area. Our acquisition of Qpass allows us to offer a broader set of solutions to service providers and media companies seeking to launch and monetize new IP-based services and content. With this acquisition, we believe that Amdocs is now well positioned to be the leader in this emerging market.</w:t>
      </w:r>
    </w:p>
    <w:p>
      <w:pPr>
        <w:spacing w:after="0" w:line="162" w:lineRule="exact"/>
        <w:rPr>
          <w:sz w:val="20"/>
          <w:szCs w:val="20"/>
          <w:color w:val="auto"/>
        </w:rPr>
      </w:pPr>
    </w:p>
    <w:p>
      <w:pPr>
        <w:ind w:right="3219" w:firstLine="1065"/>
        <w:spacing w:after="0" w:line="260" w:lineRule="auto"/>
        <w:rPr>
          <w:sz w:val="20"/>
          <w:szCs w:val="20"/>
          <w:color w:val="auto"/>
        </w:rPr>
      </w:pPr>
      <w:r>
        <w:rPr>
          <w:rFonts w:ascii="Courier New" w:cs="Courier New" w:eastAsia="Courier New" w:hAnsi="Courier New"/>
          <w:sz w:val="14"/>
          <w:szCs w:val="14"/>
          <w:color w:val="auto"/>
        </w:rPr>
        <w:t>We also have strengthened our presence in the OSS area by acquiring Cramer, a leading provider of OSS solutions. It is critical for service providers to automate and integrate the BSS and OSS business processes in order to offer provisioning, immediate activation and service assurance. We believe that this acquisition will enable us to offer service providers the ability to integrate those business processes and, as a result, rapidly introduce new offerings, significantly reduce cost of operations and focus on customers.</w:t>
      </w:r>
    </w:p>
    <w:p>
      <w:pPr>
        <w:spacing w:after="0" w:line="163" w:lineRule="exact"/>
        <w:rPr>
          <w:sz w:val="20"/>
          <w:szCs w:val="20"/>
          <w:color w:val="auto"/>
        </w:rPr>
      </w:pPr>
    </w:p>
    <w:p>
      <w:pPr>
        <w:ind w:right="3219" w:firstLine="1065"/>
        <w:spacing w:after="0" w:line="259" w:lineRule="auto"/>
        <w:rPr>
          <w:sz w:val="20"/>
          <w:szCs w:val="20"/>
          <w:color w:val="auto"/>
        </w:rPr>
      </w:pPr>
      <w:r>
        <w:rPr>
          <w:rFonts w:ascii="Courier New" w:cs="Courier New" w:eastAsia="Courier New" w:hAnsi="Courier New"/>
          <w:sz w:val="14"/>
          <w:szCs w:val="14"/>
          <w:color w:val="auto"/>
        </w:rPr>
        <w:t>We operate in a challenging and changing environment. We believe service providers are responding to the challenges they face by seeking to develop new revenue streams that take advantage of ubiquitous connectivity and convergence. Although the pace at which service providers are embarking on transformation projects is not at the same pace as we expected, we continue to regard these projects as a long-term industry trend that will continue to drive the demand for our ICM-Enabling Systems. We estimate that the increasing need for our customers to achieve integrated customer management, and our ability to address this demand, will continue to drive our growth in fiscal year 2007.</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28"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OFFERINGS</w:t>
      </w:r>
    </w:p>
    <w:p>
      <w:pPr>
        <w:spacing w:after="0" w:line="174" w:lineRule="exact"/>
        <w:rPr>
          <w:sz w:val="20"/>
          <w:szCs w:val="20"/>
          <w:color w:val="auto"/>
        </w:rPr>
      </w:pPr>
    </w:p>
    <w:p>
      <w:pPr>
        <w:ind w:right="3219" w:firstLine="1065"/>
        <w:spacing w:after="0"/>
        <w:rPr>
          <w:sz w:val="20"/>
          <w:szCs w:val="20"/>
          <w:color w:val="auto"/>
        </w:rPr>
      </w:pPr>
      <w:r>
        <w:rPr>
          <w:rFonts w:ascii="Courier New" w:cs="Courier New" w:eastAsia="Courier New" w:hAnsi="Courier New"/>
          <w:sz w:val="15"/>
          <w:szCs w:val="15"/>
          <w:color w:val="auto"/>
        </w:rPr>
        <w:t>Amdocs provides a broad portfolio of integrated, modular software products, with proven functionality and scalability, accompanied by a comprehensive range of business consulting, system implementation and integration services. Our portfolio of product offerings includes revenue management (including billing, mediation and partner settlement), customer management (including ordering, customer relationship management, or CRM and self-service), service and resource management (including planning, fulfillment and customer-centric assurance) and digital commerce management (including content revenue management). We refer to these offerings collectively as ICM Enabling Systems.</w:t>
      </w:r>
    </w:p>
    <w:p>
      <w:pPr>
        <w:spacing w:after="0" w:line="178" w:lineRule="exact"/>
        <w:rPr>
          <w:sz w:val="20"/>
          <w:szCs w:val="20"/>
          <w:color w:val="auto"/>
        </w:rPr>
      </w:pPr>
    </w:p>
    <w:p>
      <w:pPr>
        <w:ind w:right="3299" w:firstLine="1065"/>
        <w:spacing w:after="0" w:line="239" w:lineRule="auto"/>
        <w:rPr>
          <w:sz w:val="20"/>
          <w:szCs w:val="20"/>
          <w:color w:val="auto"/>
        </w:rPr>
      </w:pPr>
      <w:r>
        <w:rPr>
          <w:rFonts w:ascii="Courier New" w:cs="Courier New" w:eastAsia="Courier New" w:hAnsi="Courier New"/>
          <w:sz w:val="15"/>
          <w:szCs w:val="15"/>
          <w:color w:val="auto"/>
        </w:rPr>
        <w:t>Our portfolio also includes a full range of directory sales and publishing systems, which we refer to as Directory Systems, for publishers of both traditional printed yellow page and white page directories and electronic Internet directories.</w:t>
      </w:r>
    </w:p>
    <w:p>
      <w:pPr>
        <w:spacing w:after="0" w:line="176" w:lineRule="exact"/>
        <w:rPr>
          <w:sz w:val="20"/>
          <w:szCs w:val="20"/>
          <w:color w:val="auto"/>
        </w:rPr>
      </w:pPr>
    </w:p>
    <w:p>
      <w:pPr>
        <w:ind w:right="3119" w:firstLine="1065"/>
        <w:spacing w:after="0"/>
        <w:rPr>
          <w:sz w:val="20"/>
          <w:szCs w:val="20"/>
          <w:color w:val="auto"/>
        </w:rPr>
      </w:pPr>
      <w:r>
        <w:rPr>
          <w:rFonts w:ascii="Courier New" w:cs="Courier New" w:eastAsia="Courier New" w:hAnsi="Courier New"/>
          <w:sz w:val="15"/>
          <w:szCs w:val="15"/>
          <w:color w:val="auto"/>
        </w:rPr>
        <w:t>We have designed the Amdocs ICM Enabling Systems to meet the mission-critical needs of leading communications service providers throughout the entire customer lifecycle. We support different lines of business, including wireline, wireless, cable and satellite, and a wide range of communications services, including voice, video, data, IP, broadband, content, electronic and mobile commerce. We also support companies that offer multiple service packages, commonly referred to as bundled or convergent service packages. Due to the complexity of our customers' projects and the expertise required for systems support, we also provide information technology, or IT, services, including extensive consulting, business strategy, system implementation, training, integration, modification, ongoing support, enhancement and maintenance services. In addition, we offer Managed Services, which include services such as system modernization and consolidation, the operation of data centers, ongoing support, maintenance services, system modification, the provision of rating and billing services and communications facility management services. All IT and Managed Services are provided to our customers on a fixed or unit charge basis or a combination of the two.</w:t>
      </w:r>
    </w:p>
    <w:p>
      <w:pPr>
        <w:spacing w:after="0" w:line="183" w:lineRule="exact"/>
        <w:rPr>
          <w:sz w:val="20"/>
          <w:szCs w:val="20"/>
          <w:color w:val="auto"/>
        </w:rPr>
      </w:pPr>
    </w:p>
    <w:p>
      <w:pPr>
        <w:ind w:right="3119" w:firstLine="1065"/>
        <w:spacing w:after="0" w:line="239" w:lineRule="auto"/>
        <w:rPr>
          <w:sz w:val="20"/>
          <w:szCs w:val="20"/>
          <w:color w:val="auto"/>
        </w:rPr>
      </w:pPr>
      <w:r>
        <w:rPr>
          <w:rFonts w:ascii="Courier New" w:cs="Courier New" w:eastAsia="Courier New" w:hAnsi="Courier New"/>
          <w:sz w:val="15"/>
          <w:szCs w:val="15"/>
          <w:color w:val="auto"/>
        </w:rPr>
        <w:t>We are also leveraging our experience by working with service providers in the financial services sector, because some of the challenges faced by companies in this sector are similar to those encountered by communications service providers.</w:t>
      </w:r>
    </w:p>
    <w:p>
      <w:pPr>
        <w:spacing w:after="0" w:line="176" w:lineRule="exact"/>
        <w:rPr>
          <w:sz w:val="20"/>
          <w:szCs w:val="20"/>
          <w:color w:val="auto"/>
        </w:rPr>
      </w:pPr>
    </w:p>
    <w:p>
      <w:pPr>
        <w:ind w:right="3119" w:firstLine="1065"/>
        <w:spacing w:after="0" w:line="239" w:lineRule="auto"/>
        <w:rPr>
          <w:sz w:val="20"/>
          <w:szCs w:val="20"/>
          <w:color w:val="auto"/>
        </w:rPr>
      </w:pPr>
      <w:r>
        <w:rPr>
          <w:rFonts w:ascii="Courier New" w:cs="Courier New" w:eastAsia="Courier New" w:hAnsi="Courier New"/>
          <w:sz w:val="15"/>
          <w:szCs w:val="15"/>
          <w:color w:val="auto"/>
        </w:rPr>
        <w:t>We conduct our business globally, and, as a result we are subject to the effects of global economic conditions and, in particular, market conditions in the communications industry. We maintain development facilities in Canada, China, Cyprus, India, Ireland, Israel and the United States.</w:t>
      </w:r>
    </w:p>
    <w:p>
      <w:pPr>
        <w:spacing w:after="0" w:line="176" w:lineRule="exact"/>
        <w:rPr>
          <w:sz w:val="20"/>
          <w:szCs w:val="20"/>
          <w:color w:val="auto"/>
        </w:rPr>
      </w:pPr>
    </w:p>
    <w:p>
      <w:pPr>
        <w:ind w:right="3479" w:firstLine="1065"/>
        <w:spacing w:after="0" w:line="238" w:lineRule="auto"/>
        <w:rPr>
          <w:sz w:val="20"/>
          <w:szCs w:val="20"/>
          <w:color w:val="auto"/>
        </w:rPr>
      </w:pPr>
      <w:r>
        <w:rPr>
          <w:rFonts w:ascii="Courier New" w:cs="Courier New" w:eastAsia="Courier New" w:hAnsi="Courier New"/>
          <w:sz w:val="15"/>
          <w:szCs w:val="15"/>
          <w:color w:val="auto"/>
        </w:rPr>
        <w:t>We believe that demand for our ICM Enabling Systems is primarily driven by the following key factors:</w:t>
      </w:r>
    </w:p>
    <w:p>
      <w:pPr>
        <w:spacing w:after="0" w:line="172" w:lineRule="exact"/>
        <w:rPr>
          <w:sz w:val="20"/>
          <w:szCs w:val="20"/>
          <w:color w:val="auto"/>
        </w:rPr>
      </w:pPr>
    </w:p>
    <w:p>
      <w:pPr>
        <w:ind w:left="1060" w:hanging="537"/>
        <w:spacing w:after="0"/>
        <w:tabs>
          <w:tab w:leader="none" w:pos="10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Industry transformation, including:</w:t>
      </w:r>
    </w:p>
    <w:p>
      <w:pPr>
        <w:spacing w:after="0" w:line="171" w:lineRule="exact"/>
        <w:rPr>
          <w:rFonts w:ascii="Courier New" w:cs="Courier New" w:eastAsia="Courier New" w:hAnsi="Courier New"/>
          <w:sz w:val="15"/>
          <w:szCs w:val="15"/>
          <w:color w:val="auto"/>
        </w:rPr>
      </w:pPr>
    </w:p>
    <w:p>
      <w:pPr>
        <w:ind w:left="1580" w:hanging="347"/>
        <w:spacing w:after="0"/>
        <w:tabs>
          <w:tab w:leader="none" w:pos="158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global use of communications and content services,</w:t>
      </w:r>
    </w:p>
    <w:p>
      <w:pPr>
        <w:spacing w:after="0" w:line="171" w:lineRule="exact"/>
        <w:rPr>
          <w:rFonts w:ascii="Courier New" w:cs="Courier New" w:eastAsia="Courier New" w:hAnsi="Courier New"/>
          <w:sz w:val="15"/>
          <w:szCs w:val="15"/>
          <w:color w:val="auto"/>
        </w:rPr>
      </w:pPr>
    </w:p>
    <w:p>
      <w:pPr>
        <w:ind w:left="1580" w:hanging="347"/>
        <w:spacing w:after="0"/>
        <w:tabs>
          <w:tab w:leader="none" w:pos="158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in digital and mobile commerce,</w:t>
      </w:r>
    </w:p>
    <w:p>
      <w:pPr>
        <w:spacing w:after="0" w:line="171" w:lineRule="exact"/>
        <w:rPr>
          <w:rFonts w:ascii="Courier New" w:cs="Courier New" w:eastAsia="Courier New" w:hAnsi="Courier New"/>
          <w:sz w:val="15"/>
          <w:szCs w:val="15"/>
          <w:color w:val="auto"/>
        </w:rPr>
      </w:pPr>
    </w:p>
    <w:p>
      <w:pPr>
        <w:ind w:left="1580" w:hanging="347"/>
        <w:spacing w:after="0"/>
        <w:tabs>
          <w:tab w:leader="none" w:pos="158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ongoing consolidation within the communications industry, and</w:t>
      </w:r>
    </w:p>
    <w:p>
      <w:pPr>
        <w:spacing w:after="0" w:line="174" w:lineRule="exact"/>
        <w:rPr>
          <w:rFonts w:ascii="Courier New" w:cs="Courier New" w:eastAsia="Courier New" w:hAnsi="Courier New"/>
          <w:sz w:val="15"/>
          <w:szCs w:val="15"/>
          <w:color w:val="auto"/>
        </w:rPr>
      </w:pPr>
    </w:p>
    <w:p>
      <w:pPr>
        <w:ind w:left="1580" w:right="3299" w:hanging="347"/>
        <w:spacing w:after="0" w:line="238" w:lineRule="auto"/>
        <w:tabs>
          <w:tab w:leader="none" w:pos="158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convergence of communications, broadband cable and satellite industries.</w:t>
      </w:r>
    </w:p>
    <w:p>
      <w:pPr>
        <w:spacing w:after="0" w:line="172"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Technology advances, such as:</w:t>
      </w:r>
    </w:p>
    <w:p>
      <w:pPr>
        <w:spacing w:after="0" w:line="174" w:lineRule="exact"/>
        <w:rPr>
          <w:rFonts w:ascii="Courier New" w:cs="Courier New" w:eastAsia="Courier New" w:hAnsi="Courier New"/>
          <w:sz w:val="15"/>
          <w:szCs w:val="15"/>
          <w:color w:val="auto"/>
        </w:rPr>
      </w:pPr>
    </w:p>
    <w:p>
      <w:pPr>
        <w:ind w:left="1580" w:right="3759" w:hanging="347"/>
        <w:spacing w:after="0" w:line="262" w:lineRule="auto"/>
        <w:tabs>
          <w:tab w:leader="none" w:pos="158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emergence of new communications products and services, especially video, broadband, data and content services, including IP-based services, such as Internet Protocol Television (IPTV) and Voice over IP (VoIP),</w:t>
      </w:r>
    </w:p>
    <w:p>
      <w:pPr>
        <w:spacing w:after="0" w:line="160" w:lineRule="exact"/>
        <w:rPr>
          <w:rFonts w:ascii="Courier New" w:cs="Courier New" w:eastAsia="Courier New" w:hAnsi="Courier New"/>
          <w:sz w:val="14"/>
          <w:szCs w:val="14"/>
          <w:color w:val="auto"/>
        </w:rPr>
      </w:pPr>
    </w:p>
    <w:p>
      <w:pPr>
        <w:ind w:left="1580" w:right="3399" w:hanging="347"/>
        <w:spacing w:after="0" w:line="239" w:lineRule="auto"/>
        <w:tabs>
          <w:tab w:leader="none" w:pos="158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evolution to next generation networks such as IP Multimedia Subsystem (IMS), that enable truly converged services offerings like fixed-mobile convergence, and</w:t>
      </w:r>
    </w:p>
    <w:p>
      <w:pPr>
        <w:spacing w:after="0" w:line="175" w:lineRule="exact"/>
        <w:rPr>
          <w:rFonts w:ascii="Courier New" w:cs="Courier New" w:eastAsia="Courier New" w:hAnsi="Courier New"/>
          <w:sz w:val="15"/>
          <w:szCs w:val="15"/>
          <w:color w:val="auto"/>
        </w:rPr>
      </w:pPr>
    </w:p>
    <w:p>
      <w:pPr>
        <w:ind w:left="1580" w:right="3119" w:hanging="347"/>
        <w:spacing w:after="0" w:line="239" w:lineRule="auto"/>
        <w:tabs>
          <w:tab w:leader="none" w:pos="158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technological changes, such as the introduction of 3G wireless technology, next-generation content systems and WiFi- and WiMax- based access technologies.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28" w:right="1440" w:bottom="1440" w:gutter="0" w:footer="0" w:header="0"/>
        </w:sectPr>
      </w:pPr>
    </w:p>
    <w:bookmarkStart w:id="20" w:name="page21"/>
    <w:bookmarkEnd w:id="20"/>
    <w:p>
      <w:pPr>
        <w:ind w:left="700" w:hanging="354"/>
        <w:spacing w:after="0"/>
        <w:tabs>
          <w:tab w:leader="none" w:pos="7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focus, such as:</w:t>
      </w:r>
    </w:p>
    <w:p>
      <w:pPr>
        <w:spacing w:after="0" w:line="174" w:lineRule="exact"/>
        <w:rPr>
          <w:rFonts w:ascii="Courier New" w:cs="Courier New" w:eastAsia="Courier New" w:hAnsi="Courier New"/>
          <w:sz w:val="15"/>
          <w:szCs w:val="15"/>
          <w:color w:val="auto"/>
        </w:rPr>
      </w:pPr>
    </w:p>
    <w:p>
      <w:pPr>
        <w:ind w:left="1420" w:right="3299" w:hanging="364"/>
        <w:spacing w:after="0" w:line="238" w:lineRule="auto"/>
        <w:tabs>
          <w:tab w:leader="none" w:pos="142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desire of service providers to focus on their customers in order to build profitable customer relationships,</w:t>
      </w:r>
    </w:p>
    <w:p>
      <w:pPr>
        <w:spacing w:after="0" w:line="174" w:lineRule="exact"/>
        <w:rPr>
          <w:rFonts w:ascii="Courier New" w:cs="Courier New" w:eastAsia="Courier New" w:hAnsi="Courier New"/>
          <w:sz w:val="15"/>
          <w:szCs w:val="15"/>
          <w:color w:val="auto"/>
        </w:rPr>
      </w:pPr>
    </w:p>
    <w:p>
      <w:pPr>
        <w:ind w:left="1420" w:right="3219" w:hanging="364"/>
        <w:spacing w:after="0" w:line="264" w:lineRule="auto"/>
        <w:tabs>
          <w:tab w:leader="none" w:pos="1420"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"authority shift" toward the consumer, with customers demanding new, innovative services that can be accessed anytime and anywhere, as well as higher levels of customer service, and</w:t>
      </w:r>
    </w:p>
    <w:p>
      <w:pPr>
        <w:spacing w:after="0" w:line="159" w:lineRule="exact"/>
        <w:rPr>
          <w:rFonts w:ascii="Courier New" w:cs="Courier New" w:eastAsia="Courier New" w:hAnsi="Courier New"/>
          <w:sz w:val="14"/>
          <w:szCs w:val="14"/>
          <w:color w:val="auto"/>
        </w:rPr>
      </w:pPr>
    </w:p>
    <w:p>
      <w:pPr>
        <w:ind w:left="1420" w:right="3399" w:hanging="364"/>
        <w:spacing w:after="0" w:line="271" w:lineRule="auto"/>
        <w:tabs>
          <w:tab w:leader="none" w:pos="1420"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need for service providers to differentiate themselves by creating a unique and mutually valuable customer experience.</w:t>
      </w:r>
    </w:p>
    <w:p>
      <w:pPr>
        <w:spacing w:after="0" w:line="151" w:lineRule="exact"/>
        <w:rPr>
          <w:rFonts w:ascii="Courier New" w:cs="Courier New" w:eastAsia="Courier New" w:hAnsi="Courier New"/>
          <w:sz w:val="14"/>
          <w:szCs w:val="14"/>
          <w:color w:val="auto"/>
        </w:rPr>
      </w:pPr>
    </w:p>
    <w:p>
      <w:pPr>
        <w:ind w:left="700" w:hanging="354"/>
        <w:spacing w:after="0"/>
        <w:tabs>
          <w:tab w:leader="none" w:pos="7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need for operational efficiency, including :</w:t>
      </w:r>
    </w:p>
    <w:p>
      <w:pPr>
        <w:spacing w:after="0" w:line="171" w:lineRule="exact"/>
        <w:rPr>
          <w:rFonts w:ascii="Courier New" w:cs="Courier New" w:eastAsia="Courier New" w:hAnsi="Courier New"/>
          <w:sz w:val="15"/>
          <w:szCs w:val="15"/>
          <w:color w:val="auto"/>
        </w:rPr>
      </w:pPr>
    </w:p>
    <w:p>
      <w:pPr>
        <w:ind w:left="1420" w:hanging="364"/>
        <w:spacing w:after="0"/>
        <w:tabs>
          <w:tab w:leader="none" w:pos="142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shift from in-house management to vendor solutions,</w:t>
      </w:r>
    </w:p>
    <w:p>
      <w:pPr>
        <w:spacing w:after="0" w:line="174" w:lineRule="exact"/>
        <w:rPr>
          <w:rFonts w:ascii="Courier New" w:cs="Courier New" w:eastAsia="Courier New" w:hAnsi="Courier New"/>
          <w:sz w:val="15"/>
          <w:szCs w:val="15"/>
          <w:color w:val="auto"/>
        </w:rPr>
      </w:pPr>
    </w:p>
    <w:p>
      <w:pPr>
        <w:ind w:left="1420" w:right="3219" w:hanging="364"/>
        <w:spacing w:after="0" w:line="239" w:lineRule="auto"/>
        <w:tabs>
          <w:tab w:leader="none" w:pos="142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needs of service providers to reduce costs and lower total cost of ownership while retaining high value customers in a highly competitive environment,</w:t>
      </w:r>
    </w:p>
    <w:p>
      <w:pPr>
        <w:spacing w:after="0" w:line="175" w:lineRule="exact"/>
        <w:rPr>
          <w:rFonts w:ascii="Courier New" w:cs="Courier New" w:eastAsia="Courier New" w:hAnsi="Courier New"/>
          <w:sz w:val="15"/>
          <w:szCs w:val="15"/>
          <w:color w:val="auto"/>
        </w:rPr>
      </w:pPr>
    </w:p>
    <w:p>
      <w:pPr>
        <w:ind w:left="1420" w:right="3299" w:hanging="364"/>
        <w:spacing w:after="0" w:line="239" w:lineRule="auto"/>
        <w:tabs>
          <w:tab w:leader="none" w:pos="142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automating and integrating business processes that span across business support systems (BSS) and operations support systems (OSS), and</w:t>
      </w:r>
    </w:p>
    <w:p>
      <w:pPr>
        <w:spacing w:after="0" w:line="175" w:lineRule="exact"/>
        <w:rPr>
          <w:rFonts w:ascii="Courier New" w:cs="Courier New" w:eastAsia="Courier New" w:hAnsi="Courier New"/>
          <w:sz w:val="15"/>
          <w:szCs w:val="15"/>
          <w:color w:val="auto"/>
        </w:rPr>
      </w:pPr>
    </w:p>
    <w:p>
      <w:pPr>
        <w:ind w:left="1420" w:right="3299" w:hanging="364"/>
        <w:spacing w:after="0" w:line="239" w:lineRule="auto"/>
        <w:tabs>
          <w:tab w:leader="none" w:pos="142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OSS transformation projects, designed to transform fragmented legacy OSS systems that can make it difficult to introduce new services in a timely and cost-effective manner.</w:t>
      </w:r>
    </w:p>
    <w:p>
      <w:pPr>
        <w:spacing w:after="0" w:line="175"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As part of our strategy, we have pursued and may continue to pursue acquisitions and other initiatives in order to offer new products or services or otherwise enhance our market position or strategic strengths. For example, on January 3, 2007, we signed an agreement to acquire SigValue Technologies, Inc., which we refer to as SigValue, a provider of an integrated billing, customer care and service control platform designed for telecommunication service providers in high-growth emerging markets around the world, where the customer base is predominantly composed of mobile pre-paid subscribers. Prior to the acquisition we owned 14% of SigValue's outstanding capital stock. Under the terms of the agreement, we will acquire all of SigValue's remaining share capital for approximately $54 million in cash, net of cash on hand. We expect to complete this acquisition during the second quarter of fiscal 2007, subject to regulatory approvals and other conditions customary to such transactions. We expect that this acquisition will expand our offering for the fast growing emerging markets.</w:t>
      </w:r>
    </w:p>
    <w:p>
      <w:pPr>
        <w:spacing w:after="0" w:line="17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174" w:lineRule="exact"/>
        <w:rPr>
          <w:sz w:val="20"/>
          <w:szCs w:val="20"/>
          <w:color w:val="auto"/>
        </w:rPr>
      </w:pPr>
    </w:p>
    <w:p>
      <w:pPr>
        <w:ind w:left="700" w:right="3219" w:hanging="354"/>
        <w:spacing w:after="0" w:line="271" w:lineRule="auto"/>
        <w:tabs>
          <w:tab w:leader="none" w:pos="70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sales of licenses to use our products and related services, including modification, implementation and integration services,</w:t>
      </w:r>
    </w:p>
    <w:p>
      <w:pPr>
        <w:spacing w:after="0" w:line="151" w:lineRule="exact"/>
        <w:rPr>
          <w:rFonts w:ascii="Courier New" w:cs="Courier New" w:eastAsia="Courier New" w:hAnsi="Courier New"/>
          <w:sz w:val="14"/>
          <w:szCs w:val="14"/>
          <w:color w:val="auto"/>
        </w:rPr>
      </w:pPr>
    </w:p>
    <w:p>
      <w:pPr>
        <w:ind w:left="700" w:hanging="354"/>
        <w:spacing w:after="0"/>
        <w:tabs>
          <w:tab w:leader="none" w:pos="7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Managed Services and other related IT services, and</w:t>
      </w:r>
    </w:p>
    <w:p>
      <w:pPr>
        <w:spacing w:after="0" w:line="174" w:lineRule="exact"/>
        <w:rPr>
          <w:rFonts w:ascii="Courier New" w:cs="Courier New" w:eastAsia="Courier New" w:hAnsi="Courier New"/>
          <w:sz w:val="15"/>
          <w:szCs w:val="15"/>
          <w:color w:val="auto"/>
        </w:rPr>
      </w:pPr>
    </w:p>
    <w:p>
      <w:pPr>
        <w:ind w:left="700" w:right="3299" w:hanging="354"/>
        <w:spacing w:after="0" w:line="239" w:lineRule="auto"/>
        <w:tabs>
          <w:tab w:leader="none" w:pos="7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recurring revenue from ongoing support, maintenance and enhancements provided to our customers, and from incremental license fees resulting from increases in a customer's business volume.</w:t>
      </w:r>
    </w:p>
    <w:p>
      <w:pPr>
        <w:spacing w:after="0" w:line="17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Revenue is recognized only when all of the following conditions have been met: (i) there is persuasive evidence of an arrangement; (ii) delivery has occurred; (iii) the fee is fixed and determinable; and (iv) collectability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As a result, we generally recognize combined license and service revenue over the course of these long-term projects, using the percentage of completion method of accounting. Initial license fee revenue is recognized as work is performed, using the percentage of completion method of accounting. Subsequent license fee revenue is recognized upon completion of specified conditions in each contract, based on a customer's subscriber or transaction volume or other measurements when greater than the level specified in the contract for the initial license fee. Service revenue that involves significant ongoing obligations, including fees for software customization, implementation and modification, also is recognized as work is performed, under the percentage of completion method of accounting. Revenue from software solutions that do not require significant customization and modification is recognized upon delivery or as services are provided. In</w:t>
      </w:r>
    </w:p>
    <w:p>
      <w:pPr>
        <w:spacing w:after="0" w:line="18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28" w:right="1440" w:bottom="1440" w:gutter="0" w:footer="0" w:header="0"/>
        </w:sectPr>
      </w:pPr>
    </w:p>
    <w:bookmarkStart w:id="21" w:name="page22"/>
    <w:bookmarkEnd w:id="21"/>
    <w:p>
      <w:pPr>
        <w:ind w:right="3119"/>
        <w:spacing w:after="0"/>
        <w:rPr>
          <w:sz w:val="20"/>
          <w:szCs w:val="20"/>
          <w:color w:val="auto"/>
        </w:rPr>
      </w:pPr>
      <w:r>
        <w:rPr>
          <w:rFonts w:ascii="Courier New" w:cs="Courier New" w:eastAsia="Courier New" w:hAnsi="Courier New"/>
          <w:sz w:val="15"/>
          <w:szCs w:val="15"/>
          <w:color w:val="auto"/>
        </w:rPr>
        <w:t>Managed Services contracts, we typically recognize revenue from the operation of a customer's system either ratably over the service period or as services are performed. Revenue from ongoing support services is recognized as work is performed. Revenue from third-party hardware sales is recognized upon delivery and installation, and revenue from third-party software sales is recognized upon delivery. Maintenance revenue is recognized ratably over the term of the maintenance agreement. As a result of a significant portion of our revenue being subject to the percentage of completion accounting method, the size and timing of customer projects and our progress in completing such projects may significantly affect our annual and quarterly operating results.</w:t>
      </w:r>
    </w:p>
    <w:p>
      <w:pPr>
        <w:spacing w:after="0" w:line="178"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Revenue from Managed Services arrangements (from the sale of ICM Enabling Systems and Directory Systems) is included in both license and service revenue. Managed Services projects are a significant part of our business, accounting for approximately 40% and 35% of our total revenue in the first quarters of fiscal 2007 and 2006, respectively, and generating substantial, long-term revenue streams, cash flow and operating income. In the initial period of our Managed Services projects, we generally invest in modernization and consolidation of the customer's systems. Invoices are usually structured on a periodic fixed or unit charge basis. As a result, Managed Services projects can be less profitable in the initial period. Margins tend to improve over time as we benefit from the operational efficiencies provided by system modernization and consolidation.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STANDARDS</w:t>
      </w:r>
    </w:p>
    <w:p>
      <w:pPr>
        <w:spacing w:after="0" w:line="174"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In September 2006, the FASB issued Statement No. 157, "Fair Value Measurements" ("SFAS 157"). SFAS 157 defines fair value, establishes a framework for measuring fair value in generally accepted accounting principles, and expands disclosures about fair value measurements. SFAS 157 applies under other accounting pronouncements that require or permit fair value measurements. SFAS 157 will be effective for fiscal years beginning after November 15, 2007, and interim periods within those fiscal years. We are currently evaluating the effect that the application of SFAS 157 will have on our consolidated results of operations and financial condition.</w:t>
      </w:r>
    </w:p>
    <w:p>
      <w:pPr>
        <w:spacing w:after="0" w:line="177"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In September 2006, the SEC issued Staff Accounting Bulletin No. 108, "Financial Statements - Considering the Effects of Prior Year Misstatements when Quantifying Misstatements in Current Year Financial Statements" ("SAB 108"). SAB 108 requires companies to quantify the impact of all correcting misstatements, including both the carryover and reversing effects of prior year misstatements, on the current year financial statements. SAB 108 is effective for fiscal years ending after November 15, 2006. We applied the provisions of SAB 108 in the first quarter of fiscal 2007 and there was no impact to the consolidated financial statements.</w:t>
      </w:r>
    </w:p>
    <w:p>
      <w:pPr>
        <w:spacing w:after="0" w:line="177"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In June 2006, the FASB issued Interpretation No. 48, "Accounting for Uncertainty in Income Taxes," An Interpretation of SFAS No. 109, ("FIN 48"). FIN 48 clarifies the accounting for uncertainty in income taxes recognized in an enterprise's financial statements in accordance with SFAS No. 109, Accounting for Income Taxes. FIN 48 also prescribes a recognition threshold and measurement attribute for the financial statement recognition and measurement of a tax position taken or expected to be taken in a tax return that results in a tax benefit. Additionally, FIN 48 provides guidance on de-recognition, income statement classification of interest and penalties, accounting in interim periods, disclosure, and transition. This interpretation is effective for fiscal years beginning after December 15, 2006. We are currently evaluating the effect that the application of FIN 48 will have on our consolidated results of operations and financial condition.</w:t>
      </w:r>
    </w:p>
    <w:p>
      <w:pPr>
        <w:spacing w:after="0" w:line="180" w:lineRule="exact"/>
        <w:rPr>
          <w:sz w:val="20"/>
          <w:szCs w:val="20"/>
          <w:color w:val="auto"/>
        </w:rPr>
      </w:pPr>
    </w:p>
    <w:p>
      <w:pPr>
        <w:ind w:right="3219" w:firstLine="887"/>
        <w:spacing w:after="0" w:line="262" w:lineRule="auto"/>
        <w:rPr>
          <w:sz w:val="20"/>
          <w:szCs w:val="20"/>
          <w:color w:val="auto"/>
        </w:rPr>
      </w:pPr>
      <w:r>
        <w:rPr>
          <w:rFonts w:ascii="Courier New" w:cs="Courier New" w:eastAsia="Courier New" w:hAnsi="Courier New"/>
          <w:sz w:val="14"/>
          <w:szCs w:val="14"/>
          <w:color w:val="auto"/>
        </w:rPr>
        <w:t>In February 2006, the FASB issued SFAS No. 155, "Accounting for Certain Hybrid Financial Instruments," an amendment of FASB Statement No. 133 and 140 ("SFAS 155"), which permits fair value measurement for any hybrid financial instrument that contains an embedded derivative that otherwise, would</w:t>
      </w:r>
    </w:p>
    <w:p>
      <w:pPr>
        <w:spacing w:after="0" w:line="15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1" w:right="1440" w:bottom="1440" w:gutter="0" w:footer="0" w:header="0"/>
        </w:sectPr>
      </w:pPr>
    </w:p>
    <w:bookmarkStart w:id="22" w:name="page23"/>
    <w:bookmarkEnd w:id="22"/>
    <w:p>
      <w:pPr>
        <w:ind w:right="3119"/>
        <w:spacing w:after="0"/>
        <w:rPr>
          <w:sz w:val="20"/>
          <w:szCs w:val="20"/>
          <w:color w:val="auto"/>
        </w:rPr>
      </w:pPr>
      <w:r>
        <w:rPr>
          <w:rFonts w:ascii="Courier New" w:cs="Courier New" w:eastAsia="Courier New" w:hAnsi="Courier New"/>
          <w:sz w:val="15"/>
          <w:szCs w:val="15"/>
          <w:color w:val="auto"/>
        </w:rPr>
        <w:t>require bifurcation, with changes in fair value recognized in earnings. The fair-value election will eliminate the need to separately recognize certain derivatives embedded in hybrid financial instruments under FASB Statement No. 133, Accounting for Derivative Instruments and Hedging Activities. In January 2007, the FASB issued Statement 133 Implementation Issue No. B40 "Application of Paragraph 13(b) to Securitized Interests in Prepayable Financial Assets", which provides a possibility of an exemption from bifurcation analysis in paragraph 13(b) of Statement 133 for certain securitized interests in prepayable financial assets. We applied the provisions of SFAS 155 and Statement 133 Implementation Issue No. B40 in the first quarter of fiscal 2007 and there was no impact to the consolidated financial statements.</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1"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right="3299" w:firstLine="532"/>
        <w:spacing w:after="0" w:line="239" w:lineRule="auto"/>
        <w:rPr>
          <w:sz w:val="20"/>
          <w:szCs w:val="20"/>
          <w:color w:val="auto"/>
        </w:rPr>
      </w:pPr>
      <w:r>
        <w:rPr>
          <w:rFonts w:ascii="Courier New" w:cs="Courier New" w:eastAsia="Courier New" w:hAnsi="Courier New"/>
          <w:sz w:val="15"/>
          <w:szCs w:val="15"/>
          <w:color w:val="auto"/>
        </w:rPr>
        <w:t>The following table sets forth for the three months ended December 31, 2006 and 2005 certain items in our consolidated statements of income reflected as a percentage of total revenue:</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284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4600" w:type="dxa"/>
            <w:vAlign w:val="bottom"/>
          </w:tcPr>
          <w:p>
            <w:pPr>
              <w:spacing w:after="0"/>
              <w:rPr>
                <w:sz w:val="14"/>
                <w:szCs w:val="14"/>
                <w:color w:val="auto"/>
              </w:rPr>
            </w:pPr>
          </w:p>
        </w:tc>
        <w:tc>
          <w:tcPr>
            <w:tcW w:w="284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600" w:type="dxa"/>
            <w:vAlign w:val="bottom"/>
          </w:tcPr>
          <w:p>
            <w:pPr>
              <w:spacing w:after="0"/>
              <w:rPr>
                <w:sz w:val="14"/>
                <w:szCs w:val="14"/>
                <w:color w:val="auto"/>
              </w:rPr>
            </w:pPr>
          </w:p>
        </w:tc>
        <w:tc>
          <w:tcPr>
            <w:tcW w:w="2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spacing w:after="0"/>
              <w:rPr>
                <w:sz w:val="14"/>
                <w:szCs w:val="14"/>
                <w:color w:val="auto"/>
              </w:rPr>
            </w:pPr>
          </w:p>
        </w:tc>
        <w:tc>
          <w:tcPr>
            <w:tcW w:w="15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2006</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2005</w:t>
            </w:r>
          </w:p>
        </w:tc>
      </w:tr>
      <w:tr>
        <w:trPr>
          <w:trHeight w:val="171"/>
        </w:trPr>
        <w:tc>
          <w:tcPr>
            <w:tcW w:w="4600" w:type="dxa"/>
            <w:vAlign w:val="bottom"/>
          </w:tcPr>
          <w:p>
            <w:pPr>
              <w:spacing w:after="0"/>
              <w:rPr>
                <w:sz w:val="14"/>
                <w:szCs w:val="14"/>
                <w:color w:val="auto"/>
              </w:rPr>
            </w:pP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6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1"/>
        </w:trPr>
        <w:tc>
          <w:tcPr>
            <w:tcW w:w="4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License.........................................</w:t>
            </w: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1"/>
        </w:trPr>
        <w:tc>
          <w:tcPr>
            <w:tcW w:w="4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Service.........................................</w:t>
            </w: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95.4</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94.6</w:t>
            </w:r>
          </w:p>
        </w:tc>
      </w:tr>
      <w:tr>
        <w:trPr>
          <w:trHeight w:val="171"/>
        </w:trPr>
        <w:tc>
          <w:tcPr>
            <w:tcW w:w="4600" w:type="dxa"/>
            <w:vAlign w:val="bottom"/>
          </w:tcPr>
          <w:p>
            <w:pPr>
              <w:spacing w:after="0"/>
              <w:rPr>
                <w:sz w:val="14"/>
                <w:szCs w:val="14"/>
                <w:color w:val="auto"/>
              </w:rPr>
            </w:pP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spacing w:after="0"/>
              <w:rPr>
                <w:sz w:val="14"/>
                <w:szCs w:val="14"/>
                <w:color w:val="auto"/>
              </w:rPr>
            </w:pP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100.0</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4600" w:type="dxa"/>
            <w:vAlign w:val="bottom"/>
          </w:tcPr>
          <w:p>
            <w:pPr>
              <w:spacing w:after="0"/>
              <w:rPr>
                <w:sz w:val="14"/>
                <w:szCs w:val="14"/>
                <w:color w:val="auto"/>
              </w:rPr>
            </w:pP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4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Cost of license.................................</w:t>
            </w: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0.2</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0.2</w:t>
            </w:r>
          </w:p>
        </w:tc>
      </w:tr>
      <w:tr>
        <w:trPr>
          <w:trHeight w:val="171"/>
        </w:trPr>
        <w:tc>
          <w:tcPr>
            <w:tcW w:w="4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Cost of service.................................</w:t>
            </w: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63.0</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63.7</w:t>
            </w:r>
          </w:p>
        </w:tc>
      </w:tr>
      <w:tr>
        <w:trPr>
          <w:trHeight w:val="171"/>
        </w:trPr>
        <w:tc>
          <w:tcPr>
            <w:tcW w:w="4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Research and development........................</w:t>
            </w: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8.7</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7.3</w:t>
            </w:r>
          </w:p>
        </w:tc>
      </w:tr>
      <w:tr>
        <w:trPr>
          <w:trHeight w:val="171"/>
        </w:trPr>
        <w:tc>
          <w:tcPr>
            <w:tcW w:w="4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Selling, general and administrative.............</w:t>
            </w: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12.9</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13.4</w:t>
            </w:r>
          </w:p>
        </w:tc>
      </w:tr>
      <w:tr>
        <w:trPr>
          <w:trHeight w:val="171"/>
        </w:trPr>
        <w:tc>
          <w:tcPr>
            <w:tcW w:w="4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Amortization of purchased intangible assets.....</w:t>
            </w: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2.5</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w:t>
            </w:r>
          </w:p>
        </w:tc>
      </w:tr>
      <w:tr>
        <w:trPr>
          <w:trHeight w:val="171"/>
        </w:trPr>
        <w:tc>
          <w:tcPr>
            <w:tcW w:w="4600" w:type="dxa"/>
            <w:vAlign w:val="bottom"/>
          </w:tcPr>
          <w:p>
            <w:pPr>
              <w:spacing w:after="0"/>
              <w:rPr>
                <w:sz w:val="14"/>
                <w:szCs w:val="14"/>
                <w:color w:val="auto"/>
              </w:rPr>
            </w:pP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spacing w:after="0"/>
              <w:rPr>
                <w:sz w:val="14"/>
                <w:szCs w:val="14"/>
                <w:color w:val="auto"/>
              </w:rPr>
            </w:pP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87.3</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85.9</w:t>
            </w:r>
          </w:p>
        </w:tc>
      </w:tr>
      <w:tr>
        <w:trPr>
          <w:trHeight w:val="171"/>
        </w:trPr>
        <w:tc>
          <w:tcPr>
            <w:tcW w:w="4600" w:type="dxa"/>
            <w:vAlign w:val="bottom"/>
          </w:tcPr>
          <w:p>
            <w:pPr>
              <w:spacing w:after="0"/>
              <w:rPr>
                <w:sz w:val="14"/>
                <w:szCs w:val="14"/>
                <w:color w:val="auto"/>
              </w:rPr>
            </w:pP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Operating income..................................</w:t>
            </w: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12.7</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14.1</w:t>
            </w:r>
          </w:p>
        </w:tc>
      </w:tr>
      <w:tr>
        <w:trPr>
          <w:trHeight w:val="171"/>
        </w:trPr>
        <w:tc>
          <w:tcPr>
            <w:tcW w:w="46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Interest income and other, net....................</w:t>
            </w: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w:t>
            </w:r>
          </w:p>
        </w:tc>
      </w:tr>
      <w:tr>
        <w:trPr>
          <w:trHeight w:val="171"/>
        </w:trPr>
        <w:tc>
          <w:tcPr>
            <w:tcW w:w="4600" w:type="dxa"/>
            <w:vAlign w:val="bottom"/>
          </w:tcPr>
          <w:p>
            <w:pPr>
              <w:spacing w:after="0"/>
              <w:rPr>
                <w:sz w:val="14"/>
                <w:szCs w:val="14"/>
                <w:color w:val="auto"/>
              </w:rPr>
            </w:pP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Income before income taxes........................</w:t>
            </w: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14.4</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15.5</w:t>
            </w:r>
          </w:p>
        </w:tc>
      </w:tr>
      <w:tr>
        <w:trPr>
          <w:trHeight w:val="171"/>
        </w:trPr>
        <w:tc>
          <w:tcPr>
            <w:tcW w:w="46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Income taxes......................................</w:t>
            </w: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0.9</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w:t>
            </w:r>
          </w:p>
        </w:tc>
      </w:tr>
      <w:tr>
        <w:trPr>
          <w:trHeight w:val="171"/>
        </w:trPr>
        <w:tc>
          <w:tcPr>
            <w:tcW w:w="4600" w:type="dxa"/>
            <w:vAlign w:val="bottom"/>
          </w:tcPr>
          <w:p>
            <w:pPr>
              <w:spacing w:after="0"/>
              <w:rPr>
                <w:sz w:val="14"/>
                <w:szCs w:val="14"/>
                <w:color w:val="auto"/>
              </w:rPr>
            </w:pP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Net income........................................</w:t>
            </w: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13.5%</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12.8%</w:t>
            </w:r>
          </w:p>
        </w:tc>
      </w:tr>
      <w:tr>
        <w:trPr>
          <w:trHeight w:val="171"/>
        </w:trPr>
        <w:tc>
          <w:tcPr>
            <w:tcW w:w="4600" w:type="dxa"/>
            <w:vAlign w:val="bottom"/>
          </w:tcPr>
          <w:p>
            <w:pPr>
              <w:spacing w:after="0"/>
              <w:rPr>
                <w:sz w:val="14"/>
                <w:szCs w:val="14"/>
                <w:color w:val="auto"/>
              </w:rPr>
            </w:pP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46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23</w:t>
            </w: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24" w:name="page25"/>
    <w:bookmarkEnd w:id="24"/>
    <w:p>
      <w:pPr>
        <w:ind w:left="520"/>
        <w:spacing w:after="0"/>
        <w:rPr>
          <w:sz w:val="20"/>
          <w:szCs w:val="20"/>
          <w:color w:val="auto"/>
        </w:rPr>
      </w:pPr>
      <w:r>
        <w:rPr>
          <w:rFonts w:ascii="Courier New" w:cs="Courier New" w:eastAsia="Courier New" w:hAnsi="Courier New"/>
          <w:sz w:val="15"/>
          <w:szCs w:val="15"/>
          <w:color w:val="auto"/>
        </w:rPr>
        <w:t>THREE MONTHS ENDED DECEMBER 31, 2006 AND 2005</w:t>
      </w:r>
    </w:p>
    <w:p>
      <w:pPr>
        <w:spacing w:after="0" w:line="174" w:lineRule="exact"/>
        <w:rPr>
          <w:sz w:val="20"/>
          <w:szCs w:val="20"/>
          <w:color w:val="auto"/>
        </w:rPr>
      </w:pPr>
    </w:p>
    <w:p>
      <w:pPr>
        <w:ind w:right="3299" w:firstLine="532"/>
        <w:spacing w:after="0" w:line="239" w:lineRule="auto"/>
        <w:rPr>
          <w:sz w:val="20"/>
          <w:szCs w:val="20"/>
          <w:color w:val="auto"/>
        </w:rPr>
      </w:pPr>
      <w:r>
        <w:rPr>
          <w:rFonts w:ascii="Courier New" w:cs="Courier New" w:eastAsia="Courier New" w:hAnsi="Courier New"/>
          <w:sz w:val="15"/>
          <w:szCs w:val="15"/>
          <w:color w:val="auto"/>
        </w:rPr>
        <w:t>The following is a tabular presentation of our results of operations for the three months ended December 31, 2006 compared to the three months ended December 31, 2005. Following the table is a discussion and analysis of our business and results of operations for such periods.</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2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THREE MONTHS ENDED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20" w:type="dxa"/>
            <w:vAlign w:val="bottom"/>
            <w:gridSpan w:val="3"/>
          </w:tcPr>
          <w:p>
            <w:pPr>
              <w:jc w:val="right"/>
              <w:ind w:right="726"/>
              <w:spacing w:after="0"/>
              <w:rPr>
                <w:sz w:val="20"/>
                <w:szCs w:val="20"/>
                <w:color w:val="auto"/>
              </w:rPr>
            </w:pPr>
            <w:r>
              <w:rPr>
                <w:rFonts w:ascii="Courier New" w:cs="Courier New" w:eastAsia="Courier New" w:hAnsi="Courier New"/>
                <w:sz w:val="15"/>
                <w:szCs w:val="15"/>
                <w:color w:val="auto"/>
              </w:rPr>
              <w:t>DECEMBER 31,</w:t>
            </w:r>
          </w:p>
        </w:tc>
        <w:tc>
          <w:tcPr>
            <w:tcW w:w="220" w:type="dxa"/>
            <w:vAlign w:val="bottom"/>
          </w:tcPr>
          <w:p>
            <w:pPr>
              <w:spacing w:after="0"/>
              <w:rPr>
                <w:sz w:val="14"/>
                <w:szCs w:val="14"/>
                <w:color w:val="auto"/>
              </w:rPr>
            </w:pPr>
          </w:p>
        </w:tc>
        <w:tc>
          <w:tcPr>
            <w:tcW w:w="22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INCREASE (DECREASE)</w:t>
            </w:r>
          </w:p>
        </w:tc>
      </w:tr>
      <w:tr>
        <w:trPr>
          <w:trHeight w:val="171"/>
        </w:trPr>
        <w:tc>
          <w:tcPr>
            <w:tcW w:w="500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0"/>
              </w:rPr>
              <w:t>---------------------------</w:t>
            </w: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8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5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4"/>
              </w:rPr>
              <w:t>2006</w:t>
            </w:r>
          </w:p>
        </w:tc>
        <w:tc>
          <w:tcPr>
            <w:tcW w:w="400" w:type="dxa"/>
            <w:vAlign w:val="bottom"/>
          </w:tcPr>
          <w:p>
            <w:pPr>
              <w:spacing w:after="0"/>
              <w:rPr>
                <w:sz w:val="14"/>
                <w:szCs w:val="14"/>
                <w:color w:val="auto"/>
              </w:rPr>
            </w:pPr>
          </w:p>
        </w:tc>
        <w:tc>
          <w:tcPr>
            <w:tcW w:w="10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2005</w:t>
            </w:r>
          </w:p>
        </w:tc>
        <w:tc>
          <w:tcPr>
            <w:tcW w:w="220" w:type="dxa"/>
            <w:vAlign w:val="bottom"/>
          </w:tcPr>
          <w:p>
            <w:pPr>
              <w:spacing w:after="0"/>
              <w:rPr>
                <w:sz w:val="14"/>
                <w:szCs w:val="14"/>
                <w:color w:val="auto"/>
              </w:rPr>
            </w:pPr>
          </w:p>
        </w:tc>
        <w:tc>
          <w:tcPr>
            <w:tcW w:w="11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AMOUNT</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5000" w:type="dxa"/>
            <w:vAlign w:val="bottom"/>
          </w:tcPr>
          <w:p>
            <w:pPr>
              <w:spacing w:after="0"/>
              <w:rPr>
                <w:sz w:val="14"/>
                <w:szCs w:val="14"/>
                <w:color w:val="auto"/>
              </w:rPr>
            </w:pPr>
          </w:p>
        </w:tc>
        <w:tc>
          <w:tcPr>
            <w:tcW w:w="13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(in thousands)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000" w:type="dxa"/>
            <w:vAlign w:val="bottom"/>
          </w:tcPr>
          <w:p>
            <w:pPr>
              <w:spacing w:after="0"/>
              <w:rPr>
                <w:sz w:val="14"/>
                <w:szCs w:val="14"/>
                <w:color w:val="auto"/>
              </w:rPr>
            </w:pPr>
          </w:p>
        </w:tc>
        <w:tc>
          <w:tcPr>
            <w:tcW w:w="4040" w:type="dxa"/>
            <w:vAlign w:val="bottom"/>
            <w:gridSpan w:val="6"/>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r>
      <w:tr>
        <w:trPr>
          <w:trHeight w:val="341"/>
        </w:trPr>
        <w:tc>
          <w:tcPr>
            <w:tcW w:w="50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50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License.............................................</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31,744</w:t>
            </w:r>
          </w:p>
        </w:tc>
        <w:tc>
          <w:tcPr>
            <w:tcW w:w="4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31,661</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0.3%</w:t>
            </w:r>
          </w:p>
        </w:tc>
      </w:tr>
      <w:tr>
        <w:trPr>
          <w:trHeight w:val="171"/>
        </w:trPr>
        <w:tc>
          <w:tcPr>
            <w:tcW w:w="50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Service.............................................</w:t>
            </w:r>
          </w:p>
        </w:tc>
        <w:tc>
          <w:tcPr>
            <w:tcW w:w="4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659,288</w:t>
            </w:r>
          </w:p>
        </w:tc>
        <w:tc>
          <w:tcPr>
            <w:tcW w:w="40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555,367</w:t>
            </w:r>
          </w:p>
        </w:tc>
        <w:tc>
          <w:tcPr>
            <w:tcW w:w="22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103,921</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18.7</w:t>
            </w:r>
          </w:p>
        </w:tc>
      </w:tr>
      <w:tr>
        <w:trPr>
          <w:trHeight w:val="171"/>
        </w:trPr>
        <w:tc>
          <w:tcPr>
            <w:tcW w:w="5000" w:type="dxa"/>
            <w:vAlign w:val="bottom"/>
          </w:tcPr>
          <w:p>
            <w:pPr>
              <w:spacing w:after="0"/>
              <w:rPr>
                <w:sz w:val="14"/>
                <w:szCs w:val="14"/>
                <w:color w:val="auto"/>
              </w:rPr>
            </w:pPr>
          </w:p>
        </w:tc>
        <w:tc>
          <w:tcPr>
            <w:tcW w:w="13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r>
      <w:tr>
        <w:trPr>
          <w:trHeight w:val="171"/>
        </w:trPr>
        <w:tc>
          <w:tcPr>
            <w:tcW w:w="5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691,032</w:t>
            </w:r>
          </w:p>
        </w:tc>
        <w:tc>
          <w:tcPr>
            <w:tcW w:w="40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587,028</w:t>
            </w:r>
          </w:p>
        </w:tc>
        <w:tc>
          <w:tcPr>
            <w:tcW w:w="22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104,004</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17.7</w:t>
            </w:r>
          </w:p>
        </w:tc>
      </w:tr>
      <w:tr>
        <w:trPr>
          <w:trHeight w:val="171"/>
        </w:trPr>
        <w:tc>
          <w:tcPr>
            <w:tcW w:w="5000" w:type="dxa"/>
            <w:vAlign w:val="bottom"/>
          </w:tcPr>
          <w:p>
            <w:pPr>
              <w:spacing w:after="0"/>
              <w:rPr>
                <w:sz w:val="14"/>
                <w:szCs w:val="14"/>
                <w:color w:val="auto"/>
              </w:rPr>
            </w:pPr>
          </w:p>
        </w:tc>
        <w:tc>
          <w:tcPr>
            <w:tcW w:w="13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0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Cost of license.....................................</w:t>
            </w:r>
          </w:p>
        </w:tc>
        <w:tc>
          <w:tcPr>
            <w:tcW w:w="4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1,069</w:t>
            </w:r>
          </w:p>
        </w:tc>
        <w:tc>
          <w:tcPr>
            <w:tcW w:w="40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1,062</w:t>
            </w:r>
          </w:p>
        </w:tc>
        <w:tc>
          <w:tcPr>
            <w:tcW w:w="22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0.7</w:t>
            </w:r>
          </w:p>
        </w:tc>
      </w:tr>
      <w:tr>
        <w:trPr>
          <w:trHeight w:val="171"/>
        </w:trPr>
        <w:tc>
          <w:tcPr>
            <w:tcW w:w="50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Cost of service.....................................</w:t>
            </w:r>
          </w:p>
        </w:tc>
        <w:tc>
          <w:tcPr>
            <w:tcW w:w="4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435,121</w:t>
            </w:r>
          </w:p>
        </w:tc>
        <w:tc>
          <w:tcPr>
            <w:tcW w:w="40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374,051</w:t>
            </w:r>
          </w:p>
        </w:tc>
        <w:tc>
          <w:tcPr>
            <w:tcW w:w="22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61,070</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16.3</w:t>
            </w:r>
          </w:p>
        </w:tc>
      </w:tr>
      <w:tr>
        <w:trPr>
          <w:trHeight w:val="171"/>
        </w:trPr>
        <w:tc>
          <w:tcPr>
            <w:tcW w:w="50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Research and development............................</w:t>
            </w:r>
          </w:p>
        </w:tc>
        <w:tc>
          <w:tcPr>
            <w:tcW w:w="4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60,468</w:t>
            </w:r>
          </w:p>
        </w:tc>
        <w:tc>
          <w:tcPr>
            <w:tcW w:w="40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43,114</w:t>
            </w:r>
          </w:p>
        </w:tc>
        <w:tc>
          <w:tcPr>
            <w:tcW w:w="22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17,354</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40.3</w:t>
            </w:r>
          </w:p>
        </w:tc>
      </w:tr>
      <w:tr>
        <w:trPr>
          <w:trHeight w:val="171"/>
        </w:trPr>
        <w:tc>
          <w:tcPr>
            <w:tcW w:w="50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Selling, general and administrative.................</w:t>
            </w:r>
          </w:p>
        </w:tc>
        <w:tc>
          <w:tcPr>
            <w:tcW w:w="4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89,170</w:t>
            </w:r>
          </w:p>
        </w:tc>
        <w:tc>
          <w:tcPr>
            <w:tcW w:w="40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78,550</w:t>
            </w:r>
          </w:p>
        </w:tc>
        <w:tc>
          <w:tcPr>
            <w:tcW w:w="22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10,620</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13.5</w:t>
            </w:r>
          </w:p>
        </w:tc>
      </w:tr>
      <w:tr>
        <w:trPr>
          <w:trHeight w:val="171"/>
        </w:trPr>
        <w:tc>
          <w:tcPr>
            <w:tcW w:w="50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Amortization of purchased intangible assets.........</w:t>
            </w:r>
          </w:p>
        </w:tc>
        <w:tc>
          <w:tcPr>
            <w:tcW w:w="4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17,698</w:t>
            </w:r>
          </w:p>
        </w:tc>
        <w:tc>
          <w:tcPr>
            <w:tcW w:w="40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7,572</w:t>
            </w:r>
          </w:p>
        </w:tc>
        <w:tc>
          <w:tcPr>
            <w:tcW w:w="22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10,126</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133.7</w:t>
            </w:r>
          </w:p>
        </w:tc>
      </w:tr>
      <w:tr>
        <w:trPr>
          <w:trHeight w:val="171"/>
        </w:trPr>
        <w:tc>
          <w:tcPr>
            <w:tcW w:w="5000" w:type="dxa"/>
            <w:vAlign w:val="bottom"/>
          </w:tcPr>
          <w:p>
            <w:pPr>
              <w:spacing w:after="0"/>
              <w:rPr>
                <w:sz w:val="14"/>
                <w:szCs w:val="14"/>
                <w:color w:val="auto"/>
              </w:rPr>
            </w:pPr>
          </w:p>
        </w:tc>
        <w:tc>
          <w:tcPr>
            <w:tcW w:w="13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r>
      <w:tr>
        <w:trPr>
          <w:trHeight w:val="171"/>
        </w:trPr>
        <w:tc>
          <w:tcPr>
            <w:tcW w:w="5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603,526</w:t>
            </w:r>
          </w:p>
        </w:tc>
        <w:tc>
          <w:tcPr>
            <w:tcW w:w="40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504,349</w:t>
            </w:r>
          </w:p>
        </w:tc>
        <w:tc>
          <w:tcPr>
            <w:tcW w:w="22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99,177</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19.7</w:t>
            </w:r>
          </w:p>
        </w:tc>
      </w:tr>
      <w:tr>
        <w:trPr>
          <w:trHeight w:val="171"/>
        </w:trPr>
        <w:tc>
          <w:tcPr>
            <w:tcW w:w="5000" w:type="dxa"/>
            <w:vAlign w:val="bottom"/>
          </w:tcPr>
          <w:p>
            <w:pPr>
              <w:spacing w:after="0"/>
              <w:rPr>
                <w:sz w:val="14"/>
                <w:szCs w:val="14"/>
                <w:color w:val="auto"/>
              </w:rPr>
            </w:pPr>
          </w:p>
        </w:tc>
        <w:tc>
          <w:tcPr>
            <w:tcW w:w="13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r>
      <w:tr>
        <w:trPr>
          <w:trHeight w:val="341"/>
        </w:trPr>
        <w:tc>
          <w:tcPr>
            <w:tcW w:w="50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Operating income.......................................</w:t>
            </w:r>
          </w:p>
        </w:tc>
        <w:tc>
          <w:tcPr>
            <w:tcW w:w="400" w:type="dxa"/>
            <w:vAlign w:val="bottom"/>
          </w:tcPr>
          <w:p>
            <w:pPr>
              <w:spacing w:after="0"/>
              <w:rPr>
                <w:sz w:val="24"/>
                <w:szCs w:val="2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87,506</w:t>
            </w:r>
          </w:p>
        </w:tc>
        <w:tc>
          <w:tcPr>
            <w:tcW w:w="400" w:type="dxa"/>
            <w:vAlign w:val="bottom"/>
          </w:tcPr>
          <w:p>
            <w:pPr>
              <w:spacing w:after="0"/>
              <w:rPr>
                <w:sz w:val="24"/>
                <w:szCs w:val="2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82,679</w:t>
            </w:r>
          </w:p>
        </w:tc>
        <w:tc>
          <w:tcPr>
            <w:tcW w:w="220" w:type="dxa"/>
            <w:vAlign w:val="bottom"/>
          </w:tcPr>
          <w:p>
            <w:pPr>
              <w:spacing w:after="0"/>
              <w:rPr>
                <w:sz w:val="24"/>
                <w:szCs w:val="2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4,827</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5.8</w:t>
            </w:r>
          </w:p>
        </w:tc>
      </w:tr>
      <w:tr>
        <w:trPr>
          <w:trHeight w:val="171"/>
        </w:trPr>
        <w:tc>
          <w:tcPr>
            <w:tcW w:w="50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Interest income and other, net.........................</w:t>
            </w:r>
          </w:p>
        </w:tc>
        <w:tc>
          <w:tcPr>
            <w:tcW w:w="4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11,739</w:t>
            </w:r>
          </w:p>
        </w:tc>
        <w:tc>
          <w:tcPr>
            <w:tcW w:w="40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8,414</w:t>
            </w:r>
          </w:p>
        </w:tc>
        <w:tc>
          <w:tcPr>
            <w:tcW w:w="22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3,325</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39.5</w:t>
            </w:r>
          </w:p>
        </w:tc>
      </w:tr>
      <w:tr>
        <w:trPr>
          <w:trHeight w:val="171"/>
        </w:trPr>
        <w:tc>
          <w:tcPr>
            <w:tcW w:w="5000" w:type="dxa"/>
            <w:vAlign w:val="bottom"/>
          </w:tcPr>
          <w:p>
            <w:pPr>
              <w:spacing w:after="0"/>
              <w:rPr>
                <w:sz w:val="14"/>
                <w:szCs w:val="14"/>
                <w:color w:val="auto"/>
              </w:rPr>
            </w:pPr>
          </w:p>
        </w:tc>
        <w:tc>
          <w:tcPr>
            <w:tcW w:w="13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r>
      <w:tr>
        <w:trPr>
          <w:trHeight w:val="171"/>
        </w:trPr>
        <w:tc>
          <w:tcPr>
            <w:tcW w:w="50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Income before income taxes.............................</w:t>
            </w:r>
          </w:p>
        </w:tc>
        <w:tc>
          <w:tcPr>
            <w:tcW w:w="4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99,245</w:t>
            </w:r>
          </w:p>
        </w:tc>
        <w:tc>
          <w:tcPr>
            <w:tcW w:w="40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91,093</w:t>
            </w:r>
          </w:p>
        </w:tc>
        <w:tc>
          <w:tcPr>
            <w:tcW w:w="22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8,152</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8.9</w:t>
            </w:r>
          </w:p>
        </w:tc>
      </w:tr>
      <w:tr>
        <w:trPr>
          <w:trHeight w:val="171"/>
        </w:trPr>
        <w:tc>
          <w:tcPr>
            <w:tcW w:w="50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Income taxes...........................................</w:t>
            </w:r>
          </w:p>
        </w:tc>
        <w:tc>
          <w:tcPr>
            <w:tcW w:w="4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5,903</w:t>
            </w:r>
          </w:p>
        </w:tc>
        <w:tc>
          <w:tcPr>
            <w:tcW w:w="40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15,759</w:t>
            </w:r>
          </w:p>
        </w:tc>
        <w:tc>
          <w:tcPr>
            <w:tcW w:w="22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(9,856)</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(62.5)</w:t>
            </w:r>
          </w:p>
        </w:tc>
      </w:tr>
      <w:tr>
        <w:trPr>
          <w:trHeight w:val="171"/>
        </w:trPr>
        <w:tc>
          <w:tcPr>
            <w:tcW w:w="5000" w:type="dxa"/>
            <w:vAlign w:val="bottom"/>
          </w:tcPr>
          <w:p>
            <w:pPr>
              <w:spacing w:after="0"/>
              <w:rPr>
                <w:sz w:val="14"/>
                <w:szCs w:val="14"/>
                <w:color w:val="auto"/>
              </w:rPr>
            </w:pPr>
          </w:p>
        </w:tc>
        <w:tc>
          <w:tcPr>
            <w:tcW w:w="13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r>
      <w:tr>
        <w:trPr>
          <w:trHeight w:val="171"/>
        </w:trPr>
        <w:tc>
          <w:tcPr>
            <w:tcW w:w="50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Net income.............................................</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93,342</w:t>
            </w:r>
          </w:p>
        </w:tc>
        <w:tc>
          <w:tcPr>
            <w:tcW w:w="4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75,334</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18,008</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23.9%</w:t>
            </w:r>
          </w:p>
        </w:tc>
      </w:tr>
      <w:tr>
        <w:trPr>
          <w:trHeight w:val="171"/>
        </w:trPr>
        <w:tc>
          <w:tcPr>
            <w:tcW w:w="5000" w:type="dxa"/>
            <w:vAlign w:val="bottom"/>
          </w:tcPr>
          <w:p>
            <w:pPr>
              <w:spacing w:after="0"/>
              <w:rPr>
                <w:sz w:val="14"/>
                <w:szCs w:val="14"/>
                <w:color w:val="auto"/>
              </w:rPr>
            </w:pPr>
          </w:p>
        </w:tc>
        <w:tc>
          <w:tcPr>
            <w:tcW w:w="13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r>
    </w:tbl>
    <w:p>
      <w:pPr>
        <w:spacing w:after="0" w:line="34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REVENUE. Total revenue increased by $104.0 million, or 17.7%, in the three months ended December 31, 2006 to $691.0 million from $587.0 million in the three months ended December 31, 2005. Approximately 46% of the increase was attributable to revenue contributed by acquisitions made during fiscal 2006, and the remainder was primarily attributable to additional revenue from consolidation projects for tier one customers.</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License and service revenue attributable to the sale of ICM-Enabling Systems was $619.4 million in the three months ended December 31, 2006, an increase of $100.5 million, or 19.4%, over the three months ended December 31, 2005. Approximately 48% of the increase was attributable to revenue contributed by acquisitions made during fiscal 2006, and the remainder was primarily attributable to additional revenue from consolidation projects for tier one customers. License and service revenue resulted from the sale of ICM-Enabling Systems represented 89.6% and 88.4% of our total revenue in the three months ended December 31, 2006 and 2005, respectively. We believe the demand for our ICM-Enabling Systems is primarily driven by the need of communications service providers to develop new revenue streams, to rapidly introduce new offerings and to focus on their customers. Although the pace at which service providers are embarking on transformation projects is not as we expected, we continue to regard these projects as a long term industry trend that will continue to drive the demand for our ICM-Enabling Systems.</w:t>
      </w:r>
    </w:p>
    <w:p>
      <w:pPr>
        <w:spacing w:after="0" w:line="17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28" w:right="1440" w:bottom="1440" w:gutter="0" w:footer="0" w:header="0"/>
        </w:sectPr>
      </w:pPr>
    </w:p>
    <w:bookmarkStart w:id="25" w:name="page26"/>
    <w:bookmarkEnd w:id="25"/>
    <w:p>
      <w:pPr>
        <w:ind w:right="3219" w:firstLine="532"/>
        <w:spacing w:after="0"/>
        <w:rPr>
          <w:sz w:val="20"/>
          <w:szCs w:val="20"/>
          <w:color w:val="auto"/>
        </w:rPr>
      </w:pPr>
      <w:r>
        <w:rPr>
          <w:rFonts w:ascii="Courier New" w:cs="Courier New" w:eastAsia="Courier New" w:hAnsi="Courier New"/>
          <w:sz w:val="15"/>
          <w:szCs w:val="15"/>
          <w:color w:val="auto"/>
        </w:rPr>
        <w:t>License and service revenue attributable to the sale of Directory Systems was $71.6 million in the three months ended December 31, 2006, an increase of $3.5 million, or 5.1%, over the three months ended December 31, 2005. The increase in Directory Systems revenue in the three months ended December 31, 2006 was attributable to an increase in business related to Managed Services customers. License and service revenue from the sale of Directory Systems represented 10.4% and 11.6% of our total revenue in the three months ended December 31, 2006 and 2005, respectively. We believe that we are a leading provider of Directory Systems in most of the markets we serve. We expect that our revenue from Directory Systems in absolute amount will increase slightly in fiscal 2007.</w:t>
      </w:r>
    </w:p>
    <w:p>
      <w:pPr>
        <w:spacing w:after="0" w:line="179"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In the three months ended December 31, 2006, revenue from customers in North America, Europe and the rest of the world accounted for 68.6%, 21.9% and 9.5%, respectively, of total revenue compared to 73.1%, 18.4% and 8.5%, respectively, in the three months ended December 31, 2005. Revenue from customers in North America increased in absolute amounts, but the increase was less than the 17.7% increase in our total revenue which resulted in a decrease in revenue from customers in North America as a percentage of total revenue. Approximately 56% of the increase in revenue from customers in Europe, in absolute amount, was attributable to revenues contributed by acquisitions made during fiscal 2006, and the remainder was primarily attributable to projects for tier one and tier two customers. The increase in revenue from customers in the rest of the world in the three months ended December 31, 2006 was attributable primarily to revenue contributed in Asia Pacific.</w:t>
      </w:r>
    </w:p>
    <w:p>
      <w:pPr>
        <w:spacing w:after="0" w:line="180"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the three months ended December 31, 2006 and 2005, cost of license as a percentage of license revenue was 3.4%.</w:t>
      </w:r>
    </w:p>
    <w:p>
      <w:pPr>
        <w:spacing w:after="0" w:line="176"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COST OF SERVICE. Cost of service consists primarily of costs associated with providing services to customers, including compensation expense, warranty expense and costs of third-party products. The increase in cost of service in the three months ended December 31, 2006 was 16.3%, which is less than the increase in our total revenue in the three months ended December 31, 2006. As a percentage of revenue, cost of service was 63.0% in the three months ended December 31, 2006, compared to 63.7% in the three months ended December 31, 2005. Our cost of service and gross margin may vary depending on the types and geographic locations of projects that we undertake.</w:t>
      </w:r>
    </w:p>
    <w:p>
      <w:pPr>
        <w:spacing w:after="0" w:line="177"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RESEARCH AND DEVELOPMENT. Research and development expense is primarily comprised of compensation expense. Research and development expense increased by $17.4 million, or 40.3%, in the three months ended December 31, 2006 to $60.5 million from $43.1 million in the three months ended December 31, 2005. Research and development expense increased as a percentage of revenue from 7.3% in the three months ended December 31, 2005 to 8.7% in the three months ended December 31, 2006. The increase in research and development expense was attributable mainly to research and development activities related to our fiscal 2006 acquisitions, as well as to an increase in research and development efforts to support our growth strategy.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16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SELLING, GENERAL AND ADMINISTRATIVE. Selling, general and administrative expense increased by $10.6 million, or 13.5%, in the three months ended December 31, 2006 to $89.2 million, from $78.6 million in the three months ended December 31, 2005. Selling, general and administrative expense is primarily comprised of compensation expense. Despite the increase in selling, general and administrative expense related to acquisitions made during fiscal 2006, the total increase in the three months ended December 31, 2006 was less than the increase in our revenue which resulted in a decrease of selling, general and administrative expense as a percentage of total revenue.</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31" w:right="1440" w:bottom="1440" w:gutter="0" w:footer="0" w:header="0"/>
        </w:sectPr>
      </w:pPr>
    </w:p>
    <w:bookmarkStart w:id="26" w:name="page27"/>
    <w:bookmarkEnd w:id="26"/>
    <w:p>
      <w:pPr>
        <w:ind w:right="3119" w:firstLine="532"/>
        <w:spacing w:after="0"/>
        <w:rPr>
          <w:sz w:val="20"/>
          <w:szCs w:val="20"/>
          <w:color w:val="auto"/>
        </w:rPr>
      </w:pPr>
      <w:r>
        <w:rPr>
          <w:rFonts w:ascii="Courier New" w:cs="Courier New" w:eastAsia="Courier New" w:hAnsi="Courier New"/>
          <w:sz w:val="15"/>
          <w:szCs w:val="15"/>
          <w:color w:val="auto"/>
        </w:rPr>
        <w:t>AMORTIZATION OF PURCHASED INTANGIBLE ASSETS. Amortization of purchased intangible assets in the three months ended December 31, 2006 was $17.7 million, compared to $7.6 million in the three months ended December 31, 2005. The increase in amortization of purchased intangible assets was due to purchased intangible assets acquired in our fiscal 2006 acquisitions.</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OPERATING INCOME. Operating income increased by $4.8 million, or 5.8%, in the three months ended December 31, 2006, to $87.5 million, or 12.7% of revenue, from $82.7 million, or 14.1% of revenue, in the three months ended December 31, 2005. The decrease in operating income as a percentage of revenue was attributable to a 19.7% increase in operating expense which grew at a greater rate than the 17.7% increase in revenue during the three months ended December 31, 2006. The increase in operating expense is primarily attributable to the increases in amortization and operating expense related to our fiscal 2006 acquisitions offset by a decrease in our ongoing operating expenses.</w:t>
      </w:r>
    </w:p>
    <w:p>
      <w:pPr>
        <w:spacing w:after="0" w:line="177"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INTEREST INCOME AND OTHER, NET. Interest income and other, net increased by $3.3 million in the three months ended December 31, 2006 to $11.7 million from $8.4 million in the three months ended December 31, 2005. The increase in interest income and other, net, is primarily attributable to the impact of foreign exchange benefits as well as to the increase in market interest rates on our cash and short-term interest-bearing investments.</w:t>
      </w:r>
    </w:p>
    <w:p>
      <w:pPr>
        <w:spacing w:after="0" w:line="175"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INCOME TAXES. Income taxes for the three months ended December 31, 2006 were $5.9 million on pretax income of $99.2 million, resulting in an effective tax rate of 5.9% compared to 17.3% in the three months ended December 31, 2005. Of the reduction in our effective tax rate, approximately 9.5% was attributable to release of tax reserves as a result of the resolution of a prior year tax audit, as well as changes in the Company's tax reserves made in the ordinary course of business, approximately 4% was attributable to the net effect of acquisition-related costs and equity-based compensation expense and the remaining difference was primarily attributable to the geographical distribution of earnings from global operations. Our effective tax rate for fiscal year 2007 is expected to be between 10% to 14% on an annualized basis compared to 14.8% in fiscal year 2006. Our effective tax rate may fluctuate between quarters as a result of discrete items that may affect a specific quarter.</w:t>
      </w:r>
    </w:p>
    <w:p>
      <w:pPr>
        <w:spacing w:after="0" w:line="164" w:lineRule="exact"/>
        <w:rPr>
          <w:sz w:val="20"/>
          <w:szCs w:val="20"/>
          <w:color w:val="auto"/>
        </w:rPr>
      </w:pPr>
    </w:p>
    <w:p>
      <w:pPr>
        <w:ind w:right="3299" w:firstLine="532"/>
        <w:spacing w:after="0"/>
        <w:rPr>
          <w:sz w:val="20"/>
          <w:szCs w:val="20"/>
          <w:color w:val="auto"/>
        </w:rPr>
      </w:pPr>
      <w:r>
        <w:rPr>
          <w:rFonts w:ascii="Courier New" w:cs="Courier New" w:eastAsia="Courier New" w:hAnsi="Courier New"/>
          <w:sz w:val="15"/>
          <w:szCs w:val="15"/>
          <w:color w:val="auto"/>
        </w:rPr>
        <w:t>NET INCOME. Net income was $93.3 million in the three months ended December 31, 2006, compared to net income of $75.3 million in the three months ended December 31, 2005. The increase in net income is attributable to the increase in our operating income, the increase in interest income and other, net, and the decrease of our effective tax rate.</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DILUTED EARNINGS PER SHARE. Diluted earnings per share increased by $0.06, or 16.7%, in the three months ended December 31, 2006 to $0.42 from $0.36 in the three months ended December 31, 2005. The increase in diluted earnings per share resulted from the increase in net income, partially offset by the increase in diluted weighted average numbers of shares outstanding.</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Cash, cash equivalents and short-term interest-bearing investments totaled $1,018.5 million as of December 31, 2006, compared to $979.4 million as of September 30, 2006. The increase is mainly attributable to positive cash flows from operations of $99.1 million, proceeds from employee stock options exercised of $15.5 million, partially offset by $50.6 million of capital expenditures and $26.6 million cash paid for acquisitions. Net cash provided by operating activities amounted to $99.1 million and $83.5 million for the three months ended December 31, 2006 and 2005, respectively.</w:t>
      </w:r>
    </w:p>
    <w:p>
      <w:pPr>
        <w:spacing w:after="0" w:line="177" w:lineRule="exact"/>
        <w:rPr>
          <w:sz w:val="20"/>
          <w:szCs w:val="20"/>
          <w:color w:val="auto"/>
        </w:rPr>
      </w:pPr>
    </w:p>
    <w:p>
      <w:pPr>
        <w:ind w:right="3119" w:firstLine="532"/>
        <w:spacing w:after="0" w:line="262" w:lineRule="auto"/>
        <w:rPr>
          <w:sz w:val="20"/>
          <w:szCs w:val="20"/>
          <w:color w:val="auto"/>
        </w:rPr>
      </w:pPr>
      <w:r>
        <w:rPr>
          <w:rFonts w:ascii="Courier New" w:cs="Courier New" w:eastAsia="Courier New" w:hAnsi="Courier New"/>
          <w:sz w:val="14"/>
          <w:szCs w:val="14"/>
          <w:color w:val="auto"/>
        </w:rPr>
        <w:t>Our policy is to retain substantial cash balances in order to support the growth of the Company. We believe that our current cash balances, cash generated from operations and our current lines of credit will provide sufficient resources to meet our operational needs for at least the next fiscal year.</w:t>
      </w:r>
    </w:p>
    <w:p>
      <w:pPr>
        <w:spacing w:after="0" w:line="15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31" w:right="1440" w:bottom="1440" w:gutter="0" w:footer="0" w:header="0"/>
        </w:sectPr>
      </w:pPr>
    </w:p>
    <w:bookmarkStart w:id="27" w:name="page28"/>
    <w:bookmarkEnd w:id="27"/>
    <w:p>
      <w:pPr>
        <w:ind w:left="520"/>
        <w:spacing w:after="0"/>
        <w:rPr>
          <w:sz w:val="20"/>
          <w:szCs w:val="20"/>
          <w:color w:val="auto"/>
        </w:rPr>
      </w:pPr>
      <w:r>
        <w:rPr>
          <w:rFonts w:ascii="Courier New" w:cs="Courier New" w:eastAsia="Courier New" w:hAnsi="Courier New"/>
          <w:sz w:val="15"/>
          <w:szCs w:val="15"/>
          <w:color w:val="auto"/>
        </w:rPr>
        <w:t>As of December 31, 2006, $450.0 million and $0.2 million aggregate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amount of our 0.50% Convertible Senior Notes due 2024 and 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Notes due 2008 were outstanding, respectively. As of December 31,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2006, we had available short-term general revolving lines of credit totaling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$31.0 million, none of which was outstanding, and outstanding letters of credit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bank guarantees from various banks totaling $8.3 million. As of December 31,</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2006, we had outstanding short term loans totalling $1.8 million secured by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specified pledges and guaranties.</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We have contractual obligations for our convertible notes, financing arrangements and non-cancelable operating leases that were summarized in a table of contractual obligations in our Annual Report on Form 20-F for fiscal 2006. Since September 30, 2006, there have been no material changes in contractual obligations outside the ordinary course of our business.</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Our capital expenditures were approximately $50.6 million in the three months ended December 31, 2006. Approximately 55% of these expenditures consisted of purchases of computer equipment, and the remainder to leasehold improvements. The capital expenditures in the three months ended December 31, 2006 were mainly attributable to investments in our operating facilities and our development centers around the world. We funded our capital expenditures principally from operating cash flows. We do not anticipate any changes to this policy in the foreseeable future.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CURRENCY FLUCTUATIONS</w:t>
      </w:r>
    </w:p>
    <w:p>
      <w:pPr>
        <w:spacing w:after="0" w:line="174" w:lineRule="exact"/>
        <w:rPr>
          <w:sz w:val="20"/>
          <w:szCs w:val="20"/>
          <w:color w:val="auto"/>
        </w:rPr>
      </w:pPr>
    </w:p>
    <w:p>
      <w:pPr>
        <w:ind w:right="3119" w:firstLine="532"/>
        <w:spacing w:after="0" w:line="260" w:lineRule="auto"/>
        <w:rPr>
          <w:sz w:val="20"/>
          <w:szCs w:val="20"/>
          <w:color w:val="auto"/>
        </w:rPr>
      </w:pPr>
      <w:r>
        <w:rPr>
          <w:rFonts w:ascii="Courier New" w:cs="Courier New" w:eastAsia="Courier New" w:hAnsi="Courier New"/>
          <w:sz w:val="14"/>
          <w:szCs w:val="14"/>
          <w:color w:val="auto"/>
        </w:rPr>
        <w:t>We manage our foreign subsidiaries as integral direct components of our operations. The U.S. dollar is our functional currency. According to the salient economic factors indicated in SFAS No. 52, "Foreign Currency Translation", our cash flow, sale price, sales market, expense, financing and intercompany transactions and arrangement indicators are predominately denominated in the U.S. dollar. The operations of our foreign subsidiaries provide the same type of services with the same type of expenditure throughout the Amdocs group.</w:t>
      </w:r>
    </w:p>
    <w:p>
      <w:pPr>
        <w:spacing w:after="0" w:line="163"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During the three months ended December 31, 2006 and 2005, approximately 70% of our revenue and approximately 50% to 60% of our operating expenses were in U.S. dollars or linked to the U.S. dollar. As a result of long-term contracts in currencies other than the U.S. dollar and more customers seeking contracts that are denominated in currencies such as the Euro, the percentage of our revenue and operating expenses in U.S. dollar or linked to the U.S. dollar may decrease slightly over time. Historically, the effect of fluctuations in currency exchange rates on our consolidated operations was not material. As more of our customers seek contracts that are denominated in currencies other than the U.S. dollar, our exposure to fluctuations in currency exchange rates could increase.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28"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PART II OTHER INFORMATION</w:t>
      </w:r>
    </w:p>
    <w:p>
      <w:pPr>
        <w:spacing w:after="0" w:line="174"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ITEM 1. CHANGES IN SECURITIES, USE OF PROCEEDS AND ISSUER PURCHASES OF EQUITY SECURITIES.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28" w:right="1440" w:bottom="1440" w:gutter="0" w:footer="0" w:header="0"/>
        </w:sectPr>
      </w:pPr>
    </w:p>
    <w:bookmarkStart w:id="29" w:name="page30"/>
    <w:bookmarkEnd w:id="29"/>
    <w:p>
      <w:pPr>
        <w:ind w:left="9"/>
        <w:spacing w:after="0"/>
        <w:rPr>
          <w:sz w:val="20"/>
          <w:szCs w:val="20"/>
          <w:color w:val="auto"/>
        </w:rPr>
      </w:pPr>
      <w:r>
        <w:rPr>
          <w:rFonts w:ascii="Courier New" w:cs="Courier New" w:eastAsia="Courier New" w:hAnsi="Courier New"/>
          <w:sz w:val="15"/>
          <w:szCs w:val="15"/>
          <w:color w:val="auto"/>
        </w:rPr>
        <w:t>ITEM 2. REPORTS ON FORM 6-K</w:t>
      </w:r>
    </w:p>
    <w:p>
      <w:pPr>
        <w:spacing w:after="0" w:line="171" w:lineRule="exact"/>
        <w:rPr>
          <w:sz w:val="20"/>
          <w:szCs w:val="20"/>
          <w:color w:val="auto"/>
        </w:rPr>
      </w:pPr>
    </w:p>
    <w:p>
      <w:pPr>
        <w:ind w:left="529" w:hanging="529"/>
        <w:spacing w:after="0"/>
        <w:tabs>
          <w:tab w:leader="none" w:pos="52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6-K</w:t>
      </w:r>
    </w:p>
    <w:p>
      <w:pPr>
        <w:spacing w:after="0" w:line="174" w:lineRule="exact"/>
        <w:rPr>
          <w:rFonts w:ascii="Courier New" w:cs="Courier New" w:eastAsia="Courier New" w:hAnsi="Courier New"/>
          <w:sz w:val="15"/>
          <w:szCs w:val="15"/>
          <w:color w:val="auto"/>
        </w:rPr>
      </w:pPr>
    </w:p>
    <w:p>
      <w:pPr>
        <w:ind w:left="529" w:right="33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furnished or filed the following reports on Form 6-K during the three months ended December 31, 2006:</w:t>
      </w:r>
    </w:p>
    <w:p>
      <w:pPr>
        <w:spacing w:after="0" w:line="172" w:lineRule="exact"/>
        <w:rPr>
          <w:rFonts w:ascii="Courier New" w:cs="Courier New" w:eastAsia="Courier New" w:hAnsi="Courier New"/>
          <w:sz w:val="15"/>
          <w:szCs w:val="15"/>
          <w:color w:val="auto"/>
        </w:rPr>
      </w:pPr>
    </w:p>
    <w:p>
      <w:pPr>
        <w:ind w:left="1069" w:hanging="537"/>
        <w:spacing w:after="0"/>
        <w:tabs>
          <w:tab w:leader="none" w:pos="1069"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December 14, 2006.</w:t>
      </w:r>
    </w:p>
    <w:p>
      <w:pPr>
        <w:spacing w:after="0" w:line="171" w:lineRule="exact"/>
        <w:rPr>
          <w:rFonts w:ascii="Courier New" w:cs="Courier New" w:eastAsia="Courier New" w:hAnsi="Courier New"/>
          <w:sz w:val="15"/>
          <w:szCs w:val="15"/>
          <w:color w:val="auto"/>
        </w:rPr>
      </w:pPr>
    </w:p>
    <w:p>
      <w:pPr>
        <w:ind w:left="1069" w:hanging="537"/>
        <w:spacing w:after="0"/>
        <w:tabs>
          <w:tab w:leader="none" w:pos="1069"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December 13, 2006.</w:t>
      </w:r>
    </w:p>
    <w:p>
      <w:pPr>
        <w:spacing w:after="0" w:line="171" w:lineRule="exact"/>
        <w:rPr>
          <w:rFonts w:ascii="Courier New" w:cs="Courier New" w:eastAsia="Courier New" w:hAnsi="Courier New"/>
          <w:sz w:val="15"/>
          <w:szCs w:val="15"/>
          <w:color w:val="auto"/>
        </w:rPr>
      </w:pPr>
    </w:p>
    <w:p>
      <w:pPr>
        <w:ind w:left="1069" w:hanging="537"/>
        <w:spacing w:after="0"/>
        <w:tabs>
          <w:tab w:leader="none" w:pos="1069"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November 2, 2006.</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8"/>
          </w:cols>
          <w:pgMar w:left="231" w:top="628" w:right="1440" w:bottom="1440" w:gutter="0" w:footer="0" w:header="0"/>
        </w:sectPr>
      </w:pPr>
    </w:p>
    <w:bookmarkStart w:id="30" w:name="page31"/>
    <w:bookmarkEnd w:id="30"/>
    <w:p>
      <w:pPr>
        <w:ind w:left="3100"/>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jc w:val="both"/>
        <w:ind w:right="3839"/>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 Thomas G. O'Brien</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Thomas G. O'Brien</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Treasurer and Secretary</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Authorized U.S. Representative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February 6, 2007</w:t>
      </w:r>
    </w:p>
    <w:sectPr>
      <w:pgSz w:w="11900" w:h="16838" w:orient="portrait"/>
      <w:cols w:equalWidth="0" w:num="1">
        <w:col w:w="10219"/>
      </w:cols>
      <w:pgMar w:left="240" w:top="6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2"/>
    </w:lvl>
  </w:abstractNum>
  <w:abstractNum w:abstractNumId="2">
    <w:nsid w:val="1F16E9E8"/>
    <w:multiLevelType w:val="hybridMultilevel"/>
    <w:lvl w:ilvl="0">
      <w:lvlJc w:val="left"/>
      <w:lvlText w:val="%1."/>
      <w:numFmt w:val="decimal"/>
      <w:start w:val="3"/>
    </w:lvl>
  </w:abstractNum>
  <w:abstractNum w:abstractNumId="3">
    <w:nsid w:val="1190CDE7"/>
    <w:multiLevelType w:val="hybridMultilevel"/>
    <w:lvl w:ilvl="0">
      <w:lvlJc w:val="left"/>
      <w:lvlText w:val="%1."/>
      <w:numFmt w:val="decimal"/>
      <w:start w:val="4"/>
    </w:lvl>
  </w:abstractNum>
  <w:abstractNum w:abstractNumId="4">
    <w:nsid w:val="66EF438D"/>
    <w:multiLevelType w:val="hybridMultilevel"/>
    <w:lvl w:ilvl="0">
      <w:lvlJc w:val="left"/>
      <w:lvlText w:val="%1."/>
      <w:numFmt w:val="decimal"/>
      <w:start w:val="5"/>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6"/>
    </w:lvl>
  </w:abstractNum>
  <w:abstractNum w:abstractNumId="7">
    <w:nsid w:val="109CF92E"/>
    <w:multiLevelType w:val="hybridMultilevel"/>
    <w:lvl w:ilvl="0">
      <w:lvlJc w:val="left"/>
      <w:lvlText w:val="%1."/>
      <w:numFmt w:val="decimal"/>
      <w:start w:val="7"/>
    </w:lvl>
  </w:abstractNum>
  <w:abstractNum w:abstractNumId="8">
    <w:nsid w:val="DED7263"/>
    <w:multiLevelType w:val="hybridMultilevel"/>
    <w:lvl w:ilvl="0">
      <w:lvlJc w:val="left"/>
      <w:lvlText w:val="%1."/>
      <w:numFmt w:val="decimal"/>
      <w:start w:val="8"/>
    </w:lvl>
  </w:abstractNum>
  <w:abstractNum w:abstractNumId="9">
    <w:nsid w:val="7FDCC233"/>
    <w:multiLevelType w:val="hybridMultilevel"/>
    <w:lvl w:ilvl="0">
      <w:lvlJc w:val="left"/>
      <w:lvlText w:val="%1."/>
      <w:numFmt w:val="decimal"/>
      <w:start w:val="9"/>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0"/>
    </w:lvl>
  </w:abstractNum>
  <w:abstractNum w:abstractNumId="12">
    <w:nsid w:val="6B68079A"/>
    <w:multiLevelType w:val="hybridMultilevel"/>
    <w:lvl w:ilvl="0">
      <w:lvlJc w:val="left"/>
      <w:lvlText w:val="%1."/>
      <w:numFmt w:val="decimal"/>
      <w:start w:val="1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lvl w:ilvl="1">
      <w:lvlJc w:val="left"/>
      <w:lvlText w:val="-"/>
      <w:numFmt w:val="bullet"/>
      <w:start w:val="1"/>
    </w:lvl>
  </w:abstractNum>
  <w:abstractNum w:abstractNumId="16">
    <w:nsid w:val="431BD7B7"/>
    <w:multiLevelType w:val="hybridMultilevel"/>
    <w:lvl w:ilvl="0">
      <w:lvlJc w:val="left"/>
      <w:lvlText w:val="-"/>
      <w:numFmt w:val="bullet"/>
      <w:start w:val="1"/>
    </w:lvl>
    <w:lvl w:ilvl="1">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2019-12-14T21:11:43Z</dcterms:created>
  <dcterms:modified xsi:type="dcterms:W3CDTF">2019-12-14T21:11:43Z</dcterms:modified>
</cp:coreProperties>
</file>