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RULE 13a-16 OR 15d-16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 the month of November 2021</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171450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Hirzel House, Smith Street,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St. Peter Port, Island of Guernsey, GY1 2NG</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Amdocs,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1390 Timberlake Manor Parkway, Chesterfield, Missouri 63017</w:t>
      </w: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8" w:lineRule="exact"/>
        <w:rPr>
          <w:sz w:val="24"/>
          <w:szCs w:val="24"/>
          <w:color w:val="auto"/>
        </w:rPr>
      </w:pPr>
    </w:p>
    <w:p>
      <w:pPr>
        <w:ind w:left="840"/>
        <w:spacing w:after="0"/>
        <w:rPr>
          <w:sz w:val="20"/>
          <w:szCs w:val="20"/>
          <w:color w:val="auto"/>
        </w:rPr>
      </w:pPr>
      <w:r>
        <w:rPr>
          <w:rFonts w:ascii="Arial" w:cs="Arial" w:eastAsia="Arial" w:hAnsi="Arial"/>
          <w:sz w:val="12"/>
          <w:szCs w:val="12"/>
          <w:color w:val="auto"/>
        </w:rPr>
        <w:t>Indicate by check mark whether the registrant files or will file annual reports under cover of Form 20-F or Form 40-F:</w:t>
      </w:r>
    </w:p>
    <w:p>
      <w:pPr>
        <w:spacing w:after="0" w:line="128" w:lineRule="exact"/>
        <w:rPr>
          <w:sz w:val="24"/>
          <w:szCs w:val="24"/>
          <w:color w:val="auto"/>
        </w:rPr>
      </w:pPr>
    </w:p>
    <w:p>
      <w:pPr>
        <w:jc w:val="center"/>
        <w:ind w:right="19"/>
        <w:spacing w:after="0" w:line="138" w:lineRule="exact"/>
        <w:tabs>
          <w:tab w:leader="none" w:pos="340" w:val="left"/>
        </w:tabs>
        <w:rPr>
          <w:sz w:val="20"/>
          <w:szCs w:val="20"/>
          <w:color w:val="auto"/>
        </w:rPr>
      </w:pPr>
      <w:r>
        <w:rPr>
          <w:rFonts w:ascii="Arial" w:cs="Arial" w:eastAsia="Arial" w:hAnsi="Arial"/>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FORM 40-F </w:t>
      </w:r>
      <w:r>
        <w:rPr>
          <w:rFonts w:ascii="MS PGothic" w:cs="MS PGothic" w:eastAsia="MS PGothic" w:hAnsi="MS PGothic"/>
          <w:sz w:val="11"/>
          <w:szCs w:val="11"/>
          <w:color w:val="auto"/>
        </w:rPr>
        <w:t>☐</w:t>
      </w:r>
    </w:p>
    <w:p>
      <w:pPr>
        <w:spacing w:after="0" w:line="150"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50"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172" w:lineRule="exact"/>
        <w:rPr>
          <w:sz w:val="24"/>
          <w:szCs w:val="24"/>
          <w:color w:val="auto"/>
        </w:rPr>
      </w:pPr>
    </w:p>
    <w:p>
      <w:pPr>
        <w:ind w:left="840"/>
        <w:spacing w:after="0"/>
        <w:rPr>
          <w:sz w:val="20"/>
          <w:szCs w:val="20"/>
          <w:color w:val="auto"/>
        </w:rPr>
      </w:pPr>
      <w:r>
        <w:rPr>
          <w:rFonts w:ascii="Arial" w:cs="Arial" w:eastAsia="Arial" w:hAnsi="Arial"/>
          <w:sz w:val="11"/>
          <w:szCs w:val="11"/>
          <w:color w:val="auto"/>
        </w:rPr>
        <w:t>Indicate by check mark whether the registrant by furnishing the information contained in this form is also thereby furnishing the information to the</w:t>
      </w:r>
    </w:p>
    <w:p>
      <w:pPr>
        <w:spacing w:after="0" w:line="26" w:lineRule="exact"/>
        <w:rPr>
          <w:sz w:val="24"/>
          <w:szCs w:val="24"/>
          <w:color w:val="auto"/>
        </w:rPr>
      </w:pPr>
    </w:p>
    <w:p>
      <w:pPr>
        <w:ind w:left="840"/>
        <w:spacing w:after="0"/>
        <w:rPr>
          <w:sz w:val="20"/>
          <w:szCs w:val="20"/>
          <w:color w:val="auto"/>
        </w:rPr>
      </w:pPr>
      <w:r>
        <w:rPr>
          <w:rFonts w:ascii="Arial" w:cs="Arial" w:eastAsia="Arial" w:hAnsi="Arial"/>
          <w:sz w:val="12"/>
          <w:szCs w:val="12"/>
          <w:color w:val="auto"/>
        </w:rPr>
        <w:t>Commission pursuant to Rule 12g3-2(b) under the Securities Exchange Act of 1934:</w:t>
      </w:r>
    </w:p>
    <w:p>
      <w:pPr>
        <w:spacing w:after="0" w:line="119" w:lineRule="exact"/>
        <w:rPr>
          <w:sz w:val="24"/>
          <w:szCs w:val="24"/>
          <w:color w:val="auto"/>
        </w:rPr>
      </w:pPr>
    </w:p>
    <w:p>
      <w:pPr>
        <w:jc w:val="center"/>
        <w:spacing w:after="0" w:line="138" w:lineRule="exact"/>
        <w:tabs>
          <w:tab w:leader="none" w:pos="34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7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106680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135255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 w:name="page2"/>
    <w:bookmarkEnd w:id="1"/>
    <w:p>
      <w:pPr>
        <w:ind w:left="840" w:right="103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On November 5, 2021, Amdocs Limited (“Amdocs”) will host a live virtual Analyst &amp; Investor Update Event at 9:30 a.m. EDT. A copy of the presentation that will be provided during the event is attached hereto as Exhibit 99.1 and is incorporated by reference herein. The Analyst &amp; Investor Update Event will be webcast live on Amdocs’ website at </w:t>
      </w:r>
      <w:r>
        <w:rPr>
          <w:rFonts w:ascii="Arial" w:cs="Arial" w:eastAsia="Arial" w:hAnsi="Arial"/>
          <w:sz w:val="12"/>
          <w:szCs w:val="12"/>
          <w:u w:val="single" w:color="auto"/>
          <w:color w:val="auto"/>
        </w:rPr>
        <w:t>https://investors.amdocs.com/.</w:t>
      </w:r>
    </w:p>
    <w:p>
      <w:pPr>
        <w:spacing w:after="0" w:line="122" w:lineRule="exact"/>
        <w:rPr>
          <w:sz w:val="20"/>
          <w:szCs w:val="20"/>
          <w:color w:val="auto"/>
        </w:rPr>
      </w:pPr>
    </w:p>
    <w:p>
      <w:pPr>
        <w:ind w:left="840" w:right="919"/>
        <w:spacing w:after="0" w:line="263" w:lineRule="auto"/>
        <w:rPr>
          <w:sz w:val="20"/>
          <w:szCs w:val="20"/>
          <w:color w:val="auto"/>
        </w:rPr>
      </w:pPr>
      <w:r>
        <w:rPr>
          <w:rFonts w:ascii="Arial" w:cs="Arial" w:eastAsia="Arial" w:hAnsi="Arial"/>
          <w:sz w:val="12"/>
          <w:szCs w:val="12"/>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23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AMDOCS LIMITED</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Matthew E. Smith</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Secretary and Authorized Signatory</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November 5, 2021</w:t>
      </w:r>
    </w:p>
    <w:p>
      <w:pPr>
        <w:sectPr>
          <w:pgSz w:w="11900" w:h="16838" w:orient="portrait"/>
          <w:cols w:equalWidth="0" w:num="1">
            <w:col w:w="9019"/>
          </w:cols>
          <w:pgMar w:left="1440" w:top="226"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INDEX</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EXHIBIT</w:t>
      </w:r>
    </w:p>
    <w:p>
      <w:pPr>
        <w:ind w:left="980"/>
        <w:spacing w:after="0" w:line="236" w:lineRule="auto"/>
        <w:tabs>
          <w:tab w:leader="none" w:pos="1480" w:val="left"/>
        </w:tabs>
        <w:rPr>
          <w:sz w:val="20"/>
          <w:szCs w:val="20"/>
          <w:color w:val="auto"/>
        </w:rPr>
      </w:pPr>
      <w:r>
        <w:rPr>
          <w:rFonts w:ascii="Arial" w:cs="Arial" w:eastAsia="Arial" w:hAnsi="Arial"/>
          <w:sz w:val="10"/>
          <w:szCs w:val="10"/>
          <w:b w:val="1"/>
          <w:bCs w:val="1"/>
          <w:u w:val="single" w:color="auto"/>
          <w:color w:val="auto"/>
        </w:rPr>
        <w:t>NO.</w:t>
      </w:r>
      <w:r>
        <w:rPr>
          <w:sz w:val="20"/>
          <w:szCs w:val="20"/>
          <w:color w:val="auto"/>
        </w:rPr>
        <w:tab/>
      </w:r>
      <w:r>
        <w:rPr>
          <w:rFonts w:ascii="Arial" w:cs="Arial" w:eastAsia="Arial" w:hAnsi="Arial"/>
          <w:sz w:val="10"/>
          <w:szCs w:val="10"/>
          <w:b w:val="1"/>
          <w:bCs w:val="1"/>
          <w:u w:val="single" w:color="auto"/>
          <w:color w:val="auto"/>
        </w:rPr>
        <w:t>DESCRIPTION</w:t>
      </w:r>
    </w:p>
    <w:p>
      <w:pPr>
        <w:spacing w:after="0" w:line="63" w:lineRule="exact"/>
        <w:rPr>
          <w:sz w:val="20"/>
          <w:szCs w:val="20"/>
          <w:color w:val="auto"/>
        </w:rPr>
      </w:pPr>
    </w:p>
    <w:p>
      <w:pPr>
        <w:ind w:left="840"/>
        <w:spacing w:after="0"/>
        <w:tabs>
          <w:tab w:leader="none" w:pos="148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5">
        <w:r>
          <w:rPr>
            <w:rFonts w:ascii="Arial" w:cs="Arial" w:eastAsia="Arial" w:hAnsi="Arial"/>
            <w:sz w:val="10"/>
            <w:szCs w:val="10"/>
            <w:u w:val="single" w:color="auto"/>
            <w:color w:val="0000EE"/>
          </w:rPr>
          <w:t>Amdocs Analyst &amp; Investor Update Event dated November 5, 2021.</w:t>
        </w:r>
      </w:hyperlink>
    </w:p>
    <w:p>
      <w:pPr>
        <w:sectPr>
          <w:pgSz w:w="11900" w:h="16838" w:orient="portrait"/>
          <w:cols w:equalWidth="0" w:num="1">
            <w:col w:w="9019"/>
          </w:cols>
          <w:pgMar w:left="1440" w:top="230" w:right="1440" w:bottom="1440" w:gutter="0" w:footer="0" w:header="0"/>
        </w:sectPr>
      </w:pPr>
    </w:p>
    <w:bookmarkStart w:id="4" w:name="page5"/>
    <w:bookmarkEnd w:id="4"/>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tabs>
          <w:tab w:leader="none" w:pos="1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2021-11-05T05:36:06Z</dcterms:created>
  <dcterms:modified xsi:type="dcterms:W3CDTF">2021-11-05T05:36:06Z</dcterms:modified>
</cp:coreProperties>
</file>