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156210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159385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FOREIGN PRIVATE ISSUER</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RULE 13a-16 OR 15d-16</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For the month of November 2021</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160655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171450</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90"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Hirzel House, Smith Street,</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St. Peter Port, Island of Guernsey, GY1 2NG</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Amdocs,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1390 Timberlake Manor Parkway, Chesterfield, Missouri 63017</w:t>
      </w:r>
    </w:p>
    <w:p>
      <w:pPr>
        <w:jc w:val="center"/>
        <w:ind w:right="19"/>
        <w:spacing w:after="0"/>
        <w:rPr>
          <w:sz w:val="20"/>
          <w:szCs w:val="20"/>
          <w:color w:val="auto"/>
        </w:rPr>
      </w:pPr>
      <w:r>
        <w:rPr>
          <w:rFonts w:ascii="Arial" w:cs="Arial" w:eastAsia="Arial" w:hAnsi="Arial"/>
          <w:sz w:val="10"/>
          <w:szCs w:val="10"/>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142240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48" w:lineRule="exact"/>
        <w:rPr>
          <w:sz w:val="24"/>
          <w:szCs w:val="24"/>
          <w:color w:val="auto"/>
        </w:rPr>
      </w:pPr>
    </w:p>
    <w:p>
      <w:pPr>
        <w:ind w:left="840"/>
        <w:spacing w:after="0"/>
        <w:rPr>
          <w:sz w:val="20"/>
          <w:szCs w:val="20"/>
          <w:color w:val="auto"/>
        </w:rPr>
      </w:pPr>
      <w:r>
        <w:rPr>
          <w:rFonts w:ascii="Arial" w:cs="Arial" w:eastAsia="Arial" w:hAnsi="Arial"/>
          <w:sz w:val="12"/>
          <w:szCs w:val="12"/>
          <w:color w:val="auto"/>
        </w:rPr>
        <w:t>Indicate by check mark whether the registrant files or will file annual reports under cover of Form 20-F or Form 40-F:</w:t>
      </w:r>
    </w:p>
    <w:p>
      <w:pPr>
        <w:spacing w:after="0" w:line="128" w:lineRule="exact"/>
        <w:rPr>
          <w:sz w:val="24"/>
          <w:szCs w:val="24"/>
          <w:color w:val="auto"/>
        </w:rPr>
      </w:pPr>
    </w:p>
    <w:p>
      <w:pPr>
        <w:jc w:val="center"/>
        <w:ind w:right="19"/>
        <w:spacing w:after="0" w:line="138" w:lineRule="exact"/>
        <w:tabs>
          <w:tab w:leader="none" w:pos="340" w:val="left"/>
        </w:tabs>
        <w:rPr>
          <w:sz w:val="20"/>
          <w:szCs w:val="20"/>
          <w:color w:val="auto"/>
        </w:rPr>
      </w:pPr>
      <w:r>
        <w:rPr>
          <w:rFonts w:ascii="Arial" w:cs="Arial" w:eastAsia="Arial" w:hAnsi="Arial"/>
          <w:sz w:val="12"/>
          <w:szCs w:val="12"/>
          <w:color w:val="auto"/>
        </w:rPr>
        <w:t xml:space="preserve">FORM 20-F </w:t>
      </w:r>
      <w:r>
        <w:rPr>
          <w:rFonts w:ascii="MS PGothic" w:cs="MS PGothic" w:eastAsia="MS PGothic" w:hAnsi="MS PGothic"/>
          <w:sz w:val="12"/>
          <w:szCs w:val="12"/>
          <w:color w:val="auto"/>
        </w:rPr>
        <w:t>☒</w:t>
      </w:r>
      <w:r>
        <w:rPr>
          <w:sz w:val="20"/>
          <w:szCs w:val="20"/>
          <w:color w:val="auto"/>
        </w:rPr>
        <w:tab/>
      </w:r>
      <w:r>
        <w:rPr>
          <w:rFonts w:ascii="Arial" w:cs="Arial" w:eastAsia="Arial" w:hAnsi="Arial"/>
          <w:sz w:val="11"/>
          <w:szCs w:val="11"/>
          <w:color w:val="auto"/>
        </w:rPr>
        <w:t xml:space="preserve">FORM 40-F </w:t>
      </w:r>
      <w:r>
        <w:rPr>
          <w:rFonts w:ascii="MS PGothic" w:cs="MS PGothic" w:eastAsia="MS PGothic" w:hAnsi="MS PGothic"/>
          <w:sz w:val="11"/>
          <w:szCs w:val="11"/>
          <w:color w:val="auto"/>
        </w:rPr>
        <w:t>☐</w:t>
      </w:r>
    </w:p>
    <w:p>
      <w:pPr>
        <w:spacing w:after="0" w:line="150" w:lineRule="exact"/>
        <w:rPr>
          <w:sz w:val="24"/>
          <w:szCs w:val="24"/>
          <w:color w:val="auto"/>
        </w:rPr>
      </w:pPr>
    </w:p>
    <w:p>
      <w:pPr>
        <w:ind w:left="840"/>
        <w:spacing w:after="0" w:line="138" w:lineRule="exact"/>
        <w:rPr>
          <w:sz w:val="20"/>
          <w:szCs w:val="20"/>
          <w:color w:val="auto"/>
        </w:rPr>
      </w:pPr>
      <w:r>
        <w:rPr>
          <w:rFonts w:ascii="Arial" w:cs="Arial" w:eastAsia="Arial" w:hAnsi="Arial"/>
          <w:sz w:val="12"/>
          <w:szCs w:val="12"/>
          <w:color w:val="auto"/>
        </w:rPr>
        <w:t xml:space="preserve">Indicate by check mark if the registrant is submitting the Form 6-K in paper as permitted by Regulation S-T Rule 101(b)(1): </w:t>
      </w:r>
      <w:r>
        <w:rPr>
          <w:rFonts w:ascii="MS PGothic" w:cs="MS PGothic" w:eastAsia="MS PGothic" w:hAnsi="MS PGothic"/>
          <w:sz w:val="12"/>
          <w:szCs w:val="12"/>
          <w:color w:val="auto"/>
        </w:rPr>
        <w:t>☐</w:t>
      </w:r>
    </w:p>
    <w:p>
      <w:pPr>
        <w:spacing w:after="0" w:line="150" w:lineRule="exact"/>
        <w:rPr>
          <w:sz w:val="24"/>
          <w:szCs w:val="24"/>
          <w:color w:val="auto"/>
        </w:rPr>
      </w:pPr>
    </w:p>
    <w:p>
      <w:pPr>
        <w:ind w:left="840"/>
        <w:spacing w:after="0" w:line="138" w:lineRule="exact"/>
        <w:rPr>
          <w:sz w:val="20"/>
          <w:szCs w:val="20"/>
          <w:color w:val="auto"/>
        </w:rPr>
      </w:pPr>
      <w:r>
        <w:rPr>
          <w:rFonts w:ascii="Arial" w:cs="Arial" w:eastAsia="Arial" w:hAnsi="Arial"/>
          <w:sz w:val="12"/>
          <w:szCs w:val="12"/>
          <w:color w:val="auto"/>
        </w:rPr>
        <w:t xml:space="preserve">Indicate by check mark if the registrant is submitting the Form 6-K in paper as permitted by Regulation S-T Rule 101(b)(7): </w:t>
      </w:r>
      <w:r>
        <w:rPr>
          <w:rFonts w:ascii="MS PGothic" w:cs="MS PGothic" w:eastAsia="MS PGothic" w:hAnsi="MS PGothic"/>
          <w:sz w:val="12"/>
          <w:szCs w:val="12"/>
          <w:color w:val="auto"/>
        </w:rPr>
        <w:t>☐</w:t>
      </w:r>
    </w:p>
    <w:p>
      <w:pPr>
        <w:spacing w:after="0" w:line="172" w:lineRule="exact"/>
        <w:rPr>
          <w:sz w:val="24"/>
          <w:szCs w:val="24"/>
          <w:color w:val="auto"/>
        </w:rPr>
      </w:pPr>
    </w:p>
    <w:p>
      <w:pPr>
        <w:ind w:left="840"/>
        <w:spacing w:after="0"/>
        <w:rPr>
          <w:sz w:val="20"/>
          <w:szCs w:val="20"/>
          <w:color w:val="auto"/>
        </w:rPr>
      </w:pPr>
      <w:r>
        <w:rPr>
          <w:rFonts w:ascii="Arial" w:cs="Arial" w:eastAsia="Arial" w:hAnsi="Arial"/>
          <w:sz w:val="11"/>
          <w:szCs w:val="11"/>
          <w:color w:val="auto"/>
        </w:rPr>
        <w:t>Indicate by check mark whether the registrant by furnishing the information contained in this form is also thereby furnishing the information to the</w:t>
      </w:r>
    </w:p>
    <w:p>
      <w:pPr>
        <w:spacing w:after="0" w:line="26" w:lineRule="exact"/>
        <w:rPr>
          <w:sz w:val="24"/>
          <w:szCs w:val="24"/>
          <w:color w:val="auto"/>
        </w:rPr>
      </w:pPr>
    </w:p>
    <w:p>
      <w:pPr>
        <w:ind w:left="840"/>
        <w:spacing w:after="0"/>
        <w:rPr>
          <w:sz w:val="20"/>
          <w:szCs w:val="20"/>
          <w:color w:val="auto"/>
        </w:rPr>
      </w:pPr>
      <w:r>
        <w:rPr>
          <w:rFonts w:ascii="Arial" w:cs="Arial" w:eastAsia="Arial" w:hAnsi="Arial"/>
          <w:sz w:val="12"/>
          <w:szCs w:val="12"/>
          <w:color w:val="auto"/>
        </w:rPr>
        <w:t>Commission pursuant to Rule 12g3-2(b) under the Securities Exchange Act of 1934:</w:t>
      </w:r>
    </w:p>
    <w:p>
      <w:pPr>
        <w:spacing w:after="0" w:line="119" w:lineRule="exact"/>
        <w:rPr>
          <w:sz w:val="24"/>
          <w:szCs w:val="24"/>
          <w:color w:val="auto"/>
        </w:rPr>
      </w:pPr>
    </w:p>
    <w:p>
      <w:pPr>
        <w:jc w:val="center"/>
        <w:spacing w:after="0" w:line="138" w:lineRule="exact"/>
        <w:tabs>
          <w:tab w:leader="none" w:pos="340" w:val="left"/>
        </w:tabs>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72" w:lineRule="exact"/>
        <w:rPr>
          <w:sz w:val="24"/>
          <w:szCs w:val="24"/>
          <w:color w:val="auto"/>
        </w:rPr>
      </w:pPr>
    </w:p>
    <w:p>
      <w:pPr>
        <w:ind w:left="840"/>
        <w:spacing w:after="0"/>
        <w:rPr>
          <w:sz w:val="20"/>
          <w:szCs w:val="20"/>
          <w:color w:val="auto"/>
        </w:rPr>
      </w:pPr>
      <w:r>
        <w:rPr>
          <w:rFonts w:ascii="Arial" w:cs="Arial" w:eastAsia="Arial" w:hAnsi="Arial"/>
          <w:sz w:val="12"/>
          <w:szCs w:val="12"/>
          <w:color w:val="auto"/>
        </w:rPr>
        <w:t>If “Yes” is marked, indicate below the file number assigned to the registrant in connection with Rule 12g3-2(b): 82-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106680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135255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bookmarkStart w:id="1" w:name="page2"/>
    <w:bookmarkEnd w:id="1"/>
    <w:p>
      <w:pPr>
        <w:ind w:left="840" w:right="1139"/>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On November 2, 2021, Amdocs Limited (“Amdocs”) issued a press release announcing financial results for the quarter ended September 30, 2021. A copy of the press release and the accompanying presentation are furnished as Exhibits 99.1 and 99.2 to this Report of Foreign Private Issuer on Form 6-K.</w:t>
      </w:r>
    </w:p>
    <w:p>
      <w:pPr>
        <w:spacing w:after="0" w:line="122" w:lineRule="exact"/>
        <w:rPr>
          <w:sz w:val="20"/>
          <w:szCs w:val="20"/>
          <w:color w:val="auto"/>
        </w:rPr>
      </w:pPr>
    </w:p>
    <w:p>
      <w:pPr>
        <w:ind w:left="840" w:right="939"/>
        <w:spacing w:after="0" w:line="263" w:lineRule="auto"/>
        <w:rPr>
          <w:sz w:val="20"/>
          <w:szCs w:val="20"/>
          <w:color w:val="auto"/>
        </w:rPr>
      </w:pPr>
      <w:r>
        <w:rPr>
          <w:rFonts w:ascii="Arial" w:cs="Arial" w:eastAsia="Arial" w:hAnsi="Arial"/>
          <w:sz w:val="12"/>
          <w:szCs w:val="12"/>
          <w:color w:val="auto"/>
        </w:rPr>
        <w:t>The information in this Form 6-K (including Exhibits 99.1 and 99.2)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9019"/>
          </w:cols>
          <w:pgMar w:left="1440" w:top="230"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33"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AMDOCS LIMITED</w:t>
      </w: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9525</wp:posOffset>
            </wp:positionV>
            <wp:extent cx="170878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spacing w:after="0" w:line="4" w:lineRule="exact"/>
        <w:rPr>
          <w:sz w:val="20"/>
          <w:szCs w:val="20"/>
          <w:color w:val="auto"/>
        </w:rPr>
      </w:pPr>
    </w:p>
    <w:p>
      <w:pPr>
        <w:ind w:left="5480"/>
        <w:spacing w:after="0"/>
        <w:rPr>
          <w:sz w:val="20"/>
          <w:szCs w:val="20"/>
          <w:color w:val="auto"/>
        </w:rPr>
      </w:pPr>
      <w:r>
        <w:rPr>
          <w:rFonts w:ascii="Arial" w:cs="Arial" w:eastAsia="Arial" w:hAnsi="Arial"/>
          <w:sz w:val="12"/>
          <w:szCs w:val="12"/>
          <w:color w:val="auto"/>
        </w:rPr>
        <w:t>Matthew E. Smith</w:t>
      </w:r>
    </w:p>
    <w:p>
      <w:pPr>
        <w:spacing w:after="0" w:line="15" w:lineRule="exact"/>
        <w:rPr>
          <w:sz w:val="20"/>
          <w:szCs w:val="20"/>
          <w:color w:val="auto"/>
        </w:rPr>
      </w:pPr>
    </w:p>
    <w:p>
      <w:pPr>
        <w:ind w:left="5480"/>
        <w:spacing w:after="0"/>
        <w:rPr>
          <w:sz w:val="20"/>
          <w:szCs w:val="20"/>
          <w:color w:val="auto"/>
        </w:rPr>
      </w:pPr>
      <w:r>
        <w:rPr>
          <w:rFonts w:ascii="Arial" w:cs="Arial" w:eastAsia="Arial" w:hAnsi="Arial"/>
          <w:sz w:val="12"/>
          <w:szCs w:val="12"/>
          <w:i w:val="1"/>
          <w:iCs w:val="1"/>
          <w:color w:val="auto"/>
        </w:rPr>
        <w:t>Secretary and Authorized Signatory</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Date: November 2, 2021</w:t>
      </w:r>
    </w:p>
    <w:p>
      <w:pPr>
        <w:sectPr>
          <w:pgSz w:w="11900" w:h="16838" w:orient="portrait"/>
          <w:cols w:equalWidth="0" w:num="1">
            <w:col w:w="9019"/>
          </w:cols>
          <w:pgMar w:left="1440" w:top="226" w:right="1440" w:bottom="1440" w:gutter="0" w:footer="0" w:header="0"/>
        </w:sectPr>
      </w:pPr>
    </w:p>
    <w:bookmarkStart w:id="3" w:name="page4"/>
    <w:bookmarkEnd w:id="3"/>
    <w:tbl>
      <w:tblPr>
        <w:tblLayout w:type="fixed"/>
        <w:tblInd w:w="840" w:type="dxa"/>
        <w:tblCellMar>
          <w:top w:w="0" w:type="dxa"/>
          <w:left w:w="0" w:type="dxa"/>
          <w:bottom w:w="0" w:type="dxa"/>
          <w:right w:w="0" w:type="dxa"/>
        </w:tblCellMar>
      </w:tblPr>
      <w:tr>
        <w:trPr>
          <w:trHeight w:val="153"/>
        </w:trPr>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4680" w:type="dxa"/>
            <w:vAlign w:val="bottom"/>
            <w:gridSpan w:val="2"/>
          </w:tcPr>
          <w:p>
            <w:pPr>
              <w:ind w:left="560"/>
              <w:spacing w:after="0"/>
              <w:rPr>
                <w:sz w:val="20"/>
                <w:szCs w:val="20"/>
                <w:color w:val="auto"/>
              </w:rPr>
            </w:pPr>
            <w:r>
              <w:rPr>
                <w:rFonts w:ascii="Arial" w:cs="Arial" w:eastAsia="Arial" w:hAnsi="Arial"/>
                <w:sz w:val="12"/>
                <w:szCs w:val="12"/>
                <w:color w:val="auto"/>
              </w:rPr>
              <w:t>EXHIBIT INDEX</w:t>
            </w:r>
          </w:p>
        </w:tc>
        <w:tc>
          <w:tcPr>
            <w:tcW w:w="0" w:type="dxa"/>
            <w:vAlign w:val="bottom"/>
          </w:tcPr>
          <w:p>
            <w:pPr>
              <w:spacing w:after="0"/>
              <w:rPr>
                <w:sz w:val="1"/>
                <w:szCs w:val="1"/>
                <w:color w:val="auto"/>
              </w:rPr>
            </w:pPr>
          </w:p>
        </w:tc>
      </w:tr>
      <w:tr>
        <w:trPr>
          <w:trHeight w:val="247"/>
        </w:trPr>
        <w:tc>
          <w:tcPr>
            <w:tcW w:w="820" w:type="dxa"/>
            <w:vAlign w:val="bottom"/>
            <w:gridSpan w:val="2"/>
          </w:tcPr>
          <w:p>
            <w:pPr>
              <w:spacing w:after="0"/>
              <w:rPr>
                <w:sz w:val="20"/>
                <w:szCs w:val="20"/>
                <w:color w:val="auto"/>
              </w:rPr>
            </w:pPr>
            <w:r>
              <w:rPr>
                <w:rFonts w:ascii="Arial" w:cs="Arial" w:eastAsia="Arial" w:hAnsi="Arial"/>
                <w:sz w:val="10"/>
                <w:szCs w:val="10"/>
                <w:b w:val="1"/>
                <w:bCs w:val="1"/>
                <w:color w:val="auto"/>
              </w:rPr>
              <w:t>EXHIBIT</w:t>
            </w:r>
          </w:p>
        </w:tc>
        <w:tc>
          <w:tcPr>
            <w:tcW w:w="652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13"/>
        </w:trPr>
        <w:tc>
          <w:tcPr>
            <w:tcW w:w="820" w:type="dxa"/>
            <w:vAlign w:val="bottom"/>
            <w:gridSpan w:val="2"/>
          </w:tcPr>
          <w:p>
            <w:pPr>
              <w:ind w:left="120"/>
              <w:spacing w:after="0" w:line="114" w:lineRule="exact"/>
              <w:rPr>
                <w:sz w:val="20"/>
                <w:szCs w:val="20"/>
                <w:color w:val="auto"/>
              </w:rPr>
            </w:pPr>
            <w:r>
              <w:rPr>
                <w:rFonts w:ascii="Arial" w:cs="Arial" w:eastAsia="Arial" w:hAnsi="Arial"/>
                <w:sz w:val="10"/>
                <w:szCs w:val="10"/>
                <w:b w:val="1"/>
                <w:bCs w:val="1"/>
                <w:color w:val="auto"/>
              </w:rPr>
              <w:t>NO.</w:t>
            </w:r>
          </w:p>
        </w:tc>
        <w:tc>
          <w:tcPr>
            <w:tcW w:w="65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4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99.1</w:t>
            </w:r>
          </w:p>
        </w:tc>
        <w:tc>
          <w:tcPr>
            <w:tcW w:w="420" w:type="dxa"/>
            <w:vAlign w:val="bottom"/>
          </w:tcPr>
          <w:p>
            <w:pPr>
              <w:spacing w:after="0"/>
              <w:rPr>
                <w:sz w:val="14"/>
                <w:szCs w:val="14"/>
                <w:color w:val="auto"/>
              </w:rPr>
            </w:pPr>
          </w:p>
        </w:tc>
        <w:tc>
          <w:tcPr>
            <w:tcW w:w="6520" w:type="dxa"/>
            <w:vAlign w:val="bottom"/>
            <w:tcBorders>
              <w:top w:val="single" w:sz="8" w:color="auto"/>
            </w:tcBorders>
            <w:gridSpan w:val="3"/>
          </w:tcPr>
          <w:p>
            <w:pPr>
              <w:spacing w:after="0"/>
              <w:rPr>
                <w:rFonts w:ascii="Arial" w:cs="Arial" w:eastAsia="Arial" w:hAnsi="Arial"/>
                <w:sz w:val="12"/>
                <w:szCs w:val="12"/>
                <w:color w:val="0000EE"/>
              </w:rPr>
            </w:pPr>
            <w:hyperlink w:anchor="page5">
              <w:r>
                <w:rPr>
                  <w:rFonts w:ascii="Arial" w:cs="Arial" w:eastAsia="Arial" w:hAnsi="Arial"/>
                  <w:sz w:val="12"/>
                  <w:szCs w:val="12"/>
                  <w:color w:val="0000EE"/>
                </w:rPr>
                <w:t>Amdocs Limited Press Release dated November 2, 2021.</w:t>
              </w:r>
            </w:hyperlink>
          </w:p>
        </w:tc>
        <w:tc>
          <w:tcPr>
            <w:tcW w:w="0" w:type="dxa"/>
            <w:vAlign w:val="bottom"/>
          </w:tcPr>
          <w:p>
            <w:pPr>
              <w:spacing w:after="0"/>
              <w:rPr>
                <w:sz w:val="1"/>
                <w:szCs w:val="1"/>
                <w:color w:val="auto"/>
              </w:rPr>
            </w:pPr>
          </w:p>
        </w:tc>
      </w:tr>
      <w:tr>
        <w:trPr>
          <w:trHeight w:val="196"/>
        </w:trPr>
        <w:tc>
          <w:tcPr>
            <w:tcW w:w="400" w:type="dxa"/>
            <w:vAlign w:val="bottom"/>
          </w:tcPr>
          <w:p>
            <w:pPr>
              <w:spacing w:after="0"/>
              <w:rPr>
                <w:sz w:val="20"/>
                <w:szCs w:val="20"/>
                <w:color w:val="auto"/>
              </w:rPr>
            </w:pPr>
            <w:r>
              <w:rPr>
                <w:rFonts w:ascii="Arial" w:cs="Arial" w:eastAsia="Arial" w:hAnsi="Arial"/>
                <w:sz w:val="12"/>
                <w:szCs w:val="12"/>
                <w:color w:val="auto"/>
              </w:rPr>
              <w:t>99.2</w:t>
            </w:r>
          </w:p>
        </w:tc>
        <w:tc>
          <w:tcPr>
            <w:tcW w:w="420" w:type="dxa"/>
            <w:vAlign w:val="bottom"/>
          </w:tcPr>
          <w:p>
            <w:pPr>
              <w:spacing w:after="0"/>
              <w:rPr>
                <w:sz w:val="17"/>
                <w:szCs w:val="17"/>
                <w:color w:val="auto"/>
              </w:rPr>
            </w:pPr>
          </w:p>
        </w:tc>
        <w:tc>
          <w:tcPr>
            <w:tcW w:w="2740" w:type="dxa"/>
            <w:vAlign w:val="bottom"/>
            <w:tcBorders>
              <w:top w:val="single" w:sz="8" w:color="0000EE"/>
            </w:tcBorders>
            <w:gridSpan w:val="2"/>
          </w:tcPr>
          <w:p>
            <w:pPr>
              <w:spacing w:after="0"/>
              <w:rPr>
                <w:rFonts w:ascii="Arial" w:cs="Arial" w:eastAsia="Arial" w:hAnsi="Arial"/>
                <w:sz w:val="12"/>
                <w:szCs w:val="12"/>
                <w:color w:val="0000EE"/>
              </w:rPr>
            </w:pPr>
            <w:hyperlink w:anchor="page22">
              <w:r>
                <w:rPr>
                  <w:rFonts w:ascii="Arial" w:cs="Arial" w:eastAsia="Arial" w:hAnsi="Arial"/>
                  <w:sz w:val="12"/>
                  <w:szCs w:val="12"/>
                  <w:color w:val="0000EE"/>
                </w:rPr>
                <w:t>Fiscal Q4 2021 Earnings Presentation.</w:t>
              </w:r>
            </w:hyperlink>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9019"/>
          </w:cols>
          <w:pgMar w:left="1440" w:top="230" w:right="1440" w:bottom="1440" w:gutter="0" w:footer="0" w:header="0"/>
        </w:sect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bookmarkStart w:id="4" w:name="page5"/>
    <w:bookmarkEnd w:id="4"/>
    <w:p>
      <w:pPr>
        <w:jc w:val="right"/>
        <w:ind w:right="839"/>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4037330</wp:posOffset>
            </wp:positionH>
            <wp:positionV relativeFrom="paragraph">
              <wp:posOffset>114935</wp:posOffset>
            </wp:positionV>
            <wp:extent cx="115443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5443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Amdocs Limited Reports Fourth Quarter &amp; Full Year Fiscal 2021 Results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Record Fiscal 2021 Revenue of $4.3 Billion, up 7.0% YoY</w:t>
      </w:r>
      <w:r>
        <w:rPr>
          <w:rFonts w:ascii="Arial" w:cs="Arial" w:eastAsia="Arial" w:hAnsi="Arial"/>
          <w:sz w:val="10"/>
          <w:szCs w:val="10"/>
          <w:i w:val="1"/>
          <w:iCs w:val="1"/>
          <w:color w:val="auto"/>
        </w:rPr>
        <w:t>(2)(3)</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Record 12-Month Backlog of $3.7 Billion, up 10.5% YoY</w:t>
      </w:r>
      <w:r>
        <w:rPr>
          <w:rFonts w:ascii="Arial" w:cs="Arial" w:eastAsia="Arial" w:hAnsi="Arial"/>
          <w:sz w:val="10"/>
          <w:szCs w:val="10"/>
          <w:i w:val="1"/>
          <w:iCs w:val="1"/>
          <w:color w:val="auto"/>
        </w:rPr>
        <w:t>(2)</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Issues Fiscal 2022 Guidance for Expected Revenue Growth Acceleration</w:t>
      </w:r>
    </w:p>
    <w:p>
      <w:pPr>
        <w:spacing w:after="0" w:line="20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Full Year Fiscal 2021 Highlights</w:t>
      </w:r>
    </w:p>
    <w:p>
      <w:pPr>
        <w:spacing w:after="0" w:line="154" w:lineRule="exact"/>
        <w:rPr>
          <w:sz w:val="20"/>
          <w:szCs w:val="20"/>
          <w:color w:val="auto"/>
        </w:rPr>
      </w:pPr>
    </w:p>
    <w:p>
      <w:pPr>
        <w:ind w:left="840"/>
        <w:spacing w:after="0"/>
        <w:rPr>
          <w:sz w:val="20"/>
          <w:szCs w:val="20"/>
          <w:color w:val="auto"/>
        </w:rPr>
      </w:pPr>
      <w:r>
        <w:rPr>
          <w:rFonts w:ascii="Arial" w:cs="Arial" w:eastAsia="Arial" w:hAnsi="Arial"/>
          <w:sz w:val="12"/>
          <w:szCs w:val="12"/>
          <w:i w:val="1"/>
          <w:iCs w:val="1"/>
          <w:color w:val="auto"/>
        </w:rPr>
        <w:t>(All comparisons are against the prior year)</w:t>
      </w:r>
    </w:p>
    <w:p>
      <w:pPr>
        <w:spacing w:after="0" w:line="87" w:lineRule="exact"/>
        <w:rPr>
          <w:sz w:val="20"/>
          <w:szCs w:val="20"/>
          <w:color w:val="auto"/>
        </w:rPr>
      </w:pPr>
    </w:p>
    <w:p>
      <w:pPr>
        <w:ind w:left="1480" w:right="1159" w:hanging="288"/>
        <w:spacing w:after="0" w:line="276" w:lineRule="auto"/>
        <w:tabs>
          <w:tab w:leader="none" w:pos="1480" w:val="left"/>
        </w:tabs>
        <w:numPr>
          <w:ilvl w:val="1"/>
          <w:numId w:val="1"/>
        </w:numPr>
        <w:rPr>
          <w:rFonts w:ascii="Arial" w:cs="Arial" w:eastAsia="Arial" w:hAnsi="Arial"/>
          <w:sz w:val="12"/>
          <w:szCs w:val="12"/>
          <w:color w:val="auto"/>
        </w:rPr>
      </w:pPr>
      <w:r>
        <w:rPr>
          <w:rFonts w:ascii="Arial" w:cs="Arial" w:eastAsia="Arial" w:hAnsi="Arial"/>
          <w:sz w:val="12"/>
          <w:szCs w:val="12"/>
          <w:color w:val="auto"/>
        </w:rPr>
        <w:t>Record revenue of $4,289 million, up 7.0% on a pro forma</w:t>
      </w:r>
      <w:r>
        <w:rPr>
          <w:rFonts w:ascii="Arial" w:cs="Arial" w:eastAsia="Arial" w:hAnsi="Arial"/>
          <w:sz w:val="10"/>
          <w:szCs w:val="10"/>
          <w:color w:val="auto"/>
        </w:rPr>
        <w:t>(2)</w:t>
      </w:r>
      <w:r>
        <w:rPr>
          <w:rFonts w:ascii="Arial" w:cs="Arial" w:eastAsia="Arial" w:hAnsi="Arial"/>
          <w:sz w:val="12"/>
          <w:szCs w:val="12"/>
          <w:color w:val="auto"/>
        </w:rPr>
        <w:t xml:space="preserve"> basis in constant currency</w:t>
      </w:r>
      <w:r>
        <w:rPr>
          <w:rFonts w:ascii="Arial" w:cs="Arial" w:eastAsia="Arial" w:hAnsi="Arial"/>
          <w:sz w:val="10"/>
          <w:szCs w:val="10"/>
          <w:color w:val="auto"/>
        </w:rPr>
        <w:t>(3)</w:t>
      </w:r>
      <w:r>
        <w:rPr>
          <w:rFonts w:ascii="Arial" w:cs="Arial" w:eastAsia="Arial" w:hAnsi="Arial"/>
          <w:sz w:val="12"/>
          <w:szCs w:val="12"/>
          <w:color w:val="auto"/>
        </w:rPr>
        <w:t xml:space="preserve"> and up 2.9% as reported, including record revenue of $2,791 million in North America</w:t>
      </w:r>
    </w:p>
    <w:p>
      <w:pPr>
        <w:spacing w:after="0" w:line="51" w:lineRule="exact"/>
        <w:rPr>
          <w:rFonts w:ascii="Arial" w:cs="Arial" w:eastAsia="Arial" w:hAnsi="Arial"/>
          <w:sz w:val="12"/>
          <w:szCs w:val="12"/>
          <w:color w:val="auto"/>
        </w:rPr>
      </w:pPr>
    </w:p>
    <w:p>
      <w:pPr>
        <w:ind w:left="1480" w:hanging="288"/>
        <w:spacing w:after="0"/>
        <w:tabs>
          <w:tab w:leader="none" w:pos="1480" w:val="left"/>
        </w:tabs>
        <w:numPr>
          <w:ilvl w:val="1"/>
          <w:numId w:val="1"/>
        </w:numPr>
        <w:rPr>
          <w:rFonts w:ascii="Arial" w:cs="Arial" w:eastAsia="Arial" w:hAnsi="Arial"/>
          <w:sz w:val="12"/>
          <w:szCs w:val="12"/>
          <w:color w:val="auto"/>
        </w:rPr>
      </w:pPr>
      <w:r>
        <w:rPr>
          <w:rFonts w:ascii="Arial" w:cs="Arial" w:eastAsia="Arial" w:hAnsi="Arial"/>
          <w:sz w:val="12"/>
          <w:szCs w:val="12"/>
          <w:color w:val="auto"/>
        </w:rPr>
        <w:t>GAAP diluted EPS of $5.32, up 43.4% as reported including a gain from previously announced divestiture of OpenMarket</w:t>
      </w:r>
    </w:p>
    <w:p>
      <w:pPr>
        <w:spacing w:after="0" w:line="87" w:lineRule="exact"/>
        <w:rPr>
          <w:rFonts w:ascii="Arial" w:cs="Arial" w:eastAsia="Arial" w:hAnsi="Arial"/>
          <w:sz w:val="12"/>
          <w:szCs w:val="12"/>
          <w:color w:val="auto"/>
        </w:rPr>
      </w:pPr>
    </w:p>
    <w:p>
      <w:pPr>
        <w:ind w:left="1480" w:hanging="288"/>
        <w:spacing w:after="0"/>
        <w:tabs>
          <w:tab w:leader="none" w:pos="1480" w:val="left"/>
        </w:tabs>
        <w:numPr>
          <w:ilvl w:val="1"/>
          <w:numId w:val="1"/>
        </w:numPr>
        <w:rPr>
          <w:rFonts w:ascii="Arial" w:cs="Arial" w:eastAsia="Arial" w:hAnsi="Arial"/>
          <w:sz w:val="12"/>
          <w:szCs w:val="12"/>
          <w:color w:val="auto"/>
        </w:rPr>
      </w:pPr>
      <w:r>
        <w:rPr>
          <w:rFonts w:ascii="Arial" w:cs="Arial" w:eastAsia="Arial" w:hAnsi="Arial"/>
          <w:sz w:val="12"/>
          <w:szCs w:val="12"/>
          <w:color w:val="auto"/>
        </w:rPr>
        <w:t>Non-GAAP diluted EPS of $4.81, up 9.8% on a pro forma</w:t>
      </w:r>
      <w:r>
        <w:rPr>
          <w:rFonts w:ascii="Arial" w:cs="Arial" w:eastAsia="Arial" w:hAnsi="Arial"/>
          <w:sz w:val="10"/>
          <w:szCs w:val="10"/>
          <w:color w:val="auto"/>
        </w:rPr>
        <w:t>(2)</w:t>
      </w:r>
      <w:r>
        <w:rPr>
          <w:rFonts w:ascii="Arial" w:cs="Arial" w:eastAsia="Arial" w:hAnsi="Arial"/>
          <w:sz w:val="12"/>
          <w:szCs w:val="12"/>
          <w:color w:val="auto"/>
        </w:rPr>
        <w:t xml:space="preserve"> basis and 8.3% as reported</w:t>
      </w:r>
    </w:p>
    <w:p>
      <w:pPr>
        <w:spacing w:after="0" w:line="87" w:lineRule="exact"/>
        <w:rPr>
          <w:rFonts w:ascii="Arial" w:cs="Arial" w:eastAsia="Arial" w:hAnsi="Arial"/>
          <w:sz w:val="12"/>
          <w:szCs w:val="12"/>
          <w:color w:val="auto"/>
        </w:rPr>
      </w:pPr>
    </w:p>
    <w:p>
      <w:pPr>
        <w:ind w:left="1480" w:right="1499" w:hanging="288"/>
        <w:spacing w:after="0" w:line="276" w:lineRule="auto"/>
        <w:tabs>
          <w:tab w:leader="none" w:pos="1480" w:val="left"/>
        </w:tabs>
        <w:numPr>
          <w:ilvl w:val="1"/>
          <w:numId w:val="1"/>
        </w:numPr>
        <w:rPr>
          <w:rFonts w:ascii="Arial" w:cs="Arial" w:eastAsia="Arial" w:hAnsi="Arial"/>
          <w:sz w:val="12"/>
          <w:szCs w:val="12"/>
          <w:color w:val="auto"/>
        </w:rPr>
      </w:pPr>
      <w:r>
        <w:rPr>
          <w:rFonts w:ascii="Arial" w:cs="Arial" w:eastAsia="Arial" w:hAnsi="Arial"/>
          <w:sz w:val="12"/>
          <w:szCs w:val="12"/>
          <w:color w:val="auto"/>
        </w:rPr>
        <w:t>Free cash flow of $715 million, reflecting record-high annual cash collections, and comprised of cash flow from operations of $926 million, less $210 million in net capital expenditures and other</w:t>
      </w:r>
      <w:r>
        <w:rPr>
          <w:rFonts w:ascii="Arial" w:cs="Arial" w:eastAsia="Arial" w:hAnsi="Arial"/>
          <w:sz w:val="10"/>
          <w:szCs w:val="10"/>
          <w:color w:val="auto"/>
        </w:rPr>
        <w:t>(1)</w:t>
      </w:r>
    </w:p>
    <w:p>
      <w:pPr>
        <w:spacing w:after="0" w:line="51" w:lineRule="exact"/>
        <w:rPr>
          <w:rFonts w:ascii="Arial" w:cs="Arial" w:eastAsia="Arial" w:hAnsi="Arial"/>
          <w:sz w:val="12"/>
          <w:szCs w:val="12"/>
          <w:color w:val="auto"/>
        </w:rPr>
      </w:pPr>
    </w:p>
    <w:p>
      <w:pPr>
        <w:ind w:left="1480" w:hanging="288"/>
        <w:spacing w:after="0"/>
        <w:tabs>
          <w:tab w:leader="none" w:pos="1480" w:val="left"/>
        </w:tabs>
        <w:numPr>
          <w:ilvl w:val="1"/>
          <w:numId w:val="1"/>
        </w:numPr>
        <w:rPr>
          <w:rFonts w:ascii="Arial" w:cs="Arial" w:eastAsia="Arial" w:hAnsi="Arial"/>
          <w:sz w:val="11"/>
          <w:szCs w:val="11"/>
          <w:color w:val="auto"/>
        </w:rPr>
      </w:pPr>
      <w:r>
        <w:rPr>
          <w:rFonts w:ascii="Arial" w:cs="Arial" w:eastAsia="Arial" w:hAnsi="Arial"/>
          <w:sz w:val="11"/>
          <w:szCs w:val="11"/>
          <w:color w:val="auto"/>
        </w:rPr>
        <w:t>Record normalized free cash flow of $869 million</w:t>
      </w:r>
      <w:r>
        <w:rPr>
          <w:rFonts w:ascii="Arial" w:cs="Arial" w:eastAsia="Arial" w:hAnsi="Arial"/>
          <w:sz w:val="9"/>
          <w:szCs w:val="9"/>
          <w:color w:val="auto"/>
        </w:rPr>
        <w:t>(1)</w:t>
      </w:r>
      <w:r>
        <w:rPr>
          <w:rFonts w:ascii="Arial" w:cs="Arial" w:eastAsia="Arial" w:hAnsi="Arial"/>
          <w:sz w:val="11"/>
          <w:szCs w:val="11"/>
          <w:color w:val="auto"/>
        </w:rPr>
        <w:t>, equating to a conversion rate of roughly 140% compared to non-GAAP net income</w:t>
      </w:r>
    </w:p>
    <w:p>
      <w:pPr>
        <w:spacing w:after="0" w:line="98" w:lineRule="exact"/>
        <w:rPr>
          <w:rFonts w:ascii="Arial" w:cs="Arial" w:eastAsia="Arial" w:hAnsi="Arial"/>
          <w:sz w:val="11"/>
          <w:szCs w:val="11"/>
          <w:color w:val="auto"/>
        </w:rPr>
      </w:pPr>
    </w:p>
    <w:p>
      <w:pPr>
        <w:ind w:left="1480" w:right="859" w:hanging="288"/>
        <w:spacing w:after="0" w:line="276" w:lineRule="auto"/>
        <w:tabs>
          <w:tab w:leader="none" w:pos="1480" w:val="left"/>
        </w:tabs>
        <w:numPr>
          <w:ilvl w:val="1"/>
          <w:numId w:val="1"/>
        </w:numPr>
        <w:rPr>
          <w:rFonts w:ascii="Arial" w:cs="Arial" w:eastAsia="Arial" w:hAnsi="Arial"/>
          <w:sz w:val="12"/>
          <w:szCs w:val="12"/>
          <w:color w:val="auto"/>
        </w:rPr>
      </w:pPr>
      <w:r>
        <w:rPr>
          <w:rFonts w:ascii="Arial" w:cs="Arial" w:eastAsia="Arial" w:hAnsi="Arial"/>
          <w:sz w:val="12"/>
          <w:szCs w:val="12"/>
          <w:color w:val="auto"/>
        </w:rPr>
        <w:t>Record twelve-month backlog of $3.69 billion, up approximately $100 million sequentially; on a pro forma</w:t>
      </w:r>
      <w:r>
        <w:rPr>
          <w:rFonts w:ascii="Arial" w:cs="Arial" w:eastAsia="Arial" w:hAnsi="Arial"/>
          <w:sz w:val="10"/>
          <w:szCs w:val="10"/>
          <w:color w:val="auto"/>
        </w:rPr>
        <w:t>(2)</w:t>
      </w:r>
      <w:r>
        <w:rPr>
          <w:rFonts w:ascii="Arial" w:cs="Arial" w:eastAsia="Arial" w:hAnsi="Arial"/>
          <w:sz w:val="12"/>
          <w:szCs w:val="12"/>
          <w:color w:val="auto"/>
        </w:rPr>
        <w:t xml:space="preserve"> basis, twelve-month backlog was up 10.5% as compared to last year’s fourth fiscal quarter</w:t>
      </w:r>
    </w:p>
    <w:p>
      <w:pPr>
        <w:spacing w:after="0" w:line="51" w:lineRule="exact"/>
        <w:rPr>
          <w:rFonts w:ascii="Arial" w:cs="Arial" w:eastAsia="Arial" w:hAnsi="Arial"/>
          <w:sz w:val="12"/>
          <w:szCs w:val="12"/>
          <w:color w:val="auto"/>
        </w:rPr>
      </w:pPr>
    </w:p>
    <w:p>
      <w:pPr>
        <w:ind w:left="1120" w:hanging="288"/>
        <w:spacing w:after="0"/>
        <w:tabs>
          <w:tab w:leader="none" w:pos="1120" w:val="left"/>
        </w:tabs>
        <w:numPr>
          <w:ilvl w:val="0"/>
          <w:numId w:val="1"/>
        </w:numPr>
        <w:rPr>
          <w:rFonts w:ascii="Arial" w:cs="Arial" w:eastAsia="Arial" w:hAnsi="Arial"/>
          <w:sz w:val="12"/>
          <w:szCs w:val="12"/>
          <w:color w:val="auto"/>
        </w:rPr>
      </w:pPr>
      <w:r>
        <w:rPr>
          <w:rFonts w:ascii="Arial" w:cs="Arial" w:eastAsia="Arial" w:hAnsi="Arial"/>
          <w:sz w:val="12"/>
          <w:szCs w:val="12"/>
          <w:color w:val="auto"/>
        </w:rPr>
        <w:t>Please refer to the Selected Financial Metrics tables below (figures may not sum because of rounding).</w:t>
      </w:r>
    </w:p>
    <w:p>
      <w:pPr>
        <w:spacing w:after="0" w:line="14" w:lineRule="exact"/>
        <w:rPr>
          <w:rFonts w:ascii="Arial" w:cs="Arial" w:eastAsia="Arial" w:hAnsi="Arial"/>
          <w:sz w:val="12"/>
          <w:szCs w:val="12"/>
          <w:color w:val="auto"/>
        </w:rPr>
      </w:pPr>
    </w:p>
    <w:p>
      <w:pPr>
        <w:ind w:left="1120" w:right="919" w:hanging="288"/>
        <w:spacing w:after="0" w:line="250" w:lineRule="auto"/>
        <w:tabs>
          <w:tab w:leader="none" w:pos="1120" w:val="left"/>
        </w:tabs>
        <w:numPr>
          <w:ilvl w:val="0"/>
          <w:numId w:val="1"/>
        </w:numPr>
        <w:rPr>
          <w:rFonts w:ascii="Arial" w:cs="Arial" w:eastAsia="Arial" w:hAnsi="Arial"/>
          <w:sz w:val="12"/>
          <w:szCs w:val="12"/>
          <w:color w:val="auto"/>
        </w:rPr>
      </w:pPr>
      <w:r>
        <w:rPr>
          <w:rFonts w:ascii="Arial" w:cs="Arial" w:eastAsia="Arial" w:hAnsi="Arial"/>
          <w:sz w:val="12"/>
          <w:szCs w:val="12"/>
          <w:color w:val="auto"/>
        </w:rPr>
        <w:t>Pro forma growth rate excludes the financial impact of OpenMarket (which was divested on December 31, 2020) from the current fiscal year and comparable fiscal year</w:t>
      </w:r>
    </w:p>
    <w:p>
      <w:pPr>
        <w:ind w:left="1120" w:hanging="288"/>
        <w:spacing w:after="0"/>
        <w:tabs>
          <w:tab w:leader="none" w:pos="1120" w:val="left"/>
        </w:tabs>
        <w:numPr>
          <w:ilvl w:val="0"/>
          <w:numId w:val="1"/>
        </w:numPr>
        <w:rPr>
          <w:rFonts w:ascii="Arial" w:cs="Arial" w:eastAsia="Arial" w:hAnsi="Arial"/>
          <w:sz w:val="12"/>
          <w:szCs w:val="12"/>
          <w:color w:val="auto"/>
        </w:rPr>
      </w:pPr>
      <w:r>
        <w:rPr>
          <w:rFonts w:ascii="Arial" w:cs="Arial" w:eastAsia="Arial" w:hAnsi="Arial"/>
          <w:sz w:val="12"/>
          <w:szCs w:val="12"/>
          <w:color w:val="auto"/>
        </w:rPr>
        <w:t>Revenue on a constant currency basis assumes exchange rates in the current period were unchanged from the prior period</w:t>
      </w:r>
    </w:p>
    <w:p>
      <w:pPr>
        <w:spacing w:after="0" w:line="6" w:lineRule="exact"/>
        <w:rPr>
          <w:rFonts w:ascii="Arial" w:cs="Arial" w:eastAsia="Arial" w:hAnsi="Arial"/>
          <w:sz w:val="12"/>
          <w:szCs w:val="12"/>
          <w:color w:val="auto"/>
        </w:rPr>
      </w:pPr>
    </w:p>
    <w:p>
      <w:pPr>
        <w:ind w:left="1120" w:hanging="288"/>
        <w:spacing w:after="0"/>
        <w:tabs>
          <w:tab w:leader="none" w:pos="1120" w:val="left"/>
        </w:tabs>
        <w:numPr>
          <w:ilvl w:val="0"/>
          <w:numId w:val="1"/>
        </w:numPr>
        <w:rPr>
          <w:rFonts w:ascii="Arial" w:cs="Arial" w:eastAsia="Arial" w:hAnsi="Arial"/>
          <w:sz w:val="12"/>
          <w:szCs w:val="12"/>
          <w:color w:val="auto"/>
        </w:rPr>
      </w:pPr>
      <w:r>
        <w:rPr>
          <w:rFonts w:ascii="Arial" w:cs="Arial" w:eastAsia="Arial" w:hAnsi="Arial"/>
          <w:sz w:val="12"/>
          <w:szCs w:val="12"/>
          <w:color w:val="auto"/>
        </w:rPr>
        <w:t>Adjusted GAAP excludes the gain from the sale of OpenMarket, which was divested on December 31, 2020.</w:t>
      </w:r>
    </w:p>
    <w:p>
      <w:pPr>
        <w:spacing w:after="0" w:line="6" w:lineRule="exact"/>
        <w:rPr>
          <w:rFonts w:ascii="Arial" w:cs="Arial" w:eastAsia="Arial" w:hAnsi="Arial"/>
          <w:sz w:val="12"/>
          <w:szCs w:val="12"/>
          <w:color w:val="auto"/>
        </w:rPr>
      </w:pPr>
    </w:p>
    <w:p>
      <w:pPr>
        <w:ind w:left="1120" w:hanging="288"/>
        <w:spacing w:after="0"/>
        <w:tabs>
          <w:tab w:leader="none" w:pos="1120" w:val="left"/>
        </w:tabs>
        <w:numPr>
          <w:ilvl w:val="0"/>
          <w:numId w:val="1"/>
        </w:numPr>
        <w:rPr>
          <w:rFonts w:ascii="Arial" w:cs="Arial" w:eastAsia="Arial" w:hAnsi="Arial"/>
          <w:sz w:val="12"/>
          <w:szCs w:val="12"/>
          <w:color w:val="auto"/>
        </w:rPr>
      </w:pPr>
      <w:r>
        <w:rPr>
          <w:rFonts w:ascii="Arial" w:cs="Arial" w:eastAsia="Arial" w:hAnsi="Arial"/>
          <w:sz w:val="12"/>
          <w:szCs w:val="12"/>
          <w:color w:val="auto"/>
        </w:rPr>
        <w:t>Assumes midpoint of full year fiscal 2022 pro forma revenue growth guidance of 6.0%-10% year-over-year, constant currency</w:t>
      </w:r>
    </w:p>
    <w:p>
      <w:pPr>
        <w:sectPr>
          <w:pgSz w:w="11900" w:h="16838" w:orient="portrait"/>
          <w:cols w:equalWidth="0" w:num="1">
            <w:col w:w="9019"/>
          </w:cols>
          <w:pgMar w:left="1440" w:top="127" w:right="1440" w:bottom="1440" w:gutter="0" w:footer="0" w:header="0"/>
        </w:sectPr>
      </w:pPr>
    </w:p>
    <w:bookmarkStart w:id="5" w:name="page6"/>
    <w:bookmarkEnd w:id="5"/>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Fourth Quarter Fiscal 2021 Highlights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i w:val="1"/>
          <w:iCs w:val="1"/>
          <w:color w:val="auto"/>
        </w:rPr>
        <w:t>(All comparisons are against the prior year’s fourth quarter)</w:t>
      </w:r>
    </w:p>
    <w:p>
      <w:pPr>
        <w:spacing w:after="0" w:line="87" w:lineRule="exact"/>
        <w:rPr>
          <w:sz w:val="20"/>
          <w:szCs w:val="20"/>
          <w:color w:val="auto"/>
        </w:rPr>
      </w:pPr>
    </w:p>
    <w:p>
      <w:pPr>
        <w:ind w:left="1480" w:right="899" w:hanging="288"/>
        <w:spacing w:after="0" w:line="276" w:lineRule="auto"/>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Revenue of $1,087 million, up 10.2% on a pro forma</w:t>
      </w:r>
      <w:r>
        <w:rPr>
          <w:rFonts w:ascii="Arial" w:cs="Arial" w:eastAsia="Arial" w:hAnsi="Arial"/>
          <w:sz w:val="10"/>
          <w:szCs w:val="10"/>
          <w:color w:val="auto"/>
        </w:rPr>
        <w:t>(2)</w:t>
      </w:r>
      <w:r>
        <w:rPr>
          <w:rFonts w:ascii="Arial" w:cs="Arial" w:eastAsia="Arial" w:hAnsi="Arial"/>
          <w:sz w:val="12"/>
          <w:szCs w:val="12"/>
          <w:color w:val="auto"/>
        </w:rPr>
        <w:t xml:space="preserve"> basis in constant currency</w:t>
      </w:r>
      <w:r>
        <w:rPr>
          <w:rFonts w:ascii="Arial" w:cs="Arial" w:eastAsia="Arial" w:hAnsi="Arial"/>
          <w:sz w:val="10"/>
          <w:szCs w:val="10"/>
          <w:color w:val="auto"/>
        </w:rPr>
        <w:t>(3)</w:t>
      </w:r>
      <w:r>
        <w:rPr>
          <w:rFonts w:ascii="Arial" w:cs="Arial" w:eastAsia="Arial" w:hAnsi="Arial"/>
          <w:sz w:val="12"/>
          <w:szCs w:val="12"/>
          <w:color w:val="auto"/>
        </w:rPr>
        <w:t xml:space="preserve"> and up 3.3% as reported, including record revenue of $723 million in North America</w:t>
      </w:r>
    </w:p>
    <w:p>
      <w:pPr>
        <w:spacing w:after="0" w:line="51" w:lineRule="exact"/>
        <w:rPr>
          <w:rFonts w:ascii="Arial" w:cs="Arial" w:eastAsia="Arial" w:hAnsi="Arial"/>
          <w:sz w:val="12"/>
          <w:szCs w:val="12"/>
          <w:color w:val="auto"/>
        </w:rPr>
      </w:pPr>
    </w:p>
    <w:p>
      <w:pPr>
        <w:ind w:left="1480" w:hanging="288"/>
        <w:spacing w:after="0"/>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GAAP diluted EPS of $0.97, above the midpoint of $0.91-$0.99 guidance range</w:t>
      </w:r>
    </w:p>
    <w:p>
      <w:pPr>
        <w:spacing w:after="0" w:line="87" w:lineRule="exact"/>
        <w:rPr>
          <w:rFonts w:ascii="Arial" w:cs="Arial" w:eastAsia="Arial" w:hAnsi="Arial"/>
          <w:sz w:val="12"/>
          <w:szCs w:val="12"/>
          <w:color w:val="auto"/>
        </w:rPr>
      </w:pPr>
    </w:p>
    <w:p>
      <w:pPr>
        <w:ind w:left="1480" w:hanging="288"/>
        <w:spacing w:after="0"/>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Non-GAAP diluted EPS of $1.16, at the midpoint of the $1.13-$1.19 guidance range</w:t>
      </w:r>
    </w:p>
    <w:p>
      <w:pPr>
        <w:spacing w:after="0" w:line="87" w:lineRule="exact"/>
        <w:rPr>
          <w:rFonts w:ascii="Arial" w:cs="Arial" w:eastAsia="Arial" w:hAnsi="Arial"/>
          <w:sz w:val="12"/>
          <w:szCs w:val="12"/>
          <w:color w:val="auto"/>
        </w:rPr>
      </w:pPr>
    </w:p>
    <w:p>
      <w:pPr>
        <w:ind w:left="1480" w:hanging="288"/>
        <w:spacing w:after="0"/>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GAAP operating income of $154 million; GAAP operating margin of 14.2%</w:t>
      </w:r>
    </w:p>
    <w:p>
      <w:pPr>
        <w:spacing w:after="0" w:line="87" w:lineRule="exact"/>
        <w:rPr>
          <w:rFonts w:ascii="Arial" w:cs="Arial" w:eastAsia="Arial" w:hAnsi="Arial"/>
          <w:sz w:val="12"/>
          <w:szCs w:val="12"/>
          <w:color w:val="auto"/>
        </w:rPr>
      </w:pPr>
    </w:p>
    <w:p>
      <w:pPr>
        <w:ind w:left="1480" w:right="1279" w:hanging="288"/>
        <w:spacing w:after="0" w:line="276" w:lineRule="auto"/>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Non-GAAP operating income of $190 million; non-GAAP operating margin of 17.5%, up 30 basis points while accelerating R&amp;D investments</w:t>
      </w:r>
    </w:p>
    <w:p>
      <w:pPr>
        <w:spacing w:after="0" w:line="51" w:lineRule="exact"/>
        <w:rPr>
          <w:rFonts w:ascii="Arial" w:cs="Arial" w:eastAsia="Arial" w:hAnsi="Arial"/>
          <w:sz w:val="12"/>
          <w:szCs w:val="12"/>
          <w:color w:val="auto"/>
        </w:rPr>
      </w:pPr>
    </w:p>
    <w:p>
      <w:pPr>
        <w:ind w:left="1480" w:right="839" w:hanging="288"/>
        <w:spacing w:after="0" w:line="323" w:lineRule="auto"/>
        <w:tabs>
          <w:tab w:leader="none" w:pos="148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The board of directors approved a roughly 10% increase in the Company’s quarterly cash dividend payment from $0.36 per share to $0.395 per share, anticipated to be first paid in April 2022, subject to shareholder approval at the January 2022 annual meeting</w:t>
      </w:r>
    </w:p>
    <w:p>
      <w:pPr>
        <w:spacing w:after="0" w:line="88" w:lineRule="exact"/>
        <w:rPr>
          <w:sz w:val="20"/>
          <w:szCs w:val="20"/>
          <w:color w:val="auto"/>
        </w:rPr>
      </w:pPr>
    </w:p>
    <w:p>
      <w:pPr>
        <w:ind w:left="840" w:right="1019"/>
        <w:spacing w:after="0" w:line="330" w:lineRule="auto"/>
        <w:rPr>
          <w:sz w:val="20"/>
          <w:szCs w:val="20"/>
          <w:color w:val="auto"/>
        </w:rPr>
      </w:pPr>
      <w:r>
        <w:rPr>
          <w:rFonts w:ascii="Arial" w:cs="Arial" w:eastAsia="Arial" w:hAnsi="Arial"/>
          <w:sz w:val="11"/>
          <w:szCs w:val="11"/>
          <w:b w:val="1"/>
          <w:bCs w:val="1"/>
          <w:color w:val="auto"/>
        </w:rPr>
        <w:t xml:space="preserve">JERSEY CITY, NJ – November 2, 2021 </w:t>
      </w:r>
      <w:r>
        <w:rPr>
          <w:rFonts w:ascii="Arial" w:cs="Arial" w:eastAsia="Arial" w:hAnsi="Arial"/>
          <w:sz w:val="11"/>
          <w:szCs w:val="11"/>
          <w:color w:val="auto"/>
        </w:rPr>
        <w:t>– Amdocs Limited (NASDAQ: DOX), a leading provider of software and services to communications and</w:t>
      </w:r>
      <w:r>
        <w:rPr>
          <w:rFonts w:ascii="Arial" w:cs="Arial" w:eastAsia="Arial" w:hAnsi="Arial"/>
          <w:sz w:val="11"/>
          <w:szCs w:val="11"/>
          <w:b w:val="1"/>
          <w:bCs w:val="1"/>
          <w:color w:val="auto"/>
        </w:rPr>
        <w:t xml:space="preserve"> </w:t>
      </w:r>
      <w:r>
        <w:rPr>
          <w:rFonts w:ascii="Arial" w:cs="Arial" w:eastAsia="Arial" w:hAnsi="Arial"/>
          <w:sz w:val="11"/>
          <w:szCs w:val="11"/>
          <w:color w:val="auto"/>
        </w:rPr>
        <w:t>media companies, today reported operating results for the fourth fiscal quarter and full fiscal year ended September 30, 2021.</w:t>
      </w:r>
    </w:p>
    <w:p>
      <w:pPr>
        <w:spacing w:after="0" w:line="88" w:lineRule="exact"/>
        <w:rPr>
          <w:sz w:val="20"/>
          <w:szCs w:val="20"/>
          <w:color w:val="auto"/>
        </w:rPr>
      </w:pPr>
    </w:p>
    <w:p>
      <w:pPr>
        <w:ind w:left="840" w:right="859"/>
        <w:spacing w:after="0" w:line="253" w:lineRule="auto"/>
        <w:rPr>
          <w:sz w:val="20"/>
          <w:szCs w:val="20"/>
          <w:color w:val="auto"/>
        </w:rPr>
      </w:pPr>
      <w:r>
        <w:rPr>
          <w:rFonts w:ascii="Arial" w:cs="Arial" w:eastAsia="Arial" w:hAnsi="Arial"/>
          <w:sz w:val="12"/>
          <w:szCs w:val="12"/>
          <w:color w:val="auto"/>
        </w:rPr>
        <w:t>“I could not be prouder of our outstanding achievements in fiscal 2021, much of the credit for which belongs to our talented people worldwide. Over the last few years, we have been building Amdocs to support the next wave of growth, executing on our strategy of delivering market-leading innovation that is well aligned with the industry’s need for digital modernization, 5G monetization, journey to the cloud and network automation. We are at an exciting inflection point in our business as fiscal year 2021 revenue growth accelerated to 7.0% on a pro forma</w:t>
      </w:r>
      <w:r>
        <w:rPr>
          <w:rFonts w:ascii="Arial" w:cs="Arial" w:eastAsia="Arial" w:hAnsi="Arial"/>
          <w:sz w:val="10"/>
          <w:szCs w:val="10"/>
          <w:color w:val="auto"/>
        </w:rPr>
        <w:t>(2)</w:t>
      </w:r>
      <w:r>
        <w:rPr>
          <w:rFonts w:ascii="Arial" w:cs="Arial" w:eastAsia="Arial" w:hAnsi="Arial"/>
          <w:sz w:val="12"/>
          <w:szCs w:val="12"/>
          <w:color w:val="auto"/>
        </w:rPr>
        <w:t xml:space="preserve"> constant currency</w:t>
      </w:r>
      <w:r>
        <w:rPr>
          <w:rFonts w:ascii="Arial" w:cs="Arial" w:eastAsia="Arial" w:hAnsi="Arial"/>
          <w:sz w:val="10"/>
          <w:szCs w:val="10"/>
          <w:color w:val="auto"/>
        </w:rPr>
        <w:t>(3)</w:t>
      </w:r>
      <w:r>
        <w:rPr>
          <w:rFonts w:ascii="Arial" w:cs="Arial" w:eastAsia="Arial" w:hAnsi="Arial"/>
          <w:sz w:val="12"/>
          <w:szCs w:val="12"/>
          <w:color w:val="auto"/>
        </w:rPr>
        <w:t xml:space="preserve"> basis. We ended the year on a strong note, setting us up to continue to capture momentum as we enter fiscal year 2022. To that end, we are thrilled that AT&amp;T has selected us for next-gen cloud operations of its business support systems evolution (BSSe) under a long-term agreement, on top of choosing our cloud-native products for the BSSe program earlier this year. We believe this reflects our relentless dedication to driving customer success across cloud journeys for the world’s leading communications service providers,” said Shuky Sheffer, president and chief executive officer of Amdocs Management Limited.</w:t>
      </w:r>
    </w:p>
    <w:p>
      <w:pPr>
        <w:sectPr>
          <w:pgSz w:w="11900" w:h="16838" w:orient="portrait"/>
          <w:cols w:equalWidth="0" w:num="1">
            <w:col w:w="9019"/>
          </w:cols>
          <w:pgMar w:left="1440" w:top="226" w:right="1440" w:bottom="1440" w:gutter="0" w:footer="0" w:header="0"/>
        </w:sectPr>
      </w:pPr>
    </w:p>
    <w:bookmarkStart w:id="6" w:name="page7"/>
    <w:bookmarkEnd w:id="6"/>
    <w:p>
      <w:pPr>
        <w:ind w:left="840" w:right="1019"/>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“Amdocs continues to lead the industry with innovative platforms and exceptional delivery, as demonstrated by a record number of production milestones we achieved for our customers in Q4 and for the full 2021 fiscal year. Moreover, we delivered improved profitability in fiscal 2021 and achieved our best-ever level of cash collections. As a result, we delivered record normalized free cash flow generation of $869 million for fiscal 2021 and returned a similar amount to shareholders through share repurchases and quarterly cash dividend payments,” said Tamar Rapaport-Dagim, chief financial officer &amp; chief operating officer of Amdocs Management Limited.</w:t>
      </w:r>
    </w:p>
    <w:p>
      <w:pPr>
        <w:spacing w:after="0" w:line="128" w:lineRule="exact"/>
        <w:rPr>
          <w:sz w:val="20"/>
          <w:szCs w:val="20"/>
          <w:color w:val="auto"/>
        </w:rPr>
      </w:pPr>
    </w:p>
    <w:p>
      <w:pPr>
        <w:ind w:left="840" w:right="919"/>
        <w:spacing w:after="0" w:line="256" w:lineRule="auto"/>
        <w:rPr>
          <w:sz w:val="20"/>
          <w:szCs w:val="20"/>
          <w:color w:val="auto"/>
        </w:rPr>
      </w:pPr>
      <w:r>
        <w:rPr>
          <w:rFonts w:ascii="Arial" w:cs="Arial" w:eastAsia="Arial" w:hAnsi="Arial"/>
          <w:sz w:val="12"/>
          <w:szCs w:val="12"/>
          <w:color w:val="auto"/>
        </w:rPr>
        <w:t>Sheffer concluded, “As we look ahead to fiscal year 2022, we believe we are in the early innings of a multi-year 5G and cloud-driven investment and transformation cycle. We see a rich pipeline of opportunity across the communications industry to enable our customers to create amazing experiences for consumers and enterprises. We believe our advantaged competitive position, growing customer relationships, highly skilled talent and disruptive innovation approach will further extend our lead in the market. Tying it altogether, we expect to deliver accelerated revenue growth of roughly 8%</w:t>
      </w:r>
      <w:r>
        <w:rPr>
          <w:rFonts w:ascii="Arial" w:cs="Arial" w:eastAsia="Arial" w:hAnsi="Arial"/>
          <w:sz w:val="10"/>
          <w:szCs w:val="10"/>
          <w:color w:val="auto"/>
        </w:rPr>
        <w:t>(5)</w:t>
      </w:r>
      <w:r>
        <w:rPr>
          <w:rFonts w:ascii="Arial" w:cs="Arial" w:eastAsia="Arial" w:hAnsi="Arial"/>
          <w:sz w:val="12"/>
          <w:szCs w:val="12"/>
          <w:color w:val="auto"/>
        </w:rPr>
        <w:t xml:space="preserve"> in fiscal 2022.”</w:t>
      </w:r>
    </w:p>
    <w:p>
      <w:pPr>
        <w:spacing w:after="0" w:line="124"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Revenue</w:t>
      </w:r>
    </w:p>
    <w:p>
      <w:pPr>
        <w:spacing w:after="0" w:line="154" w:lineRule="exact"/>
        <w:rPr>
          <w:sz w:val="20"/>
          <w:szCs w:val="20"/>
          <w:color w:val="auto"/>
        </w:rPr>
      </w:pPr>
    </w:p>
    <w:p>
      <w:pPr>
        <w:ind w:left="840"/>
        <w:spacing w:after="0"/>
        <w:rPr>
          <w:sz w:val="20"/>
          <w:szCs w:val="20"/>
          <w:color w:val="auto"/>
        </w:rPr>
      </w:pPr>
      <w:r>
        <w:rPr>
          <w:rFonts w:ascii="Arial" w:cs="Arial" w:eastAsia="Arial" w:hAnsi="Arial"/>
          <w:sz w:val="12"/>
          <w:szCs w:val="12"/>
          <w:i w:val="1"/>
          <w:iCs w:val="1"/>
          <w:color w:val="auto"/>
        </w:rPr>
        <w:t>(All comparisons are against the prior year period)</w:t>
      </w:r>
    </w:p>
    <w:p>
      <w:pPr>
        <w:spacing w:after="0" w:line="161"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396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3"/>
          </w:tcPr>
          <w:p>
            <w:pPr>
              <w:ind w:left="620"/>
              <w:spacing w:after="0"/>
              <w:rPr>
                <w:sz w:val="20"/>
                <w:szCs w:val="20"/>
                <w:color w:val="auto"/>
              </w:rPr>
            </w:pPr>
            <w:r>
              <w:rPr>
                <w:rFonts w:ascii="Arial" w:cs="Arial" w:eastAsia="Arial" w:hAnsi="Arial"/>
                <w:sz w:val="10"/>
                <w:szCs w:val="10"/>
                <w:b w:val="1"/>
                <w:bCs w:val="1"/>
                <w:color w:val="auto"/>
                <w:w w:val="88"/>
              </w:rPr>
              <w:t>In millions</w:t>
            </w:r>
          </w:p>
        </w:tc>
        <w:tc>
          <w:tcPr>
            <w:tcW w:w="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88"/>
        </w:trPr>
        <w:tc>
          <w:tcPr>
            <w:tcW w:w="3960" w:type="dxa"/>
            <w:vAlign w:val="bottom"/>
          </w:tcPr>
          <w:p>
            <w:pPr>
              <w:spacing w:after="0"/>
              <w:rPr>
                <w:sz w:val="7"/>
                <w:szCs w:val="7"/>
                <w:color w:val="auto"/>
              </w:rPr>
            </w:pPr>
          </w:p>
        </w:tc>
        <w:tc>
          <w:tcPr>
            <w:tcW w:w="1620" w:type="dxa"/>
            <w:vAlign w:val="bottom"/>
            <w:gridSpan w:val="5"/>
          </w:tcPr>
          <w:p>
            <w:pPr>
              <w:ind w:left="300"/>
              <w:spacing w:after="0" w:line="88" w:lineRule="exact"/>
              <w:rPr>
                <w:sz w:val="20"/>
                <w:szCs w:val="20"/>
                <w:color w:val="auto"/>
              </w:rPr>
            </w:pPr>
            <w:r>
              <w:rPr>
                <w:rFonts w:ascii="Arial" w:cs="Arial" w:eastAsia="Arial" w:hAnsi="Arial"/>
                <w:sz w:val="10"/>
                <w:szCs w:val="10"/>
                <w:b w:val="1"/>
                <w:bCs w:val="1"/>
                <w:color w:val="auto"/>
              </w:rPr>
              <w:t>Three months ended</w:t>
            </w:r>
          </w:p>
        </w:tc>
        <w:tc>
          <w:tcPr>
            <w:tcW w:w="1140" w:type="dxa"/>
            <w:vAlign w:val="bottom"/>
            <w:gridSpan w:val="3"/>
          </w:tcPr>
          <w:p>
            <w:pPr>
              <w:jc w:val="right"/>
              <w:ind w:right="166"/>
              <w:spacing w:after="0" w:line="88" w:lineRule="exact"/>
              <w:rPr>
                <w:sz w:val="20"/>
                <w:szCs w:val="20"/>
                <w:color w:val="auto"/>
              </w:rPr>
            </w:pPr>
            <w:r>
              <w:rPr>
                <w:rFonts w:ascii="Arial" w:cs="Arial" w:eastAsia="Arial" w:hAnsi="Arial"/>
                <w:sz w:val="10"/>
                <w:szCs w:val="10"/>
                <w:b w:val="1"/>
                <w:bCs w:val="1"/>
                <w:color w:val="auto"/>
              </w:rPr>
              <w:t>Fiscal year ended</w:t>
            </w:r>
          </w:p>
        </w:tc>
        <w:tc>
          <w:tcPr>
            <w:tcW w:w="40" w:type="dxa"/>
            <w:vAlign w:val="bottom"/>
          </w:tcPr>
          <w:p>
            <w:pPr>
              <w:spacing w:after="0"/>
              <w:rPr>
                <w:sz w:val="7"/>
                <w:szCs w:val="7"/>
                <w:color w:val="auto"/>
              </w:rPr>
            </w:pPr>
          </w:p>
        </w:tc>
      </w:tr>
      <w:tr>
        <w:trPr>
          <w:trHeight w:val="88"/>
        </w:trPr>
        <w:tc>
          <w:tcPr>
            <w:tcW w:w="3960" w:type="dxa"/>
            <w:vAlign w:val="bottom"/>
          </w:tcPr>
          <w:p>
            <w:pPr>
              <w:spacing w:after="0"/>
              <w:rPr>
                <w:sz w:val="7"/>
                <w:szCs w:val="7"/>
                <w:color w:val="auto"/>
              </w:rPr>
            </w:pPr>
          </w:p>
        </w:tc>
        <w:tc>
          <w:tcPr>
            <w:tcW w:w="1420" w:type="dxa"/>
            <w:vAlign w:val="bottom"/>
            <w:tcBorders>
              <w:top w:val="single" w:sz="8" w:color="auto"/>
              <w:bottom w:val="single" w:sz="8" w:color="auto"/>
            </w:tcBorders>
            <w:gridSpan w:val="3"/>
          </w:tcPr>
          <w:p>
            <w:pPr>
              <w:jc w:val="right"/>
              <w:ind w:right="247"/>
              <w:spacing w:after="0" w:line="88" w:lineRule="exact"/>
              <w:rPr>
                <w:sz w:val="20"/>
                <w:szCs w:val="20"/>
                <w:color w:val="auto"/>
              </w:rPr>
            </w:pPr>
            <w:r>
              <w:rPr>
                <w:rFonts w:ascii="Arial" w:cs="Arial" w:eastAsia="Arial" w:hAnsi="Arial"/>
                <w:sz w:val="10"/>
                <w:szCs w:val="10"/>
                <w:b w:val="1"/>
                <w:bCs w:val="1"/>
                <w:color w:val="auto"/>
              </w:rPr>
              <w:t>September 30, 2021</w:t>
            </w:r>
          </w:p>
        </w:tc>
        <w:tc>
          <w:tcPr>
            <w:tcW w:w="160" w:type="dxa"/>
            <w:vAlign w:val="bottom"/>
          </w:tcPr>
          <w:p>
            <w:pPr>
              <w:spacing w:after="0"/>
              <w:rPr>
                <w:sz w:val="7"/>
                <w:szCs w:val="7"/>
                <w:color w:val="auto"/>
              </w:rPr>
            </w:pPr>
          </w:p>
        </w:tc>
        <w:tc>
          <w:tcPr>
            <w:tcW w:w="40" w:type="dxa"/>
            <w:vAlign w:val="bottom"/>
            <w:tcBorders>
              <w:top w:val="single" w:sz="8" w:color="auto"/>
              <w:bottom w:val="single" w:sz="8" w:color="auto"/>
            </w:tcBorders>
          </w:tcPr>
          <w:p>
            <w:pPr>
              <w:spacing w:after="0"/>
              <w:rPr>
                <w:sz w:val="7"/>
                <w:szCs w:val="7"/>
                <w:color w:val="auto"/>
              </w:rPr>
            </w:pPr>
          </w:p>
        </w:tc>
        <w:tc>
          <w:tcPr>
            <w:tcW w:w="1140" w:type="dxa"/>
            <w:vAlign w:val="bottom"/>
            <w:tcBorders>
              <w:top w:val="single" w:sz="8" w:color="auto"/>
              <w:bottom w:val="single" w:sz="8" w:color="auto"/>
            </w:tcBorders>
            <w:gridSpan w:val="3"/>
          </w:tcPr>
          <w:p>
            <w:pPr>
              <w:jc w:val="right"/>
              <w:ind w:right="126"/>
              <w:spacing w:after="0" w:line="88" w:lineRule="exact"/>
              <w:rPr>
                <w:sz w:val="20"/>
                <w:szCs w:val="20"/>
                <w:color w:val="auto"/>
              </w:rPr>
            </w:pPr>
            <w:r>
              <w:rPr>
                <w:rFonts w:ascii="Arial" w:cs="Arial" w:eastAsia="Arial" w:hAnsi="Arial"/>
                <w:sz w:val="10"/>
                <w:szCs w:val="10"/>
                <w:b w:val="1"/>
                <w:bCs w:val="1"/>
                <w:color w:val="auto"/>
              </w:rPr>
              <w:t>September 30, 2021</w:t>
            </w:r>
          </w:p>
        </w:tc>
        <w:tc>
          <w:tcPr>
            <w:tcW w:w="40" w:type="dxa"/>
            <w:vAlign w:val="bottom"/>
          </w:tcPr>
          <w:p>
            <w:pPr>
              <w:spacing w:after="0"/>
              <w:rPr>
                <w:sz w:val="7"/>
                <w:szCs w:val="7"/>
                <w:color w:val="auto"/>
              </w:rPr>
            </w:pPr>
          </w:p>
        </w:tc>
      </w:tr>
      <w:tr>
        <w:trPr>
          <w:trHeight w:val="74"/>
        </w:trPr>
        <w:tc>
          <w:tcPr>
            <w:tcW w:w="39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jc w:val="center"/>
              <w:spacing w:after="0" w:line="74" w:lineRule="exact"/>
              <w:rPr>
                <w:sz w:val="20"/>
                <w:szCs w:val="20"/>
                <w:color w:val="auto"/>
              </w:rPr>
            </w:pPr>
            <w:r>
              <w:rPr>
                <w:rFonts w:ascii="Arial" w:cs="Arial" w:eastAsia="Arial" w:hAnsi="Arial"/>
                <w:sz w:val="8"/>
                <w:szCs w:val="8"/>
                <w:b w:val="1"/>
                <w:bCs w:val="1"/>
                <w:color w:val="auto"/>
              </w:rPr>
              <w:t>Previous</w:t>
            </w: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jc w:val="right"/>
              <w:ind w:right="86"/>
              <w:spacing w:after="0" w:line="74" w:lineRule="exact"/>
              <w:rPr>
                <w:sz w:val="20"/>
                <w:szCs w:val="20"/>
                <w:color w:val="auto"/>
              </w:rPr>
            </w:pPr>
            <w:r>
              <w:rPr>
                <w:rFonts w:ascii="Arial" w:cs="Arial" w:eastAsia="Arial" w:hAnsi="Arial"/>
                <w:sz w:val="8"/>
                <w:szCs w:val="8"/>
                <w:b w:val="1"/>
                <w:bCs w:val="1"/>
                <w:color w:val="auto"/>
              </w:rPr>
              <w:t>Previous</w:t>
            </w:r>
          </w:p>
        </w:tc>
        <w:tc>
          <w:tcPr>
            <w:tcW w:w="40" w:type="dxa"/>
            <w:vAlign w:val="bottom"/>
          </w:tcPr>
          <w:p>
            <w:pPr>
              <w:spacing w:after="0"/>
              <w:rPr>
                <w:sz w:val="6"/>
                <w:szCs w:val="6"/>
                <w:color w:val="auto"/>
              </w:rPr>
            </w:pPr>
          </w:p>
        </w:tc>
      </w:tr>
      <w:tr>
        <w:trPr>
          <w:trHeight w:val="113"/>
        </w:trPr>
        <w:tc>
          <w:tcPr>
            <w:tcW w:w="3960" w:type="dxa"/>
            <w:vAlign w:val="bottom"/>
          </w:tcPr>
          <w:p>
            <w:pPr>
              <w:spacing w:after="0"/>
              <w:rPr>
                <w:sz w:val="9"/>
                <w:szCs w:val="9"/>
                <w:color w:val="auto"/>
              </w:rPr>
            </w:pPr>
          </w:p>
        </w:tc>
        <w:tc>
          <w:tcPr>
            <w:tcW w:w="54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Actual</w:t>
            </w:r>
          </w:p>
        </w:tc>
        <w:tc>
          <w:tcPr>
            <w:tcW w:w="1080" w:type="dxa"/>
            <w:vAlign w:val="bottom"/>
            <w:gridSpan w:val="3"/>
          </w:tcPr>
          <w:p>
            <w:pPr>
              <w:jc w:val="center"/>
              <w:ind w:right="200"/>
              <w:spacing w:after="0" w:line="114" w:lineRule="exact"/>
              <w:rPr>
                <w:sz w:val="20"/>
                <w:szCs w:val="20"/>
                <w:color w:val="auto"/>
              </w:rPr>
            </w:pPr>
            <w:r>
              <w:rPr>
                <w:rFonts w:ascii="Arial" w:cs="Arial" w:eastAsia="Arial" w:hAnsi="Arial"/>
                <w:sz w:val="10"/>
                <w:szCs w:val="10"/>
                <w:b w:val="1"/>
                <w:bCs w:val="1"/>
                <w:color w:val="auto"/>
                <w:w w:val="87"/>
              </w:rPr>
              <w:t>Guidance</w:t>
            </w:r>
          </w:p>
        </w:tc>
        <w:tc>
          <w:tcPr>
            <w:tcW w:w="50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Actual</w:t>
            </w:r>
          </w:p>
        </w:tc>
        <w:tc>
          <w:tcPr>
            <w:tcW w:w="680" w:type="dxa"/>
            <w:vAlign w:val="bottom"/>
            <w:gridSpan w:val="2"/>
          </w:tcPr>
          <w:p>
            <w:pPr>
              <w:jc w:val="right"/>
              <w:ind w:right="160"/>
              <w:spacing w:after="0" w:line="114" w:lineRule="exact"/>
              <w:rPr>
                <w:sz w:val="20"/>
                <w:szCs w:val="20"/>
                <w:color w:val="auto"/>
              </w:rPr>
            </w:pPr>
            <w:r>
              <w:rPr>
                <w:rFonts w:ascii="Arial" w:cs="Arial" w:eastAsia="Arial" w:hAnsi="Arial"/>
                <w:sz w:val="10"/>
                <w:szCs w:val="10"/>
                <w:b w:val="1"/>
                <w:bCs w:val="1"/>
                <w:color w:val="auto"/>
              </w:rPr>
              <w:t>Guidance</w:t>
            </w:r>
          </w:p>
        </w:tc>
      </w:tr>
      <w:tr>
        <w:trPr>
          <w:trHeight w:val="133"/>
        </w:trPr>
        <w:tc>
          <w:tcPr>
            <w:tcW w:w="39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Revenue</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7"/>
              </w:rPr>
              <w:t>$1,087</w:t>
            </w:r>
          </w:p>
        </w:tc>
        <w:tc>
          <w:tcPr>
            <w:tcW w:w="16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ind w:right="7"/>
              <w:spacing w:after="0" w:line="133" w:lineRule="exact"/>
              <w:rPr>
                <w:sz w:val="20"/>
                <w:szCs w:val="20"/>
                <w:color w:val="auto"/>
              </w:rPr>
            </w:pPr>
            <w:r>
              <w:rPr>
                <w:rFonts w:ascii="Arial" w:cs="Arial" w:eastAsia="Arial" w:hAnsi="Arial"/>
                <w:sz w:val="12"/>
                <w:szCs w:val="12"/>
                <w:color w:val="auto"/>
                <w:w w:val="95"/>
              </w:rPr>
              <w:t>$1,065 - $1,105</w:t>
            </w:r>
          </w:p>
        </w:tc>
        <w:tc>
          <w:tcPr>
            <w:tcW w:w="1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7"/>
              </w:rPr>
              <w:t>$4,289</w:t>
            </w:r>
          </w:p>
        </w:tc>
        <w:tc>
          <w:tcPr>
            <w:tcW w:w="1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ind w:right="6"/>
              <w:spacing w:after="0" w:line="133" w:lineRule="exact"/>
              <w:rPr>
                <w:sz w:val="20"/>
                <w:szCs w:val="20"/>
                <w:color w:val="auto"/>
              </w:rPr>
            </w:pPr>
            <w:r>
              <w:rPr>
                <w:rFonts w:ascii="Arial" w:cs="Arial" w:eastAsia="Arial" w:hAnsi="Arial"/>
                <w:sz w:val="12"/>
                <w:szCs w:val="12"/>
                <w:color w:val="auto"/>
              </w:rPr>
              <w:t>—</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3960" w:type="dxa"/>
            <w:vAlign w:val="bottom"/>
          </w:tcPr>
          <w:p>
            <w:pPr>
              <w:spacing w:after="0"/>
              <w:rPr>
                <w:sz w:val="20"/>
                <w:szCs w:val="20"/>
                <w:color w:val="auto"/>
              </w:rPr>
            </w:pPr>
            <w:r>
              <w:rPr>
                <w:rFonts w:ascii="Arial" w:cs="Arial" w:eastAsia="Arial" w:hAnsi="Arial"/>
                <w:sz w:val="12"/>
                <w:szCs w:val="12"/>
                <w:color w:val="auto"/>
              </w:rPr>
              <w:t>Revenue growth, as reported</w:t>
            </w:r>
            <w:r>
              <w:rPr>
                <w:rFonts w:ascii="Arial" w:cs="Arial" w:eastAsia="Arial" w:hAnsi="Arial"/>
                <w:sz w:val="10"/>
                <w:szCs w:val="10"/>
                <w:color w:val="auto"/>
              </w:rPr>
              <w:t>(a)</w:t>
            </w:r>
          </w:p>
        </w:tc>
        <w:tc>
          <w:tcPr>
            <w:tcW w:w="540" w:type="dxa"/>
            <w:vAlign w:val="bottom"/>
            <w:gridSpan w:val="2"/>
          </w:tcPr>
          <w:p>
            <w:pPr>
              <w:jc w:val="right"/>
              <w:ind w:right="160"/>
              <w:spacing w:after="0"/>
              <w:rPr>
                <w:sz w:val="20"/>
                <w:szCs w:val="20"/>
                <w:color w:val="auto"/>
              </w:rPr>
            </w:pPr>
            <w:r>
              <w:rPr>
                <w:rFonts w:ascii="Arial" w:cs="Arial" w:eastAsia="Arial" w:hAnsi="Arial"/>
                <w:sz w:val="12"/>
                <w:szCs w:val="12"/>
                <w:color w:val="auto"/>
              </w:rPr>
              <w:t>3.3%</w:t>
            </w:r>
          </w:p>
        </w:tc>
        <w:tc>
          <w:tcPr>
            <w:tcW w:w="108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2"/>
                <w:szCs w:val="12"/>
                <w:color w:val="auto"/>
              </w:rPr>
              <w:t>2.9%</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w w:val="94"/>
              </w:rPr>
              <w:t>2.3% - 3.3%</w:t>
            </w:r>
          </w:p>
        </w:tc>
      </w:tr>
      <w:tr>
        <w:trPr>
          <w:trHeight w:val="144"/>
        </w:trPr>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Pro forma</w:t>
            </w:r>
            <w:r>
              <w:rPr>
                <w:rFonts w:ascii="Arial" w:cs="Arial" w:eastAsia="Arial" w:hAnsi="Arial"/>
                <w:sz w:val="10"/>
                <w:szCs w:val="10"/>
                <w:color w:val="auto"/>
              </w:rPr>
              <w:t>(2)</w:t>
            </w:r>
            <w:r>
              <w:rPr>
                <w:rFonts w:ascii="Arial" w:cs="Arial" w:eastAsia="Arial" w:hAnsi="Arial"/>
                <w:sz w:val="12"/>
                <w:szCs w:val="12"/>
                <w:color w:val="auto"/>
              </w:rPr>
              <w:t xml:space="preserve"> revenue growth, constant currency</w:t>
            </w:r>
            <w:r>
              <w:rPr>
                <w:rFonts w:ascii="Arial" w:cs="Arial" w:eastAsia="Arial" w:hAnsi="Arial"/>
                <w:sz w:val="10"/>
                <w:szCs w:val="10"/>
                <w:color w:val="auto"/>
              </w:rPr>
              <w:t>(3)</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10.2%</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94"/>
              </w:rPr>
              <w:t>6.3% - 7.3%</w:t>
            </w:r>
          </w:p>
        </w:tc>
      </w:tr>
    </w:tbl>
    <w:p>
      <w:pPr>
        <w:spacing w:after="0" w:line="153" w:lineRule="exact"/>
        <w:rPr>
          <w:sz w:val="20"/>
          <w:szCs w:val="20"/>
          <w:color w:val="auto"/>
        </w:rPr>
      </w:pPr>
    </w:p>
    <w:p>
      <w:pPr>
        <w:ind w:left="1480" w:right="959" w:hanging="288"/>
        <w:spacing w:after="0" w:line="276" w:lineRule="auto"/>
        <w:tabs>
          <w:tab w:leader="none" w:pos="148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Revenue for the fourth fiscal quarter was above the midpoint of Amdocs’ guidance, despite an unfavorable impact from foreign currency movements of approximately $5 million compared to our guidance assumptions</w:t>
      </w:r>
    </w:p>
    <w:p>
      <w:pPr>
        <w:sectPr>
          <w:pgSz w:w="11900" w:h="16838" w:orient="portrait"/>
          <w:cols w:equalWidth="0" w:num="1">
            <w:col w:w="9019"/>
          </w:cols>
          <w:pgMar w:left="1440" w:top="230" w:right="1440" w:bottom="1440" w:gutter="0" w:footer="0" w:header="0"/>
        </w:sectPr>
      </w:pPr>
    </w:p>
    <w:bookmarkStart w:id="7" w:name="page8"/>
    <w:bookmarkEnd w:id="7"/>
    <w:p>
      <w:pPr>
        <w:ind w:left="1480" w:right="1339" w:hanging="288"/>
        <w:spacing w:after="0" w:line="276" w:lineRule="auto"/>
        <w:tabs>
          <w:tab w:leader="none" w:pos="1480" w:val="left"/>
        </w:tabs>
        <w:numPr>
          <w:ilvl w:val="0"/>
          <w:numId w:val="4"/>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Revenue for the fourth fiscal quarter of 2021 includes an unfavorable impact from foreign currency movements of approximately $6 million relative to the third quarter of fiscal 2021</w:t>
      </w:r>
    </w:p>
    <w:p>
      <w:pPr>
        <w:spacing w:after="0" w:line="111"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Net Income and Earnings Per Share</w:t>
      </w:r>
    </w:p>
    <w:p>
      <w:pPr>
        <w:spacing w:after="0" w:line="150" w:lineRule="exact"/>
        <w:rPr>
          <w:sz w:val="20"/>
          <w:szCs w:val="20"/>
          <w:color w:val="auto"/>
        </w:rPr>
      </w:pPr>
    </w:p>
    <w:tbl>
      <w:tblPr>
        <w:tblLayout w:type="fixed"/>
        <w:tblInd w:w="1120" w:type="dxa"/>
        <w:tblCellMar>
          <w:top w:w="0" w:type="dxa"/>
          <w:left w:w="0" w:type="dxa"/>
          <w:bottom w:w="0" w:type="dxa"/>
          <w:right w:w="0" w:type="dxa"/>
        </w:tblCellMar>
      </w:tblPr>
      <w:tr>
        <w:trPr>
          <w:trHeight w:val="115"/>
        </w:trPr>
        <w:tc>
          <w:tcPr>
            <w:tcW w:w="4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gridSpan w:val="7"/>
          </w:tcPr>
          <w:p>
            <w:pPr>
              <w:ind w:left="40"/>
              <w:spacing w:after="0"/>
              <w:rPr>
                <w:sz w:val="20"/>
                <w:szCs w:val="20"/>
                <w:color w:val="auto"/>
              </w:rPr>
            </w:pPr>
            <w:r>
              <w:rPr>
                <w:rFonts w:ascii="Arial" w:cs="Arial" w:eastAsia="Arial" w:hAnsi="Arial"/>
                <w:sz w:val="10"/>
                <w:szCs w:val="10"/>
                <w:b w:val="1"/>
                <w:bCs w:val="1"/>
                <w:color w:val="auto"/>
                <w:w w:val="87"/>
              </w:rPr>
              <w:t>In thousands, except per share data</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99"/>
        </w:trPr>
        <w:tc>
          <w:tcPr>
            <w:tcW w:w="4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300" w:type="dxa"/>
            <w:vAlign w:val="bottom"/>
            <w:gridSpan w:val="6"/>
          </w:tcPr>
          <w:p>
            <w:pPr>
              <w:jc w:val="center"/>
              <w:ind w:right="300"/>
              <w:spacing w:after="0" w:line="99" w:lineRule="exact"/>
              <w:rPr>
                <w:sz w:val="20"/>
                <w:szCs w:val="20"/>
                <w:color w:val="auto"/>
              </w:rPr>
            </w:pPr>
            <w:r>
              <w:rPr>
                <w:rFonts w:ascii="Arial" w:cs="Arial" w:eastAsia="Arial" w:hAnsi="Arial"/>
                <w:sz w:val="10"/>
                <w:szCs w:val="10"/>
                <w:b w:val="1"/>
                <w:bCs w:val="1"/>
                <w:color w:val="auto"/>
                <w:w w:val="85"/>
              </w:rPr>
              <w:t>Three months ended</w:t>
            </w:r>
          </w:p>
        </w:tc>
        <w:tc>
          <w:tcPr>
            <w:tcW w:w="60" w:type="dxa"/>
            <w:vAlign w:val="bottom"/>
          </w:tcPr>
          <w:p>
            <w:pPr>
              <w:spacing w:after="0"/>
              <w:rPr>
                <w:sz w:val="8"/>
                <w:szCs w:val="8"/>
                <w:color w:val="auto"/>
              </w:rPr>
            </w:pPr>
          </w:p>
        </w:tc>
        <w:tc>
          <w:tcPr>
            <w:tcW w:w="1120" w:type="dxa"/>
            <w:vAlign w:val="bottom"/>
            <w:gridSpan w:val="5"/>
          </w:tcPr>
          <w:p>
            <w:pPr>
              <w:jc w:val="right"/>
              <w:ind w:right="260"/>
              <w:spacing w:after="0" w:line="99" w:lineRule="exact"/>
              <w:rPr>
                <w:sz w:val="20"/>
                <w:szCs w:val="20"/>
                <w:color w:val="auto"/>
              </w:rPr>
            </w:pPr>
            <w:r>
              <w:rPr>
                <w:rFonts w:ascii="Arial" w:cs="Arial" w:eastAsia="Arial" w:hAnsi="Arial"/>
                <w:sz w:val="10"/>
                <w:szCs w:val="10"/>
                <w:b w:val="1"/>
                <w:bCs w:val="1"/>
                <w:color w:val="auto"/>
              </w:rPr>
              <w:t>Fiscal year ended</w:t>
            </w:r>
          </w:p>
        </w:tc>
      </w:tr>
      <w:tr>
        <w:trPr>
          <w:trHeight w:val="113"/>
        </w:trPr>
        <w:tc>
          <w:tcPr>
            <w:tcW w:w="422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6"/>
          </w:tcPr>
          <w:p>
            <w:pPr>
              <w:jc w:val="center"/>
              <w:ind w:right="280"/>
              <w:spacing w:after="0" w:line="114" w:lineRule="exact"/>
              <w:rPr>
                <w:sz w:val="20"/>
                <w:szCs w:val="20"/>
                <w:color w:val="auto"/>
              </w:rPr>
            </w:pPr>
            <w:r>
              <w:rPr>
                <w:rFonts w:ascii="Arial" w:cs="Arial" w:eastAsia="Arial" w:hAnsi="Arial"/>
                <w:sz w:val="10"/>
                <w:szCs w:val="10"/>
                <w:b w:val="1"/>
                <w:bCs w:val="1"/>
                <w:color w:val="auto"/>
                <w:w w:val="84"/>
              </w:rPr>
              <w:t>September 30,</w:t>
            </w:r>
          </w:p>
        </w:tc>
        <w:tc>
          <w:tcPr>
            <w:tcW w:w="60" w:type="dxa"/>
            <w:vAlign w:val="bottom"/>
          </w:tcPr>
          <w:p>
            <w:pPr>
              <w:spacing w:after="0"/>
              <w:rPr>
                <w:sz w:val="9"/>
                <w:szCs w:val="9"/>
                <w:color w:val="auto"/>
              </w:rPr>
            </w:pPr>
          </w:p>
        </w:tc>
        <w:tc>
          <w:tcPr>
            <w:tcW w:w="1120" w:type="dxa"/>
            <w:vAlign w:val="bottom"/>
            <w:gridSpan w:val="5"/>
          </w:tcPr>
          <w:p>
            <w:pPr>
              <w:jc w:val="right"/>
              <w:ind w:right="320"/>
              <w:spacing w:after="0" w:line="114" w:lineRule="exact"/>
              <w:rPr>
                <w:sz w:val="20"/>
                <w:szCs w:val="20"/>
                <w:color w:val="auto"/>
              </w:rPr>
            </w:pPr>
            <w:r>
              <w:rPr>
                <w:rFonts w:ascii="Arial" w:cs="Arial" w:eastAsia="Arial" w:hAnsi="Arial"/>
                <w:sz w:val="10"/>
                <w:szCs w:val="10"/>
                <w:b w:val="1"/>
                <w:bCs w:val="1"/>
                <w:color w:val="auto"/>
              </w:rPr>
              <w:t>September 30,</w:t>
            </w:r>
          </w:p>
        </w:tc>
      </w:tr>
      <w:tr>
        <w:trPr>
          <w:trHeight w:val="88"/>
        </w:trPr>
        <w:tc>
          <w:tcPr>
            <w:tcW w:w="42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20" w:type="dxa"/>
            <w:vAlign w:val="bottom"/>
            <w:tcBorders>
              <w:top w:val="single" w:sz="8" w:color="auto"/>
            </w:tcBorders>
            <w:gridSpan w:val="2"/>
          </w:tcPr>
          <w:p>
            <w:pPr>
              <w:ind w:left="20"/>
              <w:spacing w:after="0" w:line="88" w:lineRule="exact"/>
              <w:rPr>
                <w:sz w:val="20"/>
                <w:szCs w:val="20"/>
                <w:color w:val="auto"/>
              </w:rPr>
            </w:pPr>
            <w:r>
              <w:rPr>
                <w:rFonts w:ascii="Arial" w:cs="Arial" w:eastAsia="Arial" w:hAnsi="Arial"/>
                <w:sz w:val="10"/>
                <w:szCs w:val="10"/>
                <w:b w:val="1"/>
                <w:bCs w:val="1"/>
                <w:color w:val="auto"/>
              </w:rPr>
              <w:t>2021</w:t>
            </w:r>
            <w:r>
              <w:rPr>
                <w:rFonts w:ascii="Arial" w:cs="Arial" w:eastAsia="Arial" w:hAnsi="Arial"/>
                <w:sz w:val="8"/>
                <w:szCs w:val="8"/>
                <w:b w:val="1"/>
                <w:bCs w:val="1"/>
                <w:color w:val="auto"/>
              </w:rPr>
              <w:t>(a)</w:t>
            </w:r>
          </w:p>
        </w:tc>
        <w:tc>
          <w:tcPr>
            <w:tcW w:w="2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jc w:val="right"/>
              <w:ind w:right="82"/>
              <w:spacing w:after="0" w:line="88" w:lineRule="exact"/>
              <w:rPr>
                <w:sz w:val="20"/>
                <w:szCs w:val="20"/>
                <w:color w:val="auto"/>
              </w:rPr>
            </w:pPr>
            <w:r>
              <w:rPr>
                <w:rFonts w:ascii="Arial" w:cs="Arial" w:eastAsia="Arial" w:hAnsi="Arial"/>
                <w:sz w:val="10"/>
                <w:szCs w:val="10"/>
                <w:b w:val="1"/>
                <w:bCs w:val="1"/>
                <w:color w:val="auto"/>
              </w:rPr>
              <w:t>2020</w:t>
            </w:r>
          </w:p>
        </w:tc>
        <w:tc>
          <w:tcPr>
            <w:tcW w:w="22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620" w:type="dxa"/>
            <w:vAlign w:val="bottom"/>
            <w:tcBorders>
              <w:top w:val="single" w:sz="8" w:color="auto"/>
            </w:tcBorders>
            <w:gridSpan w:val="2"/>
          </w:tcPr>
          <w:p>
            <w:pPr>
              <w:ind w:left="20"/>
              <w:spacing w:after="0" w:line="88" w:lineRule="exact"/>
              <w:rPr>
                <w:sz w:val="20"/>
                <w:szCs w:val="20"/>
                <w:color w:val="auto"/>
              </w:rPr>
            </w:pPr>
            <w:r>
              <w:rPr>
                <w:rFonts w:ascii="Arial" w:cs="Arial" w:eastAsia="Arial" w:hAnsi="Arial"/>
                <w:sz w:val="10"/>
                <w:szCs w:val="10"/>
                <w:b w:val="1"/>
                <w:bCs w:val="1"/>
                <w:color w:val="auto"/>
              </w:rPr>
              <w:t>2021</w:t>
            </w:r>
            <w:r>
              <w:rPr>
                <w:rFonts w:ascii="Arial" w:cs="Arial" w:eastAsia="Arial" w:hAnsi="Arial"/>
                <w:sz w:val="8"/>
                <w:szCs w:val="8"/>
                <w:b w:val="1"/>
                <w:bCs w:val="1"/>
                <w:color w:val="auto"/>
              </w:rPr>
              <w:t>(a)</w:t>
            </w:r>
          </w:p>
        </w:tc>
        <w:tc>
          <w:tcPr>
            <w:tcW w:w="6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jc w:val="right"/>
              <w:ind w:right="82"/>
              <w:spacing w:after="0" w:line="88"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7"/>
                <w:szCs w:val="7"/>
                <w:color w:val="auto"/>
              </w:rPr>
            </w:pPr>
          </w:p>
        </w:tc>
      </w:tr>
      <w:tr>
        <w:trPr>
          <w:trHeight w:val="124"/>
        </w:trPr>
        <w:tc>
          <w:tcPr>
            <w:tcW w:w="422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GAAP Measures</w:t>
            </w:r>
          </w:p>
        </w:tc>
        <w:tc>
          <w:tcPr>
            <w:tcW w:w="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44"/>
        </w:trPr>
        <w:tc>
          <w:tcPr>
            <w:tcW w:w="4220" w:type="dxa"/>
            <w:vAlign w:val="bottom"/>
          </w:tcPr>
          <w:p>
            <w:pPr>
              <w:spacing w:after="0"/>
              <w:rPr>
                <w:sz w:val="20"/>
                <w:szCs w:val="20"/>
                <w:color w:val="auto"/>
              </w:rPr>
            </w:pPr>
            <w:r>
              <w:rPr>
                <w:rFonts w:ascii="Arial" w:cs="Arial" w:eastAsia="Arial" w:hAnsi="Arial"/>
                <w:sz w:val="12"/>
                <w:szCs w:val="12"/>
                <w:color w:val="auto"/>
              </w:rPr>
              <w:t>Net income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2"/>
                <w:szCs w:val="12"/>
                <w:color w:val="auto"/>
                <w:w w:val="87"/>
              </w:rPr>
              <w:t>123,525</w:t>
            </w:r>
          </w:p>
        </w:tc>
        <w:tc>
          <w:tcPr>
            <w:tcW w:w="2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w w:val="87"/>
              </w:rPr>
              <w:t>134,463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w w:val="87"/>
              </w:rPr>
              <w:t>688,374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w w:val="87"/>
              </w:rPr>
              <w:t>497,840</w:t>
            </w:r>
          </w:p>
        </w:tc>
      </w:tr>
      <w:tr>
        <w:trPr>
          <w:trHeight w:val="144"/>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Diluted earnings per share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0.97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5.32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3.71</w:t>
            </w:r>
          </w:p>
        </w:tc>
      </w:tr>
      <w:tr>
        <w:trPr>
          <w:trHeight w:val="144"/>
        </w:trPr>
        <w:tc>
          <w:tcPr>
            <w:tcW w:w="4220" w:type="dxa"/>
            <w:vAlign w:val="bottom"/>
          </w:tcPr>
          <w:p>
            <w:pPr>
              <w:spacing w:after="0"/>
              <w:rPr>
                <w:sz w:val="20"/>
                <w:szCs w:val="20"/>
                <w:color w:val="auto"/>
              </w:rPr>
            </w:pPr>
            <w:r>
              <w:rPr>
                <w:rFonts w:ascii="Arial" w:cs="Arial" w:eastAsia="Arial" w:hAnsi="Arial"/>
                <w:sz w:val="12"/>
                <w:szCs w:val="12"/>
                <w:b w:val="1"/>
                <w:bCs w:val="1"/>
                <w:color w:val="auto"/>
              </w:rPr>
              <w:t>Non-GAAP Measures</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422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w w:val="87"/>
              </w:rPr>
              <w:t>147,470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7"/>
              </w:rPr>
              <w:t>162,716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7"/>
              </w:rPr>
              <w:t>621,820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7"/>
              </w:rPr>
              <w:t>595,758</w:t>
            </w:r>
          </w:p>
        </w:tc>
      </w:tr>
      <w:tr>
        <w:trPr>
          <w:trHeight w:val="153"/>
        </w:trPr>
        <w:tc>
          <w:tcPr>
            <w:tcW w:w="4220" w:type="dxa"/>
            <w:vAlign w:val="bottom"/>
          </w:tcPr>
          <w:p>
            <w:pPr>
              <w:spacing w:after="0"/>
              <w:rPr>
                <w:sz w:val="20"/>
                <w:szCs w:val="20"/>
                <w:color w:val="auto"/>
              </w:rPr>
            </w:pPr>
            <w:r>
              <w:rPr>
                <w:rFonts w:ascii="Arial" w:cs="Arial" w:eastAsia="Arial" w:hAnsi="Arial"/>
                <w:sz w:val="12"/>
                <w:szCs w:val="12"/>
                <w:color w:val="auto"/>
              </w:rPr>
              <w:t>Diluted earnings per share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2"/>
                <w:szCs w:val="12"/>
                <w:color w:val="auto"/>
              </w:rPr>
              <w:t>1.16</w:t>
            </w:r>
          </w:p>
        </w:tc>
        <w:tc>
          <w:tcPr>
            <w:tcW w:w="2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1.23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4.81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4.44</w:t>
            </w:r>
          </w:p>
        </w:tc>
      </w:tr>
    </w:tbl>
    <w:p>
      <w:pPr>
        <w:spacing w:after="0" w:line="144" w:lineRule="exact"/>
        <w:rPr>
          <w:sz w:val="20"/>
          <w:szCs w:val="20"/>
          <w:color w:val="auto"/>
        </w:rPr>
      </w:pPr>
    </w:p>
    <w:p>
      <w:pPr>
        <w:ind w:left="1480" w:right="879" w:hanging="288"/>
        <w:spacing w:after="0" w:line="263" w:lineRule="auto"/>
        <w:tabs>
          <w:tab w:leader="none" w:pos="1480" w:val="left"/>
        </w:tabs>
        <w:numPr>
          <w:ilvl w:val="0"/>
          <w:numId w:val="5"/>
        </w:numPr>
        <w:rPr>
          <w:rFonts w:ascii="Arial" w:cs="Arial" w:eastAsia="Arial" w:hAnsi="Arial"/>
          <w:sz w:val="12"/>
          <w:szCs w:val="12"/>
          <w:color w:val="auto"/>
        </w:rPr>
      </w:pPr>
      <w:r>
        <w:rPr>
          <w:rFonts w:ascii="Arial" w:cs="Arial" w:eastAsia="Arial" w:hAnsi="Arial"/>
          <w:sz w:val="12"/>
          <w:szCs w:val="12"/>
          <w:color w:val="auto"/>
        </w:rPr>
        <w:t>Non-GAAP net income excludes amortization of purchased intangible assets and other acquisition-related costs, changes in certain acquisition related liabilities measured at fair value, equity-based compensation expenses, gain from divestiture of OpenMarket, and other, net of related tax effects, in all the periods presented</w:t>
      </w:r>
    </w:p>
    <w:p>
      <w:pPr>
        <w:spacing w:after="0" w:line="59" w:lineRule="exact"/>
        <w:rPr>
          <w:rFonts w:ascii="Arial" w:cs="Arial" w:eastAsia="Arial" w:hAnsi="Arial"/>
          <w:sz w:val="12"/>
          <w:szCs w:val="12"/>
          <w:color w:val="auto"/>
        </w:rPr>
      </w:pPr>
    </w:p>
    <w:p>
      <w:pPr>
        <w:ind w:left="1480" w:right="839" w:hanging="288"/>
        <w:spacing w:after="0" w:line="276" w:lineRule="auto"/>
        <w:tabs>
          <w:tab w:leader="none" w:pos="1480" w:val="left"/>
        </w:tabs>
        <w:numPr>
          <w:ilvl w:val="0"/>
          <w:numId w:val="5"/>
        </w:numPr>
        <w:rPr>
          <w:rFonts w:ascii="Arial" w:cs="Arial" w:eastAsia="Arial" w:hAnsi="Arial"/>
          <w:sz w:val="12"/>
          <w:szCs w:val="12"/>
          <w:color w:val="auto"/>
        </w:rPr>
      </w:pPr>
      <w:r>
        <w:rPr>
          <w:rFonts w:ascii="Arial" w:cs="Arial" w:eastAsia="Arial" w:hAnsi="Arial"/>
          <w:sz w:val="12"/>
          <w:szCs w:val="12"/>
          <w:color w:val="auto"/>
        </w:rPr>
        <w:t>In fiscal year 2021, the GAAP net income includes a gain from divestiture of OpenMarket, net of related tax effects, at the amount of $1.44 per share, which is excluded from the Non-GAAP net income</w:t>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For further details of the reconciliation of selected financial metrics from GAAP to Non-GAAP, please refer to the tables below.</w:t>
      </w:r>
    </w:p>
    <w:p>
      <w:pPr>
        <w:spacing w:after="0" w:line="21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Capital Allocation: M&amp;A Investments &amp; Returning Cash to Shareholders</w:t>
      </w:r>
    </w:p>
    <w:p>
      <w:pPr>
        <w:spacing w:after="0" w:line="91" w:lineRule="exact"/>
        <w:rPr>
          <w:sz w:val="20"/>
          <w:szCs w:val="20"/>
          <w:color w:val="auto"/>
        </w:rPr>
      </w:pPr>
    </w:p>
    <w:p>
      <w:pPr>
        <w:ind w:left="1480" w:right="1019" w:hanging="288"/>
        <w:spacing w:after="0" w:line="276" w:lineRule="auto"/>
        <w:tabs>
          <w:tab w:leader="none" w:pos="1480" w:val="left"/>
        </w:tabs>
        <w:numPr>
          <w:ilvl w:val="0"/>
          <w:numId w:val="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M&amp;A Activity: </w:t>
      </w:r>
      <w:r>
        <w:rPr>
          <w:rFonts w:ascii="Arial" w:cs="Arial" w:eastAsia="Arial" w:hAnsi="Arial"/>
          <w:sz w:val="12"/>
          <w:szCs w:val="12"/>
          <w:color w:val="auto"/>
        </w:rPr>
        <w:t>On October 1, 2021, Amdocs completed the acquisition of Roam Digital, a digital consultancy agency in Southeast Asia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Pacific, for $31 million in cash</w:t>
      </w:r>
    </w:p>
    <w:p>
      <w:pPr>
        <w:spacing w:after="0" w:line="51" w:lineRule="exact"/>
        <w:rPr>
          <w:rFonts w:ascii="Arial" w:cs="Arial" w:eastAsia="Arial" w:hAnsi="Arial"/>
          <w:sz w:val="12"/>
          <w:szCs w:val="12"/>
          <w:color w:val="auto"/>
        </w:rPr>
      </w:pPr>
    </w:p>
    <w:p>
      <w:pPr>
        <w:ind w:left="1480" w:right="919" w:hanging="288"/>
        <w:spacing w:after="0" w:line="263" w:lineRule="auto"/>
        <w:tabs>
          <w:tab w:leader="none" w:pos="1480" w:val="left"/>
        </w:tabs>
        <w:numPr>
          <w:ilvl w:val="0"/>
          <w:numId w:val="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Quarterly Cash Dividend Program: </w:t>
      </w:r>
      <w:r>
        <w:rPr>
          <w:rFonts w:ascii="Arial" w:cs="Arial" w:eastAsia="Arial" w:hAnsi="Arial"/>
          <w:sz w:val="12"/>
          <w:szCs w:val="12"/>
          <w:color w:val="auto"/>
        </w:rPr>
        <w:t>On November 2, 2021, the Board approved the Company’s next quarterly cash dividend payment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$0.36 per share and set December 31, 2021 as the record date for determining the shareholders entitled to receive the dividend, which will be payable on January 28, 2022</w:t>
      </w:r>
    </w:p>
    <w:p>
      <w:pPr>
        <w:sectPr>
          <w:pgSz w:w="11900" w:h="16838" w:orient="portrait"/>
          <w:cols w:equalWidth="0" w:num="1">
            <w:col w:w="9019"/>
          </w:cols>
          <w:pgMar w:left="1440" w:top="230" w:right="1440" w:bottom="1440" w:gutter="0" w:footer="0" w:header="0"/>
        </w:sectPr>
      </w:pPr>
    </w:p>
    <w:bookmarkStart w:id="8" w:name="page9"/>
    <w:bookmarkEnd w:id="8"/>
    <w:p>
      <w:pPr>
        <w:jc w:val="both"/>
        <w:ind w:left="1480" w:right="1239" w:hanging="288"/>
        <w:spacing w:after="0" w:line="263" w:lineRule="auto"/>
        <w:tabs>
          <w:tab w:leader="none" w:pos="1480" w:val="left"/>
        </w:tabs>
        <w:numPr>
          <w:ilvl w:val="0"/>
          <w:numId w:val="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Board also approved a roughly 10% increase in the Company’s quarterly cash dividend payment to $0.395 per share, which is anticipated to be first paid in April 2022, provided that the increase is approved by shareholders at the January 2022 annual general meeting of shareholders</w:t>
      </w:r>
    </w:p>
    <w:p>
      <w:pPr>
        <w:spacing w:after="0" w:line="59" w:lineRule="exact"/>
        <w:rPr>
          <w:rFonts w:ascii="Arial" w:cs="Arial" w:eastAsia="Arial" w:hAnsi="Arial"/>
          <w:sz w:val="12"/>
          <w:szCs w:val="12"/>
          <w:color w:val="auto"/>
        </w:rPr>
      </w:pPr>
    </w:p>
    <w:p>
      <w:pPr>
        <w:ind w:left="1480" w:hanging="288"/>
        <w:spacing w:after="0"/>
        <w:tabs>
          <w:tab w:leader="none" w:pos="1480" w:val="left"/>
        </w:tabs>
        <w:numPr>
          <w:ilvl w:val="0"/>
          <w:numId w:val="7"/>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Share Repurchase Activity: </w:t>
      </w:r>
      <w:r>
        <w:rPr>
          <w:rFonts w:ascii="Arial" w:cs="Arial" w:eastAsia="Arial" w:hAnsi="Arial"/>
          <w:sz w:val="12"/>
          <w:szCs w:val="12"/>
          <w:color w:val="auto"/>
        </w:rPr>
        <w:t>Repurchased $140 million of ordinary shares during the fourth quarter of fiscal 2021</w:t>
      </w:r>
    </w:p>
    <w:p>
      <w:pPr>
        <w:spacing w:after="0" w:line="21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Twelve-month Backlog</w:t>
      </w:r>
    </w:p>
    <w:p>
      <w:pPr>
        <w:spacing w:after="0" w:line="82" w:lineRule="exact"/>
        <w:rPr>
          <w:sz w:val="20"/>
          <w:szCs w:val="20"/>
          <w:color w:val="auto"/>
        </w:rPr>
      </w:pPr>
    </w:p>
    <w:p>
      <w:pPr>
        <w:ind w:left="840" w:right="939"/>
        <w:spacing w:after="0" w:line="263" w:lineRule="auto"/>
        <w:rPr>
          <w:sz w:val="20"/>
          <w:szCs w:val="20"/>
          <w:color w:val="auto"/>
        </w:rPr>
      </w:pPr>
      <w:r>
        <w:rPr>
          <w:rFonts w:ascii="Arial" w:cs="Arial" w:eastAsia="Arial" w:hAnsi="Arial"/>
          <w:sz w:val="12"/>
          <w:szCs w:val="12"/>
          <w:color w:val="auto"/>
        </w:rPr>
        <w:t>Twelve-month backlog was a record $3.69 billion at the end of the fourth quarter of fiscal 2021, up approximately 10.5% on a pro forma</w:t>
      </w:r>
      <w:r>
        <w:rPr>
          <w:rFonts w:ascii="Arial" w:cs="Arial" w:eastAsia="Arial" w:hAnsi="Arial"/>
          <w:sz w:val="10"/>
          <w:szCs w:val="10"/>
          <w:color w:val="auto"/>
        </w:rPr>
        <w:t>(2)</w:t>
      </w:r>
      <w:r>
        <w:rPr>
          <w:rFonts w:ascii="Arial" w:cs="Arial" w:eastAsia="Arial" w:hAnsi="Arial"/>
          <w:sz w:val="12"/>
          <w:szCs w:val="12"/>
          <w:color w:val="auto"/>
        </w:rPr>
        <w:t xml:space="preserve"> basis as compared to last year’s fourth fiscal quarter. Twelve-month backlog includes anticipated revenue related to contracts, estimated revenue from managed services contracts, letters of intent, maintenance and estimated on-going support activities.</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First Quarter Fiscal 2022 Outlook</w:t>
      </w:r>
    </w:p>
    <w:p>
      <w:pPr>
        <w:spacing w:after="0" w:line="150" w:lineRule="exact"/>
        <w:rPr>
          <w:sz w:val="20"/>
          <w:szCs w:val="20"/>
          <w:color w:val="auto"/>
        </w:rPr>
      </w:pPr>
    </w:p>
    <w:tbl>
      <w:tblPr>
        <w:tblLayout w:type="fixed"/>
        <w:tblInd w:w="2020" w:type="dxa"/>
        <w:tblCellMar>
          <w:top w:w="0" w:type="dxa"/>
          <w:left w:w="0" w:type="dxa"/>
          <w:bottom w:w="0" w:type="dxa"/>
          <w:right w:w="0" w:type="dxa"/>
        </w:tblCellMar>
      </w:tblPr>
      <w:tr>
        <w:trPr>
          <w:trHeight w:val="115"/>
        </w:trPr>
        <w:tc>
          <w:tcPr>
            <w:tcW w:w="3580" w:type="dxa"/>
            <w:vAlign w:val="bottom"/>
          </w:tcPr>
          <w:p>
            <w:pPr>
              <w:spacing w:after="0"/>
              <w:rPr>
                <w:sz w:val="10"/>
                <w:szCs w:val="10"/>
                <w:color w:val="auto"/>
              </w:rPr>
            </w:pPr>
          </w:p>
        </w:tc>
        <w:tc>
          <w:tcPr>
            <w:tcW w:w="1400" w:type="dxa"/>
            <w:vAlign w:val="bottom"/>
            <w:gridSpan w:val="3"/>
          </w:tcPr>
          <w:p>
            <w:pPr>
              <w:spacing w:after="0"/>
              <w:rPr>
                <w:sz w:val="20"/>
                <w:szCs w:val="20"/>
                <w:color w:val="auto"/>
              </w:rPr>
            </w:pPr>
            <w:r>
              <w:rPr>
                <w:rFonts w:ascii="Arial" w:cs="Arial" w:eastAsia="Arial" w:hAnsi="Arial"/>
                <w:sz w:val="10"/>
                <w:szCs w:val="10"/>
                <w:b w:val="1"/>
                <w:bCs w:val="1"/>
                <w:color w:val="auto"/>
                <w:w w:val="87"/>
              </w:rPr>
              <w:t>In millions, except per share data</w:t>
            </w:r>
          </w:p>
        </w:tc>
      </w:tr>
      <w:tr>
        <w:trPr>
          <w:trHeight w:val="113"/>
        </w:trPr>
        <w:tc>
          <w:tcPr>
            <w:tcW w:w="3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gridSpan w:val="2"/>
          </w:tcPr>
          <w:p>
            <w:pPr>
              <w:jc w:val="right"/>
              <w:ind w:right="560"/>
              <w:spacing w:after="0" w:line="114" w:lineRule="exact"/>
              <w:rPr>
                <w:sz w:val="20"/>
                <w:szCs w:val="20"/>
                <w:color w:val="auto"/>
              </w:rPr>
            </w:pPr>
            <w:r>
              <w:rPr>
                <w:rFonts w:ascii="Arial" w:cs="Arial" w:eastAsia="Arial" w:hAnsi="Arial"/>
                <w:sz w:val="10"/>
                <w:szCs w:val="10"/>
                <w:b w:val="1"/>
                <w:bCs w:val="1"/>
                <w:color w:val="auto"/>
              </w:rPr>
              <w:t>Q1 2022</w:t>
            </w:r>
          </w:p>
        </w:tc>
      </w:tr>
      <w:tr>
        <w:trPr>
          <w:trHeight w:val="133"/>
        </w:trPr>
        <w:tc>
          <w:tcPr>
            <w:tcW w:w="35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Revenue</w:t>
            </w:r>
          </w:p>
        </w:tc>
        <w:tc>
          <w:tcPr>
            <w:tcW w:w="2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10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1,080-$1,120</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3580" w:type="dxa"/>
            <w:vAlign w:val="bottom"/>
          </w:tcPr>
          <w:p>
            <w:pPr>
              <w:spacing w:after="0"/>
              <w:rPr>
                <w:sz w:val="20"/>
                <w:szCs w:val="20"/>
                <w:color w:val="auto"/>
              </w:rPr>
            </w:pPr>
            <w:r>
              <w:rPr>
                <w:rFonts w:ascii="Arial" w:cs="Arial" w:eastAsia="Arial" w:hAnsi="Arial"/>
                <w:sz w:val="12"/>
                <w:szCs w:val="12"/>
                <w:color w:val="auto"/>
              </w:rPr>
              <w:t>GAAP diluted EPS</w:t>
            </w:r>
          </w:p>
        </w:tc>
        <w:tc>
          <w:tcPr>
            <w:tcW w:w="280" w:type="dxa"/>
            <w:vAlign w:val="bottom"/>
          </w:tcPr>
          <w:p>
            <w:pPr>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2"/>
                <w:szCs w:val="12"/>
                <w:color w:val="auto"/>
              </w:rPr>
              <w:t>0.91-$0.99</w:t>
            </w:r>
          </w:p>
        </w:tc>
      </w:tr>
      <w:tr>
        <w:trPr>
          <w:trHeight w:val="144"/>
        </w:trPr>
        <w:tc>
          <w:tcPr>
            <w:tcW w:w="3580" w:type="dxa"/>
            <w:vAlign w:val="bottom"/>
            <w:shd w:val="clear" w:color="auto" w:fill="CCEEFF"/>
          </w:tcPr>
          <w:p>
            <w:pPr>
              <w:spacing w:after="0"/>
              <w:rPr>
                <w:sz w:val="20"/>
                <w:szCs w:val="20"/>
                <w:color w:val="auto"/>
              </w:rPr>
            </w:pPr>
            <w:r>
              <w:rPr>
                <w:rFonts w:ascii="Arial" w:cs="Arial" w:eastAsia="Arial" w:hAnsi="Arial"/>
                <w:sz w:val="12"/>
                <w:szCs w:val="12"/>
                <w:color w:val="auto"/>
              </w:rPr>
              <w:t>Non-GAAP diluted EPS</w:t>
            </w:r>
          </w:p>
        </w:tc>
        <w:tc>
          <w:tcPr>
            <w:tcW w:w="2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1.15-$1.21</w:t>
            </w:r>
          </w:p>
        </w:tc>
      </w:tr>
    </w:tbl>
    <w:p>
      <w:pPr>
        <w:spacing w:after="0" w:line="153" w:lineRule="exact"/>
        <w:rPr>
          <w:sz w:val="20"/>
          <w:szCs w:val="20"/>
          <w:color w:val="auto"/>
        </w:rPr>
      </w:pPr>
    </w:p>
    <w:p>
      <w:pPr>
        <w:ind w:left="1480" w:right="1099" w:hanging="288"/>
        <w:spacing w:after="0" w:line="276" w:lineRule="auto"/>
        <w:tabs>
          <w:tab w:leader="none" w:pos="1480" w:val="left"/>
        </w:tabs>
        <w:numPr>
          <w:ilvl w:val="0"/>
          <w:numId w:val="8"/>
        </w:numPr>
        <w:rPr>
          <w:rFonts w:ascii="Arial" w:cs="Arial" w:eastAsia="Arial" w:hAnsi="Arial"/>
          <w:sz w:val="12"/>
          <w:szCs w:val="12"/>
          <w:color w:val="auto"/>
        </w:rPr>
      </w:pPr>
      <w:r>
        <w:rPr>
          <w:rFonts w:ascii="Arial" w:cs="Arial" w:eastAsia="Arial" w:hAnsi="Arial"/>
          <w:sz w:val="12"/>
          <w:szCs w:val="12"/>
          <w:color w:val="auto"/>
        </w:rPr>
        <w:t>First quarter revenue guidance assumes approximately $2 million sequential unfavorable impact from foreign currency fluctuations as compared to the fourth quarter of fiscal 2021</w:t>
      </w:r>
    </w:p>
    <w:p>
      <w:pPr>
        <w:spacing w:after="0" w:line="132" w:lineRule="exact"/>
        <w:rPr>
          <w:rFonts w:ascii="Arial" w:cs="Arial" w:eastAsia="Arial" w:hAnsi="Arial"/>
          <w:sz w:val="12"/>
          <w:szCs w:val="12"/>
          <w:color w:val="auto"/>
        </w:rPr>
      </w:pPr>
    </w:p>
    <w:p>
      <w:pPr>
        <w:ind w:left="1480" w:right="1039" w:hanging="288"/>
        <w:spacing w:after="0" w:line="263" w:lineRule="auto"/>
        <w:tabs>
          <w:tab w:leader="none" w:pos="1480" w:val="left"/>
        </w:tabs>
        <w:numPr>
          <w:ilvl w:val="0"/>
          <w:numId w:val="8"/>
        </w:numPr>
        <w:rPr>
          <w:rFonts w:ascii="Arial" w:cs="Arial" w:eastAsia="Arial" w:hAnsi="Arial"/>
          <w:sz w:val="12"/>
          <w:szCs w:val="12"/>
          <w:color w:val="auto"/>
        </w:rPr>
      </w:pPr>
      <w:r>
        <w:rPr>
          <w:rFonts w:ascii="Arial" w:cs="Arial" w:eastAsia="Arial" w:hAnsi="Arial"/>
          <w:sz w:val="12"/>
          <w:szCs w:val="12"/>
          <w:color w:val="auto"/>
        </w:rPr>
        <w:t>First quarter Non-GAAP diluted EPS guidance excludes amortization of purchased intangible assets and other acquisition-related costs, changes in certain acquisitions related liabilities measured at fair value, and approximately $0.10-$0.12 per share of equity-based compensation expense, net of related tax effects</w:t>
      </w:r>
    </w:p>
    <w:p>
      <w:pPr>
        <w:sectPr>
          <w:pgSz w:w="11900" w:h="16838" w:orient="portrait"/>
          <w:cols w:equalWidth="0" w:num="1">
            <w:col w:w="9019"/>
          </w:cols>
          <w:pgMar w:left="1440" w:top="230" w:right="1440" w:bottom="1440" w:gutter="0" w:footer="0" w:header="0"/>
        </w:sectPr>
      </w:pPr>
    </w:p>
    <w:bookmarkStart w:id="9" w:name="page10"/>
    <w:bookmarkEnd w:id="9"/>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Full Year Fiscal 2022 Outlook</w:t>
      </w:r>
    </w:p>
    <w:p>
      <w:pPr>
        <w:spacing w:after="0" w:line="150" w:lineRule="exact"/>
        <w:rPr>
          <w:sz w:val="20"/>
          <w:szCs w:val="20"/>
          <w:color w:val="auto"/>
        </w:rPr>
      </w:pPr>
    </w:p>
    <w:tbl>
      <w:tblPr>
        <w:tblLayout w:type="fixed"/>
        <w:tblInd w:w="2020" w:type="dxa"/>
        <w:tblCellMar>
          <w:top w:w="0" w:type="dxa"/>
          <w:left w:w="0" w:type="dxa"/>
          <w:bottom w:w="0" w:type="dxa"/>
          <w:right w:w="0" w:type="dxa"/>
        </w:tblCellMar>
      </w:tblPr>
      <w:tr>
        <w:trPr>
          <w:trHeight w:val="115"/>
        </w:trPr>
        <w:tc>
          <w:tcPr>
            <w:tcW w:w="414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87"/>
              </w:rPr>
              <w:t>FY 2022, year-over-</w:t>
            </w:r>
          </w:p>
        </w:tc>
      </w:tr>
      <w:tr>
        <w:trPr>
          <w:trHeight w:val="113"/>
        </w:trPr>
        <w:tc>
          <w:tcPr>
            <w:tcW w:w="4140" w:type="dxa"/>
            <w:vAlign w:val="bottom"/>
            <w:tcBorders>
              <w:bottom w:val="single" w:sz="8" w:color="CCEEFF"/>
            </w:tcBorders>
          </w:tcPr>
          <w:p>
            <w:pPr>
              <w:spacing w:after="0"/>
              <w:rPr>
                <w:sz w:val="9"/>
                <w:szCs w:val="9"/>
                <w:color w:val="auto"/>
              </w:rPr>
            </w:pPr>
          </w:p>
        </w:tc>
        <w:tc>
          <w:tcPr>
            <w:tcW w:w="840" w:type="dxa"/>
            <w:vAlign w:val="bottom"/>
            <w:tcBorders>
              <w:bottom w:val="single" w:sz="8" w:color="auto"/>
            </w:tcBorders>
          </w:tcPr>
          <w:p>
            <w:pPr>
              <w:jc w:val="center"/>
              <w:spacing w:after="0" w:line="114" w:lineRule="exact"/>
              <w:rPr>
                <w:sz w:val="20"/>
                <w:szCs w:val="20"/>
                <w:color w:val="auto"/>
              </w:rPr>
            </w:pPr>
            <w:r>
              <w:rPr>
                <w:rFonts w:ascii="Arial" w:cs="Arial" w:eastAsia="Arial" w:hAnsi="Arial"/>
                <w:sz w:val="10"/>
                <w:szCs w:val="10"/>
                <w:b w:val="1"/>
                <w:bCs w:val="1"/>
                <w:color w:val="auto"/>
                <w:w w:val="88"/>
              </w:rPr>
              <w:t>year growth</w:t>
            </w:r>
          </w:p>
        </w:tc>
      </w:tr>
      <w:tr>
        <w:trPr>
          <w:trHeight w:val="133"/>
        </w:trPr>
        <w:tc>
          <w:tcPr>
            <w:tcW w:w="41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Revenue growth, as reported</w:t>
            </w:r>
          </w:p>
        </w:tc>
        <w:tc>
          <w:tcPr>
            <w:tcW w:w="84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w w:val="91"/>
              </w:rPr>
              <w:t>3.7%-7.7%</w:t>
            </w:r>
          </w:p>
        </w:tc>
      </w:tr>
      <w:tr>
        <w:trPr>
          <w:trHeight w:val="144"/>
        </w:trPr>
        <w:tc>
          <w:tcPr>
            <w:tcW w:w="4140" w:type="dxa"/>
            <w:vAlign w:val="bottom"/>
          </w:tcPr>
          <w:p>
            <w:pPr>
              <w:spacing w:after="0"/>
              <w:rPr>
                <w:sz w:val="20"/>
                <w:szCs w:val="20"/>
                <w:color w:val="auto"/>
              </w:rPr>
            </w:pPr>
            <w:r>
              <w:rPr>
                <w:rFonts w:ascii="Arial" w:cs="Arial" w:eastAsia="Arial" w:hAnsi="Arial"/>
                <w:sz w:val="12"/>
                <w:szCs w:val="12"/>
                <w:color w:val="auto"/>
              </w:rPr>
              <w:t>Pro forma</w:t>
            </w:r>
            <w:r>
              <w:rPr>
                <w:rFonts w:ascii="Arial" w:cs="Arial" w:eastAsia="Arial" w:hAnsi="Arial"/>
                <w:sz w:val="10"/>
                <w:szCs w:val="10"/>
                <w:color w:val="auto"/>
              </w:rPr>
              <w:t>(2)</w:t>
            </w:r>
            <w:r>
              <w:rPr>
                <w:rFonts w:ascii="Arial" w:cs="Arial" w:eastAsia="Arial" w:hAnsi="Arial"/>
                <w:sz w:val="12"/>
                <w:szCs w:val="12"/>
                <w:color w:val="auto"/>
              </w:rPr>
              <w:t xml:space="preserve"> revenue growth, constant currency</w:t>
            </w:r>
            <w:r>
              <w:rPr>
                <w:rFonts w:ascii="Arial" w:cs="Arial" w:eastAsia="Arial" w:hAnsi="Arial"/>
                <w:sz w:val="10"/>
                <w:szCs w:val="10"/>
                <w:color w:val="auto"/>
              </w:rPr>
              <w:t>(3)</w:t>
            </w:r>
          </w:p>
        </w:tc>
        <w:tc>
          <w:tcPr>
            <w:tcW w:w="840" w:type="dxa"/>
            <w:vAlign w:val="bottom"/>
          </w:tcPr>
          <w:p>
            <w:pPr>
              <w:jc w:val="center"/>
              <w:spacing w:after="0"/>
              <w:rPr>
                <w:sz w:val="20"/>
                <w:szCs w:val="20"/>
                <w:color w:val="auto"/>
              </w:rPr>
            </w:pPr>
            <w:r>
              <w:rPr>
                <w:rFonts w:ascii="Arial" w:cs="Arial" w:eastAsia="Arial" w:hAnsi="Arial"/>
                <w:sz w:val="12"/>
                <w:szCs w:val="12"/>
                <w:color w:val="auto"/>
                <w:w w:val="91"/>
              </w:rPr>
              <w:t>6.0%-10.0%</w:t>
            </w:r>
          </w:p>
        </w:tc>
      </w:tr>
      <w:tr>
        <w:trPr>
          <w:trHeight w:val="144"/>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GAAP diluted EPS growth</w:t>
            </w: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(23.0)%-(17.5)%</w:t>
            </w:r>
          </w:p>
        </w:tc>
      </w:tr>
      <w:tr>
        <w:trPr>
          <w:trHeight w:val="144"/>
        </w:trPr>
        <w:tc>
          <w:tcPr>
            <w:tcW w:w="4140" w:type="dxa"/>
            <w:vAlign w:val="bottom"/>
          </w:tcPr>
          <w:p>
            <w:pPr>
              <w:spacing w:after="0"/>
              <w:rPr>
                <w:sz w:val="20"/>
                <w:szCs w:val="20"/>
                <w:color w:val="auto"/>
              </w:rPr>
            </w:pPr>
            <w:r>
              <w:rPr>
                <w:rFonts w:ascii="Arial" w:cs="Arial" w:eastAsia="Arial" w:hAnsi="Arial"/>
                <w:sz w:val="12"/>
                <w:szCs w:val="12"/>
                <w:color w:val="auto"/>
              </w:rPr>
              <w:t>Adjusted GAAP diluted EPS growth</w:t>
            </w:r>
            <w:r>
              <w:rPr>
                <w:rFonts w:ascii="Arial" w:cs="Arial" w:eastAsia="Arial" w:hAnsi="Arial"/>
                <w:sz w:val="10"/>
                <w:szCs w:val="10"/>
                <w:color w:val="auto"/>
              </w:rPr>
              <w:t>(4)</w:t>
            </w:r>
          </w:p>
        </w:tc>
        <w:tc>
          <w:tcPr>
            <w:tcW w:w="840" w:type="dxa"/>
            <w:vAlign w:val="bottom"/>
          </w:tcPr>
          <w:p>
            <w:pPr>
              <w:jc w:val="center"/>
              <w:spacing w:after="0"/>
              <w:rPr>
                <w:sz w:val="20"/>
                <w:szCs w:val="20"/>
                <w:color w:val="auto"/>
              </w:rPr>
            </w:pPr>
            <w:r>
              <w:rPr>
                <w:rFonts w:ascii="Arial" w:cs="Arial" w:eastAsia="Arial" w:hAnsi="Arial"/>
                <w:sz w:val="12"/>
                <w:szCs w:val="12"/>
                <w:color w:val="auto"/>
                <w:w w:val="91"/>
              </w:rPr>
              <w:t>6.0%-13.0%</w:t>
            </w:r>
          </w:p>
        </w:tc>
      </w:tr>
      <w:tr>
        <w:trPr>
          <w:trHeight w:val="144"/>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Non-GAAP diluted EPS growth</w:t>
            </w: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1"/>
              </w:rPr>
              <w:t>6.3%-10.3%</w:t>
            </w:r>
          </w:p>
        </w:tc>
      </w:tr>
      <w:tr>
        <w:trPr>
          <w:trHeight w:val="153"/>
        </w:trPr>
        <w:tc>
          <w:tcPr>
            <w:tcW w:w="4140" w:type="dxa"/>
            <w:vAlign w:val="bottom"/>
          </w:tcPr>
          <w:p>
            <w:pPr>
              <w:spacing w:after="0"/>
              <w:rPr>
                <w:sz w:val="20"/>
                <w:szCs w:val="20"/>
                <w:color w:val="auto"/>
              </w:rPr>
            </w:pPr>
            <w:r>
              <w:rPr>
                <w:rFonts w:ascii="Arial" w:cs="Arial" w:eastAsia="Arial" w:hAnsi="Arial"/>
                <w:sz w:val="12"/>
                <w:szCs w:val="12"/>
                <w:color w:val="auto"/>
              </w:rPr>
              <w:t>Pro forma</w:t>
            </w:r>
            <w:r>
              <w:rPr>
                <w:rFonts w:ascii="Arial" w:cs="Arial" w:eastAsia="Arial" w:hAnsi="Arial"/>
                <w:sz w:val="10"/>
                <w:szCs w:val="10"/>
                <w:color w:val="auto"/>
              </w:rPr>
              <w:t>(2)</w:t>
            </w:r>
            <w:r>
              <w:rPr>
                <w:rFonts w:ascii="Arial" w:cs="Arial" w:eastAsia="Arial" w:hAnsi="Arial"/>
                <w:sz w:val="12"/>
                <w:szCs w:val="12"/>
                <w:color w:val="auto"/>
              </w:rPr>
              <w:t xml:space="preserve"> non-GAAP diluted EPS growth</w:t>
            </w:r>
          </w:p>
        </w:tc>
        <w:tc>
          <w:tcPr>
            <w:tcW w:w="840" w:type="dxa"/>
            <w:vAlign w:val="bottom"/>
          </w:tcPr>
          <w:p>
            <w:pPr>
              <w:jc w:val="center"/>
              <w:spacing w:after="0"/>
              <w:rPr>
                <w:sz w:val="20"/>
                <w:szCs w:val="20"/>
                <w:color w:val="auto"/>
              </w:rPr>
            </w:pPr>
            <w:r>
              <w:rPr>
                <w:rFonts w:ascii="Arial" w:cs="Arial" w:eastAsia="Arial" w:hAnsi="Arial"/>
                <w:sz w:val="12"/>
                <w:szCs w:val="12"/>
                <w:color w:val="auto"/>
                <w:w w:val="91"/>
              </w:rPr>
              <w:t>8.0%-12.0%</w:t>
            </w:r>
          </w:p>
        </w:tc>
      </w:tr>
      <w:tr>
        <w:trPr>
          <w:trHeight w:val="220"/>
        </w:trPr>
        <w:tc>
          <w:tcPr>
            <w:tcW w:w="414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88"/>
              </w:rPr>
              <w:t>In millions</w:t>
            </w:r>
          </w:p>
        </w:tc>
      </w:tr>
      <w:tr>
        <w:trPr>
          <w:trHeight w:val="113"/>
        </w:trPr>
        <w:tc>
          <w:tcPr>
            <w:tcW w:w="4140" w:type="dxa"/>
            <w:vAlign w:val="bottom"/>
          </w:tcPr>
          <w:p>
            <w:pPr>
              <w:spacing w:after="0"/>
              <w:rPr>
                <w:sz w:val="9"/>
                <w:szCs w:val="9"/>
                <w:color w:val="auto"/>
              </w:rPr>
            </w:pPr>
          </w:p>
        </w:tc>
        <w:tc>
          <w:tcPr>
            <w:tcW w:w="8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8"/>
              </w:rPr>
              <w:t>FY 2022,</w:t>
            </w:r>
          </w:p>
        </w:tc>
      </w:tr>
      <w:tr>
        <w:trPr>
          <w:trHeight w:val="144"/>
        </w:trPr>
        <w:tc>
          <w:tcPr>
            <w:tcW w:w="4140" w:type="dxa"/>
            <w:vAlign w:val="bottom"/>
            <w:shd w:val="clear" w:color="auto" w:fill="CCEEFF"/>
          </w:tcPr>
          <w:p>
            <w:pPr>
              <w:spacing w:after="0"/>
              <w:rPr>
                <w:sz w:val="20"/>
                <w:szCs w:val="20"/>
                <w:color w:val="auto"/>
              </w:rPr>
            </w:pPr>
            <w:r>
              <w:rPr>
                <w:rFonts w:ascii="Arial" w:cs="Arial" w:eastAsia="Arial" w:hAnsi="Arial"/>
                <w:sz w:val="12"/>
                <w:szCs w:val="12"/>
                <w:color w:val="auto"/>
              </w:rPr>
              <w:t>Free cash flow</w:t>
            </w:r>
            <w:r>
              <w:rPr>
                <w:rFonts w:ascii="Arial" w:cs="Arial" w:eastAsia="Arial" w:hAnsi="Arial"/>
                <w:sz w:val="10"/>
                <w:szCs w:val="10"/>
                <w:color w:val="auto"/>
              </w:rPr>
              <w:t>(1)</w:t>
            </w:r>
          </w:p>
        </w:tc>
        <w:tc>
          <w:tcPr>
            <w:tcW w:w="8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~$500</w:t>
            </w:r>
          </w:p>
        </w:tc>
      </w:tr>
      <w:tr>
        <w:trPr>
          <w:trHeight w:val="153"/>
        </w:trPr>
        <w:tc>
          <w:tcPr>
            <w:tcW w:w="4140" w:type="dxa"/>
            <w:vAlign w:val="bottom"/>
          </w:tcPr>
          <w:p>
            <w:pPr>
              <w:spacing w:after="0"/>
              <w:rPr>
                <w:sz w:val="20"/>
                <w:szCs w:val="20"/>
                <w:color w:val="auto"/>
              </w:rPr>
            </w:pPr>
            <w:r>
              <w:rPr>
                <w:rFonts w:ascii="Arial" w:cs="Arial" w:eastAsia="Arial" w:hAnsi="Arial"/>
                <w:sz w:val="12"/>
                <w:szCs w:val="12"/>
                <w:color w:val="auto"/>
              </w:rPr>
              <w:t>Normalized free cash flow</w:t>
            </w:r>
            <w:r>
              <w:rPr>
                <w:rFonts w:ascii="Arial" w:cs="Arial" w:eastAsia="Arial" w:hAnsi="Arial"/>
                <w:sz w:val="10"/>
                <w:szCs w:val="10"/>
                <w:color w:val="auto"/>
              </w:rPr>
              <w:t>(1)</w:t>
            </w:r>
          </w:p>
        </w:tc>
        <w:tc>
          <w:tcPr>
            <w:tcW w:w="840" w:type="dxa"/>
            <w:vAlign w:val="bottom"/>
          </w:tcPr>
          <w:p>
            <w:pPr>
              <w:jc w:val="center"/>
              <w:spacing w:after="0"/>
              <w:rPr>
                <w:sz w:val="20"/>
                <w:szCs w:val="20"/>
                <w:color w:val="auto"/>
              </w:rPr>
            </w:pPr>
            <w:r>
              <w:rPr>
                <w:rFonts w:ascii="Arial" w:cs="Arial" w:eastAsia="Arial" w:hAnsi="Arial"/>
                <w:sz w:val="12"/>
                <w:szCs w:val="12"/>
                <w:color w:val="auto"/>
                <w:w w:val="88"/>
              </w:rPr>
              <w:t>~$650</w:t>
            </w:r>
          </w:p>
        </w:tc>
      </w:tr>
    </w:tbl>
    <w:p>
      <w:pPr>
        <w:spacing w:after="0" w:line="144" w:lineRule="exact"/>
        <w:rPr>
          <w:sz w:val="20"/>
          <w:szCs w:val="20"/>
          <w:color w:val="auto"/>
        </w:rPr>
      </w:pPr>
    </w:p>
    <w:p>
      <w:pPr>
        <w:ind w:left="1480" w:right="959" w:hanging="288"/>
        <w:spacing w:after="0" w:line="276" w:lineRule="auto"/>
        <w:tabs>
          <w:tab w:leader="none" w:pos="1480" w:val="left"/>
        </w:tabs>
        <w:numPr>
          <w:ilvl w:val="0"/>
          <w:numId w:val="9"/>
        </w:numPr>
        <w:rPr>
          <w:rFonts w:ascii="Arial" w:cs="Arial" w:eastAsia="Arial" w:hAnsi="Arial"/>
          <w:sz w:val="12"/>
          <w:szCs w:val="12"/>
          <w:color w:val="auto"/>
        </w:rPr>
      </w:pPr>
      <w:r>
        <w:rPr>
          <w:rFonts w:ascii="Arial" w:cs="Arial" w:eastAsia="Arial" w:hAnsi="Arial"/>
          <w:sz w:val="12"/>
          <w:szCs w:val="12"/>
          <w:color w:val="auto"/>
        </w:rPr>
        <w:t>Full year fiscal 2022 revenue guidance incorporates an expected unfavorable impact from foreign currency fluctuations of approximately 0.3% year-over-year</w:t>
      </w:r>
    </w:p>
    <w:p>
      <w:pPr>
        <w:spacing w:after="0" w:line="51" w:lineRule="exact"/>
        <w:rPr>
          <w:rFonts w:ascii="Arial" w:cs="Arial" w:eastAsia="Arial" w:hAnsi="Arial"/>
          <w:sz w:val="12"/>
          <w:szCs w:val="12"/>
          <w:color w:val="auto"/>
        </w:rPr>
      </w:pPr>
    </w:p>
    <w:p>
      <w:pPr>
        <w:ind w:left="1480" w:right="879" w:hanging="288"/>
        <w:spacing w:after="0" w:line="256" w:lineRule="auto"/>
        <w:tabs>
          <w:tab w:leader="none" w:pos="1480" w:val="left"/>
        </w:tabs>
        <w:numPr>
          <w:ilvl w:val="0"/>
          <w:numId w:val="9"/>
        </w:numPr>
        <w:rPr>
          <w:rFonts w:ascii="Arial" w:cs="Arial" w:eastAsia="Arial" w:hAnsi="Arial"/>
          <w:sz w:val="12"/>
          <w:szCs w:val="12"/>
          <w:color w:val="auto"/>
        </w:rPr>
      </w:pPr>
      <w:r>
        <w:rPr>
          <w:rFonts w:ascii="Arial" w:cs="Arial" w:eastAsia="Arial" w:hAnsi="Arial"/>
          <w:sz w:val="12"/>
          <w:szCs w:val="12"/>
          <w:color w:val="auto"/>
        </w:rPr>
        <w:t>Non-GAAP diluted earnings per share growth, and pro forma</w:t>
      </w:r>
      <w:r>
        <w:rPr>
          <w:rFonts w:ascii="Arial" w:cs="Arial" w:eastAsia="Arial" w:hAnsi="Arial"/>
          <w:sz w:val="10"/>
          <w:szCs w:val="10"/>
          <w:color w:val="auto"/>
        </w:rPr>
        <w:t>(2)</w:t>
      </w:r>
      <w:r>
        <w:rPr>
          <w:rFonts w:ascii="Arial" w:cs="Arial" w:eastAsia="Arial" w:hAnsi="Arial"/>
          <w:sz w:val="12"/>
          <w:szCs w:val="12"/>
          <w:color w:val="auto"/>
        </w:rPr>
        <w:t xml:space="preserve"> non-GAAP diluted earnings per share growth, excludes amortization of purchased intangible assets and other acquisition-related costs, changes in certain acquisitions related liabilities measured at fair value, approximately $0.45-$0.53 per share of equity-based compensation expense, and gain from divestiture of OpenMarket, net of related tax effects in the previous fiscal year 2021. Adjusted GAAP diluted earnings per share growth, excludes gain from divestiture of OpenMarket, net of related tax effects in the previous fiscal year 2021</w:t>
      </w:r>
    </w:p>
    <w:p>
      <w:pPr>
        <w:spacing w:after="0" w:line="65" w:lineRule="exact"/>
        <w:rPr>
          <w:rFonts w:ascii="Arial" w:cs="Arial" w:eastAsia="Arial" w:hAnsi="Arial"/>
          <w:sz w:val="12"/>
          <w:szCs w:val="12"/>
          <w:color w:val="auto"/>
        </w:rPr>
      </w:pPr>
    </w:p>
    <w:p>
      <w:pPr>
        <w:ind w:left="1480" w:hanging="288"/>
        <w:spacing w:after="0"/>
        <w:tabs>
          <w:tab w:leader="none" w:pos="1480" w:val="left"/>
        </w:tabs>
        <w:numPr>
          <w:ilvl w:val="0"/>
          <w:numId w:val="9"/>
        </w:numPr>
        <w:rPr>
          <w:rFonts w:ascii="Arial" w:cs="Arial" w:eastAsia="Arial" w:hAnsi="Arial"/>
          <w:sz w:val="12"/>
          <w:szCs w:val="12"/>
          <w:color w:val="auto"/>
        </w:rPr>
      </w:pPr>
      <w:r>
        <w:rPr>
          <w:rFonts w:ascii="Arial" w:cs="Arial" w:eastAsia="Arial" w:hAnsi="Arial"/>
          <w:sz w:val="12"/>
          <w:szCs w:val="12"/>
          <w:color w:val="auto"/>
        </w:rPr>
        <w:t>Free cash flow</w:t>
      </w:r>
      <w:r>
        <w:rPr>
          <w:rFonts w:ascii="Arial" w:cs="Arial" w:eastAsia="Arial" w:hAnsi="Arial"/>
          <w:sz w:val="10"/>
          <w:szCs w:val="10"/>
          <w:color w:val="auto"/>
        </w:rPr>
        <w:t>(1)</w:t>
      </w:r>
      <w:r>
        <w:rPr>
          <w:rFonts w:ascii="Arial" w:cs="Arial" w:eastAsia="Arial" w:hAnsi="Arial"/>
          <w:sz w:val="12"/>
          <w:szCs w:val="12"/>
          <w:color w:val="auto"/>
        </w:rPr>
        <w:t xml:space="preserve"> is comprised of cash flow from operations, less net capital expenditures and other</w:t>
      </w:r>
    </w:p>
    <w:p>
      <w:pPr>
        <w:spacing w:after="0" w:line="87" w:lineRule="exact"/>
        <w:rPr>
          <w:rFonts w:ascii="Arial" w:cs="Arial" w:eastAsia="Arial" w:hAnsi="Arial"/>
          <w:sz w:val="12"/>
          <w:szCs w:val="12"/>
          <w:color w:val="auto"/>
        </w:rPr>
      </w:pPr>
    </w:p>
    <w:p>
      <w:pPr>
        <w:ind w:left="1480" w:right="1059" w:hanging="288"/>
        <w:spacing w:after="0" w:line="276" w:lineRule="auto"/>
        <w:tabs>
          <w:tab w:leader="none" w:pos="1480" w:val="left"/>
        </w:tabs>
        <w:numPr>
          <w:ilvl w:val="0"/>
          <w:numId w:val="9"/>
        </w:numPr>
        <w:rPr>
          <w:rFonts w:ascii="Arial" w:cs="Arial" w:eastAsia="Arial" w:hAnsi="Arial"/>
          <w:sz w:val="12"/>
          <w:szCs w:val="12"/>
          <w:color w:val="auto"/>
        </w:rPr>
      </w:pPr>
      <w:r>
        <w:rPr>
          <w:rFonts w:ascii="Arial" w:cs="Arial" w:eastAsia="Arial" w:hAnsi="Arial"/>
          <w:sz w:val="12"/>
          <w:szCs w:val="12"/>
          <w:color w:val="auto"/>
        </w:rPr>
        <w:t>Normalized free cash flow excludes expected capital expenditure of $131 million related to the new campus development in Israel, and other items</w:t>
      </w:r>
    </w:p>
    <w:p>
      <w:pPr>
        <w:sectPr>
          <w:pgSz w:w="11900" w:h="16838" w:orient="portrait"/>
          <w:cols w:equalWidth="0" w:num="1">
            <w:col w:w="9019"/>
          </w:cols>
          <w:pgMar w:left="1440" w:top="226" w:right="1440" w:bottom="1440" w:gutter="0" w:footer="0" w:header="0"/>
        </w:sectPr>
      </w:pPr>
    </w:p>
    <w:bookmarkStart w:id="10" w:name="page11"/>
    <w:bookmarkEnd w:id="10"/>
    <w:p>
      <w:pPr>
        <w:ind w:left="840" w:right="879"/>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Our first fiscal quarter 2022 and full year fiscal 2022 outlook takes into consideration the Company’s current expectations regarding macro and industry specific risks and various uncertainties and certain assumptions that we will discuss on our earnings conference call. However, we note that market dynamics continue to shift rapidly and we cannot predict all possible outcomes, including those resulting from the COVID-19 pandemic, including its novel strains, which has created, and continues to create, a significant amount of uncertainty, or from current and potential customer consolidation or their other strategic corporate activities.</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Conference Call and Earnings Webcast Presentation Details</w:t>
      </w:r>
    </w:p>
    <w:p>
      <w:pPr>
        <w:spacing w:after="0" w:line="82" w:lineRule="exact"/>
        <w:rPr>
          <w:sz w:val="20"/>
          <w:szCs w:val="20"/>
          <w:color w:val="auto"/>
        </w:rPr>
      </w:pPr>
    </w:p>
    <w:p>
      <w:pPr>
        <w:ind w:left="840" w:right="899"/>
        <w:spacing w:after="0" w:line="289" w:lineRule="auto"/>
        <w:rPr>
          <w:sz w:val="20"/>
          <w:szCs w:val="20"/>
          <w:color w:val="auto"/>
        </w:rPr>
      </w:pPr>
      <w:r>
        <w:rPr>
          <w:rFonts w:ascii="Arial" w:cs="Arial" w:eastAsia="Arial" w:hAnsi="Arial"/>
          <w:sz w:val="11"/>
          <w:szCs w:val="11"/>
          <w:color w:val="auto"/>
        </w:rPr>
        <w:t>Amdocs will host a conference call and earnings webcast presentation on November 2, 2021 at 5:00 p.m. Eastern Time to discuss the Company’s fourth quarter of fiscal 2021 results. To participate, please dial +1 (844) 513-7152, or +1 (508) 637-5600 outside the United States, approximately 15 minutes before the call and enter passcode 9941807. The conference call and webcast will also be carried live on the Internet and may be accessed via the Amdocs website at https://investors.amdocs.com. Presentation slides will be available shortly before the webcast.</w:t>
      </w:r>
    </w:p>
    <w:p>
      <w:pPr>
        <w:spacing w:after="0" w:line="17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Non-GAAP Financial Measures</w:t>
      </w:r>
    </w:p>
    <w:p>
      <w:pPr>
        <w:spacing w:after="0" w:line="82" w:lineRule="exact"/>
        <w:rPr>
          <w:sz w:val="20"/>
          <w:szCs w:val="20"/>
          <w:color w:val="auto"/>
        </w:rPr>
      </w:pPr>
    </w:p>
    <w:p>
      <w:pPr>
        <w:ind w:left="840" w:right="899"/>
        <w:spacing w:after="0" w:line="256" w:lineRule="auto"/>
        <w:rPr>
          <w:sz w:val="20"/>
          <w:szCs w:val="20"/>
          <w:color w:val="auto"/>
        </w:rPr>
      </w:pPr>
      <w:r>
        <w:rPr>
          <w:rFonts w:ascii="Arial" w:cs="Arial" w:eastAsia="Arial" w:hAnsi="Arial"/>
          <w:sz w:val="12"/>
          <w:szCs w:val="12"/>
          <w:color w:val="auto"/>
        </w:rPr>
        <w:t>This release includes non-GAAP diluted earnings per share and other non-GAAP financial measures, including free cash flow and normalized free cash flow, revenue on a constant currency</w:t>
      </w:r>
      <w:r>
        <w:rPr>
          <w:rFonts w:ascii="Arial" w:cs="Arial" w:eastAsia="Arial" w:hAnsi="Arial"/>
          <w:sz w:val="10"/>
          <w:szCs w:val="10"/>
          <w:color w:val="auto"/>
        </w:rPr>
        <w:t>(3)</w:t>
      </w:r>
      <w:r>
        <w:rPr>
          <w:rFonts w:ascii="Arial" w:cs="Arial" w:eastAsia="Arial" w:hAnsi="Arial"/>
          <w:sz w:val="12"/>
          <w:szCs w:val="12"/>
          <w:color w:val="auto"/>
        </w:rPr>
        <w:t xml:space="preserve"> basis, non-GAAP cost of revenue, non-GAAP research and development, non-GAAP selling, general and administrative, non-GAAP operating income, non-GAAP operating margin, non-GAAP interest and other expenses, net, non-GAAP income taxes, non-GAAP effective tax rate, non-GAAP net income and non-GAAP diluted earnings per share growth. These other non-GAAP measures exclude the following items:</w:t>
      </w:r>
    </w:p>
    <w:p>
      <w:pPr>
        <w:spacing w:after="0" w:line="65" w:lineRule="exact"/>
        <w:rPr>
          <w:sz w:val="20"/>
          <w:szCs w:val="20"/>
          <w:color w:val="auto"/>
        </w:rPr>
      </w:pPr>
    </w:p>
    <w:p>
      <w:pPr>
        <w:ind w:left="1480" w:hanging="288"/>
        <w:spacing w:after="0"/>
        <w:tabs>
          <w:tab w:leader="none" w:pos="14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amortization of purchased intangible assets and other acquisition-related costs;</w:t>
      </w:r>
    </w:p>
    <w:p>
      <w:pPr>
        <w:spacing w:after="0" w:line="87" w:lineRule="exact"/>
        <w:rPr>
          <w:rFonts w:ascii="Arial" w:cs="Arial" w:eastAsia="Arial" w:hAnsi="Arial"/>
          <w:sz w:val="12"/>
          <w:szCs w:val="12"/>
          <w:color w:val="auto"/>
        </w:rPr>
      </w:pPr>
    </w:p>
    <w:p>
      <w:pPr>
        <w:ind w:left="1480" w:hanging="288"/>
        <w:spacing w:after="0"/>
        <w:tabs>
          <w:tab w:leader="none" w:pos="14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changes in certain acquisition-related liabilities measured at fair value;</w:t>
      </w:r>
    </w:p>
    <w:p>
      <w:pPr>
        <w:spacing w:after="0" w:line="87" w:lineRule="exact"/>
        <w:rPr>
          <w:rFonts w:ascii="Arial" w:cs="Arial" w:eastAsia="Arial" w:hAnsi="Arial"/>
          <w:sz w:val="12"/>
          <w:szCs w:val="12"/>
          <w:color w:val="auto"/>
        </w:rPr>
      </w:pPr>
    </w:p>
    <w:p>
      <w:pPr>
        <w:ind w:left="1480" w:hanging="288"/>
        <w:spacing w:after="0"/>
        <w:tabs>
          <w:tab w:leader="none" w:pos="14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non-recurring and unusual charges or benefits (such as a gain from divestiture of OpenMarket);</w:t>
      </w:r>
    </w:p>
    <w:p>
      <w:pPr>
        <w:spacing w:after="0" w:line="87" w:lineRule="exact"/>
        <w:rPr>
          <w:rFonts w:ascii="Arial" w:cs="Arial" w:eastAsia="Arial" w:hAnsi="Arial"/>
          <w:sz w:val="12"/>
          <w:szCs w:val="12"/>
          <w:color w:val="auto"/>
        </w:rPr>
      </w:pPr>
    </w:p>
    <w:p>
      <w:pPr>
        <w:ind w:left="1480" w:hanging="288"/>
        <w:spacing w:after="0"/>
        <w:tabs>
          <w:tab w:leader="none" w:pos="14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equity-based compensation expense;</w:t>
      </w:r>
    </w:p>
    <w:p>
      <w:pPr>
        <w:spacing w:after="0" w:line="87" w:lineRule="exact"/>
        <w:rPr>
          <w:rFonts w:ascii="Arial" w:cs="Arial" w:eastAsia="Arial" w:hAnsi="Arial"/>
          <w:sz w:val="12"/>
          <w:szCs w:val="12"/>
          <w:color w:val="auto"/>
        </w:rPr>
      </w:pPr>
    </w:p>
    <w:p>
      <w:pPr>
        <w:ind w:left="1480" w:hanging="288"/>
        <w:spacing w:after="0"/>
        <w:tabs>
          <w:tab w:leader="none" w:pos="14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other; and</w:t>
      </w:r>
    </w:p>
    <w:p>
      <w:pPr>
        <w:spacing w:after="0" w:line="87" w:lineRule="exact"/>
        <w:rPr>
          <w:rFonts w:ascii="Arial" w:cs="Arial" w:eastAsia="Arial" w:hAnsi="Arial"/>
          <w:sz w:val="12"/>
          <w:szCs w:val="12"/>
          <w:color w:val="auto"/>
        </w:rPr>
      </w:pPr>
    </w:p>
    <w:p>
      <w:pPr>
        <w:ind w:left="1480" w:hanging="288"/>
        <w:spacing w:after="0"/>
        <w:tabs>
          <w:tab w:leader="none" w:pos="14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tax effects related to the above.</w:t>
      </w:r>
    </w:p>
    <w:p>
      <w:pPr>
        <w:sectPr>
          <w:pgSz w:w="11900" w:h="16838" w:orient="portrait"/>
          <w:cols w:equalWidth="0" w:num="1">
            <w:col w:w="9019"/>
          </w:cols>
          <w:pgMar w:left="1440" w:top="230" w:right="1440" w:bottom="1440" w:gutter="0" w:footer="0" w:header="0"/>
        </w:sectPr>
      </w:pPr>
    </w:p>
    <w:bookmarkStart w:id="11" w:name="page12"/>
    <w:bookmarkEnd w:id="11"/>
    <w:p>
      <w:pPr>
        <w:ind w:left="840" w:right="859"/>
        <w:spacing w:after="0" w:line="28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Free cash flow equals cash generated by operating activities less net capital expenditures and other. Normalized free cash flow, a measure of our operating performance, is further adjusted to exclude net capital expenditures related to the new campus development, payments for non-recurring and unusual charges (such as capital gains tax in relation to the divestiture of OpenMarket), and payments of acquisition related liabilities. 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15" w:lineRule="exact"/>
        <w:rPr>
          <w:sz w:val="20"/>
          <w:szCs w:val="20"/>
          <w:color w:val="auto"/>
        </w:rPr>
      </w:pPr>
    </w:p>
    <w:p>
      <w:pPr>
        <w:ind w:left="840" w:right="879"/>
        <w:spacing w:after="0" w:line="316" w:lineRule="auto"/>
        <w:rPr>
          <w:sz w:val="20"/>
          <w:szCs w:val="20"/>
          <w:color w:val="auto"/>
        </w:rPr>
      </w:pPr>
      <w:r>
        <w:rPr>
          <w:rFonts w:ascii="Arial" w:cs="Arial" w:eastAsia="Arial" w:hAnsi="Arial"/>
          <w:sz w:val="10"/>
          <w:szCs w:val="10"/>
          <w:color w:val="auto"/>
        </w:rPr>
        <w:t>Amdocs believes that the presentation of non-GAAP diluted earnings per share and other financial measures, including free cash flow and normalized free cash flow, non-GAAP cost of revenue, non-GAAP research and development, non-GAAP selling, general and administrative, non-GAAP operating income, non-GAAP operating margin, non-GAAP interest and other expenses, net, non-GAAP income taxes, non-GAAP effective tax rate,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00" w:lineRule="exact"/>
        <w:rPr>
          <w:sz w:val="20"/>
          <w:szCs w:val="20"/>
          <w:color w:val="auto"/>
        </w:rPr>
      </w:pPr>
    </w:p>
    <w:p>
      <w:pPr>
        <w:ind w:left="840" w:right="999"/>
        <w:spacing w:after="0" w:line="340" w:lineRule="auto"/>
        <w:rPr>
          <w:sz w:val="20"/>
          <w:szCs w:val="20"/>
          <w:color w:val="auto"/>
        </w:rPr>
      </w:pPr>
      <w:r>
        <w:rPr>
          <w:rFonts w:ascii="Arial" w:cs="Arial" w:eastAsia="Arial" w:hAnsi="Arial"/>
          <w:sz w:val="10"/>
          <w:szCs w:val="10"/>
          <w:color w:val="auto"/>
        </w:rPr>
        <w:t>For its internal budgeting process and in monitoring the results of the business, Amdocs’ management uses financial statements that do not include amortization of purchased intangible assets and other acquisition-related costs, changes in certain acquisition-related liabilities measured at fair value, non-recurring and unusual charges or benefits, equity-based compensation expense, other and related tax effects. Amdocs’ management also</w:t>
      </w:r>
    </w:p>
    <w:p>
      <w:pPr>
        <w:sectPr>
          <w:pgSz w:w="11900" w:h="16838" w:orient="portrait"/>
          <w:cols w:equalWidth="0" w:num="1">
            <w:col w:w="9019"/>
          </w:cols>
          <w:pgMar w:left="1440" w:top="230" w:right="1440" w:bottom="1440" w:gutter="0" w:footer="0" w:header="0"/>
        </w:sectPr>
      </w:pPr>
    </w:p>
    <w:bookmarkStart w:id="12" w:name="page13"/>
    <w:bookmarkEnd w:id="12"/>
    <w:p>
      <w:pPr>
        <w:ind w:left="840" w:right="919"/>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24" w:lineRule="exact"/>
        <w:rPr>
          <w:sz w:val="20"/>
          <w:szCs w:val="20"/>
          <w:color w:val="auto"/>
        </w:rPr>
      </w:pPr>
    </w:p>
    <w:p>
      <w:pPr>
        <w:ind w:left="840" w:right="899"/>
        <w:spacing w:after="0" w:line="256" w:lineRule="auto"/>
        <w:rPr>
          <w:sz w:val="20"/>
          <w:szCs w:val="20"/>
          <w:color w:val="auto"/>
        </w:rPr>
      </w:pPr>
      <w:r>
        <w:rPr>
          <w:rFonts w:ascii="Arial" w:cs="Arial" w:eastAsia="Arial" w:hAnsi="Arial"/>
          <w:sz w:val="12"/>
          <w:szCs w:val="12"/>
          <w:color w:val="auto"/>
        </w:rPr>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expenses,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Supporting Resources</w:t>
      </w:r>
    </w:p>
    <w:p>
      <w:pPr>
        <w:spacing w:after="0" w:line="91" w:lineRule="exact"/>
        <w:rPr>
          <w:sz w:val="20"/>
          <w:szCs w:val="20"/>
          <w:color w:val="auto"/>
        </w:rPr>
      </w:pPr>
    </w:p>
    <w:p>
      <w:pPr>
        <w:ind w:left="1120" w:hanging="216"/>
        <w:spacing w:after="0"/>
        <w:tabs>
          <w:tab w:leader="none" w:pos="11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 xml:space="preserve">Keep up with Amdocs news by visiting the Company’s </w:t>
      </w:r>
      <w:r>
        <w:rPr>
          <w:rFonts w:ascii="Arial" w:cs="Arial" w:eastAsia="Arial" w:hAnsi="Arial"/>
          <w:sz w:val="12"/>
          <w:szCs w:val="12"/>
          <w:u w:val="single" w:color="auto"/>
          <w:color w:val="auto"/>
        </w:rPr>
        <w:t>website</w:t>
      </w:r>
    </w:p>
    <w:p>
      <w:pPr>
        <w:spacing w:after="0" w:line="87" w:lineRule="exact"/>
        <w:rPr>
          <w:rFonts w:ascii="Arial" w:cs="Arial" w:eastAsia="Arial" w:hAnsi="Arial"/>
          <w:sz w:val="12"/>
          <w:szCs w:val="12"/>
          <w:color w:val="auto"/>
        </w:rPr>
      </w:pPr>
    </w:p>
    <w:p>
      <w:pPr>
        <w:ind w:left="1120" w:hanging="216"/>
        <w:spacing w:after="0"/>
        <w:tabs>
          <w:tab w:leader="none" w:pos="11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 xml:space="preserve">Subscribe to Amdocs’ </w:t>
      </w:r>
      <w:r>
        <w:rPr>
          <w:rFonts w:ascii="Arial" w:cs="Arial" w:eastAsia="Arial" w:hAnsi="Arial"/>
          <w:sz w:val="12"/>
          <w:szCs w:val="12"/>
          <w:u w:val="single" w:color="auto"/>
          <w:color w:val="auto"/>
        </w:rPr>
        <w:t>RSS Feed</w:t>
      </w:r>
      <w:r>
        <w:rPr>
          <w:rFonts w:ascii="Arial" w:cs="Arial" w:eastAsia="Arial" w:hAnsi="Arial"/>
          <w:sz w:val="12"/>
          <w:szCs w:val="12"/>
          <w:color w:val="auto"/>
        </w:rPr>
        <w:t xml:space="preserve"> and follow us on </w:t>
      </w:r>
      <w:r>
        <w:rPr>
          <w:rFonts w:ascii="Arial" w:cs="Arial" w:eastAsia="Arial" w:hAnsi="Arial"/>
          <w:sz w:val="12"/>
          <w:szCs w:val="12"/>
          <w:u w:val="single" w:color="auto"/>
          <w:color w:val="auto"/>
        </w:rPr>
        <w:t>Twitter</w:t>
      </w:r>
      <w:r>
        <w:rPr>
          <w:rFonts w:ascii="Arial" w:cs="Arial" w:eastAsia="Arial" w:hAnsi="Arial"/>
          <w:sz w:val="12"/>
          <w:szCs w:val="12"/>
          <w:color w:val="auto"/>
        </w:rPr>
        <w:t xml:space="preserve">, </w:t>
      </w:r>
      <w:r>
        <w:rPr>
          <w:rFonts w:ascii="Arial" w:cs="Arial" w:eastAsia="Arial" w:hAnsi="Arial"/>
          <w:sz w:val="12"/>
          <w:szCs w:val="12"/>
          <w:u w:val="single" w:color="auto"/>
          <w:color w:val="auto"/>
        </w:rPr>
        <w:t>Facebook</w:t>
      </w:r>
      <w:r>
        <w:rPr>
          <w:rFonts w:ascii="Arial" w:cs="Arial" w:eastAsia="Arial" w:hAnsi="Arial"/>
          <w:sz w:val="12"/>
          <w:szCs w:val="12"/>
          <w:color w:val="auto"/>
        </w:rPr>
        <w:t xml:space="preserve">, </w:t>
      </w:r>
      <w:r>
        <w:rPr>
          <w:rFonts w:ascii="Arial" w:cs="Arial" w:eastAsia="Arial" w:hAnsi="Arial"/>
          <w:sz w:val="12"/>
          <w:szCs w:val="12"/>
          <w:u w:val="single" w:color="auto"/>
          <w:color w:val="auto"/>
        </w:rPr>
        <w:t>LinkedIn</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YouTube</w:t>
      </w:r>
    </w:p>
    <w:p>
      <w:pPr>
        <w:spacing w:after="0" w:line="21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Amdocs</w:t>
      </w:r>
    </w:p>
    <w:p>
      <w:pPr>
        <w:spacing w:after="0" w:line="82" w:lineRule="exact"/>
        <w:rPr>
          <w:sz w:val="20"/>
          <w:szCs w:val="20"/>
          <w:color w:val="auto"/>
        </w:rPr>
      </w:pPr>
    </w:p>
    <w:p>
      <w:pPr>
        <w:ind w:left="840" w:right="939"/>
        <w:spacing w:after="0" w:line="256" w:lineRule="auto"/>
        <w:rPr>
          <w:sz w:val="20"/>
          <w:szCs w:val="20"/>
          <w:color w:val="auto"/>
        </w:rPr>
      </w:pPr>
      <w:r>
        <w:rPr>
          <w:rFonts w:ascii="Arial" w:cs="Arial" w:eastAsia="Arial" w:hAnsi="Arial"/>
          <w:sz w:val="12"/>
          <w:szCs w:val="12"/>
          <w:color w:val="auto"/>
        </w:rPr>
        <w:t>Amdocs helps those who build the future to make it amazing. With our market-leading portfolio of software products and services, we unlock our customers’ innovative potential, empowering them to provide next-generation communication and media experiences for both the individual end user and large enterprise customers. Our 28,000 employees around the globe are here to accelerate service providers’ migration to the cloud, enable them to differentiate in the 5G era, and digitalize and automate their operations. Listed on the NASDAQ Global Select Market, Amdocs had revenue of $4.3 billion in fiscal 2021.</w:t>
      </w:r>
    </w:p>
    <w:p>
      <w:pPr>
        <w:sectPr>
          <w:pgSz w:w="11900" w:h="16838" w:orient="portrait"/>
          <w:cols w:equalWidth="0" w:num="1">
            <w:col w:w="9019"/>
          </w:cols>
          <w:pgMar w:left="1440" w:top="230" w:right="1440" w:bottom="1440" w:gutter="0" w:footer="0" w:header="0"/>
        </w:sectPr>
      </w:pPr>
    </w:p>
    <w:bookmarkStart w:id="13" w:name="page14"/>
    <w:bookmarkEnd w:id="13"/>
    <w:p>
      <w:pPr>
        <w:ind w:left="8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For more information, visit Amdocs at </w:t>
      </w:r>
      <w:r>
        <w:rPr>
          <w:rFonts w:ascii="Arial" w:cs="Arial" w:eastAsia="Arial" w:hAnsi="Arial"/>
          <w:sz w:val="12"/>
          <w:szCs w:val="12"/>
          <w:u w:val="single" w:color="auto"/>
          <w:color w:val="auto"/>
        </w:rPr>
        <w:t>www.amdocs.com</w:t>
      </w:r>
      <w:r>
        <w:rPr>
          <w:rFonts w:ascii="Arial" w:cs="Arial" w:eastAsia="Arial" w:hAnsi="Arial"/>
          <w:sz w:val="12"/>
          <w:szCs w:val="12"/>
          <w:color w:val="auto"/>
        </w:rPr>
        <w:t>.</w:t>
      </w:r>
    </w:p>
    <w:p>
      <w:pPr>
        <w:spacing w:after="0" w:line="150" w:lineRule="exact"/>
        <w:rPr>
          <w:sz w:val="20"/>
          <w:szCs w:val="20"/>
          <w:color w:val="auto"/>
        </w:rPr>
      </w:pPr>
    </w:p>
    <w:p>
      <w:pPr>
        <w:ind w:left="840" w:right="859"/>
        <w:spacing w:after="0" w:line="277" w:lineRule="auto"/>
        <w:rPr>
          <w:sz w:val="20"/>
          <w:szCs w:val="20"/>
          <w:color w:val="auto"/>
        </w:rPr>
      </w:pPr>
      <w:r>
        <w:rPr>
          <w:rFonts w:ascii="Arial" w:cs="Arial" w:eastAsia="Arial" w:hAnsi="Arial"/>
          <w:sz w:val="11"/>
          <w:szCs w:val="11"/>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the duration and severity of the COVID-19 pandemic, and its impact on the global economy,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2020 filed on December 14, 2020 and our Form 6-K furnished for the first quarter of fiscal 2021 on February 16, 2021 and for the second quarter of fiscal 2021 on May 24, 2021 and for the third quarter of fiscal 2021 on August 16, 2021.</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Contact</w:t>
      </w:r>
      <w:r>
        <w:rPr>
          <w:rFonts w:ascii="Arial" w:cs="Arial" w:eastAsia="Arial" w:hAnsi="Arial"/>
          <w:sz w:val="12"/>
          <w:szCs w:val="12"/>
          <w:color w:val="auto"/>
        </w:rPr>
        <w:t>:</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2"/>
          <w:szCs w:val="12"/>
          <w:color w:val="auto"/>
        </w:rPr>
        <w:t>Matthew Smith</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Head of Investor Relations</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Amdocs</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314-212-8328</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E-mail: dox_info@amdocs.com</w:t>
      </w:r>
    </w:p>
    <w:p>
      <w:pPr>
        <w:sectPr>
          <w:pgSz w:w="11900" w:h="16838" w:orient="portrait"/>
          <w:cols w:equalWidth="0" w:num="1">
            <w:col w:w="9019"/>
          </w:cols>
          <w:pgMar w:left="1440" w:top="230" w:right="1440"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AMDOCS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Consolidated Statements of Income</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(In thousands, except per share data)</w:t>
      </w:r>
    </w:p>
    <w:p>
      <w:pPr>
        <w:spacing w:after="0" w:line="12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4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gridSpan w:val="5"/>
          </w:tcPr>
          <w:p>
            <w:pPr>
              <w:jc w:val="right"/>
              <w:ind w:right="340"/>
              <w:spacing w:after="0"/>
              <w:rPr>
                <w:sz w:val="20"/>
                <w:szCs w:val="20"/>
                <w:color w:val="auto"/>
              </w:rPr>
            </w:pPr>
            <w:r>
              <w:rPr>
                <w:rFonts w:ascii="Arial" w:cs="Arial" w:eastAsia="Arial" w:hAnsi="Arial"/>
                <w:sz w:val="10"/>
                <w:szCs w:val="10"/>
                <w:b w:val="1"/>
                <w:bCs w:val="1"/>
                <w:color w:val="auto"/>
                <w:w w:val="97"/>
              </w:rPr>
              <w:t>Three months ended</w:t>
            </w:r>
          </w:p>
        </w:tc>
        <w:tc>
          <w:tcPr>
            <w:tcW w:w="60" w:type="dxa"/>
            <w:vAlign w:val="bottom"/>
          </w:tcPr>
          <w:p>
            <w:pPr>
              <w:spacing w:after="0"/>
              <w:rPr>
                <w:sz w:val="10"/>
                <w:szCs w:val="10"/>
                <w:color w:val="auto"/>
              </w:rPr>
            </w:pPr>
          </w:p>
        </w:tc>
        <w:tc>
          <w:tcPr>
            <w:tcW w:w="1260" w:type="dxa"/>
            <w:vAlign w:val="bottom"/>
            <w:gridSpan w:val="5"/>
          </w:tcPr>
          <w:p>
            <w:pPr>
              <w:jc w:val="right"/>
              <w:ind w:right="340"/>
              <w:spacing w:after="0"/>
              <w:rPr>
                <w:sz w:val="20"/>
                <w:szCs w:val="20"/>
                <w:color w:val="auto"/>
              </w:rPr>
            </w:pPr>
            <w:r>
              <w:rPr>
                <w:rFonts w:ascii="Arial" w:cs="Arial" w:eastAsia="Arial" w:hAnsi="Arial"/>
                <w:sz w:val="10"/>
                <w:szCs w:val="10"/>
                <w:b w:val="1"/>
                <w:bCs w:val="1"/>
                <w:color w:val="auto"/>
              </w:rPr>
              <w:t>Fiscal year ended</w:t>
            </w:r>
          </w:p>
        </w:tc>
        <w:tc>
          <w:tcPr>
            <w:tcW w:w="0" w:type="dxa"/>
            <w:vAlign w:val="bottom"/>
          </w:tcPr>
          <w:p>
            <w:pPr>
              <w:spacing w:after="0"/>
              <w:rPr>
                <w:sz w:val="1"/>
                <w:szCs w:val="1"/>
                <w:color w:val="auto"/>
              </w:rPr>
            </w:pPr>
          </w:p>
        </w:tc>
      </w:tr>
      <w:tr>
        <w:trPr>
          <w:trHeight w:val="113"/>
        </w:trPr>
        <w:tc>
          <w:tcPr>
            <w:tcW w:w="4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5"/>
          </w:tcPr>
          <w:p>
            <w:pPr>
              <w:jc w:val="right"/>
              <w:ind w:right="480"/>
              <w:spacing w:after="0" w:line="114" w:lineRule="exact"/>
              <w:rPr>
                <w:sz w:val="20"/>
                <w:szCs w:val="20"/>
                <w:color w:val="auto"/>
              </w:rPr>
            </w:pPr>
            <w:r>
              <w:rPr>
                <w:rFonts w:ascii="Arial" w:cs="Arial" w:eastAsia="Arial" w:hAnsi="Arial"/>
                <w:sz w:val="10"/>
                <w:szCs w:val="10"/>
                <w:b w:val="1"/>
                <w:bCs w:val="1"/>
                <w:color w:val="auto"/>
              </w:rPr>
              <w:t>September 30,</w:t>
            </w:r>
          </w:p>
        </w:tc>
        <w:tc>
          <w:tcPr>
            <w:tcW w:w="60" w:type="dxa"/>
            <w:vAlign w:val="bottom"/>
          </w:tcPr>
          <w:p>
            <w:pPr>
              <w:spacing w:after="0"/>
              <w:rPr>
                <w:sz w:val="9"/>
                <w:szCs w:val="9"/>
                <w:color w:val="auto"/>
              </w:rPr>
            </w:pPr>
          </w:p>
        </w:tc>
        <w:tc>
          <w:tcPr>
            <w:tcW w:w="1260" w:type="dxa"/>
            <w:vAlign w:val="bottom"/>
            <w:gridSpan w:val="5"/>
          </w:tcPr>
          <w:p>
            <w:pPr>
              <w:jc w:val="right"/>
              <w:ind w:right="400"/>
              <w:spacing w:after="0" w:line="114" w:lineRule="exact"/>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88"/>
        </w:trPr>
        <w:tc>
          <w:tcPr>
            <w:tcW w:w="4640" w:type="dxa"/>
            <w:vAlign w:val="bottom"/>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ind w:right="62"/>
              <w:spacing w:after="0" w:line="88" w:lineRule="exact"/>
              <w:rPr>
                <w:sz w:val="20"/>
                <w:szCs w:val="20"/>
                <w:color w:val="auto"/>
              </w:rPr>
            </w:pPr>
            <w:r>
              <w:rPr>
                <w:rFonts w:ascii="Arial" w:cs="Arial" w:eastAsia="Arial" w:hAnsi="Arial"/>
                <w:sz w:val="10"/>
                <w:szCs w:val="10"/>
                <w:b w:val="1"/>
                <w:bCs w:val="1"/>
                <w:color w:val="auto"/>
              </w:rPr>
              <w:t>2021</w:t>
            </w:r>
            <w:r>
              <w:rPr>
                <w:rFonts w:ascii="Arial" w:cs="Arial" w:eastAsia="Arial" w:hAnsi="Arial"/>
                <w:sz w:val="8"/>
                <w:szCs w:val="8"/>
                <w:b w:val="1"/>
                <w:bCs w:val="1"/>
                <w:color w:val="auto"/>
              </w:rPr>
              <w:t>(a)</w:t>
            </w:r>
          </w:p>
        </w:tc>
        <w:tc>
          <w:tcPr>
            <w:tcW w:w="140" w:type="dxa"/>
            <w:vAlign w:val="bottom"/>
            <w:tcBorders>
              <w:top w:val="single" w:sz="8" w:color="auto"/>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ind w:right="121"/>
              <w:spacing w:after="0" w:line="88" w:lineRule="exact"/>
              <w:rPr>
                <w:sz w:val="20"/>
                <w:szCs w:val="20"/>
                <w:color w:val="auto"/>
              </w:rPr>
            </w:pPr>
            <w:r>
              <w:rPr>
                <w:rFonts w:ascii="Arial" w:cs="Arial" w:eastAsia="Arial" w:hAnsi="Arial"/>
                <w:sz w:val="10"/>
                <w:szCs w:val="10"/>
                <w:b w:val="1"/>
                <w:bCs w:val="1"/>
                <w:color w:val="auto"/>
              </w:rPr>
              <w:t>2020</w:t>
            </w:r>
          </w:p>
        </w:tc>
        <w:tc>
          <w:tcPr>
            <w:tcW w:w="140" w:type="dxa"/>
            <w:vAlign w:val="bottom"/>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tcPr>
          <w:p>
            <w:pPr>
              <w:jc w:val="right"/>
              <w:ind w:right="82"/>
              <w:spacing w:after="0" w:line="88" w:lineRule="exact"/>
              <w:rPr>
                <w:sz w:val="20"/>
                <w:szCs w:val="20"/>
                <w:color w:val="auto"/>
              </w:rPr>
            </w:pPr>
            <w:r>
              <w:rPr>
                <w:rFonts w:ascii="Arial" w:cs="Arial" w:eastAsia="Arial" w:hAnsi="Arial"/>
                <w:sz w:val="10"/>
                <w:szCs w:val="10"/>
                <w:b w:val="1"/>
                <w:bCs w:val="1"/>
                <w:color w:val="auto"/>
              </w:rPr>
              <w:t>2021</w:t>
            </w:r>
            <w:r>
              <w:rPr>
                <w:rFonts w:ascii="Arial" w:cs="Arial" w:eastAsia="Arial" w:hAnsi="Arial"/>
                <w:sz w:val="8"/>
                <w:szCs w:val="8"/>
                <w:b w:val="1"/>
                <w:bCs w:val="1"/>
                <w:color w:val="auto"/>
              </w:rPr>
              <w:t>(a)</w:t>
            </w:r>
          </w:p>
        </w:tc>
        <w:tc>
          <w:tcPr>
            <w:tcW w:w="140" w:type="dxa"/>
            <w:vAlign w:val="bottom"/>
            <w:tcBorders>
              <w:top w:val="single" w:sz="8" w:color="auto"/>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ind w:right="121"/>
              <w:spacing w:after="0" w:line="88" w:lineRule="exact"/>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464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6"/>
              </w:rPr>
              <w:t>1,087,309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6"/>
              </w:rPr>
              <w:t>1,052,948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9"/>
              </w:rPr>
              <w:t>4,288,640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6"/>
              </w:rPr>
              <w:t>4,169,039</w:t>
            </w:r>
          </w:p>
        </w:tc>
        <w:tc>
          <w:tcPr>
            <w:tcW w:w="0" w:type="dxa"/>
            <w:vAlign w:val="bottom"/>
          </w:tcPr>
          <w:p>
            <w:pPr>
              <w:spacing w:after="0"/>
              <w:rPr>
                <w:sz w:val="1"/>
                <w:szCs w:val="1"/>
                <w:color w:val="auto"/>
              </w:rPr>
            </w:pPr>
          </w:p>
        </w:tc>
      </w:tr>
      <w:tr>
        <w:trPr>
          <w:trHeight w:val="144"/>
        </w:trPr>
        <w:tc>
          <w:tcPr>
            <w:tcW w:w="4640" w:type="dxa"/>
            <w:vAlign w:val="bottom"/>
          </w:tcPr>
          <w:p>
            <w:pPr>
              <w:spacing w:after="0"/>
              <w:rPr>
                <w:sz w:val="20"/>
                <w:szCs w:val="20"/>
                <w:color w:val="auto"/>
              </w:rPr>
            </w:pPr>
            <w:r>
              <w:rPr>
                <w:rFonts w:ascii="Arial" w:cs="Arial" w:eastAsia="Arial" w:hAnsi="Arial"/>
                <w:sz w:val="12"/>
                <w:szCs w:val="12"/>
                <w:color w:val="auto"/>
              </w:rPr>
              <w:t>Operating expenses:</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Cost of revenue</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707,366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703,556</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89"/>
              </w:rPr>
              <w:t>2,810,967</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6"/>
              </w:rPr>
              <w:t>2,755,563</w:t>
            </w:r>
          </w:p>
        </w:tc>
        <w:tc>
          <w:tcPr>
            <w:tcW w:w="0" w:type="dxa"/>
            <w:vAlign w:val="bottom"/>
          </w:tcPr>
          <w:p>
            <w:pPr>
              <w:spacing w:after="0"/>
              <w:rPr>
                <w:sz w:val="1"/>
                <w:szCs w:val="1"/>
                <w:color w:val="auto"/>
              </w:rPr>
            </w:pPr>
          </w:p>
        </w:tc>
      </w:tr>
      <w:tr>
        <w:trPr>
          <w:trHeight w:val="144"/>
        </w:trPr>
        <w:tc>
          <w:tcPr>
            <w:tcW w:w="4640" w:type="dxa"/>
            <w:vAlign w:val="bottom"/>
          </w:tcPr>
          <w:p>
            <w:pPr>
              <w:ind w:left="240"/>
              <w:spacing w:after="0"/>
              <w:rPr>
                <w:sz w:val="20"/>
                <w:szCs w:val="20"/>
                <w:color w:val="auto"/>
              </w:rPr>
            </w:pPr>
            <w:r>
              <w:rPr>
                <w:rFonts w:ascii="Arial" w:cs="Arial" w:eastAsia="Arial" w:hAnsi="Arial"/>
                <w:sz w:val="12"/>
                <w:szCs w:val="12"/>
                <w:color w:val="auto"/>
              </w:rPr>
              <w:t>Research and development</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81,324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75,843</w:t>
            </w:r>
          </w:p>
        </w:tc>
        <w:tc>
          <w:tcPr>
            <w:tcW w:w="6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312,941</w:t>
            </w:r>
          </w:p>
        </w:tc>
        <w:tc>
          <w:tcPr>
            <w:tcW w:w="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282,042</w:t>
            </w:r>
          </w:p>
        </w:tc>
        <w:tc>
          <w:tcPr>
            <w:tcW w:w="0" w:type="dxa"/>
            <w:vAlign w:val="bottom"/>
          </w:tcPr>
          <w:p>
            <w:pPr>
              <w:spacing w:after="0"/>
              <w:rPr>
                <w:sz w:val="1"/>
                <w:szCs w:val="1"/>
                <w:color w:val="auto"/>
              </w:rPr>
            </w:pPr>
          </w:p>
        </w:tc>
      </w:tr>
      <w:tr>
        <w:trPr>
          <w:trHeight w:val="144"/>
        </w:trPr>
        <w:tc>
          <w:tcPr>
            <w:tcW w:w="4640" w:type="dxa"/>
            <w:vAlign w:val="bottom"/>
            <w:shd w:val="clear" w:color="auto" w:fill="CCEEFF"/>
          </w:tcPr>
          <w:p>
            <w:pPr>
              <w:ind w:left="240"/>
              <w:spacing w:after="0"/>
              <w:rPr>
                <w:sz w:val="20"/>
                <w:szCs w:val="20"/>
                <w:color w:val="auto"/>
              </w:rPr>
            </w:pPr>
            <w:r>
              <w:rPr>
                <w:rFonts w:ascii="Arial" w:cs="Arial" w:eastAsia="Arial" w:hAnsi="Arial"/>
                <w:sz w:val="12"/>
                <w:szCs w:val="12"/>
                <w:color w:val="auto"/>
              </w:rPr>
              <w:t>Selling, general and administrative</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126,015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106,352</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487,255</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458,539</w:t>
            </w:r>
          </w:p>
        </w:tc>
        <w:tc>
          <w:tcPr>
            <w:tcW w:w="0" w:type="dxa"/>
            <w:vAlign w:val="bottom"/>
          </w:tcPr>
          <w:p>
            <w:pPr>
              <w:spacing w:after="0"/>
              <w:rPr>
                <w:sz w:val="1"/>
                <w:szCs w:val="1"/>
                <w:color w:val="auto"/>
              </w:rPr>
            </w:pPr>
          </w:p>
        </w:tc>
      </w:tr>
      <w:tr>
        <w:trPr>
          <w:trHeight w:val="144"/>
        </w:trPr>
        <w:tc>
          <w:tcPr>
            <w:tcW w:w="4640" w:type="dxa"/>
            <w:vAlign w:val="bottom"/>
          </w:tcPr>
          <w:p>
            <w:pPr>
              <w:ind w:left="240"/>
              <w:spacing w:after="0"/>
              <w:rPr>
                <w:sz w:val="20"/>
                <w:szCs w:val="20"/>
                <w:color w:val="auto"/>
              </w:rPr>
            </w:pPr>
            <w:r>
              <w:rPr>
                <w:rFonts w:ascii="Arial" w:cs="Arial" w:eastAsia="Arial" w:hAnsi="Arial"/>
                <w:sz w:val="12"/>
                <w:szCs w:val="12"/>
                <w:color w:val="auto"/>
              </w:rPr>
              <w:t>Amortization of purchased intangible assets and other</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18,274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20,259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78,784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78,137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932,979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906,010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3,689,947</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86"/>
              </w:rPr>
              <w:t>3,574,281</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2"/>
                <w:szCs w:val="12"/>
                <w:color w:val="auto"/>
              </w:rPr>
              <w:t>Operating income</w:t>
            </w: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154,330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146,938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598,693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594,758</w:t>
            </w:r>
          </w:p>
        </w:tc>
        <w:tc>
          <w:tcPr>
            <w:tcW w:w="0" w:type="dxa"/>
            <w:vAlign w:val="bottom"/>
          </w:tcPr>
          <w:p>
            <w:pPr>
              <w:spacing w:after="0"/>
              <w:rPr>
                <w:sz w:val="1"/>
                <w:szCs w:val="1"/>
                <w:color w:val="auto"/>
              </w:rPr>
            </w:pPr>
          </w:p>
        </w:tc>
      </w:tr>
      <w:tr>
        <w:trPr>
          <w:trHeight w:val="144"/>
        </w:trPr>
        <w:tc>
          <w:tcPr>
            <w:tcW w:w="4640" w:type="dxa"/>
            <w:vAlign w:val="bottom"/>
            <w:shd w:val="clear" w:color="auto" w:fill="CCEEFF"/>
          </w:tcPr>
          <w:p>
            <w:pPr>
              <w:spacing w:after="0"/>
              <w:rPr>
                <w:sz w:val="20"/>
                <w:szCs w:val="20"/>
                <w:color w:val="auto"/>
              </w:rPr>
            </w:pPr>
            <w:r>
              <w:rPr>
                <w:rFonts w:ascii="Arial" w:cs="Arial" w:eastAsia="Arial" w:hAnsi="Arial"/>
                <w:sz w:val="12"/>
                <w:szCs w:val="12"/>
                <w:color w:val="auto"/>
              </w:rPr>
              <w:t>Interest and other (expense), net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(1,099)</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(6,377)</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(10,797)</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(11,436)</w:t>
            </w:r>
          </w:p>
        </w:tc>
        <w:tc>
          <w:tcPr>
            <w:tcW w:w="0" w:type="dxa"/>
            <w:vAlign w:val="bottom"/>
          </w:tcPr>
          <w:p>
            <w:pPr>
              <w:spacing w:after="0"/>
              <w:rPr>
                <w:sz w:val="1"/>
                <w:szCs w:val="1"/>
                <w:color w:val="auto"/>
              </w:rPr>
            </w:pPr>
          </w:p>
        </w:tc>
      </w:tr>
      <w:tr>
        <w:trPr>
          <w:trHeight w:val="144"/>
        </w:trPr>
        <w:tc>
          <w:tcPr>
            <w:tcW w:w="4640" w:type="dxa"/>
            <w:vAlign w:val="bottom"/>
          </w:tcPr>
          <w:p>
            <w:pPr>
              <w:spacing w:after="0"/>
              <w:rPr>
                <w:sz w:val="20"/>
                <w:szCs w:val="20"/>
                <w:color w:val="auto"/>
              </w:rPr>
            </w:pPr>
            <w:r>
              <w:rPr>
                <w:rFonts w:ascii="Arial" w:cs="Arial" w:eastAsia="Arial" w:hAnsi="Arial"/>
                <w:sz w:val="12"/>
                <w:szCs w:val="12"/>
                <w:color w:val="auto"/>
              </w:rPr>
              <w:t>Gain from sale of a business</w:t>
            </w: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226,410</w:t>
            </w: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40" w:type="dxa"/>
            <w:vAlign w:val="bottom"/>
            <w:shd w:val="clear" w:color="auto" w:fill="CCEEFF"/>
          </w:tcPr>
          <w:p>
            <w:pPr>
              <w:spacing w:after="0"/>
              <w:rPr>
                <w:sz w:val="20"/>
                <w:szCs w:val="20"/>
                <w:color w:val="auto"/>
              </w:rPr>
            </w:pPr>
            <w:r>
              <w:rPr>
                <w:rFonts w:ascii="Arial" w:cs="Arial" w:eastAsia="Arial" w:hAnsi="Arial"/>
                <w:sz w:val="12"/>
                <w:szCs w:val="12"/>
                <w:color w:val="auto"/>
              </w:rPr>
              <w:t>Income before income taxes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153,231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140,561</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814,306</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583,322</w:t>
            </w:r>
          </w:p>
        </w:tc>
        <w:tc>
          <w:tcPr>
            <w:tcW w:w="0" w:type="dxa"/>
            <w:vAlign w:val="bottom"/>
          </w:tcPr>
          <w:p>
            <w:pPr>
              <w:spacing w:after="0"/>
              <w:rPr>
                <w:sz w:val="1"/>
                <w:szCs w:val="1"/>
                <w:color w:val="auto"/>
              </w:rPr>
            </w:pPr>
          </w:p>
        </w:tc>
      </w:tr>
      <w:tr>
        <w:trPr>
          <w:trHeight w:val="144"/>
        </w:trPr>
        <w:tc>
          <w:tcPr>
            <w:tcW w:w="4640" w:type="dxa"/>
            <w:vAlign w:val="bottom"/>
          </w:tcPr>
          <w:p>
            <w:pPr>
              <w:spacing w:after="0"/>
              <w:rPr>
                <w:sz w:val="20"/>
                <w:szCs w:val="20"/>
                <w:color w:val="auto"/>
              </w:rPr>
            </w:pPr>
            <w:r>
              <w:rPr>
                <w:rFonts w:ascii="Arial" w:cs="Arial" w:eastAsia="Arial" w:hAnsi="Arial"/>
                <w:sz w:val="12"/>
                <w:szCs w:val="12"/>
                <w:color w:val="auto"/>
              </w:rPr>
              <w:t>Income taxes</w:t>
            </w: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29,706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6,098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125,932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85,482</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64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123,525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134,463</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688,374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497,840</w:t>
            </w:r>
          </w:p>
        </w:tc>
        <w:tc>
          <w:tcPr>
            <w:tcW w:w="0" w:type="dxa"/>
            <w:vAlign w:val="bottom"/>
          </w:tcPr>
          <w:p>
            <w:pPr>
              <w:spacing w:after="0"/>
              <w:rPr>
                <w:sz w:val="1"/>
                <w:szCs w:val="1"/>
                <w:color w:val="auto"/>
              </w:rPr>
            </w:pPr>
          </w:p>
        </w:tc>
      </w:tr>
      <w:tr>
        <w:trPr>
          <w:trHeight w:val="27"/>
        </w:trPr>
        <w:tc>
          <w:tcPr>
            <w:tcW w:w="4640" w:type="dxa"/>
            <w:vAlign w:val="bottom"/>
            <w:vMerge w:val="restart"/>
          </w:tcPr>
          <w:p>
            <w:pPr>
              <w:spacing w:after="0"/>
              <w:rPr>
                <w:sz w:val="20"/>
                <w:szCs w:val="20"/>
                <w:color w:val="auto"/>
              </w:rPr>
            </w:pPr>
            <w:r>
              <w:rPr>
                <w:rFonts w:ascii="Arial" w:cs="Arial" w:eastAsia="Arial" w:hAnsi="Arial"/>
                <w:sz w:val="12"/>
                <w:szCs w:val="12"/>
                <w:color w:val="auto"/>
              </w:rPr>
              <w:t>Basic earnings per share</w:t>
            </w: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64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0.98</w:t>
            </w:r>
          </w:p>
        </w:tc>
        <w:tc>
          <w:tcPr>
            <w:tcW w:w="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1.02</w:t>
            </w:r>
          </w:p>
        </w:tc>
        <w:tc>
          <w:tcPr>
            <w:tcW w:w="1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5.36</w:t>
            </w:r>
          </w:p>
        </w:tc>
        <w:tc>
          <w:tcPr>
            <w:tcW w:w="1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3.73</w:t>
            </w:r>
          </w:p>
        </w:tc>
        <w:tc>
          <w:tcPr>
            <w:tcW w:w="0" w:type="dxa"/>
            <w:vAlign w:val="bottom"/>
          </w:tcPr>
          <w:p>
            <w:pPr>
              <w:spacing w:after="0"/>
              <w:rPr>
                <w:sz w:val="1"/>
                <w:szCs w:val="1"/>
                <w:color w:val="auto"/>
              </w:rPr>
            </w:pPr>
          </w:p>
        </w:tc>
      </w:tr>
      <w:tr>
        <w:trPr>
          <w:trHeight w:val="32"/>
        </w:trPr>
        <w:tc>
          <w:tcPr>
            <w:tcW w:w="46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640" w:type="dxa"/>
            <w:vAlign w:val="bottom"/>
            <w:shd w:val="clear" w:color="auto" w:fill="CCEEFF"/>
          </w:tcPr>
          <w:p>
            <w:pPr>
              <w:spacing w:after="0"/>
              <w:rPr>
                <w:sz w:val="20"/>
                <w:szCs w:val="20"/>
                <w:color w:val="auto"/>
              </w:rPr>
            </w:pPr>
            <w:r>
              <w:rPr>
                <w:rFonts w:ascii="Arial" w:cs="Arial" w:eastAsia="Arial" w:hAnsi="Arial"/>
                <w:sz w:val="12"/>
                <w:szCs w:val="12"/>
                <w:color w:val="auto"/>
              </w:rPr>
              <w:t>Diluted earnings per share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0.97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3.71</w:t>
            </w:r>
          </w:p>
        </w:tc>
        <w:tc>
          <w:tcPr>
            <w:tcW w:w="0" w:type="dxa"/>
            <w:vAlign w:val="bottom"/>
          </w:tcPr>
          <w:p>
            <w:pPr>
              <w:spacing w:after="0"/>
              <w:rPr>
                <w:sz w:val="1"/>
                <w:szCs w:val="1"/>
                <w:color w:val="auto"/>
              </w:rPr>
            </w:pPr>
          </w:p>
        </w:tc>
      </w:tr>
      <w:tr>
        <w:trPr>
          <w:trHeight w:val="27"/>
        </w:trPr>
        <w:tc>
          <w:tcPr>
            <w:tcW w:w="4640" w:type="dxa"/>
            <w:vAlign w:val="bottom"/>
            <w:vMerge w:val="restart"/>
          </w:tcPr>
          <w:p>
            <w:pPr>
              <w:spacing w:after="0"/>
              <w:rPr>
                <w:sz w:val="20"/>
                <w:szCs w:val="20"/>
                <w:color w:val="auto"/>
              </w:rPr>
            </w:pPr>
            <w:r>
              <w:rPr>
                <w:rFonts w:ascii="Arial" w:cs="Arial" w:eastAsia="Arial" w:hAnsi="Arial"/>
                <w:sz w:val="12"/>
                <w:szCs w:val="12"/>
                <w:color w:val="auto"/>
              </w:rPr>
              <w:t>Basic weighted average number of shares outstanding</w:t>
            </w: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6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125,923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132,330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128,495</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133,590</w:t>
            </w:r>
          </w:p>
        </w:tc>
        <w:tc>
          <w:tcPr>
            <w:tcW w:w="0" w:type="dxa"/>
            <w:vAlign w:val="bottom"/>
          </w:tcPr>
          <w:p>
            <w:pPr>
              <w:spacing w:after="0"/>
              <w:rPr>
                <w:sz w:val="1"/>
                <w:szCs w:val="1"/>
                <w:color w:val="auto"/>
              </w:rPr>
            </w:pPr>
          </w:p>
        </w:tc>
      </w:tr>
      <w:tr>
        <w:trPr>
          <w:trHeight w:val="32"/>
        </w:trPr>
        <w:tc>
          <w:tcPr>
            <w:tcW w:w="46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4640" w:type="dxa"/>
            <w:vAlign w:val="bottom"/>
            <w:shd w:val="clear" w:color="auto" w:fill="CCEEFF"/>
          </w:tcPr>
          <w:p>
            <w:pPr>
              <w:spacing w:after="0"/>
              <w:rPr>
                <w:sz w:val="20"/>
                <w:szCs w:val="20"/>
                <w:color w:val="auto"/>
              </w:rPr>
            </w:pPr>
            <w:r>
              <w:rPr>
                <w:rFonts w:ascii="Arial" w:cs="Arial" w:eastAsia="Arial" w:hAnsi="Arial"/>
                <w:sz w:val="12"/>
                <w:szCs w:val="12"/>
                <w:color w:val="auto"/>
              </w:rPr>
              <w:t>Diluted weighted average number of shares outstanding</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126,820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132,661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129,284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134,232</w:t>
            </w:r>
          </w:p>
        </w:tc>
        <w:tc>
          <w:tcPr>
            <w:tcW w:w="0" w:type="dxa"/>
            <w:vAlign w:val="bottom"/>
          </w:tcPr>
          <w:p>
            <w:pPr>
              <w:spacing w:after="0"/>
              <w:rPr>
                <w:sz w:val="1"/>
                <w:szCs w:val="1"/>
                <w:color w:val="auto"/>
              </w:rPr>
            </w:pPr>
          </w:p>
        </w:tc>
      </w:tr>
      <w:tr>
        <w:trPr>
          <w:trHeight w:val="27"/>
        </w:trPr>
        <w:tc>
          <w:tcPr>
            <w:tcW w:w="4640" w:type="dxa"/>
            <w:vAlign w:val="bottom"/>
            <w:vMerge w:val="restart"/>
          </w:tcPr>
          <w:p>
            <w:pPr>
              <w:spacing w:after="0"/>
              <w:rPr>
                <w:sz w:val="20"/>
                <w:szCs w:val="20"/>
                <w:color w:val="auto"/>
              </w:rPr>
            </w:pPr>
            <w:r>
              <w:rPr>
                <w:rFonts w:ascii="Arial" w:cs="Arial" w:eastAsia="Arial" w:hAnsi="Arial"/>
                <w:sz w:val="12"/>
                <w:szCs w:val="12"/>
                <w:color w:val="auto"/>
              </w:rPr>
              <w:t>Cash dividends declared per share</w:t>
            </w: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64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0.36</w:t>
            </w:r>
          </w:p>
        </w:tc>
        <w:tc>
          <w:tcPr>
            <w:tcW w:w="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0.3275</w:t>
            </w:r>
          </w:p>
        </w:tc>
        <w:tc>
          <w:tcPr>
            <w:tcW w:w="1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1.4075</w:t>
            </w:r>
          </w:p>
        </w:tc>
        <w:tc>
          <w:tcPr>
            <w:tcW w:w="14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1.2675</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6"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AMDOCS LIMITED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Selected Financial Metrics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(In thousands, except per share data)</w:t>
      </w:r>
    </w:p>
    <w:p>
      <w:pPr>
        <w:spacing w:after="0" w:line="12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4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gridSpan w:val="5"/>
          </w:tcPr>
          <w:p>
            <w:pPr>
              <w:jc w:val="right"/>
              <w:ind w:right="400"/>
              <w:spacing w:after="0"/>
              <w:rPr>
                <w:sz w:val="20"/>
                <w:szCs w:val="20"/>
                <w:color w:val="auto"/>
              </w:rPr>
            </w:pPr>
            <w:r>
              <w:rPr>
                <w:rFonts w:ascii="Arial" w:cs="Arial" w:eastAsia="Arial" w:hAnsi="Arial"/>
                <w:sz w:val="10"/>
                <w:szCs w:val="10"/>
                <w:b w:val="1"/>
                <w:bCs w:val="1"/>
                <w:color w:val="auto"/>
                <w:w w:val="99"/>
              </w:rPr>
              <w:t>Three months ended</w:t>
            </w:r>
          </w:p>
        </w:tc>
        <w:tc>
          <w:tcPr>
            <w:tcW w:w="60" w:type="dxa"/>
            <w:vAlign w:val="bottom"/>
          </w:tcPr>
          <w:p>
            <w:pPr>
              <w:spacing w:after="0"/>
              <w:rPr>
                <w:sz w:val="10"/>
                <w:szCs w:val="10"/>
                <w:color w:val="auto"/>
              </w:rPr>
            </w:pPr>
          </w:p>
        </w:tc>
        <w:tc>
          <w:tcPr>
            <w:tcW w:w="1260" w:type="dxa"/>
            <w:vAlign w:val="bottom"/>
            <w:gridSpan w:val="5"/>
          </w:tcPr>
          <w:p>
            <w:pPr>
              <w:jc w:val="right"/>
              <w:ind w:right="320"/>
              <w:spacing w:after="0"/>
              <w:rPr>
                <w:sz w:val="20"/>
                <w:szCs w:val="20"/>
                <w:color w:val="auto"/>
              </w:rPr>
            </w:pPr>
            <w:r>
              <w:rPr>
                <w:rFonts w:ascii="Arial" w:cs="Arial" w:eastAsia="Arial" w:hAnsi="Arial"/>
                <w:sz w:val="10"/>
                <w:szCs w:val="10"/>
                <w:b w:val="1"/>
                <w:bCs w:val="1"/>
                <w:color w:val="auto"/>
              </w:rPr>
              <w:t>Fiscal year ended</w:t>
            </w:r>
          </w:p>
        </w:tc>
      </w:tr>
      <w:tr>
        <w:trPr>
          <w:trHeight w:val="113"/>
        </w:trPr>
        <w:tc>
          <w:tcPr>
            <w:tcW w:w="4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0" w:type="dxa"/>
            <w:vAlign w:val="bottom"/>
            <w:gridSpan w:val="5"/>
          </w:tcPr>
          <w:p>
            <w:pPr>
              <w:jc w:val="right"/>
              <w:ind w:right="520"/>
              <w:spacing w:after="0" w:line="114" w:lineRule="exact"/>
              <w:rPr>
                <w:sz w:val="20"/>
                <w:szCs w:val="20"/>
                <w:color w:val="auto"/>
              </w:rPr>
            </w:pPr>
            <w:r>
              <w:rPr>
                <w:rFonts w:ascii="Arial" w:cs="Arial" w:eastAsia="Arial" w:hAnsi="Arial"/>
                <w:sz w:val="10"/>
                <w:szCs w:val="10"/>
                <w:b w:val="1"/>
                <w:bCs w:val="1"/>
                <w:color w:val="auto"/>
              </w:rPr>
              <w:t>September 30,</w:t>
            </w:r>
          </w:p>
        </w:tc>
        <w:tc>
          <w:tcPr>
            <w:tcW w:w="60" w:type="dxa"/>
            <w:vAlign w:val="bottom"/>
          </w:tcPr>
          <w:p>
            <w:pPr>
              <w:spacing w:after="0"/>
              <w:rPr>
                <w:sz w:val="9"/>
                <w:szCs w:val="9"/>
                <w:color w:val="auto"/>
              </w:rPr>
            </w:pPr>
          </w:p>
        </w:tc>
        <w:tc>
          <w:tcPr>
            <w:tcW w:w="1260" w:type="dxa"/>
            <w:vAlign w:val="bottom"/>
            <w:gridSpan w:val="5"/>
          </w:tcPr>
          <w:p>
            <w:pPr>
              <w:jc w:val="right"/>
              <w:ind w:right="380"/>
              <w:spacing w:after="0" w:line="114" w:lineRule="exact"/>
              <w:rPr>
                <w:sz w:val="20"/>
                <w:szCs w:val="20"/>
                <w:color w:val="auto"/>
              </w:rPr>
            </w:pPr>
            <w:r>
              <w:rPr>
                <w:rFonts w:ascii="Arial" w:cs="Arial" w:eastAsia="Arial" w:hAnsi="Arial"/>
                <w:sz w:val="10"/>
                <w:szCs w:val="10"/>
                <w:b w:val="1"/>
                <w:bCs w:val="1"/>
                <w:color w:val="auto"/>
              </w:rPr>
              <w:t>September 30,</w:t>
            </w:r>
          </w:p>
        </w:tc>
      </w:tr>
      <w:tr>
        <w:trPr>
          <w:trHeight w:val="88"/>
        </w:trPr>
        <w:tc>
          <w:tcPr>
            <w:tcW w:w="4560" w:type="dxa"/>
            <w:vAlign w:val="bottom"/>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tcPr>
          <w:p>
            <w:pPr>
              <w:jc w:val="right"/>
              <w:ind w:right="85"/>
              <w:spacing w:after="0" w:line="88" w:lineRule="exact"/>
              <w:rPr>
                <w:sz w:val="20"/>
                <w:szCs w:val="20"/>
                <w:color w:val="auto"/>
              </w:rPr>
            </w:pPr>
            <w:r>
              <w:rPr>
                <w:rFonts w:ascii="Arial" w:cs="Arial" w:eastAsia="Arial" w:hAnsi="Arial"/>
                <w:sz w:val="10"/>
                <w:szCs w:val="10"/>
                <w:b w:val="1"/>
                <w:bCs w:val="1"/>
                <w:color w:val="auto"/>
              </w:rPr>
              <w:t>2021</w:t>
            </w:r>
            <w:r>
              <w:rPr>
                <w:rFonts w:ascii="Arial" w:cs="Arial" w:eastAsia="Arial" w:hAnsi="Arial"/>
                <w:sz w:val="8"/>
                <w:szCs w:val="8"/>
                <w:b w:val="1"/>
                <w:bCs w:val="1"/>
                <w:color w:val="auto"/>
              </w:rPr>
              <w:t>(a)</w:t>
            </w:r>
          </w:p>
        </w:tc>
        <w:tc>
          <w:tcPr>
            <w:tcW w:w="180" w:type="dxa"/>
            <w:vAlign w:val="bottom"/>
            <w:tcBorders>
              <w:top w:val="single" w:sz="8" w:color="auto"/>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ind w:right="122"/>
              <w:spacing w:after="0" w:line="88" w:lineRule="exact"/>
              <w:rPr>
                <w:sz w:val="20"/>
                <w:szCs w:val="20"/>
                <w:color w:val="auto"/>
              </w:rPr>
            </w:pPr>
            <w:r>
              <w:rPr>
                <w:rFonts w:ascii="Arial" w:cs="Arial" w:eastAsia="Arial" w:hAnsi="Arial"/>
                <w:sz w:val="10"/>
                <w:szCs w:val="10"/>
                <w:b w:val="1"/>
                <w:bCs w:val="1"/>
                <w:color w:val="auto"/>
              </w:rPr>
              <w:t>2020</w:t>
            </w:r>
          </w:p>
        </w:tc>
        <w:tc>
          <w:tcPr>
            <w:tcW w:w="180" w:type="dxa"/>
            <w:vAlign w:val="bottom"/>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500" w:type="dxa"/>
            <w:vAlign w:val="bottom"/>
            <w:tcBorders>
              <w:top w:val="single" w:sz="8" w:color="auto"/>
              <w:bottom w:val="single" w:sz="8" w:color="auto"/>
            </w:tcBorders>
          </w:tcPr>
          <w:p>
            <w:pPr>
              <w:jc w:val="right"/>
              <w:ind w:right="85"/>
              <w:spacing w:after="0" w:line="88" w:lineRule="exact"/>
              <w:rPr>
                <w:sz w:val="20"/>
                <w:szCs w:val="20"/>
                <w:color w:val="auto"/>
              </w:rPr>
            </w:pPr>
            <w:r>
              <w:rPr>
                <w:rFonts w:ascii="Arial" w:cs="Arial" w:eastAsia="Arial" w:hAnsi="Arial"/>
                <w:sz w:val="10"/>
                <w:szCs w:val="10"/>
                <w:b w:val="1"/>
                <w:bCs w:val="1"/>
                <w:color w:val="auto"/>
              </w:rPr>
              <w:t>2021</w:t>
            </w:r>
            <w:r>
              <w:rPr>
                <w:rFonts w:ascii="Arial" w:cs="Arial" w:eastAsia="Arial" w:hAnsi="Arial"/>
                <w:sz w:val="8"/>
                <w:szCs w:val="8"/>
                <w:b w:val="1"/>
                <w:bCs w:val="1"/>
                <w:color w:val="auto"/>
              </w:rPr>
              <w:t>(a)</w:t>
            </w:r>
          </w:p>
        </w:tc>
        <w:tc>
          <w:tcPr>
            <w:tcW w:w="180" w:type="dxa"/>
            <w:vAlign w:val="bottom"/>
            <w:tcBorders>
              <w:top w:val="single" w:sz="8" w:color="auto"/>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jc w:val="right"/>
              <w:ind w:right="122"/>
              <w:spacing w:after="0" w:line="88"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7"/>
                <w:szCs w:val="7"/>
                <w:color w:val="auto"/>
              </w:rPr>
            </w:pPr>
          </w:p>
        </w:tc>
      </w:tr>
      <w:tr>
        <w:trPr>
          <w:trHeight w:val="142"/>
        </w:trPr>
        <w:tc>
          <w:tcPr>
            <w:tcW w:w="456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89"/>
              </w:rPr>
              <w:t>1,087,309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86"/>
              </w:rPr>
              <w:t>1,052,948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89"/>
              </w:rPr>
              <w:t>4,288,640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6"/>
              </w:rPr>
              <w:t>4,169,039</w:t>
            </w:r>
          </w:p>
        </w:tc>
      </w:tr>
      <w:tr>
        <w:trPr>
          <w:trHeight w:val="144"/>
        </w:trPr>
        <w:tc>
          <w:tcPr>
            <w:tcW w:w="4560" w:type="dxa"/>
            <w:vAlign w:val="bottom"/>
          </w:tcPr>
          <w:p>
            <w:pPr>
              <w:spacing w:after="0"/>
              <w:rPr>
                <w:sz w:val="20"/>
                <w:szCs w:val="20"/>
                <w:color w:val="auto"/>
              </w:rPr>
            </w:pPr>
            <w:r>
              <w:rPr>
                <w:rFonts w:ascii="Arial" w:cs="Arial" w:eastAsia="Arial" w:hAnsi="Arial"/>
                <w:sz w:val="12"/>
                <w:szCs w:val="12"/>
                <w:color w:val="auto"/>
              </w:rPr>
              <w:t>Non-GAAP operating income</w:t>
            </w:r>
          </w:p>
        </w:tc>
        <w:tc>
          <w:tcPr>
            <w:tcW w:w="6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190,195</w:t>
            </w:r>
          </w:p>
        </w:tc>
        <w:tc>
          <w:tcPr>
            <w:tcW w:w="6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181,082</w:t>
            </w:r>
          </w:p>
        </w:tc>
        <w:tc>
          <w:tcPr>
            <w:tcW w:w="6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750,665</w:t>
            </w:r>
          </w:p>
        </w:tc>
        <w:tc>
          <w:tcPr>
            <w:tcW w:w="6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715,022</w:t>
            </w:r>
          </w:p>
        </w:tc>
      </w:tr>
      <w:tr>
        <w:trPr>
          <w:trHeight w:val="144"/>
        </w:trPr>
        <w:tc>
          <w:tcPr>
            <w:tcW w:w="4560" w:type="dxa"/>
            <w:vAlign w:val="bottom"/>
            <w:shd w:val="clear" w:color="auto" w:fill="CCEEFF"/>
          </w:tcPr>
          <w:p>
            <w:pPr>
              <w:spacing w:after="0"/>
              <w:rPr>
                <w:sz w:val="20"/>
                <w:szCs w:val="20"/>
                <w:color w:val="auto"/>
              </w:rPr>
            </w:pPr>
            <w:r>
              <w:rPr>
                <w:rFonts w:ascii="Arial" w:cs="Arial" w:eastAsia="Arial" w:hAnsi="Arial"/>
                <w:sz w:val="12"/>
                <w:szCs w:val="12"/>
                <w:color w:val="auto"/>
              </w:rPr>
              <w:t>Non-GAAP net income</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147,470</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162,716</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621,820</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595,758</w:t>
            </w:r>
          </w:p>
        </w:tc>
      </w:tr>
      <w:tr>
        <w:trPr>
          <w:trHeight w:val="144"/>
        </w:trPr>
        <w:tc>
          <w:tcPr>
            <w:tcW w:w="4560" w:type="dxa"/>
            <w:vAlign w:val="bottom"/>
          </w:tcPr>
          <w:p>
            <w:pPr>
              <w:spacing w:after="0"/>
              <w:rPr>
                <w:sz w:val="20"/>
                <w:szCs w:val="20"/>
                <w:color w:val="auto"/>
              </w:rPr>
            </w:pPr>
            <w:r>
              <w:rPr>
                <w:rFonts w:ascii="Arial" w:cs="Arial" w:eastAsia="Arial" w:hAnsi="Arial"/>
                <w:sz w:val="12"/>
                <w:szCs w:val="12"/>
                <w:color w:val="auto"/>
              </w:rPr>
              <w:t>Non-GAAP diluted earnings per share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1.16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1.23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2"/>
                <w:szCs w:val="12"/>
                <w:color w:val="auto"/>
              </w:rPr>
              <w:t>4.81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4.44</w:t>
            </w:r>
          </w:p>
        </w:tc>
      </w:tr>
      <w:tr>
        <w:trPr>
          <w:trHeight w:val="144"/>
        </w:trPr>
        <w:tc>
          <w:tcPr>
            <w:tcW w:w="4560" w:type="dxa"/>
            <w:vAlign w:val="bottom"/>
            <w:shd w:val="clear" w:color="auto" w:fill="CCEEFF"/>
          </w:tcPr>
          <w:p>
            <w:pPr>
              <w:spacing w:after="0"/>
              <w:rPr>
                <w:sz w:val="20"/>
                <w:szCs w:val="20"/>
                <w:color w:val="auto"/>
              </w:rPr>
            </w:pPr>
            <w:r>
              <w:rPr>
                <w:rFonts w:ascii="Arial" w:cs="Arial" w:eastAsia="Arial" w:hAnsi="Arial"/>
                <w:sz w:val="12"/>
                <w:szCs w:val="12"/>
                <w:color w:val="auto"/>
              </w:rPr>
              <w:t>Diluted weighted average number of shares outstanding</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126,820</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132,661</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129,284</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134,232</w:t>
            </w: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Free Cash Flows and Normalized Free Cash Flow</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(In thousands)</w:t>
      </w:r>
    </w:p>
    <w:p>
      <w:pPr>
        <w:spacing w:after="0" w:line="12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4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5"/>
          </w:tcPr>
          <w:p>
            <w:pPr>
              <w:jc w:val="right"/>
              <w:ind w:right="320"/>
              <w:spacing w:after="0"/>
              <w:rPr>
                <w:sz w:val="20"/>
                <w:szCs w:val="20"/>
                <w:color w:val="auto"/>
              </w:rPr>
            </w:pPr>
            <w:r>
              <w:rPr>
                <w:rFonts w:ascii="Arial" w:cs="Arial" w:eastAsia="Arial" w:hAnsi="Arial"/>
                <w:sz w:val="10"/>
                <w:szCs w:val="10"/>
                <w:b w:val="1"/>
                <w:bCs w:val="1"/>
                <w:color w:val="auto"/>
                <w:w w:val="89"/>
              </w:rPr>
              <w:t>Three months ended</w:t>
            </w:r>
          </w:p>
        </w:tc>
        <w:tc>
          <w:tcPr>
            <w:tcW w:w="60" w:type="dxa"/>
            <w:vAlign w:val="bottom"/>
          </w:tcPr>
          <w:p>
            <w:pPr>
              <w:spacing w:after="0"/>
              <w:rPr>
                <w:sz w:val="10"/>
                <w:szCs w:val="10"/>
                <w:color w:val="auto"/>
              </w:rPr>
            </w:pPr>
          </w:p>
        </w:tc>
        <w:tc>
          <w:tcPr>
            <w:tcW w:w="1180" w:type="dxa"/>
            <w:vAlign w:val="bottom"/>
            <w:gridSpan w:val="5"/>
          </w:tcPr>
          <w:p>
            <w:pPr>
              <w:jc w:val="right"/>
              <w:ind w:right="300"/>
              <w:spacing w:after="0"/>
              <w:rPr>
                <w:sz w:val="20"/>
                <w:szCs w:val="20"/>
                <w:color w:val="auto"/>
              </w:rPr>
            </w:pPr>
            <w:r>
              <w:rPr>
                <w:rFonts w:ascii="Arial" w:cs="Arial" w:eastAsia="Arial" w:hAnsi="Arial"/>
                <w:sz w:val="10"/>
                <w:szCs w:val="10"/>
                <w:b w:val="1"/>
                <w:bCs w:val="1"/>
                <w:color w:val="auto"/>
              </w:rPr>
              <w:t>Fiscal year ended</w:t>
            </w:r>
          </w:p>
        </w:tc>
        <w:tc>
          <w:tcPr>
            <w:tcW w:w="0" w:type="dxa"/>
            <w:vAlign w:val="bottom"/>
          </w:tcPr>
          <w:p>
            <w:pPr>
              <w:spacing w:after="0"/>
              <w:rPr>
                <w:sz w:val="1"/>
                <w:szCs w:val="1"/>
                <w:color w:val="auto"/>
              </w:rPr>
            </w:pPr>
          </w:p>
        </w:tc>
      </w:tr>
      <w:tr>
        <w:trPr>
          <w:trHeight w:val="113"/>
        </w:trPr>
        <w:tc>
          <w:tcPr>
            <w:tcW w:w="4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5"/>
          </w:tcPr>
          <w:p>
            <w:pPr>
              <w:jc w:val="right"/>
              <w:ind w:right="440"/>
              <w:spacing w:after="0" w:line="114" w:lineRule="exact"/>
              <w:rPr>
                <w:sz w:val="20"/>
                <w:szCs w:val="20"/>
                <w:color w:val="auto"/>
              </w:rPr>
            </w:pPr>
            <w:r>
              <w:rPr>
                <w:rFonts w:ascii="Arial" w:cs="Arial" w:eastAsia="Arial" w:hAnsi="Arial"/>
                <w:sz w:val="10"/>
                <w:szCs w:val="10"/>
                <w:b w:val="1"/>
                <w:bCs w:val="1"/>
                <w:color w:val="auto"/>
              </w:rPr>
              <w:t>September 30,</w:t>
            </w:r>
          </w:p>
        </w:tc>
        <w:tc>
          <w:tcPr>
            <w:tcW w:w="60" w:type="dxa"/>
            <w:vAlign w:val="bottom"/>
          </w:tcPr>
          <w:p>
            <w:pPr>
              <w:spacing w:after="0"/>
              <w:rPr>
                <w:sz w:val="9"/>
                <w:szCs w:val="9"/>
                <w:color w:val="auto"/>
              </w:rPr>
            </w:pPr>
          </w:p>
        </w:tc>
        <w:tc>
          <w:tcPr>
            <w:tcW w:w="1180" w:type="dxa"/>
            <w:vAlign w:val="bottom"/>
            <w:gridSpan w:val="5"/>
          </w:tcPr>
          <w:p>
            <w:pPr>
              <w:jc w:val="right"/>
              <w:ind w:right="360"/>
              <w:spacing w:after="0" w:line="114" w:lineRule="exact"/>
              <w:rPr>
                <w:sz w:val="20"/>
                <w:szCs w:val="20"/>
                <w:color w:val="auto"/>
              </w:rPr>
            </w:pPr>
            <w:r>
              <w:rPr>
                <w:rFonts w:ascii="Arial" w:cs="Arial" w:eastAsia="Arial" w:hAnsi="Arial"/>
                <w:sz w:val="10"/>
                <w:szCs w:val="10"/>
                <w:b w:val="1"/>
                <w:bCs w:val="1"/>
                <w:color w:val="auto"/>
              </w:rPr>
              <w:t>September 30,</w:t>
            </w:r>
          </w:p>
        </w:tc>
        <w:tc>
          <w:tcPr>
            <w:tcW w:w="0" w:type="dxa"/>
            <w:vAlign w:val="bottom"/>
          </w:tcPr>
          <w:p>
            <w:pPr>
              <w:spacing w:after="0"/>
              <w:rPr>
                <w:sz w:val="1"/>
                <w:szCs w:val="1"/>
                <w:color w:val="auto"/>
              </w:rPr>
            </w:pPr>
          </w:p>
        </w:tc>
      </w:tr>
      <w:tr>
        <w:trPr>
          <w:trHeight w:val="88"/>
        </w:trPr>
        <w:tc>
          <w:tcPr>
            <w:tcW w:w="4780" w:type="dxa"/>
            <w:vAlign w:val="bottom"/>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jc w:val="right"/>
              <w:ind w:right="103"/>
              <w:spacing w:after="0" w:line="88" w:lineRule="exact"/>
              <w:rPr>
                <w:sz w:val="20"/>
                <w:szCs w:val="20"/>
                <w:color w:val="auto"/>
              </w:rPr>
            </w:pPr>
            <w:r>
              <w:rPr>
                <w:rFonts w:ascii="Arial" w:cs="Arial" w:eastAsia="Arial" w:hAnsi="Arial"/>
                <w:sz w:val="10"/>
                <w:szCs w:val="10"/>
                <w:b w:val="1"/>
                <w:bCs w:val="1"/>
                <w:color w:val="auto"/>
              </w:rPr>
              <w:t>2021</w:t>
            </w:r>
          </w:p>
        </w:tc>
        <w:tc>
          <w:tcPr>
            <w:tcW w:w="140" w:type="dxa"/>
            <w:vAlign w:val="bottom"/>
            <w:tcBorders>
              <w:top w:val="single" w:sz="8" w:color="auto"/>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jc w:val="right"/>
              <w:ind w:right="101"/>
              <w:spacing w:after="0" w:line="88" w:lineRule="exact"/>
              <w:rPr>
                <w:sz w:val="20"/>
                <w:szCs w:val="20"/>
                <w:color w:val="auto"/>
              </w:rPr>
            </w:pPr>
            <w:r>
              <w:rPr>
                <w:rFonts w:ascii="Arial" w:cs="Arial" w:eastAsia="Arial" w:hAnsi="Arial"/>
                <w:sz w:val="10"/>
                <w:szCs w:val="10"/>
                <w:b w:val="1"/>
                <w:bCs w:val="1"/>
                <w:color w:val="auto"/>
              </w:rPr>
              <w:t>2020</w:t>
            </w:r>
          </w:p>
        </w:tc>
        <w:tc>
          <w:tcPr>
            <w:tcW w:w="160" w:type="dxa"/>
            <w:vAlign w:val="bottom"/>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jc w:val="right"/>
              <w:ind w:right="103"/>
              <w:spacing w:after="0" w:line="88" w:lineRule="exact"/>
              <w:rPr>
                <w:sz w:val="20"/>
                <w:szCs w:val="20"/>
                <w:color w:val="auto"/>
              </w:rPr>
            </w:pPr>
            <w:r>
              <w:rPr>
                <w:rFonts w:ascii="Arial" w:cs="Arial" w:eastAsia="Arial" w:hAnsi="Arial"/>
                <w:sz w:val="10"/>
                <w:szCs w:val="10"/>
                <w:b w:val="1"/>
                <w:bCs w:val="1"/>
                <w:color w:val="auto"/>
              </w:rPr>
              <w:t>2021</w:t>
            </w:r>
          </w:p>
        </w:tc>
        <w:tc>
          <w:tcPr>
            <w:tcW w:w="160" w:type="dxa"/>
            <w:vAlign w:val="bottom"/>
            <w:tcBorders>
              <w:top w:val="single" w:sz="8" w:color="auto"/>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jc w:val="right"/>
              <w:ind w:right="101"/>
              <w:spacing w:after="0" w:line="88" w:lineRule="exact"/>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478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Operating Activities</w:t>
            </w:r>
            <w:r>
              <w:rPr>
                <w:rFonts w:ascii="Arial" w:cs="Arial" w:eastAsia="Arial" w:hAnsi="Arial"/>
                <w:sz w:val="10"/>
                <w:szCs w:val="10"/>
                <w:b w:val="1"/>
                <w:bCs w:val="1"/>
                <w:color w:val="auto"/>
              </w:rPr>
              <w:t>(a)</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199,713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6"/>
              </w:rPr>
              <w:t>204,680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6"/>
              </w:rPr>
              <w:t>925,807</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6"/>
              </w:rPr>
              <w:t>658,136</w:t>
            </w:r>
          </w:p>
        </w:tc>
        <w:tc>
          <w:tcPr>
            <w:tcW w:w="0" w:type="dxa"/>
            <w:vAlign w:val="bottom"/>
          </w:tcPr>
          <w:p>
            <w:pPr>
              <w:spacing w:after="0"/>
              <w:rPr>
                <w:sz w:val="1"/>
                <w:szCs w:val="1"/>
                <w:color w:val="auto"/>
              </w:rPr>
            </w:pPr>
          </w:p>
        </w:tc>
      </w:tr>
      <w:tr>
        <w:trPr>
          <w:trHeight w:val="144"/>
        </w:trPr>
        <w:tc>
          <w:tcPr>
            <w:tcW w:w="4780" w:type="dxa"/>
            <w:vAlign w:val="bottom"/>
          </w:tcPr>
          <w:p>
            <w:pPr>
              <w:spacing w:after="0"/>
              <w:rPr>
                <w:sz w:val="20"/>
                <w:szCs w:val="20"/>
                <w:color w:val="auto"/>
              </w:rPr>
            </w:pPr>
            <w:r>
              <w:rPr>
                <w:rFonts w:ascii="Arial" w:cs="Arial" w:eastAsia="Arial" w:hAnsi="Arial"/>
                <w:sz w:val="12"/>
                <w:szCs w:val="12"/>
                <w:color w:val="auto"/>
              </w:rPr>
              <w:t xml:space="preserve">Purchases of property and equipment, net </w:t>
            </w:r>
            <w:r>
              <w:rPr>
                <w:rFonts w:ascii="Arial" w:cs="Arial" w:eastAsia="Arial" w:hAnsi="Arial"/>
                <w:sz w:val="10"/>
                <w:szCs w:val="10"/>
                <w:color w:val="auto"/>
              </w:rPr>
              <w:t>(c)</w:t>
            </w:r>
          </w:p>
        </w:tc>
        <w:tc>
          <w:tcPr>
            <w:tcW w:w="10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w w:val="98"/>
              </w:rPr>
              <w:t>(60,873)</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(59,555)</w:t>
            </w:r>
          </w:p>
        </w:tc>
        <w:tc>
          <w:tcPr>
            <w:tcW w:w="6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w w:val="89"/>
              </w:rPr>
              <w:t>(210,438)</w:t>
            </w:r>
          </w:p>
        </w:tc>
        <w:tc>
          <w:tcPr>
            <w:tcW w:w="6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w w:val="89"/>
              </w:rPr>
              <w:t>(205,510)</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80" w:type="dxa"/>
            <w:vAlign w:val="bottom"/>
            <w:shd w:val="clear" w:color="auto" w:fill="CCEEFF"/>
          </w:tcPr>
          <w:p>
            <w:pPr>
              <w:spacing w:after="0"/>
              <w:rPr>
                <w:sz w:val="20"/>
                <w:szCs w:val="20"/>
                <w:color w:val="auto"/>
              </w:rPr>
            </w:pPr>
            <w:r>
              <w:rPr>
                <w:rFonts w:ascii="Arial" w:cs="Arial" w:eastAsia="Arial" w:hAnsi="Arial"/>
                <w:sz w:val="12"/>
                <w:szCs w:val="12"/>
                <w:color w:val="auto"/>
              </w:rPr>
              <w:t>Free Cash Flow</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138,840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w w:val="96"/>
              </w:rPr>
              <w:t>145,125</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6"/>
              </w:rPr>
              <w:t>715,369</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6"/>
              </w:rPr>
              <w:t>452,626</w:t>
            </w:r>
          </w:p>
        </w:tc>
        <w:tc>
          <w:tcPr>
            <w:tcW w:w="0" w:type="dxa"/>
            <w:vAlign w:val="bottom"/>
          </w:tcPr>
          <w:p>
            <w:pPr>
              <w:spacing w:after="0"/>
              <w:rPr>
                <w:sz w:val="1"/>
                <w:szCs w:val="1"/>
                <w:color w:val="auto"/>
              </w:rPr>
            </w:pPr>
          </w:p>
        </w:tc>
      </w:tr>
      <w:tr>
        <w:trPr>
          <w:trHeight w:val="144"/>
        </w:trPr>
        <w:tc>
          <w:tcPr>
            <w:tcW w:w="4780" w:type="dxa"/>
            <w:vAlign w:val="bottom"/>
          </w:tcPr>
          <w:p>
            <w:pPr>
              <w:spacing w:after="0"/>
              <w:rPr>
                <w:sz w:val="20"/>
                <w:szCs w:val="20"/>
                <w:color w:val="auto"/>
              </w:rPr>
            </w:pPr>
            <w:r>
              <w:rPr>
                <w:rFonts w:ascii="Arial" w:cs="Arial" w:eastAsia="Arial" w:hAnsi="Arial"/>
                <w:sz w:val="12"/>
                <w:szCs w:val="12"/>
                <w:color w:val="auto"/>
              </w:rPr>
              <w:t>Tax payment on sale of business</w:t>
            </w:r>
            <w:r>
              <w:rPr>
                <w:rFonts w:ascii="Arial" w:cs="Arial" w:eastAsia="Arial" w:hAnsi="Arial"/>
                <w:sz w:val="10"/>
                <w:szCs w:val="10"/>
                <w:color w:val="auto"/>
              </w:rPr>
              <w:t>(b)</w:t>
            </w:r>
          </w:p>
        </w:tc>
        <w:tc>
          <w:tcPr>
            <w:tcW w:w="10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809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rPr>
              <w:t>39,596</w:t>
            </w:r>
          </w:p>
        </w:tc>
        <w:tc>
          <w:tcPr>
            <w:tcW w:w="6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4780" w:type="dxa"/>
            <w:vAlign w:val="bottom"/>
            <w:shd w:val="clear" w:color="auto" w:fill="CCEEFF"/>
          </w:tcPr>
          <w:p>
            <w:pPr>
              <w:spacing w:after="0"/>
              <w:rPr>
                <w:sz w:val="20"/>
                <w:szCs w:val="20"/>
                <w:color w:val="auto"/>
              </w:rPr>
            </w:pPr>
            <w:r>
              <w:rPr>
                <w:rFonts w:ascii="Arial" w:cs="Arial" w:eastAsia="Arial" w:hAnsi="Arial"/>
                <w:sz w:val="12"/>
                <w:szCs w:val="12"/>
                <w:color w:val="auto"/>
              </w:rPr>
              <w:t>Payments of acquisition related liabilities</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13,234</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9,417</w:t>
            </w:r>
          </w:p>
        </w:tc>
        <w:tc>
          <w:tcPr>
            <w:tcW w:w="0" w:type="dxa"/>
            <w:vAlign w:val="bottom"/>
          </w:tcPr>
          <w:p>
            <w:pPr>
              <w:spacing w:after="0"/>
              <w:rPr>
                <w:sz w:val="1"/>
                <w:szCs w:val="1"/>
                <w:color w:val="auto"/>
              </w:rPr>
            </w:pPr>
          </w:p>
        </w:tc>
      </w:tr>
      <w:tr>
        <w:trPr>
          <w:trHeight w:val="144"/>
        </w:trPr>
        <w:tc>
          <w:tcPr>
            <w:tcW w:w="4780" w:type="dxa"/>
            <w:vAlign w:val="bottom"/>
          </w:tcPr>
          <w:p>
            <w:pPr>
              <w:spacing w:after="0"/>
              <w:rPr>
                <w:sz w:val="20"/>
                <w:szCs w:val="20"/>
                <w:color w:val="auto"/>
              </w:rPr>
            </w:pPr>
            <w:r>
              <w:rPr>
                <w:rFonts w:ascii="Arial" w:cs="Arial" w:eastAsia="Arial" w:hAnsi="Arial"/>
                <w:sz w:val="12"/>
                <w:szCs w:val="12"/>
                <w:color w:val="auto"/>
              </w:rPr>
              <w:t>Payments for previously expensed restructuring charges</w:t>
            </w:r>
          </w:p>
        </w:tc>
        <w:tc>
          <w:tcPr>
            <w:tcW w:w="100" w:type="dxa"/>
            <w:vAlign w:val="bottom"/>
          </w:tcPr>
          <w:p>
            <w:pPr>
              <w:spacing w:after="0"/>
              <w:rPr>
                <w:sz w:val="12"/>
                <w:szCs w:val="1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214</w:t>
            </w:r>
          </w:p>
        </w:tc>
        <w:tc>
          <w:tcPr>
            <w:tcW w:w="6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2,143</w:t>
            </w:r>
          </w:p>
        </w:tc>
        <w:tc>
          <w:tcPr>
            <w:tcW w:w="0" w:type="dxa"/>
            <w:vAlign w:val="bottom"/>
          </w:tcPr>
          <w:p>
            <w:pPr>
              <w:spacing w:after="0"/>
              <w:rPr>
                <w:sz w:val="1"/>
                <w:szCs w:val="1"/>
                <w:color w:val="auto"/>
              </w:rPr>
            </w:pPr>
          </w:p>
        </w:tc>
      </w:tr>
      <w:tr>
        <w:trPr>
          <w:trHeight w:val="144"/>
        </w:trPr>
        <w:tc>
          <w:tcPr>
            <w:tcW w:w="4780" w:type="dxa"/>
            <w:vAlign w:val="bottom"/>
            <w:shd w:val="clear" w:color="auto" w:fill="CCEEFF"/>
          </w:tcPr>
          <w:p>
            <w:pPr>
              <w:spacing w:after="0"/>
              <w:rPr>
                <w:sz w:val="20"/>
                <w:szCs w:val="20"/>
                <w:color w:val="auto"/>
              </w:rPr>
            </w:pPr>
            <w:r>
              <w:rPr>
                <w:rFonts w:ascii="Arial" w:cs="Arial" w:eastAsia="Arial" w:hAnsi="Arial"/>
                <w:sz w:val="12"/>
                <w:szCs w:val="12"/>
                <w:color w:val="auto"/>
              </w:rPr>
              <w:t>Net capital expenditures related to the new campus development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32,801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15,975</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w w:val="96"/>
              </w:rPr>
              <w:t>100,680</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62,727</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2"/>
                <w:szCs w:val="12"/>
                <w:color w:val="auto"/>
              </w:rPr>
              <w:t>Normalized Free Cash Flow</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80" w:type="dxa"/>
            <w:vAlign w:val="bottom"/>
            <w:vMerge w:val="continue"/>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w w:val="92"/>
              </w:rPr>
              <w:t>172,450</w:t>
            </w:r>
          </w:p>
        </w:tc>
        <w:tc>
          <w:tcPr>
            <w:tcW w:w="1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w w:val="96"/>
              </w:rPr>
              <w:t>161,314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160"/>
              <w:spacing w:after="0"/>
              <w:rPr>
                <w:sz w:val="20"/>
                <w:szCs w:val="20"/>
                <w:color w:val="auto"/>
              </w:rPr>
            </w:pPr>
            <w:r>
              <w:rPr>
                <w:rFonts w:ascii="Arial" w:cs="Arial" w:eastAsia="Arial" w:hAnsi="Arial"/>
                <w:sz w:val="12"/>
                <w:szCs w:val="12"/>
                <w:color w:val="auto"/>
                <w:w w:val="96"/>
              </w:rPr>
              <w:t>868,879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w w:val="96"/>
              </w:rPr>
              <w:t>526,913</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62865</wp:posOffset>
            </wp:positionV>
            <wp:extent cx="51435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06" w:lineRule="exact"/>
        <w:rPr>
          <w:sz w:val="20"/>
          <w:szCs w:val="20"/>
          <w:color w:val="auto"/>
        </w:rPr>
      </w:pPr>
    </w:p>
    <w:p>
      <w:pPr>
        <w:ind w:left="1120" w:hanging="288"/>
        <w:spacing w:after="0"/>
        <w:tabs>
          <w:tab w:leader="none" w:pos="11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Since January 1, 2021, OpenMarket results are not included in the Consolidated Statements of Income given its divestiture.</w:t>
      </w:r>
    </w:p>
    <w:p>
      <w:pPr>
        <w:spacing w:after="0" w:line="14" w:lineRule="exact"/>
        <w:rPr>
          <w:rFonts w:ascii="Arial" w:cs="Arial" w:eastAsia="Arial" w:hAnsi="Arial"/>
          <w:sz w:val="12"/>
          <w:szCs w:val="12"/>
          <w:color w:val="auto"/>
        </w:rPr>
      </w:pPr>
    </w:p>
    <w:p>
      <w:pPr>
        <w:ind w:left="1120" w:hanging="288"/>
        <w:spacing w:after="0"/>
        <w:tabs>
          <w:tab w:leader="none" w:pos="11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Tax payment related to capital gain from divesture of OpenMarket, which was completed on December 31, 2020.</w:t>
      </w:r>
    </w:p>
    <w:p>
      <w:pPr>
        <w:spacing w:after="0" w:line="6" w:lineRule="exact"/>
        <w:rPr>
          <w:rFonts w:ascii="Arial" w:cs="Arial" w:eastAsia="Arial" w:hAnsi="Arial"/>
          <w:sz w:val="12"/>
          <w:szCs w:val="12"/>
          <w:color w:val="auto"/>
        </w:rPr>
      </w:pPr>
    </w:p>
    <w:p>
      <w:pPr>
        <w:ind w:left="1120" w:right="1039" w:hanging="288"/>
        <w:spacing w:after="0" w:line="260" w:lineRule="auto"/>
        <w:tabs>
          <w:tab w:leader="none" w:pos="11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amounts under “Purchase of property and equipment, net” include proceeds from sale of property and equipment of $328 and $194 for the Fiscal year ended September 30, 2021 and 2020, respectively.</w:t>
      </w:r>
    </w:p>
    <w:p>
      <w:pPr>
        <w:sectPr>
          <w:pgSz w:w="11900" w:h="16838" w:orient="portrait"/>
          <w:cols w:equalWidth="0" w:num="1">
            <w:col w:w="9019"/>
          </w:cols>
          <w:pgMar w:left="1440" w:top="226" w:right="1440"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AMDOCS LIMITED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Reconciliation of Selected Financial Metrics from GAAP to Non-GAAP</w:t>
      </w:r>
    </w:p>
    <w:p>
      <w:pPr>
        <w:jc w:val="center"/>
        <w:ind w:right="19"/>
        <w:spacing w:after="0"/>
        <w:rPr>
          <w:sz w:val="20"/>
          <w:szCs w:val="20"/>
          <w:color w:val="auto"/>
        </w:rPr>
      </w:pPr>
      <w:r>
        <w:rPr>
          <w:rFonts w:ascii="Arial" w:cs="Arial" w:eastAsia="Arial" w:hAnsi="Arial"/>
          <w:sz w:val="10"/>
          <w:szCs w:val="10"/>
          <w:b w:val="1"/>
          <w:bCs w:val="1"/>
          <w:color w:val="auto"/>
        </w:rPr>
        <w:t>(In thousands)</w:t>
      </w:r>
    </w:p>
    <w:p>
      <w:pPr>
        <w:spacing w:after="0" w:line="132" w:lineRule="exact"/>
        <w:rPr>
          <w:sz w:val="20"/>
          <w:szCs w:val="20"/>
          <w:color w:val="auto"/>
        </w:rPr>
      </w:pPr>
    </w:p>
    <w:p>
      <w:pPr>
        <w:ind w:left="5400"/>
        <w:spacing w:after="0"/>
        <w:rPr>
          <w:sz w:val="20"/>
          <w:szCs w:val="20"/>
          <w:color w:val="auto"/>
        </w:rPr>
      </w:pPr>
      <w:r>
        <w:rPr>
          <w:rFonts w:ascii="Arial" w:cs="Arial" w:eastAsia="Arial" w:hAnsi="Arial"/>
          <w:sz w:val="10"/>
          <w:szCs w:val="10"/>
          <w:b w:val="1"/>
          <w:bCs w:val="1"/>
          <w:color w:val="auto"/>
        </w:rPr>
        <w:t>Three months ended</w:t>
      </w:r>
    </w:p>
    <w:p>
      <w:pPr>
        <w:ind w:left="5380"/>
        <w:spacing w:after="0" w:line="215" w:lineRule="auto"/>
        <w:rPr>
          <w:sz w:val="20"/>
          <w:szCs w:val="20"/>
          <w:color w:val="auto"/>
        </w:rPr>
      </w:pPr>
      <w:r>
        <w:rPr>
          <w:rFonts w:ascii="Arial" w:cs="Arial" w:eastAsia="Arial" w:hAnsi="Arial"/>
          <w:sz w:val="10"/>
          <w:szCs w:val="10"/>
          <w:b w:val="1"/>
          <w:bCs w:val="1"/>
          <w:color w:val="auto"/>
        </w:rPr>
        <w:t>September 30, 2021</w:t>
      </w:r>
      <w:r>
        <w:rPr>
          <w:rFonts w:ascii="Arial" w:cs="Arial" w:eastAsia="Arial" w:hAnsi="Arial"/>
          <w:sz w:val="8"/>
          <w:szCs w:val="8"/>
          <w:b w:val="1"/>
          <w:bCs w:val="1"/>
          <w:color w:val="auto"/>
        </w:rPr>
        <w:t>(a)</w:t>
      </w:r>
    </w:p>
    <w:tbl>
      <w:tblPr>
        <w:tblLayout w:type="fixed"/>
        <w:tblInd w:w="840" w:type="dxa"/>
        <w:tblCellMar>
          <w:top w:w="0" w:type="dxa"/>
          <w:left w:w="0" w:type="dxa"/>
          <w:bottom w:w="0" w:type="dxa"/>
          <w:right w:w="0" w:type="dxa"/>
        </w:tblCellMar>
      </w:tblPr>
      <w:tr>
        <w:trPr>
          <w:trHeight w:val="88"/>
        </w:trPr>
        <w:tc>
          <w:tcPr>
            <w:tcW w:w="26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1560" w:type="dxa"/>
            <w:vAlign w:val="bottom"/>
            <w:tcBorders>
              <w:top w:val="single" w:sz="8" w:color="auto"/>
              <w:bottom w:val="single" w:sz="8" w:color="auto"/>
            </w:tcBorders>
            <w:gridSpan w:val="5"/>
          </w:tcPr>
          <w:p>
            <w:pPr>
              <w:ind w:left="400"/>
              <w:spacing w:after="0" w:line="88" w:lineRule="exact"/>
              <w:rPr>
                <w:sz w:val="20"/>
                <w:szCs w:val="20"/>
                <w:color w:val="auto"/>
              </w:rPr>
            </w:pPr>
            <w:r>
              <w:rPr>
                <w:rFonts w:ascii="Arial" w:cs="Arial" w:eastAsia="Arial" w:hAnsi="Arial"/>
                <w:sz w:val="10"/>
                <w:szCs w:val="10"/>
                <w:b w:val="1"/>
                <w:bCs w:val="1"/>
                <w:color w:val="auto"/>
              </w:rPr>
              <w:t>Reconciliation items</w:t>
            </w:r>
          </w:p>
        </w:tc>
        <w:tc>
          <w:tcPr>
            <w:tcW w:w="300" w:type="dxa"/>
            <w:vAlign w:val="bottom"/>
            <w:tcBorders>
              <w:top w:val="single" w:sz="8" w:color="auto"/>
              <w:bottom w:val="single" w:sz="8" w:color="auto"/>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60" w:type="dxa"/>
            <w:vAlign w:val="bottom"/>
            <w:tcBorders>
              <w:top w:val="single" w:sz="8" w:color="auto"/>
              <w:bottom w:val="single" w:sz="8" w:color="auto"/>
            </w:tcBorders>
          </w:tcPr>
          <w:p>
            <w:pPr>
              <w:spacing w:after="0"/>
              <w:rPr>
                <w:sz w:val="7"/>
                <w:szCs w:val="7"/>
                <w:color w:val="auto"/>
              </w:rPr>
            </w:pPr>
          </w:p>
        </w:tc>
        <w:tc>
          <w:tcPr>
            <w:tcW w:w="300" w:type="dxa"/>
            <w:vAlign w:val="bottom"/>
            <w:tcBorders>
              <w:top w:val="single" w:sz="8" w:color="auto"/>
              <w:bottom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tcPr>
          <w:p>
            <w:pPr>
              <w:jc w:val="center"/>
              <w:ind w:right="320"/>
              <w:spacing w:after="0" w:line="74" w:lineRule="exact"/>
              <w:rPr>
                <w:sz w:val="20"/>
                <w:szCs w:val="20"/>
                <w:color w:val="auto"/>
              </w:rPr>
            </w:pPr>
            <w:r>
              <w:rPr>
                <w:rFonts w:ascii="Arial" w:cs="Arial" w:eastAsia="Arial" w:hAnsi="Arial"/>
                <w:sz w:val="8"/>
                <w:szCs w:val="8"/>
                <w:b w:val="1"/>
                <w:bCs w:val="1"/>
                <w:color w:val="auto"/>
              </w:rPr>
              <w:t>Changes in</w:t>
            </w: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rPr>
              <w:t>Amortization</w:t>
            </w: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91"/>
              </w:rPr>
              <w:t>certain</w:t>
            </w: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rPr>
              <w:t>of purchased</w:t>
            </w: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85"/>
              </w:rPr>
              <w:t>acquisitions</w:t>
            </w: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8"/>
              </w:rPr>
              <w:t>intangible</w:t>
            </w:r>
          </w:p>
        </w:tc>
        <w:tc>
          <w:tcPr>
            <w:tcW w:w="72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rPr>
              <w:t>Equity based</w:t>
            </w:r>
          </w:p>
        </w:tc>
        <w:tc>
          <w:tcPr>
            <w:tcW w:w="920" w:type="dxa"/>
            <w:vAlign w:val="bottom"/>
            <w:gridSpan w:val="3"/>
          </w:tcPr>
          <w:p>
            <w:pPr>
              <w:jc w:val="center"/>
              <w:ind w:right="220"/>
              <w:spacing w:after="0" w:line="99" w:lineRule="exact"/>
              <w:rPr>
                <w:sz w:val="20"/>
                <w:szCs w:val="20"/>
                <w:color w:val="auto"/>
              </w:rPr>
            </w:pPr>
            <w:r>
              <w:rPr>
                <w:rFonts w:ascii="Arial" w:cs="Arial" w:eastAsia="Arial" w:hAnsi="Arial"/>
                <w:sz w:val="10"/>
                <w:szCs w:val="10"/>
                <w:b w:val="1"/>
                <w:bCs w:val="1"/>
                <w:color w:val="auto"/>
                <w:w w:val="89"/>
              </w:rPr>
              <w:t>related liabilities</w:t>
            </w: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1"/>
              </w:rPr>
              <w:t>assets and</w:t>
            </w:r>
          </w:p>
        </w:tc>
        <w:tc>
          <w:tcPr>
            <w:tcW w:w="72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rPr>
              <w:t>compensation</w:t>
            </w:r>
          </w:p>
        </w:tc>
        <w:tc>
          <w:tcPr>
            <w:tcW w:w="920" w:type="dxa"/>
            <w:vAlign w:val="bottom"/>
            <w:gridSpan w:val="3"/>
          </w:tcPr>
          <w:p>
            <w:pPr>
              <w:jc w:val="center"/>
              <w:ind w:right="220"/>
              <w:spacing w:after="0" w:line="99" w:lineRule="exact"/>
              <w:rPr>
                <w:sz w:val="20"/>
                <w:szCs w:val="20"/>
                <w:color w:val="auto"/>
              </w:rPr>
            </w:pPr>
            <w:r>
              <w:rPr>
                <w:rFonts w:ascii="Arial" w:cs="Arial" w:eastAsia="Arial" w:hAnsi="Arial"/>
                <w:sz w:val="10"/>
                <w:szCs w:val="10"/>
                <w:b w:val="1"/>
                <w:bCs w:val="1"/>
                <w:color w:val="auto"/>
                <w:w w:val="85"/>
              </w:rPr>
              <w:t>measured at fair</w:t>
            </w: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ind w:left="60"/>
              <w:spacing w:after="0" w:line="99" w:lineRule="exact"/>
              <w:rPr>
                <w:sz w:val="20"/>
                <w:szCs w:val="20"/>
                <w:color w:val="auto"/>
              </w:rPr>
            </w:pPr>
            <w:r>
              <w:rPr>
                <w:rFonts w:ascii="Arial" w:cs="Arial" w:eastAsia="Arial" w:hAnsi="Arial"/>
                <w:sz w:val="10"/>
                <w:szCs w:val="10"/>
                <w:b w:val="1"/>
                <w:bCs w:val="1"/>
                <w:color w:val="auto"/>
              </w:rPr>
              <w:t>Tax</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gridSpan w:val="2"/>
          </w:tcPr>
          <w:p>
            <w:pPr>
              <w:jc w:val="right"/>
              <w:ind w:right="280"/>
              <w:spacing w:after="0" w:line="114" w:lineRule="exact"/>
              <w:rPr>
                <w:sz w:val="20"/>
                <w:szCs w:val="20"/>
                <w:color w:val="auto"/>
              </w:rPr>
            </w:pPr>
            <w:r>
              <w:rPr>
                <w:rFonts w:ascii="Arial" w:cs="Arial" w:eastAsia="Arial" w:hAnsi="Arial"/>
                <w:sz w:val="10"/>
                <w:szCs w:val="10"/>
                <w:b w:val="1"/>
                <w:bCs w:val="1"/>
                <w:color w:val="auto"/>
              </w:rPr>
              <w:t>GAAP</w:t>
            </w:r>
          </w:p>
        </w:tc>
        <w:tc>
          <w:tcPr>
            <w:tcW w:w="60" w:type="dxa"/>
            <w:vAlign w:val="bottom"/>
          </w:tcPr>
          <w:p>
            <w:pPr>
              <w:spacing w:after="0"/>
              <w:rPr>
                <w:sz w:val="9"/>
                <w:szCs w:val="9"/>
                <w:color w:val="auto"/>
              </w:rPr>
            </w:pPr>
          </w:p>
        </w:tc>
        <w:tc>
          <w:tcPr>
            <w:tcW w:w="6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87"/>
              </w:rPr>
              <w:t>other</w:t>
            </w:r>
          </w:p>
        </w:tc>
        <w:tc>
          <w:tcPr>
            <w:tcW w:w="80" w:type="dxa"/>
            <w:vAlign w:val="bottom"/>
          </w:tcPr>
          <w:p>
            <w:pPr>
              <w:spacing w:after="0"/>
              <w:rPr>
                <w:sz w:val="9"/>
                <w:szCs w:val="9"/>
                <w:color w:val="auto"/>
              </w:rPr>
            </w:pPr>
          </w:p>
        </w:tc>
        <w:tc>
          <w:tcPr>
            <w:tcW w:w="640" w:type="dxa"/>
            <w:vAlign w:val="bottom"/>
            <w:gridSpan w:val="2"/>
          </w:tcPr>
          <w:p>
            <w:pPr>
              <w:jc w:val="right"/>
              <w:ind w:right="300"/>
              <w:spacing w:after="0" w:line="114" w:lineRule="exact"/>
              <w:rPr>
                <w:sz w:val="20"/>
                <w:szCs w:val="20"/>
                <w:color w:val="auto"/>
              </w:rPr>
            </w:pPr>
            <w:r>
              <w:rPr>
                <w:rFonts w:ascii="Arial" w:cs="Arial" w:eastAsia="Arial" w:hAnsi="Arial"/>
                <w:sz w:val="10"/>
                <w:szCs w:val="10"/>
                <w:b w:val="1"/>
                <w:bCs w:val="1"/>
                <w:color w:val="auto"/>
                <w:w w:val="79"/>
              </w:rPr>
              <w:t>expense</w:t>
            </w:r>
          </w:p>
        </w:tc>
        <w:tc>
          <w:tcPr>
            <w:tcW w:w="100" w:type="dxa"/>
            <w:vAlign w:val="bottom"/>
          </w:tcPr>
          <w:p>
            <w:pPr>
              <w:spacing w:after="0"/>
              <w:rPr>
                <w:sz w:val="9"/>
                <w:szCs w:val="9"/>
                <w:color w:val="auto"/>
              </w:rPr>
            </w:pPr>
          </w:p>
        </w:tc>
        <w:tc>
          <w:tcPr>
            <w:tcW w:w="820" w:type="dxa"/>
            <w:vAlign w:val="bottom"/>
            <w:gridSpan w:val="2"/>
          </w:tcPr>
          <w:p>
            <w:pPr>
              <w:jc w:val="center"/>
              <w:ind w:right="320"/>
              <w:spacing w:after="0" w:line="114" w:lineRule="exact"/>
              <w:rPr>
                <w:sz w:val="20"/>
                <w:szCs w:val="20"/>
                <w:color w:val="auto"/>
              </w:rPr>
            </w:pPr>
            <w:r>
              <w:rPr>
                <w:rFonts w:ascii="Arial" w:cs="Arial" w:eastAsia="Arial" w:hAnsi="Arial"/>
                <w:sz w:val="10"/>
                <w:szCs w:val="10"/>
                <w:b w:val="1"/>
                <w:bCs w:val="1"/>
                <w:color w:val="auto"/>
                <w:w w:val="85"/>
              </w:rPr>
              <w:t>value</w:t>
            </w:r>
          </w:p>
        </w:tc>
        <w:tc>
          <w:tcPr>
            <w:tcW w:w="50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w w:val="89"/>
              </w:rPr>
              <w:t>Other</w:t>
            </w:r>
          </w:p>
        </w:tc>
        <w:tc>
          <w:tcPr>
            <w:tcW w:w="60" w:type="dxa"/>
            <w:vAlign w:val="bottom"/>
          </w:tcPr>
          <w:p>
            <w:pPr>
              <w:spacing w:after="0"/>
              <w:rPr>
                <w:sz w:val="9"/>
                <w:szCs w:val="9"/>
                <w:color w:val="auto"/>
              </w:rPr>
            </w:pPr>
          </w:p>
        </w:tc>
        <w:tc>
          <w:tcPr>
            <w:tcW w:w="500" w:type="dxa"/>
            <w:vAlign w:val="bottom"/>
            <w:gridSpan w:val="2"/>
          </w:tcPr>
          <w:p>
            <w:pPr>
              <w:jc w:val="right"/>
              <w:ind w:right="260"/>
              <w:spacing w:after="0" w:line="114" w:lineRule="exact"/>
              <w:rPr>
                <w:sz w:val="20"/>
                <w:szCs w:val="20"/>
                <w:color w:val="auto"/>
              </w:rPr>
            </w:pPr>
            <w:r>
              <w:rPr>
                <w:rFonts w:ascii="Arial" w:cs="Arial" w:eastAsia="Arial" w:hAnsi="Arial"/>
                <w:sz w:val="10"/>
                <w:szCs w:val="10"/>
                <w:b w:val="1"/>
                <w:bCs w:val="1"/>
                <w:color w:val="auto"/>
                <w:w w:val="82"/>
              </w:rPr>
              <w:t>effect</w:t>
            </w:r>
          </w:p>
        </w:tc>
        <w:tc>
          <w:tcPr>
            <w:tcW w:w="56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w w:val="88"/>
              </w:rPr>
              <w:t>Non-GAAP</w:t>
            </w:r>
          </w:p>
        </w:tc>
        <w:tc>
          <w:tcPr>
            <w:tcW w:w="0" w:type="dxa"/>
            <w:vAlign w:val="bottom"/>
          </w:tcPr>
          <w:p>
            <w:pPr>
              <w:spacing w:after="0"/>
              <w:rPr>
                <w:sz w:val="1"/>
                <w:szCs w:val="1"/>
                <w:color w:val="auto"/>
              </w:rPr>
            </w:pPr>
          </w:p>
        </w:tc>
      </w:tr>
      <w:tr>
        <w:trPr>
          <w:trHeight w:val="142"/>
        </w:trPr>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20" w:type="dxa"/>
            <w:vAlign w:val="bottom"/>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80" w:type="dxa"/>
            <w:vAlign w:val="bottom"/>
            <w:tcBorders>
              <w:left w:val="single" w:sz="8" w:color="CCEEFF"/>
            </w:tcBorders>
            <w:shd w:val="clear" w:color="auto" w:fill="CCEEFF"/>
          </w:tcPr>
          <w:p>
            <w:pPr>
              <w:spacing w:after="0"/>
              <w:rPr>
                <w:sz w:val="12"/>
                <w:szCs w:val="12"/>
                <w:color w:val="auto"/>
              </w:rPr>
            </w:pPr>
          </w:p>
        </w:tc>
        <w:tc>
          <w:tcPr>
            <w:tcW w:w="100" w:type="dxa"/>
            <w:vAlign w:val="bottom"/>
            <w:tcBorders>
              <w:top w:val="single" w:sz="8" w:color="auto"/>
              <w:right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20" w:type="dxa"/>
            <w:vAlign w:val="bottom"/>
            <w:tcBorders>
              <w:left w:val="single" w:sz="8" w:color="CCEEFF"/>
              <w:right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80" w:type="dxa"/>
            <w:vAlign w:val="bottom"/>
          </w:tcPr>
          <w:p>
            <w:pPr>
              <w:ind w:left="240"/>
              <w:spacing w:after="0"/>
              <w:rPr>
                <w:sz w:val="20"/>
                <w:szCs w:val="20"/>
                <w:color w:val="auto"/>
              </w:rPr>
            </w:pPr>
            <w:r>
              <w:rPr>
                <w:rFonts w:ascii="Arial" w:cs="Arial" w:eastAsia="Arial" w:hAnsi="Arial"/>
                <w:sz w:val="12"/>
                <w:szCs w:val="12"/>
                <w:color w:val="auto"/>
              </w:rPr>
              <w:t>Cost of revenue</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w w:val="91"/>
              </w:rPr>
              <w:t>$707,366</w:t>
            </w:r>
          </w:p>
        </w:tc>
        <w:tc>
          <w:tcPr>
            <w:tcW w:w="20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(6,148)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(3,285)</w:t>
            </w:r>
          </w:p>
        </w:tc>
        <w:tc>
          <w:tcPr>
            <w:tcW w:w="500" w:type="dxa"/>
            <w:vAlign w:val="bottom"/>
            <w:gridSpan w:val="2"/>
          </w:tcPr>
          <w:p>
            <w:pPr>
              <w:jc w:val="right"/>
              <w:ind w:right="240"/>
              <w:spacing w:after="0"/>
              <w:rPr>
                <w:sz w:val="20"/>
                <w:szCs w:val="20"/>
                <w:color w:val="auto"/>
              </w:rPr>
            </w:pPr>
            <w:r>
              <w:rPr>
                <w:rFonts w:ascii="Arial" w:cs="Arial" w:eastAsia="Arial" w:hAnsi="Arial"/>
                <w:sz w:val="12"/>
                <w:szCs w:val="12"/>
                <w:color w:val="auto"/>
                <w:w w:val="83"/>
              </w:rPr>
              <w:t>$   —</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w w:val="86"/>
              </w:rPr>
              <w:t>$ 697,933</w:t>
            </w:r>
          </w:p>
        </w:tc>
        <w:tc>
          <w:tcPr>
            <w:tcW w:w="0" w:type="dxa"/>
            <w:vAlign w:val="bottom"/>
          </w:tcPr>
          <w:p>
            <w:pPr>
              <w:spacing w:after="0"/>
              <w:rPr>
                <w:sz w:val="1"/>
                <w:szCs w:val="1"/>
                <w:color w:val="auto"/>
              </w:rPr>
            </w:pPr>
          </w:p>
        </w:tc>
      </w:tr>
      <w:tr>
        <w:trPr>
          <w:trHeight w:val="144"/>
        </w:trPr>
        <w:tc>
          <w:tcPr>
            <w:tcW w:w="26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Research and development</w:t>
            </w: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81,324</w:t>
            </w:r>
          </w:p>
        </w:tc>
        <w:tc>
          <w:tcPr>
            <w:tcW w:w="6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(1,145)</w:t>
            </w:r>
          </w:p>
        </w:tc>
        <w:tc>
          <w:tcPr>
            <w:tcW w:w="100" w:type="dxa"/>
            <w:vAlign w:val="bottom"/>
            <w:tcBorders>
              <w:right w:val="single" w:sz="8" w:color="CCEEFF"/>
            </w:tcBorders>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80,179</w:t>
            </w:r>
          </w:p>
        </w:tc>
        <w:tc>
          <w:tcPr>
            <w:tcW w:w="0" w:type="dxa"/>
            <w:vAlign w:val="bottom"/>
          </w:tcPr>
          <w:p>
            <w:pPr>
              <w:spacing w:after="0"/>
              <w:rPr>
                <w:sz w:val="1"/>
                <w:szCs w:val="1"/>
                <w:color w:val="auto"/>
              </w:rPr>
            </w:pPr>
          </w:p>
        </w:tc>
      </w:tr>
      <w:tr>
        <w:trPr>
          <w:trHeight w:val="144"/>
        </w:trPr>
        <w:tc>
          <w:tcPr>
            <w:tcW w:w="2680" w:type="dxa"/>
            <w:vAlign w:val="bottom"/>
          </w:tcPr>
          <w:p>
            <w:pPr>
              <w:ind w:left="240"/>
              <w:spacing w:after="0"/>
              <w:rPr>
                <w:sz w:val="20"/>
                <w:szCs w:val="20"/>
                <w:color w:val="auto"/>
              </w:rPr>
            </w:pPr>
            <w:r>
              <w:rPr>
                <w:rFonts w:ascii="Arial" w:cs="Arial" w:eastAsia="Arial" w:hAnsi="Arial"/>
                <w:sz w:val="12"/>
                <w:szCs w:val="12"/>
                <w:color w:val="auto"/>
              </w:rPr>
              <w:t>Selling, general and administrative</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126,015</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(7,013)</w:t>
            </w:r>
          </w:p>
        </w:tc>
        <w:tc>
          <w:tcPr>
            <w:tcW w:w="100" w:type="dxa"/>
            <w:vAlign w:val="bottom"/>
          </w:tcPr>
          <w:p>
            <w:pPr>
              <w:spacing w:after="0"/>
              <w:rPr>
                <w:sz w:val="12"/>
                <w:szCs w:val="12"/>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119,002</w:t>
            </w:r>
          </w:p>
        </w:tc>
        <w:tc>
          <w:tcPr>
            <w:tcW w:w="0" w:type="dxa"/>
            <w:vAlign w:val="bottom"/>
          </w:tcPr>
          <w:p>
            <w:pPr>
              <w:spacing w:after="0"/>
              <w:rPr>
                <w:sz w:val="1"/>
                <w:szCs w:val="1"/>
                <w:color w:val="auto"/>
              </w:rPr>
            </w:pPr>
          </w:p>
        </w:tc>
      </w:tr>
      <w:tr>
        <w:trPr>
          <w:trHeight w:val="135"/>
        </w:trPr>
        <w:tc>
          <w:tcPr>
            <w:tcW w:w="268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w w:val="94"/>
              </w:rPr>
              <w:t>Amortization of purchased intangible assets and</w:t>
            </w: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left w:val="single" w:sz="8" w:color="CCEEFF"/>
              <w:right w:val="single" w:sz="8" w:color="CCEEFF"/>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other</w:t>
            </w: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18,274</w:t>
            </w:r>
          </w:p>
        </w:tc>
        <w:tc>
          <w:tcPr>
            <w:tcW w:w="2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(18,274)</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8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Arial" w:cs="Arial" w:eastAsia="Arial" w:hAnsi="Arial"/>
                <w:sz w:val="12"/>
                <w:szCs w:val="12"/>
                <w:color w:val="auto"/>
              </w:rPr>
              <w:t>Total operating expenses</w:t>
            </w: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932,979</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(18,274)</w:t>
            </w:r>
          </w:p>
        </w:tc>
        <w:tc>
          <w:tcPr>
            <w:tcW w:w="8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(14,306)</w:t>
            </w:r>
          </w:p>
        </w:tc>
        <w:tc>
          <w:tcPr>
            <w:tcW w:w="10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(3,285)</w:t>
            </w:r>
          </w:p>
        </w:tc>
        <w:tc>
          <w:tcPr>
            <w:tcW w:w="5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897,114</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Operating income</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154,330</w:t>
            </w:r>
          </w:p>
        </w:tc>
        <w:tc>
          <w:tcPr>
            <w:tcW w:w="2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18,274</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14,306</w:t>
            </w:r>
          </w:p>
        </w:tc>
        <w:tc>
          <w:tcPr>
            <w:tcW w:w="180" w:type="dxa"/>
            <w:vAlign w:val="bottom"/>
            <w:tcBorders>
              <w:lef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3,285</w:t>
            </w:r>
          </w:p>
        </w:tc>
        <w:tc>
          <w:tcPr>
            <w:tcW w:w="220" w:type="dxa"/>
            <w:vAlign w:val="bottom"/>
            <w:tcBorders>
              <w:left w:val="single" w:sz="8" w:color="CCEEFF"/>
              <w:right w:val="single" w:sz="8" w:color="CCEEFF"/>
            </w:tcBorders>
            <w:shd w:val="clear" w:color="auto" w:fill="CCEEFF"/>
          </w:tcPr>
          <w:p>
            <w:pPr>
              <w:spacing w:after="0"/>
              <w:rPr>
                <w:sz w:val="12"/>
                <w:szCs w:val="12"/>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190,195</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Arial" w:cs="Arial" w:eastAsia="Arial" w:hAnsi="Arial"/>
                <w:sz w:val="12"/>
                <w:szCs w:val="12"/>
                <w:color w:val="auto"/>
              </w:rPr>
              <w:t>Interest and other (expense), net</w:t>
            </w: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(1,099)</w:t>
            </w:r>
          </w:p>
        </w:tc>
        <w:tc>
          <w:tcPr>
            <w:tcW w:w="60" w:type="dxa"/>
            <w:vAlign w:val="bottom"/>
          </w:tcPr>
          <w:p>
            <w:pPr>
              <w:spacing w:after="0"/>
              <w:rPr>
                <w:sz w:val="12"/>
                <w:szCs w:val="1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w w:val="89"/>
              </w:rPr>
              <w:t>(4,360)</w:t>
            </w:r>
          </w:p>
        </w:tc>
        <w:tc>
          <w:tcPr>
            <w:tcW w:w="60" w:type="dxa"/>
            <w:vAlign w:val="bottom"/>
          </w:tcPr>
          <w:p>
            <w:pPr>
              <w:spacing w:after="0"/>
              <w:rPr>
                <w:sz w:val="12"/>
                <w:szCs w:val="1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(5,459)</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Income taxes</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29,706</w:t>
            </w:r>
          </w:p>
        </w:tc>
        <w:tc>
          <w:tcPr>
            <w:tcW w:w="2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w:t>
            </w:r>
          </w:p>
        </w:tc>
        <w:tc>
          <w:tcPr>
            <w:tcW w:w="220" w:type="dxa"/>
            <w:vAlign w:val="bottom"/>
            <w:tcBorders>
              <w:left w:val="single" w:sz="8" w:color="CCEEFF"/>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9"/>
              </w:rPr>
              <w:t>7,560</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37,266</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Arial" w:cs="Arial" w:eastAsia="Arial" w:hAnsi="Arial"/>
                <w:sz w:val="12"/>
                <w:szCs w:val="12"/>
                <w:color w:val="auto"/>
              </w:rPr>
              <w:t>Net income</w:t>
            </w: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vMerge w:val="continue"/>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u w:val="single" w:color="auto"/>
                <w:color w:val="auto"/>
                <w:w w:val="91"/>
              </w:rPr>
              <w:t>$</w:t>
            </w:r>
            <w:r>
              <w:rPr>
                <w:rFonts w:ascii="Arial" w:cs="Arial" w:eastAsia="Arial" w:hAnsi="Arial"/>
                <w:sz w:val="12"/>
                <w:szCs w:val="12"/>
                <w:color w:val="auto"/>
                <w:w w:val="91"/>
              </w:rPr>
              <w:t>123,525</w:t>
            </w:r>
          </w:p>
        </w:tc>
        <w:tc>
          <w:tcPr>
            <w:tcW w:w="20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18,274</w:t>
            </w:r>
          </w:p>
        </w:tc>
        <w:tc>
          <w:tcPr>
            <w:tcW w:w="8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14,306</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3,285</w:t>
            </w:r>
          </w:p>
        </w:tc>
        <w:tc>
          <w:tcPr>
            <w:tcW w:w="22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u w:val="single" w:color="auto"/>
                <w:color w:val="auto"/>
                <w:w w:val="75"/>
              </w:rPr>
              <w:t>$</w:t>
            </w:r>
            <w:r>
              <w:rPr>
                <w:rFonts w:ascii="Arial" w:cs="Arial" w:eastAsia="Arial" w:hAnsi="Arial"/>
                <w:sz w:val="12"/>
                <w:szCs w:val="12"/>
                <w:color w:val="auto"/>
                <w:w w:val="75"/>
              </w:rPr>
              <w:t>(4,360)</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color w:val="auto"/>
                <w:w w:val="89"/>
              </w:rPr>
              <w:t>(7,560)</w:t>
            </w: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w w:val="86"/>
              </w:rPr>
              <w:t>$ 147,470</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gridSpan w:val="5"/>
          </w:tcPr>
          <w:p>
            <w:pPr>
              <w:ind w:left="380"/>
              <w:spacing w:after="0"/>
              <w:rPr>
                <w:sz w:val="20"/>
                <w:szCs w:val="20"/>
                <w:color w:val="auto"/>
              </w:rPr>
            </w:pPr>
            <w:r>
              <w:rPr>
                <w:rFonts w:ascii="Arial" w:cs="Arial" w:eastAsia="Arial" w:hAnsi="Arial"/>
                <w:sz w:val="10"/>
                <w:szCs w:val="10"/>
                <w:b w:val="1"/>
                <w:bCs w:val="1"/>
                <w:color w:val="auto"/>
              </w:rPr>
              <w:t>Three months ended</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3"/>
        </w:trPr>
        <w:tc>
          <w:tcPr>
            <w:tcW w:w="26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gridSpan w:val="5"/>
          </w:tcPr>
          <w:p>
            <w:pPr>
              <w:ind w:left="400"/>
              <w:spacing w:after="0" w:line="114" w:lineRule="exact"/>
              <w:rPr>
                <w:sz w:val="20"/>
                <w:szCs w:val="20"/>
                <w:color w:val="auto"/>
              </w:rPr>
            </w:pPr>
            <w:r>
              <w:rPr>
                <w:rFonts w:ascii="Arial" w:cs="Arial" w:eastAsia="Arial" w:hAnsi="Arial"/>
                <w:sz w:val="10"/>
                <w:szCs w:val="10"/>
                <w:b w:val="1"/>
                <w:bCs w:val="1"/>
                <w:color w:val="auto"/>
              </w:rPr>
              <w:t>September 30, 2020</w:t>
            </w:r>
          </w:p>
        </w:tc>
        <w:tc>
          <w:tcPr>
            <w:tcW w:w="3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68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gridSpan w:val="5"/>
          </w:tcPr>
          <w:p>
            <w:pPr>
              <w:ind w:left="380"/>
              <w:spacing w:after="0" w:line="88" w:lineRule="exact"/>
              <w:rPr>
                <w:sz w:val="20"/>
                <w:szCs w:val="20"/>
                <w:color w:val="auto"/>
              </w:rPr>
            </w:pPr>
            <w:r>
              <w:rPr>
                <w:rFonts w:ascii="Arial" w:cs="Arial" w:eastAsia="Arial" w:hAnsi="Arial"/>
                <w:sz w:val="10"/>
                <w:szCs w:val="10"/>
                <w:b w:val="1"/>
                <w:bCs w:val="1"/>
                <w:color w:val="auto"/>
              </w:rPr>
              <w:t>Reconciliation items</w:t>
            </w:r>
          </w:p>
        </w:tc>
        <w:tc>
          <w:tcPr>
            <w:tcW w:w="3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68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gridSpan w:val="2"/>
          </w:tcPr>
          <w:p>
            <w:pPr>
              <w:jc w:val="center"/>
              <w:ind w:right="240"/>
              <w:spacing w:after="0" w:line="74" w:lineRule="exact"/>
              <w:rPr>
                <w:sz w:val="20"/>
                <w:szCs w:val="20"/>
                <w:color w:val="auto"/>
              </w:rPr>
            </w:pPr>
            <w:r>
              <w:rPr>
                <w:rFonts w:ascii="Arial" w:cs="Arial" w:eastAsia="Arial" w:hAnsi="Arial"/>
                <w:sz w:val="8"/>
                <w:szCs w:val="8"/>
                <w:b w:val="1"/>
                <w:bCs w:val="1"/>
                <w:color w:val="auto"/>
              </w:rPr>
              <w:t>Changes in</w:t>
            </w: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rPr>
              <w:t>Amortization</w:t>
            </w: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5"/>
              </w:rPr>
              <w:t>certain</w:t>
            </w: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rPr>
              <w:t>of purchased</w:t>
            </w: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tcPr>
          <w:p>
            <w:pPr>
              <w:jc w:val="right"/>
              <w:ind w:right="300"/>
              <w:spacing w:after="0" w:line="99" w:lineRule="exact"/>
              <w:rPr>
                <w:sz w:val="20"/>
                <w:szCs w:val="20"/>
                <w:color w:val="auto"/>
              </w:rPr>
            </w:pPr>
            <w:r>
              <w:rPr>
                <w:rFonts w:ascii="Arial" w:cs="Arial" w:eastAsia="Arial" w:hAnsi="Arial"/>
                <w:sz w:val="10"/>
                <w:szCs w:val="10"/>
                <w:b w:val="1"/>
                <w:bCs w:val="1"/>
                <w:color w:val="auto"/>
                <w:w w:val="85"/>
              </w:rPr>
              <w:t>acquisitions</w:t>
            </w: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8"/>
              </w:rPr>
              <w:t>intangible</w:t>
            </w:r>
          </w:p>
        </w:tc>
        <w:tc>
          <w:tcPr>
            <w:tcW w:w="720" w:type="dxa"/>
            <w:vAlign w:val="bottom"/>
            <w:gridSpan w:val="3"/>
          </w:tcPr>
          <w:p>
            <w:pPr>
              <w:jc w:val="right"/>
              <w:ind w:right="180"/>
              <w:spacing w:after="0" w:line="99" w:lineRule="exact"/>
              <w:rPr>
                <w:sz w:val="20"/>
                <w:szCs w:val="20"/>
                <w:color w:val="auto"/>
              </w:rPr>
            </w:pPr>
            <w:r>
              <w:rPr>
                <w:rFonts w:ascii="Arial" w:cs="Arial" w:eastAsia="Arial" w:hAnsi="Arial"/>
                <w:sz w:val="10"/>
                <w:szCs w:val="10"/>
                <w:b w:val="1"/>
                <w:bCs w:val="1"/>
                <w:color w:val="auto"/>
                <w:w w:val="83"/>
              </w:rPr>
              <w:t>Equity based</w:t>
            </w:r>
          </w:p>
        </w:tc>
        <w:tc>
          <w:tcPr>
            <w:tcW w:w="100" w:type="dxa"/>
            <w:vAlign w:val="bottom"/>
          </w:tcPr>
          <w:p>
            <w:pPr>
              <w:spacing w:after="0"/>
              <w:rPr>
                <w:sz w:val="8"/>
                <w:szCs w:val="8"/>
                <w:color w:val="auto"/>
              </w:rPr>
            </w:pPr>
          </w:p>
        </w:tc>
        <w:tc>
          <w:tcPr>
            <w:tcW w:w="82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79"/>
              </w:rPr>
              <w:t>related liabilities</w:t>
            </w: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1"/>
              </w:rPr>
              <w:t>assets and</w:t>
            </w:r>
          </w:p>
        </w:tc>
        <w:tc>
          <w:tcPr>
            <w:tcW w:w="72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rPr>
              <w:t>compensation</w:t>
            </w:r>
          </w:p>
        </w:tc>
        <w:tc>
          <w:tcPr>
            <w:tcW w:w="100" w:type="dxa"/>
            <w:vAlign w:val="bottom"/>
          </w:tcPr>
          <w:p>
            <w:pPr>
              <w:spacing w:after="0"/>
              <w:rPr>
                <w:sz w:val="8"/>
                <w:szCs w:val="8"/>
                <w:color w:val="auto"/>
              </w:rPr>
            </w:pPr>
          </w:p>
        </w:tc>
        <w:tc>
          <w:tcPr>
            <w:tcW w:w="82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0"/>
              </w:rPr>
              <w:t>measured at fair</w:t>
            </w: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gridSpan w:val="2"/>
          </w:tcPr>
          <w:p>
            <w:pPr>
              <w:ind w:left="40"/>
              <w:spacing w:after="0" w:line="99" w:lineRule="exact"/>
              <w:rPr>
                <w:sz w:val="20"/>
                <w:szCs w:val="20"/>
                <w:color w:val="auto"/>
              </w:rPr>
            </w:pPr>
            <w:r>
              <w:rPr>
                <w:rFonts w:ascii="Arial" w:cs="Arial" w:eastAsia="Arial" w:hAnsi="Arial"/>
                <w:sz w:val="10"/>
                <w:szCs w:val="10"/>
                <w:b w:val="1"/>
                <w:bCs w:val="1"/>
                <w:color w:val="auto"/>
              </w:rPr>
              <w:t>Tax</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6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gridSpan w:val="2"/>
          </w:tcPr>
          <w:p>
            <w:pPr>
              <w:jc w:val="right"/>
              <w:ind w:right="300"/>
              <w:spacing w:after="0" w:line="114" w:lineRule="exact"/>
              <w:rPr>
                <w:sz w:val="20"/>
                <w:szCs w:val="20"/>
                <w:color w:val="auto"/>
              </w:rPr>
            </w:pPr>
            <w:r>
              <w:rPr>
                <w:rFonts w:ascii="Arial" w:cs="Arial" w:eastAsia="Arial" w:hAnsi="Arial"/>
                <w:sz w:val="10"/>
                <w:szCs w:val="10"/>
                <w:b w:val="1"/>
                <w:bCs w:val="1"/>
                <w:color w:val="auto"/>
              </w:rPr>
              <w:t>GAAP</w:t>
            </w:r>
          </w:p>
        </w:tc>
        <w:tc>
          <w:tcPr>
            <w:tcW w:w="60" w:type="dxa"/>
            <w:vAlign w:val="bottom"/>
          </w:tcPr>
          <w:p>
            <w:pPr>
              <w:spacing w:after="0"/>
              <w:rPr>
                <w:sz w:val="9"/>
                <w:szCs w:val="9"/>
                <w:color w:val="auto"/>
              </w:rPr>
            </w:pPr>
          </w:p>
        </w:tc>
        <w:tc>
          <w:tcPr>
            <w:tcW w:w="6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87"/>
              </w:rPr>
              <w:t>other</w:t>
            </w:r>
          </w:p>
        </w:tc>
        <w:tc>
          <w:tcPr>
            <w:tcW w:w="80" w:type="dxa"/>
            <w:vAlign w:val="bottom"/>
          </w:tcPr>
          <w:p>
            <w:pPr>
              <w:spacing w:after="0"/>
              <w:rPr>
                <w:sz w:val="9"/>
                <w:szCs w:val="9"/>
                <w:color w:val="auto"/>
              </w:rPr>
            </w:pPr>
          </w:p>
        </w:tc>
        <w:tc>
          <w:tcPr>
            <w:tcW w:w="640" w:type="dxa"/>
            <w:vAlign w:val="bottom"/>
            <w:gridSpan w:val="2"/>
          </w:tcPr>
          <w:p>
            <w:pPr>
              <w:jc w:val="right"/>
              <w:ind w:right="280"/>
              <w:spacing w:after="0" w:line="114" w:lineRule="exact"/>
              <w:rPr>
                <w:sz w:val="20"/>
                <w:szCs w:val="20"/>
                <w:color w:val="auto"/>
              </w:rPr>
            </w:pPr>
            <w:r>
              <w:rPr>
                <w:rFonts w:ascii="Arial" w:cs="Arial" w:eastAsia="Arial" w:hAnsi="Arial"/>
                <w:sz w:val="10"/>
                <w:szCs w:val="10"/>
                <w:b w:val="1"/>
                <w:bCs w:val="1"/>
                <w:color w:val="auto"/>
                <w:w w:val="84"/>
              </w:rPr>
              <w:t>expense</w:t>
            </w:r>
          </w:p>
        </w:tc>
        <w:tc>
          <w:tcPr>
            <w:tcW w:w="100" w:type="dxa"/>
            <w:vAlign w:val="bottom"/>
          </w:tcPr>
          <w:p>
            <w:pPr>
              <w:spacing w:after="0"/>
              <w:rPr>
                <w:sz w:val="9"/>
                <w:szCs w:val="9"/>
                <w:color w:val="auto"/>
              </w:rPr>
            </w:pPr>
          </w:p>
        </w:tc>
        <w:tc>
          <w:tcPr>
            <w:tcW w:w="82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85"/>
              </w:rPr>
              <w:t>value</w:t>
            </w:r>
          </w:p>
        </w:tc>
        <w:tc>
          <w:tcPr>
            <w:tcW w:w="500" w:type="dxa"/>
            <w:vAlign w:val="bottom"/>
            <w:gridSpan w:val="2"/>
          </w:tcPr>
          <w:p>
            <w:pPr>
              <w:jc w:val="right"/>
              <w:ind w:right="220"/>
              <w:spacing w:after="0" w:line="114" w:lineRule="exact"/>
              <w:rPr>
                <w:sz w:val="20"/>
                <w:szCs w:val="20"/>
                <w:color w:val="auto"/>
              </w:rPr>
            </w:pPr>
            <w:r>
              <w:rPr>
                <w:rFonts w:ascii="Arial" w:cs="Arial" w:eastAsia="Arial" w:hAnsi="Arial"/>
                <w:sz w:val="10"/>
                <w:szCs w:val="10"/>
                <w:b w:val="1"/>
                <w:bCs w:val="1"/>
                <w:color w:val="auto"/>
                <w:w w:val="97"/>
              </w:rPr>
              <w:t>Other</w:t>
            </w:r>
          </w:p>
        </w:tc>
        <w:tc>
          <w:tcPr>
            <w:tcW w:w="60" w:type="dxa"/>
            <w:vAlign w:val="bottom"/>
          </w:tcPr>
          <w:p>
            <w:pPr>
              <w:spacing w:after="0"/>
              <w:rPr>
                <w:sz w:val="9"/>
                <w:szCs w:val="9"/>
                <w:color w:val="auto"/>
              </w:rPr>
            </w:pPr>
          </w:p>
        </w:tc>
        <w:tc>
          <w:tcPr>
            <w:tcW w:w="50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effect</w:t>
            </w:r>
          </w:p>
        </w:tc>
        <w:tc>
          <w:tcPr>
            <w:tcW w:w="56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w w:val="88"/>
              </w:rPr>
              <w:t>Non-GAAP</w:t>
            </w:r>
          </w:p>
        </w:tc>
        <w:tc>
          <w:tcPr>
            <w:tcW w:w="0" w:type="dxa"/>
            <w:vAlign w:val="bottom"/>
          </w:tcPr>
          <w:p>
            <w:pPr>
              <w:spacing w:after="0"/>
              <w:rPr>
                <w:sz w:val="1"/>
                <w:szCs w:val="1"/>
                <w:color w:val="auto"/>
              </w:rPr>
            </w:pPr>
          </w:p>
        </w:tc>
      </w:tr>
      <w:tr>
        <w:trPr>
          <w:trHeight w:val="124"/>
        </w:trPr>
        <w:tc>
          <w:tcPr>
            <w:tcW w:w="268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Operating expenses:</w:t>
            </w:r>
          </w:p>
        </w:tc>
        <w:tc>
          <w:tcPr>
            <w:tcW w:w="2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left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right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left w:val="single" w:sz="8" w:color="CCEEFF"/>
            </w:tcBorders>
            <w:shd w:val="clear" w:color="auto" w:fill="CCEEFF"/>
          </w:tcPr>
          <w:p>
            <w:pPr>
              <w:spacing w:after="0"/>
              <w:rPr>
                <w:sz w:val="10"/>
                <w:szCs w:val="10"/>
                <w:color w:val="auto"/>
              </w:rPr>
            </w:pPr>
          </w:p>
        </w:tc>
        <w:tc>
          <w:tcPr>
            <w:tcW w:w="100" w:type="dxa"/>
            <w:vAlign w:val="bottom"/>
            <w:tcBorders>
              <w:top w:val="single" w:sz="8" w:color="CCEEFF"/>
              <w:right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left w:val="single" w:sz="8" w:color="CCEEFF"/>
              <w:right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left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left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680" w:type="dxa"/>
            <w:vAlign w:val="bottom"/>
          </w:tcPr>
          <w:p>
            <w:pPr>
              <w:spacing w:after="0"/>
              <w:rPr>
                <w:sz w:val="20"/>
                <w:szCs w:val="20"/>
                <w:color w:val="auto"/>
              </w:rPr>
            </w:pPr>
            <w:r>
              <w:rPr>
                <w:rFonts w:ascii="Arial" w:cs="Arial" w:eastAsia="Arial" w:hAnsi="Arial"/>
                <w:sz w:val="12"/>
                <w:szCs w:val="12"/>
                <w:color w:val="auto"/>
              </w:rPr>
              <w:t>Cost of revenue</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w w:val="87"/>
              </w:rPr>
              <w:t>$703,556</w:t>
            </w:r>
          </w:p>
        </w:tc>
        <w:tc>
          <w:tcPr>
            <w:tcW w:w="20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(4,981)</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(4,021)</w:t>
            </w:r>
          </w:p>
        </w:tc>
        <w:tc>
          <w:tcPr>
            <w:tcW w:w="500" w:type="dxa"/>
            <w:vAlign w:val="bottom"/>
            <w:gridSpan w:val="2"/>
          </w:tcPr>
          <w:p>
            <w:pPr>
              <w:jc w:val="right"/>
              <w:ind w:right="260"/>
              <w:spacing w:after="0"/>
              <w:rPr>
                <w:sz w:val="20"/>
                <w:szCs w:val="20"/>
                <w:color w:val="auto"/>
              </w:rPr>
            </w:pPr>
            <w:r>
              <w:rPr>
                <w:rFonts w:ascii="Arial" w:cs="Arial" w:eastAsia="Arial" w:hAnsi="Arial"/>
                <w:sz w:val="12"/>
                <w:szCs w:val="12"/>
                <w:color w:val="auto"/>
                <w:w w:val="99"/>
              </w:rPr>
              <w:t>$ —</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w w:val="86"/>
              </w:rPr>
              <w:t>$ 694,554</w:t>
            </w:r>
          </w:p>
        </w:tc>
        <w:tc>
          <w:tcPr>
            <w:tcW w:w="0" w:type="dxa"/>
            <w:vAlign w:val="bottom"/>
          </w:tcPr>
          <w:p>
            <w:pPr>
              <w:spacing w:after="0"/>
              <w:rPr>
                <w:sz w:val="1"/>
                <w:szCs w:val="1"/>
                <w:color w:val="auto"/>
              </w:rPr>
            </w:pPr>
          </w:p>
        </w:tc>
      </w:tr>
      <w:tr>
        <w:trPr>
          <w:trHeight w:val="144"/>
        </w:trPr>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75,843</w:t>
            </w:r>
          </w:p>
        </w:tc>
        <w:tc>
          <w:tcPr>
            <w:tcW w:w="2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(821)</w:t>
            </w:r>
          </w:p>
        </w:tc>
        <w:tc>
          <w:tcPr>
            <w:tcW w:w="100" w:type="dxa"/>
            <w:vAlign w:val="bottom"/>
            <w:tcBorders>
              <w:right w:val="single" w:sz="8" w:color="CCEEFF"/>
            </w:tcBorders>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75,022</w:t>
            </w:r>
          </w:p>
        </w:tc>
        <w:tc>
          <w:tcPr>
            <w:tcW w:w="0" w:type="dxa"/>
            <w:vAlign w:val="bottom"/>
          </w:tcPr>
          <w:p>
            <w:pPr>
              <w:spacing w:after="0"/>
              <w:rPr>
                <w:sz w:val="1"/>
                <w:szCs w:val="1"/>
                <w:color w:val="auto"/>
              </w:rPr>
            </w:pPr>
          </w:p>
        </w:tc>
      </w:tr>
      <w:tr>
        <w:trPr>
          <w:trHeight w:val="144"/>
        </w:trPr>
        <w:tc>
          <w:tcPr>
            <w:tcW w:w="2680" w:type="dxa"/>
            <w:vAlign w:val="bottom"/>
          </w:tcPr>
          <w:p>
            <w:pPr>
              <w:spacing w:after="0"/>
              <w:rPr>
                <w:sz w:val="20"/>
                <w:szCs w:val="20"/>
                <w:color w:val="auto"/>
              </w:rPr>
            </w:pPr>
            <w:r>
              <w:rPr>
                <w:rFonts w:ascii="Arial" w:cs="Arial" w:eastAsia="Arial" w:hAnsi="Arial"/>
                <w:sz w:val="12"/>
                <w:szCs w:val="12"/>
                <w:color w:val="auto"/>
              </w:rPr>
              <w:t>Selling, general and administrative</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106,352</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(4,062)</w:t>
            </w:r>
          </w:p>
        </w:tc>
        <w:tc>
          <w:tcPr>
            <w:tcW w:w="10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102,290</w:t>
            </w:r>
          </w:p>
        </w:tc>
        <w:tc>
          <w:tcPr>
            <w:tcW w:w="0" w:type="dxa"/>
            <w:vAlign w:val="bottom"/>
          </w:tcPr>
          <w:p>
            <w:pPr>
              <w:spacing w:after="0"/>
              <w:rPr>
                <w:sz w:val="1"/>
                <w:szCs w:val="1"/>
                <w:color w:val="auto"/>
              </w:rPr>
            </w:pPr>
          </w:p>
        </w:tc>
      </w:tr>
      <w:tr>
        <w:trPr>
          <w:trHeight w:val="135"/>
        </w:trPr>
        <w:tc>
          <w:tcPr>
            <w:tcW w:w="2680" w:type="dxa"/>
            <w:vAlign w:val="bottom"/>
            <w:shd w:val="clear" w:color="auto" w:fill="CCEEFF"/>
          </w:tcPr>
          <w:p>
            <w:pPr>
              <w:spacing w:after="0" w:line="135" w:lineRule="exact"/>
              <w:rPr>
                <w:sz w:val="20"/>
                <w:szCs w:val="20"/>
                <w:color w:val="auto"/>
              </w:rPr>
            </w:pPr>
            <w:r>
              <w:rPr>
                <w:rFonts w:ascii="Arial" w:cs="Arial" w:eastAsia="Arial" w:hAnsi="Arial"/>
                <w:sz w:val="12"/>
                <w:szCs w:val="12"/>
                <w:color w:val="auto"/>
              </w:rPr>
              <w:t>Amortization of purchased intangible assets and</w:t>
            </w: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tcBorders>
              <w:left w:val="single" w:sz="8" w:color="CCEEFF"/>
              <w:right w:val="single" w:sz="8" w:color="CCEEFF"/>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20,259</w:t>
            </w:r>
          </w:p>
        </w:tc>
        <w:tc>
          <w:tcPr>
            <w:tcW w:w="2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(20,259)</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8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Arial" w:cs="Arial" w:eastAsia="Arial" w:hAnsi="Arial"/>
                <w:sz w:val="12"/>
                <w:szCs w:val="12"/>
                <w:color w:val="auto"/>
              </w:rPr>
              <w:t>Total operating expenses</w:t>
            </w:r>
          </w:p>
        </w:tc>
        <w:tc>
          <w:tcPr>
            <w:tcW w:w="4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vMerge w:val="continue"/>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906,010</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(20,259)</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2"/>
                <w:szCs w:val="12"/>
                <w:color w:val="auto"/>
              </w:rPr>
              <w:t>(9,864)</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2"/>
                <w:szCs w:val="12"/>
                <w:color w:val="auto"/>
              </w:rPr>
              <w:t>(4,021)</w:t>
            </w:r>
          </w:p>
        </w:tc>
        <w:tc>
          <w:tcPr>
            <w:tcW w:w="5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871,866</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Operating income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146,938</w:t>
            </w:r>
          </w:p>
        </w:tc>
        <w:tc>
          <w:tcPr>
            <w:tcW w:w="2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20,259</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9,864</w:t>
            </w:r>
          </w:p>
        </w:tc>
        <w:tc>
          <w:tcPr>
            <w:tcW w:w="100" w:type="dxa"/>
            <w:vAlign w:val="bottom"/>
            <w:tcBorders>
              <w:right w:val="single" w:sz="8" w:color="CCEEFF"/>
            </w:tcBorders>
            <w:shd w:val="clear" w:color="auto" w:fill="CCEEFF"/>
          </w:tcPr>
          <w:p>
            <w:pPr>
              <w:spacing w:after="0"/>
              <w:rPr>
                <w:sz w:val="12"/>
                <w:szCs w:val="12"/>
                <w:color w:val="auto"/>
              </w:rPr>
            </w:pPr>
          </w:p>
        </w:tc>
        <w:tc>
          <w:tcPr>
            <w:tcW w:w="8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4,021</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181,082</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Arial" w:cs="Arial" w:eastAsia="Arial" w:hAnsi="Arial"/>
                <w:sz w:val="12"/>
                <w:szCs w:val="12"/>
                <w:color w:val="auto"/>
              </w:rPr>
              <w:t>Interest and other (expense) income, net</w:t>
            </w:r>
          </w:p>
        </w:tc>
        <w:tc>
          <w:tcPr>
            <w:tcW w:w="4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vMerge w:val="continue"/>
          </w:tcPr>
          <w:p>
            <w:pPr>
              <w:spacing w:after="0"/>
              <w:rPr>
                <w:sz w:val="12"/>
                <w:szCs w:val="12"/>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2"/>
                <w:szCs w:val="12"/>
                <w:color w:val="auto"/>
              </w:rPr>
              <w:t>(6,377)</w:t>
            </w:r>
          </w:p>
        </w:tc>
        <w:tc>
          <w:tcPr>
            <w:tcW w:w="60" w:type="dxa"/>
            <w:vAlign w:val="bottom"/>
          </w:tcPr>
          <w:p>
            <w:pPr>
              <w:spacing w:after="0"/>
              <w:rPr>
                <w:sz w:val="12"/>
                <w:szCs w:val="1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2"/>
                <w:szCs w:val="12"/>
                <w:color w:val="auto"/>
              </w:rPr>
              <w:t>(600)</w:t>
            </w:r>
          </w:p>
        </w:tc>
        <w:tc>
          <w:tcPr>
            <w:tcW w:w="60" w:type="dxa"/>
            <w:vAlign w:val="bottom"/>
          </w:tcPr>
          <w:p>
            <w:pPr>
              <w:spacing w:after="0"/>
              <w:rPr>
                <w:sz w:val="12"/>
                <w:szCs w:val="12"/>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(6,977)</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shd w:val="clear" w:color="auto" w:fill="CCEEFF"/>
          </w:tcPr>
          <w:p>
            <w:pPr>
              <w:spacing w:after="0"/>
              <w:rPr>
                <w:sz w:val="20"/>
                <w:szCs w:val="20"/>
                <w:color w:val="auto"/>
              </w:rPr>
            </w:pPr>
            <w:r>
              <w:rPr>
                <w:rFonts w:ascii="Arial" w:cs="Arial" w:eastAsia="Arial" w:hAnsi="Arial"/>
                <w:sz w:val="12"/>
                <w:szCs w:val="12"/>
                <w:color w:val="auto"/>
              </w:rPr>
              <w:t>Income taxes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6,098</w:t>
            </w:r>
          </w:p>
        </w:tc>
        <w:tc>
          <w:tcPr>
            <w:tcW w:w="2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tcBorders>
              <w:lef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left w:val="single" w:sz="8" w:color="CCEEFF"/>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2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2"/>
                <w:szCs w:val="12"/>
                <w:color w:val="auto"/>
                <w:w w:val="73"/>
              </w:rPr>
              <w:t>5,291</w:t>
            </w:r>
          </w:p>
        </w:tc>
        <w:tc>
          <w:tcPr>
            <w:tcW w:w="200" w:type="dxa"/>
            <w:vAlign w:val="bottom"/>
            <w:tcBorders>
              <w:left w:val="single" w:sz="8" w:color="CCEEFF"/>
            </w:tcBorders>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11,389</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Arial" w:cs="Arial" w:eastAsia="Arial" w:hAnsi="Arial"/>
                <w:sz w:val="12"/>
                <w:szCs w:val="12"/>
                <w:color w:val="auto"/>
              </w:rPr>
              <w:t>Net income</w:t>
            </w:r>
          </w:p>
        </w:tc>
        <w:tc>
          <w:tcPr>
            <w:tcW w:w="4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80" w:type="dxa"/>
            <w:vAlign w:val="bottom"/>
            <w:vMerge w:val="continue"/>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Arial" w:cs="Arial" w:eastAsia="Arial" w:hAnsi="Arial"/>
                <w:sz w:val="12"/>
                <w:szCs w:val="12"/>
                <w:u w:val="single" w:color="auto"/>
                <w:color w:val="auto"/>
                <w:w w:val="87"/>
              </w:rPr>
              <w:t>$</w:t>
            </w:r>
            <w:r>
              <w:rPr>
                <w:rFonts w:ascii="Arial" w:cs="Arial" w:eastAsia="Arial" w:hAnsi="Arial"/>
                <w:sz w:val="12"/>
                <w:szCs w:val="12"/>
                <w:color w:val="auto"/>
                <w:w w:val="87"/>
              </w:rPr>
              <w:t>134,463</w:t>
            </w:r>
          </w:p>
        </w:tc>
        <w:tc>
          <w:tcPr>
            <w:tcW w:w="20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20,259</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160"/>
              <w:spacing w:after="0"/>
              <w:rPr>
                <w:sz w:val="20"/>
                <w:szCs w:val="20"/>
                <w:color w:val="auto"/>
              </w:rPr>
            </w:pPr>
            <w:r>
              <w:rPr>
                <w:rFonts w:ascii="Arial" w:cs="Arial" w:eastAsia="Arial" w:hAnsi="Arial"/>
                <w:sz w:val="12"/>
                <w:szCs w:val="12"/>
                <w:color w:val="auto"/>
              </w:rPr>
              <w:t>9,864</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2"/>
                <w:szCs w:val="12"/>
                <w:color w:val="auto"/>
              </w:rPr>
              <w:t>4,021</w:t>
            </w:r>
          </w:p>
        </w:tc>
        <w:tc>
          <w:tcPr>
            <w:tcW w:w="500" w:type="dxa"/>
            <w:vAlign w:val="bottom"/>
            <w:gridSpan w:val="2"/>
          </w:tcPr>
          <w:p>
            <w:pPr>
              <w:jc w:val="right"/>
              <w:ind w:right="160"/>
              <w:spacing w:after="0"/>
              <w:rPr>
                <w:sz w:val="20"/>
                <w:szCs w:val="20"/>
                <w:color w:val="auto"/>
              </w:rPr>
            </w:pPr>
            <w:r>
              <w:rPr>
                <w:rFonts w:ascii="Arial" w:cs="Arial" w:eastAsia="Arial" w:hAnsi="Arial"/>
                <w:sz w:val="12"/>
                <w:szCs w:val="12"/>
                <w:u w:val="single" w:color="auto"/>
                <w:color w:val="auto"/>
                <w:w w:val="92"/>
              </w:rPr>
              <w:t>$</w:t>
            </w:r>
            <w:r>
              <w:rPr>
                <w:rFonts w:ascii="Arial" w:cs="Arial" w:eastAsia="Arial" w:hAnsi="Arial"/>
                <w:sz w:val="12"/>
                <w:szCs w:val="12"/>
                <w:color w:val="auto"/>
                <w:w w:val="92"/>
              </w:rPr>
              <w:t>(600)</w:t>
            </w:r>
          </w:p>
        </w:tc>
        <w:tc>
          <w:tcPr>
            <w:tcW w:w="560" w:type="dxa"/>
            <w:vAlign w:val="bottom"/>
            <w:gridSpan w:val="3"/>
          </w:tcPr>
          <w:p>
            <w:pPr>
              <w:spacing w:after="0"/>
              <w:rPr>
                <w:sz w:val="20"/>
                <w:szCs w:val="20"/>
                <w:color w:val="auto"/>
              </w:rPr>
            </w:pPr>
            <w:r>
              <w:rPr>
                <w:rFonts w:ascii="Arial" w:cs="Arial" w:eastAsia="Arial" w:hAnsi="Arial"/>
                <w:sz w:val="12"/>
                <w:szCs w:val="12"/>
                <w:u w:val="single" w:color="auto"/>
                <w:color w:val="auto"/>
              </w:rPr>
              <w:t>$</w:t>
            </w:r>
            <w:r>
              <w:rPr>
                <w:rFonts w:ascii="Arial" w:cs="Arial" w:eastAsia="Arial" w:hAnsi="Arial"/>
                <w:sz w:val="12"/>
                <w:szCs w:val="12"/>
                <w:color w:val="auto"/>
              </w:rPr>
              <w:t>(5,291)</w:t>
            </w: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w w:val="86"/>
              </w:rPr>
              <w:t>$ 162,716</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6" w:right="1440"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AMDOCS LIMITED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Reconciliation of Selected Financial Metrics from GAAP to Non-GAAP</w:t>
      </w:r>
    </w:p>
    <w:p>
      <w:pPr>
        <w:jc w:val="center"/>
        <w:ind w:right="19"/>
        <w:spacing w:after="0"/>
        <w:rPr>
          <w:sz w:val="20"/>
          <w:szCs w:val="20"/>
          <w:color w:val="auto"/>
        </w:rPr>
      </w:pPr>
      <w:r>
        <w:rPr>
          <w:rFonts w:ascii="Arial" w:cs="Arial" w:eastAsia="Arial" w:hAnsi="Arial"/>
          <w:sz w:val="10"/>
          <w:szCs w:val="10"/>
          <w:b w:val="1"/>
          <w:bCs w:val="1"/>
          <w:color w:val="auto"/>
        </w:rPr>
        <w:t>(In thousands)</w:t>
      </w:r>
    </w:p>
    <w:p>
      <w:pPr>
        <w:spacing w:after="0" w:line="122"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1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5"/>
          </w:tcPr>
          <w:p>
            <w:pPr>
              <w:ind w:left="20"/>
              <w:spacing w:after="0"/>
              <w:rPr>
                <w:sz w:val="20"/>
                <w:szCs w:val="20"/>
                <w:color w:val="auto"/>
              </w:rPr>
            </w:pPr>
            <w:r>
              <w:rPr>
                <w:rFonts w:ascii="Arial" w:cs="Arial" w:eastAsia="Arial" w:hAnsi="Arial"/>
                <w:sz w:val="10"/>
                <w:szCs w:val="10"/>
                <w:b w:val="1"/>
                <w:bCs w:val="1"/>
                <w:color w:val="auto"/>
                <w:w w:val="90"/>
              </w:rPr>
              <w:t>Fiscal year ended</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9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gridSpan w:val="9"/>
          </w:tcPr>
          <w:p>
            <w:pPr>
              <w:ind w:left="60"/>
              <w:spacing w:after="0" w:line="114" w:lineRule="exact"/>
              <w:rPr>
                <w:sz w:val="20"/>
                <w:szCs w:val="20"/>
                <w:color w:val="auto"/>
              </w:rPr>
            </w:pPr>
            <w:r>
              <w:rPr>
                <w:rFonts w:ascii="Arial" w:cs="Arial" w:eastAsia="Arial" w:hAnsi="Arial"/>
                <w:sz w:val="10"/>
                <w:szCs w:val="10"/>
                <w:b w:val="1"/>
                <w:bCs w:val="1"/>
                <w:color w:val="auto"/>
              </w:rPr>
              <w:t>September 30, 2021</w:t>
            </w:r>
            <w:r>
              <w:rPr>
                <w:rFonts w:ascii="Arial" w:cs="Arial" w:eastAsia="Arial" w:hAnsi="Arial"/>
                <w:sz w:val="8"/>
                <w:szCs w:val="8"/>
                <w:b w:val="1"/>
                <w:bCs w:val="1"/>
                <w:color w:val="auto"/>
              </w:rPr>
              <w:t>(a)</w:t>
            </w:r>
          </w:p>
        </w:tc>
        <w:tc>
          <w:tcPr>
            <w:tcW w:w="3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9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gridSpan w:val="5"/>
          </w:tcPr>
          <w:p>
            <w:pPr>
              <w:spacing w:after="0" w:line="88" w:lineRule="exact"/>
              <w:rPr>
                <w:sz w:val="20"/>
                <w:szCs w:val="20"/>
                <w:color w:val="auto"/>
              </w:rPr>
            </w:pPr>
            <w:r>
              <w:rPr>
                <w:rFonts w:ascii="Arial" w:cs="Arial" w:eastAsia="Arial" w:hAnsi="Arial"/>
                <w:sz w:val="10"/>
                <w:szCs w:val="10"/>
                <w:b w:val="1"/>
                <w:bCs w:val="1"/>
                <w:color w:val="auto"/>
                <w:w w:val="80"/>
              </w:rPr>
              <w:t>Reconciliation items</w:t>
            </w: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19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gridSpan w:val="3"/>
          </w:tcPr>
          <w:p>
            <w:pPr>
              <w:spacing w:after="0" w:line="74" w:lineRule="exact"/>
              <w:rPr>
                <w:sz w:val="20"/>
                <w:szCs w:val="20"/>
                <w:color w:val="auto"/>
              </w:rPr>
            </w:pPr>
            <w:r>
              <w:rPr>
                <w:rFonts w:ascii="Arial" w:cs="Arial" w:eastAsia="Arial" w:hAnsi="Arial"/>
                <w:sz w:val="8"/>
                <w:szCs w:val="8"/>
                <w:b w:val="1"/>
                <w:bCs w:val="1"/>
                <w:color w:val="auto"/>
              </w:rPr>
              <w:t>Changes in</w:t>
            </w: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gridSpan w:val="3"/>
          </w:tcPr>
          <w:p>
            <w:pPr>
              <w:jc w:val="center"/>
              <w:ind w:right="240"/>
              <w:spacing w:after="0" w:line="99" w:lineRule="exact"/>
              <w:rPr>
                <w:sz w:val="20"/>
                <w:szCs w:val="20"/>
                <w:color w:val="auto"/>
              </w:rPr>
            </w:pPr>
            <w:r>
              <w:rPr>
                <w:rFonts w:ascii="Arial" w:cs="Arial" w:eastAsia="Arial" w:hAnsi="Arial"/>
                <w:sz w:val="10"/>
                <w:szCs w:val="10"/>
                <w:b w:val="1"/>
                <w:bCs w:val="1"/>
                <w:color w:val="auto"/>
                <w:w w:val="85"/>
              </w:rPr>
              <w:t>certain</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w w:val="99"/>
              </w:rPr>
              <w:t>acquisitions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gridSpan w:val="3"/>
          </w:tcPr>
          <w:p>
            <w:pPr>
              <w:jc w:val="center"/>
              <w:ind w:right="200"/>
              <w:spacing w:after="0" w:line="99" w:lineRule="exact"/>
              <w:rPr>
                <w:sz w:val="20"/>
                <w:szCs w:val="20"/>
                <w:color w:val="auto"/>
              </w:rPr>
            </w:pPr>
            <w:r>
              <w:rPr>
                <w:rFonts w:ascii="Arial" w:cs="Arial" w:eastAsia="Arial" w:hAnsi="Arial"/>
                <w:sz w:val="10"/>
                <w:szCs w:val="10"/>
                <w:b w:val="1"/>
                <w:bCs w:val="1"/>
                <w:color w:val="auto"/>
                <w:w w:val="88"/>
              </w:rPr>
              <w:t>Amortization</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gridSpan w:val="3"/>
          </w:tcPr>
          <w:p>
            <w:pPr>
              <w:jc w:val="center"/>
              <w:ind w:right="240"/>
              <w:spacing w:after="0" w:line="99" w:lineRule="exact"/>
              <w:rPr>
                <w:sz w:val="20"/>
                <w:szCs w:val="20"/>
                <w:color w:val="auto"/>
              </w:rPr>
            </w:pPr>
            <w:r>
              <w:rPr>
                <w:rFonts w:ascii="Arial" w:cs="Arial" w:eastAsia="Arial" w:hAnsi="Arial"/>
                <w:sz w:val="10"/>
                <w:szCs w:val="10"/>
                <w:b w:val="1"/>
                <w:bCs w:val="1"/>
                <w:color w:val="auto"/>
                <w:w w:val="85"/>
              </w:rPr>
              <w:t>related</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gridSpan w:val="3"/>
          </w:tcPr>
          <w:p>
            <w:pPr>
              <w:jc w:val="center"/>
              <w:ind w:right="200"/>
              <w:spacing w:after="0" w:line="99" w:lineRule="exact"/>
              <w:rPr>
                <w:sz w:val="20"/>
                <w:szCs w:val="20"/>
                <w:color w:val="auto"/>
              </w:rPr>
            </w:pPr>
            <w:r>
              <w:rPr>
                <w:rFonts w:ascii="Arial" w:cs="Arial" w:eastAsia="Arial" w:hAnsi="Arial"/>
                <w:sz w:val="10"/>
                <w:szCs w:val="10"/>
                <w:b w:val="1"/>
                <w:bCs w:val="1"/>
                <w:color w:val="auto"/>
                <w:w w:val="85"/>
              </w:rPr>
              <w:t>of purchased</w:t>
            </w: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gridSpan w:val="3"/>
          </w:tcPr>
          <w:p>
            <w:pPr>
              <w:jc w:val="right"/>
              <w:ind w:right="240"/>
              <w:spacing w:after="0" w:line="99" w:lineRule="exact"/>
              <w:rPr>
                <w:sz w:val="20"/>
                <w:szCs w:val="20"/>
                <w:color w:val="auto"/>
              </w:rPr>
            </w:pPr>
            <w:r>
              <w:rPr>
                <w:rFonts w:ascii="Arial" w:cs="Arial" w:eastAsia="Arial" w:hAnsi="Arial"/>
                <w:sz w:val="10"/>
                <w:szCs w:val="10"/>
                <w:b w:val="1"/>
                <w:bCs w:val="1"/>
                <w:color w:val="auto"/>
                <w:w w:val="79"/>
              </w:rPr>
              <w:t>liabilities</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8"/>
              </w:rPr>
              <w:t>intangible</w:t>
            </w:r>
          </w:p>
        </w:tc>
        <w:tc>
          <w:tcPr>
            <w:tcW w:w="66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rPr>
              <w:t>Equity based</w:t>
            </w:r>
          </w:p>
        </w:tc>
        <w:tc>
          <w:tcPr>
            <w:tcW w:w="140" w:type="dxa"/>
            <w:vAlign w:val="bottom"/>
          </w:tcPr>
          <w:p>
            <w:pPr>
              <w:spacing w:after="0"/>
              <w:rPr>
                <w:sz w:val="8"/>
                <w:szCs w:val="8"/>
                <w:color w:val="auto"/>
              </w:rPr>
            </w:pPr>
          </w:p>
        </w:tc>
        <w:tc>
          <w:tcPr>
            <w:tcW w:w="600" w:type="dxa"/>
            <w:vAlign w:val="bottom"/>
            <w:gridSpan w:val="3"/>
          </w:tcPr>
          <w:p>
            <w:pPr>
              <w:jc w:val="right"/>
              <w:ind w:right="220"/>
              <w:spacing w:after="0" w:line="99" w:lineRule="exact"/>
              <w:rPr>
                <w:sz w:val="20"/>
                <w:szCs w:val="20"/>
                <w:color w:val="auto"/>
              </w:rPr>
            </w:pPr>
            <w:r>
              <w:rPr>
                <w:rFonts w:ascii="Arial" w:cs="Arial" w:eastAsia="Arial" w:hAnsi="Arial"/>
                <w:sz w:val="10"/>
                <w:szCs w:val="10"/>
                <w:b w:val="1"/>
                <w:bCs w:val="1"/>
                <w:color w:val="auto"/>
                <w:w w:val="76"/>
              </w:rPr>
              <w:t>measured</w:t>
            </w:r>
          </w:p>
        </w:tc>
        <w:tc>
          <w:tcPr>
            <w:tcW w:w="740" w:type="dxa"/>
            <w:vAlign w:val="bottom"/>
            <w:gridSpan w:val="5"/>
          </w:tcPr>
          <w:p>
            <w:pPr>
              <w:jc w:val="center"/>
              <w:ind w:right="240"/>
              <w:spacing w:after="0" w:line="99" w:lineRule="exact"/>
              <w:rPr>
                <w:sz w:val="20"/>
                <w:szCs w:val="20"/>
                <w:color w:val="auto"/>
              </w:rPr>
            </w:pPr>
            <w:r>
              <w:rPr>
                <w:rFonts w:ascii="Arial" w:cs="Arial" w:eastAsia="Arial" w:hAnsi="Arial"/>
                <w:sz w:val="10"/>
                <w:szCs w:val="10"/>
                <w:b w:val="1"/>
                <w:bCs w:val="1"/>
                <w:color w:val="auto"/>
                <w:w w:val="88"/>
              </w:rPr>
              <w:t>Gain from</w:t>
            </w: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1"/>
              </w:rPr>
              <w:t>assets and</w:t>
            </w:r>
          </w:p>
        </w:tc>
        <w:tc>
          <w:tcPr>
            <w:tcW w:w="66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w w:val="94"/>
              </w:rPr>
              <w:t>compensation</w:t>
            </w:r>
          </w:p>
        </w:tc>
        <w:tc>
          <w:tcPr>
            <w:tcW w:w="140" w:type="dxa"/>
            <w:vAlign w:val="bottom"/>
          </w:tcPr>
          <w:p>
            <w:pPr>
              <w:spacing w:after="0"/>
              <w:rPr>
                <w:sz w:val="8"/>
                <w:szCs w:val="8"/>
                <w:color w:val="auto"/>
              </w:rPr>
            </w:pPr>
          </w:p>
        </w:tc>
        <w:tc>
          <w:tcPr>
            <w:tcW w:w="600" w:type="dxa"/>
            <w:vAlign w:val="bottom"/>
            <w:gridSpan w:val="3"/>
          </w:tcPr>
          <w:p>
            <w:pPr>
              <w:jc w:val="center"/>
              <w:ind w:right="240"/>
              <w:spacing w:after="0" w:line="99" w:lineRule="exact"/>
              <w:rPr>
                <w:sz w:val="20"/>
                <w:szCs w:val="20"/>
                <w:color w:val="auto"/>
              </w:rPr>
            </w:pPr>
            <w:r>
              <w:rPr>
                <w:rFonts w:ascii="Arial" w:cs="Arial" w:eastAsia="Arial" w:hAnsi="Arial"/>
                <w:sz w:val="10"/>
                <w:szCs w:val="10"/>
                <w:b w:val="1"/>
                <w:bCs w:val="1"/>
                <w:color w:val="auto"/>
                <w:w w:val="87"/>
              </w:rPr>
              <w:t>at fair</w:t>
            </w:r>
          </w:p>
        </w:tc>
        <w:tc>
          <w:tcPr>
            <w:tcW w:w="740" w:type="dxa"/>
            <w:vAlign w:val="bottom"/>
            <w:gridSpan w:val="5"/>
          </w:tcPr>
          <w:p>
            <w:pPr>
              <w:jc w:val="center"/>
              <w:ind w:right="240"/>
              <w:spacing w:after="0" w:line="99" w:lineRule="exact"/>
              <w:rPr>
                <w:sz w:val="20"/>
                <w:szCs w:val="20"/>
                <w:color w:val="auto"/>
              </w:rPr>
            </w:pPr>
            <w:r>
              <w:rPr>
                <w:rFonts w:ascii="Arial" w:cs="Arial" w:eastAsia="Arial" w:hAnsi="Arial"/>
                <w:sz w:val="10"/>
                <w:szCs w:val="10"/>
                <w:b w:val="1"/>
                <w:bCs w:val="1"/>
                <w:color w:val="auto"/>
                <w:w w:val="84"/>
              </w:rPr>
              <w:t>sale of a</w:t>
            </w: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2"/>
          </w:tcPr>
          <w:p>
            <w:pPr>
              <w:jc w:val="center"/>
              <w:ind w:right="240"/>
              <w:spacing w:after="0" w:line="99" w:lineRule="exact"/>
              <w:rPr>
                <w:sz w:val="20"/>
                <w:szCs w:val="20"/>
                <w:color w:val="auto"/>
              </w:rPr>
            </w:pPr>
            <w:r>
              <w:rPr>
                <w:rFonts w:ascii="Arial" w:cs="Arial" w:eastAsia="Arial" w:hAnsi="Arial"/>
                <w:sz w:val="10"/>
                <w:szCs w:val="10"/>
                <w:b w:val="1"/>
                <w:bCs w:val="1"/>
                <w:color w:val="auto"/>
                <w:w w:val="92"/>
              </w:rPr>
              <w:t>Tax</w:t>
            </w: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9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rPr>
              <w:t>GAAP</w:t>
            </w:r>
          </w:p>
        </w:tc>
        <w:tc>
          <w:tcPr>
            <w:tcW w:w="60" w:type="dxa"/>
            <w:vAlign w:val="bottom"/>
          </w:tcPr>
          <w:p>
            <w:pPr>
              <w:spacing w:after="0"/>
              <w:rPr>
                <w:sz w:val="9"/>
                <w:szCs w:val="9"/>
                <w:color w:val="auto"/>
              </w:rPr>
            </w:pPr>
          </w:p>
        </w:tc>
        <w:tc>
          <w:tcPr>
            <w:tcW w:w="6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87"/>
              </w:rPr>
              <w:t>other</w:t>
            </w:r>
          </w:p>
        </w:tc>
        <w:tc>
          <w:tcPr>
            <w:tcW w:w="80" w:type="dxa"/>
            <w:vAlign w:val="bottom"/>
          </w:tcPr>
          <w:p>
            <w:pPr>
              <w:spacing w:after="0"/>
              <w:rPr>
                <w:sz w:val="9"/>
                <w:szCs w:val="9"/>
                <w:color w:val="auto"/>
              </w:rPr>
            </w:pPr>
          </w:p>
        </w:tc>
        <w:tc>
          <w:tcPr>
            <w:tcW w:w="58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79"/>
              </w:rPr>
              <w:t>expense</w:t>
            </w:r>
          </w:p>
        </w:tc>
        <w:tc>
          <w:tcPr>
            <w:tcW w:w="140" w:type="dxa"/>
            <w:vAlign w:val="bottom"/>
          </w:tcPr>
          <w:p>
            <w:pPr>
              <w:spacing w:after="0"/>
              <w:rPr>
                <w:sz w:val="9"/>
                <w:szCs w:val="9"/>
                <w:color w:val="auto"/>
              </w:rPr>
            </w:pPr>
          </w:p>
        </w:tc>
        <w:tc>
          <w:tcPr>
            <w:tcW w:w="600" w:type="dxa"/>
            <w:vAlign w:val="bottom"/>
            <w:gridSpan w:val="3"/>
          </w:tcPr>
          <w:p>
            <w:pPr>
              <w:jc w:val="center"/>
              <w:ind w:right="260"/>
              <w:spacing w:after="0" w:line="114" w:lineRule="exact"/>
              <w:rPr>
                <w:sz w:val="20"/>
                <w:szCs w:val="20"/>
                <w:color w:val="auto"/>
              </w:rPr>
            </w:pPr>
            <w:r>
              <w:rPr>
                <w:rFonts w:ascii="Arial" w:cs="Arial" w:eastAsia="Arial" w:hAnsi="Arial"/>
                <w:sz w:val="10"/>
                <w:szCs w:val="10"/>
                <w:b w:val="1"/>
                <w:bCs w:val="1"/>
                <w:color w:val="auto"/>
                <w:w w:val="85"/>
              </w:rPr>
              <w:t>value</w:t>
            </w:r>
          </w:p>
        </w:tc>
        <w:tc>
          <w:tcPr>
            <w:tcW w:w="740" w:type="dxa"/>
            <w:vAlign w:val="bottom"/>
            <w:gridSpan w:val="5"/>
          </w:tcPr>
          <w:p>
            <w:pPr>
              <w:jc w:val="center"/>
              <w:ind w:right="240"/>
              <w:spacing w:after="0" w:line="114" w:lineRule="exact"/>
              <w:rPr>
                <w:sz w:val="20"/>
                <w:szCs w:val="20"/>
                <w:color w:val="auto"/>
              </w:rPr>
            </w:pPr>
            <w:r>
              <w:rPr>
                <w:rFonts w:ascii="Arial" w:cs="Arial" w:eastAsia="Arial" w:hAnsi="Arial"/>
                <w:sz w:val="10"/>
                <w:szCs w:val="10"/>
                <w:b w:val="1"/>
                <w:bCs w:val="1"/>
                <w:color w:val="auto"/>
                <w:w w:val="78"/>
              </w:rPr>
              <w:t>business</w:t>
            </w:r>
          </w:p>
        </w:tc>
        <w:tc>
          <w:tcPr>
            <w:tcW w:w="50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Other</w:t>
            </w:r>
          </w:p>
        </w:tc>
        <w:tc>
          <w:tcPr>
            <w:tcW w:w="60" w:type="dxa"/>
            <w:vAlign w:val="bottom"/>
          </w:tcPr>
          <w:p>
            <w:pPr>
              <w:spacing w:after="0"/>
              <w:rPr>
                <w:sz w:val="9"/>
                <w:szCs w:val="9"/>
                <w:color w:val="auto"/>
              </w:rPr>
            </w:pPr>
          </w:p>
        </w:tc>
        <w:tc>
          <w:tcPr>
            <w:tcW w:w="56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82"/>
              </w:rPr>
              <w:t>effect</w:t>
            </w:r>
          </w:p>
        </w:tc>
        <w:tc>
          <w:tcPr>
            <w:tcW w:w="620" w:type="dxa"/>
            <w:vAlign w:val="bottom"/>
            <w:gridSpan w:val="3"/>
          </w:tcPr>
          <w:p>
            <w:pPr>
              <w:jc w:val="right"/>
              <w:ind w:right="120"/>
              <w:spacing w:after="0" w:line="114" w:lineRule="exact"/>
              <w:rPr>
                <w:sz w:val="20"/>
                <w:szCs w:val="20"/>
                <w:color w:val="auto"/>
              </w:rPr>
            </w:pPr>
            <w:r>
              <w:rPr>
                <w:rFonts w:ascii="Arial" w:cs="Arial" w:eastAsia="Arial" w:hAnsi="Arial"/>
                <w:sz w:val="10"/>
                <w:szCs w:val="10"/>
                <w:b w:val="1"/>
                <w:bCs w:val="1"/>
                <w:color w:val="auto"/>
                <w:w w:val="92"/>
              </w:rPr>
              <w:t>Non-GAAP</w:t>
            </w:r>
          </w:p>
        </w:tc>
        <w:tc>
          <w:tcPr>
            <w:tcW w:w="0" w:type="dxa"/>
            <w:vAlign w:val="bottom"/>
          </w:tcPr>
          <w:p>
            <w:pPr>
              <w:spacing w:after="0"/>
              <w:rPr>
                <w:sz w:val="1"/>
                <w:szCs w:val="1"/>
                <w:color w:val="auto"/>
              </w:rPr>
            </w:pPr>
          </w:p>
        </w:tc>
      </w:tr>
      <w:tr>
        <w:trPr>
          <w:trHeight w:val="124"/>
        </w:trPr>
        <w:tc>
          <w:tcPr>
            <w:tcW w:w="198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Operating expenses:</w:t>
            </w: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left w:val="single" w:sz="8" w:color="CCEEFF"/>
              <w:right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right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right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left w:val="single" w:sz="8" w:color="CCEEFF"/>
              <w:right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left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980" w:type="dxa"/>
            <w:vAlign w:val="bottom"/>
          </w:tcPr>
          <w:p>
            <w:pPr>
              <w:ind w:left="240"/>
              <w:spacing w:after="0"/>
              <w:rPr>
                <w:sz w:val="20"/>
                <w:szCs w:val="20"/>
                <w:color w:val="auto"/>
              </w:rPr>
            </w:pPr>
            <w:r>
              <w:rPr>
                <w:rFonts w:ascii="Arial" w:cs="Arial" w:eastAsia="Arial" w:hAnsi="Arial"/>
                <w:sz w:val="12"/>
                <w:szCs w:val="12"/>
                <w:color w:val="auto"/>
              </w:rPr>
              <w:t>Cost of revenue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w w:val="86"/>
              </w:rPr>
              <w:t>2,810,967</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(22,691)</w:t>
            </w: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 (18,939)</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2"/>
                <w:szCs w:val="12"/>
                <w:color w:val="auto"/>
              </w:rPr>
            </w:pPr>
          </w:p>
        </w:tc>
        <w:tc>
          <w:tcPr>
            <w:tcW w:w="540" w:type="dxa"/>
            <w:vAlign w:val="bottom"/>
            <w:gridSpan w:val="3"/>
          </w:tcPr>
          <w:p>
            <w:pPr>
              <w:ind w:left="12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2"/>
                <w:szCs w:val="12"/>
                <w:color w:val="auto"/>
                <w:w w:val="83"/>
              </w:rPr>
              <w:t>$   —</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ind w:right="80"/>
              <w:spacing w:after="0"/>
              <w:rPr>
                <w:sz w:val="20"/>
                <w:szCs w:val="20"/>
                <w:color w:val="auto"/>
              </w:rPr>
            </w:pPr>
            <w:r>
              <w:rPr>
                <w:rFonts w:ascii="Arial" w:cs="Arial" w:eastAsia="Arial" w:hAnsi="Arial"/>
                <w:sz w:val="12"/>
                <w:szCs w:val="12"/>
                <w:color w:val="auto"/>
                <w:w w:val="86"/>
              </w:rPr>
              <w:t>$2,769,337</w:t>
            </w:r>
          </w:p>
        </w:tc>
        <w:tc>
          <w:tcPr>
            <w:tcW w:w="0" w:type="dxa"/>
            <w:vAlign w:val="bottom"/>
          </w:tcPr>
          <w:p>
            <w:pPr>
              <w:spacing w:after="0"/>
              <w:rPr>
                <w:sz w:val="1"/>
                <w:szCs w:val="1"/>
                <w:color w:val="auto"/>
              </w:rPr>
            </w:pPr>
          </w:p>
        </w:tc>
      </w:tr>
      <w:tr>
        <w:trPr>
          <w:trHeight w:val="144"/>
        </w:trPr>
        <w:tc>
          <w:tcPr>
            <w:tcW w:w="19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Research and development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312,941</w:t>
            </w:r>
          </w:p>
        </w:tc>
        <w:tc>
          <w:tcPr>
            <w:tcW w:w="60" w:type="dxa"/>
            <w:vAlign w:val="bottom"/>
            <w:shd w:val="clear" w:color="auto" w:fill="CCEEFF"/>
          </w:tcPr>
          <w:p>
            <w:pPr>
              <w:spacing w:after="0"/>
              <w:rPr>
                <w:sz w:val="12"/>
                <w:szCs w:val="12"/>
                <w:color w:val="auto"/>
              </w:rPr>
            </w:pPr>
          </w:p>
        </w:tc>
        <w:tc>
          <w:tcPr>
            <w:tcW w:w="6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(4,021)</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3"/>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5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308,920</w:t>
            </w:r>
          </w:p>
        </w:tc>
        <w:tc>
          <w:tcPr>
            <w:tcW w:w="0" w:type="dxa"/>
            <w:vAlign w:val="bottom"/>
          </w:tcPr>
          <w:p>
            <w:pPr>
              <w:spacing w:after="0"/>
              <w:rPr>
                <w:sz w:val="1"/>
                <w:szCs w:val="1"/>
                <w:color w:val="auto"/>
              </w:rPr>
            </w:pPr>
          </w:p>
        </w:tc>
      </w:tr>
      <w:tr>
        <w:trPr>
          <w:trHeight w:val="135"/>
        </w:trPr>
        <w:tc>
          <w:tcPr>
            <w:tcW w:w="1980" w:type="dxa"/>
            <w:vAlign w:val="bottom"/>
          </w:tcPr>
          <w:p>
            <w:pPr>
              <w:ind w:left="240"/>
              <w:spacing w:after="0" w:line="135" w:lineRule="exact"/>
              <w:rPr>
                <w:sz w:val="20"/>
                <w:szCs w:val="20"/>
                <w:color w:val="auto"/>
              </w:rPr>
            </w:pPr>
            <w:r>
              <w:rPr>
                <w:rFonts w:ascii="Arial" w:cs="Arial" w:eastAsia="Arial" w:hAnsi="Arial"/>
                <w:sz w:val="12"/>
                <w:szCs w:val="12"/>
                <w:color w:val="auto"/>
              </w:rPr>
              <w:t>Selling, general and</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980" w:type="dxa"/>
            <w:vAlign w:val="bottom"/>
          </w:tcPr>
          <w:p>
            <w:pPr>
              <w:ind w:left="360"/>
              <w:spacing w:after="0"/>
              <w:rPr>
                <w:sz w:val="20"/>
                <w:szCs w:val="20"/>
                <w:color w:val="auto"/>
              </w:rPr>
            </w:pPr>
            <w:r>
              <w:rPr>
                <w:rFonts w:ascii="Arial" w:cs="Arial" w:eastAsia="Arial" w:hAnsi="Arial"/>
                <w:sz w:val="12"/>
                <w:szCs w:val="12"/>
                <w:color w:val="auto"/>
              </w:rPr>
              <w:t>administrative</w:t>
            </w:r>
          </w:p>
        </w:tc>
        <w:tc>
          <w:tcPr>
            <w:tcW w:w="8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487,255</w:t>
            </w:r>
          </w:p>
        </w:tc>
        <w:tc>
          <w:tcPr>
            <w:tcW w:w="6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(27,537)</w:t>
            </w:r>
          </w:p>
        </w:tc>
        <w:tc>
          <w:tcPr>
            <w:tcW w:w="140" w:type="dxa"/>
            <w:vAlign w:val="bottom"/>
          </w:tcPr>
          <w:p>
            <w:pPr>
              <w:spacing w:after="0"/>
              <w:rPr>
                <w:sz w:val="13"/>
                <w:szCs w:val="13"/>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3"/>
          </w:tcPr>
          <w:p>
            <w:pPr>
              <w:ind w:left="12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459,718</w:t>
            </w:r>
          </w:p>
        </w:tc>
        <w:tc>
          <w:tcPr>
            <w:tcW w:w="0" w:type="dxa"/>
            <w:vAlign w:val="bottom"/>
          </w:tcPr>
          <w:p>
            <w:pPr>
              <w:spacing w:after="0"/>
              <w:rPr>
                <w:sz w:val="1"/>
                <w:szCs w:val="1"/>
                <w:color w:val="auto"/>
              </w:rPr>
            </w:pPr>
          </w:p>
        </w:tc>
      </w:tr>
      <w:tr>
        <w:trPr>
          <w:trHeight w:val="135"/>
        </w:trPr>
        <w:tc>
          <w:tcPr>
            <w:tcW w:w="1980" w:type="dxa"/>
            <w:vAlign w:val="bottom"/>
            <w:shd w:val="clear" w:color="auto" w:fill="CCEEFF"/>
          </w:tcPr>
          <w:p>
            <w:pPr>
              <w:ind w:left="240"/>
              <w:spacing w:after="0" w:line="135" w:lineRule="exact"/>
              <w:rPr>
                <w:sz w:val="20"/>
                <w:szCs w:val="20"/>
                <w:color w:val="auto"/>
              </w:rPr>
            </w:pPr>
            <w:r>
              <w:rPr>
                <w:rFonts w:ascii="Arial" w:cs="Arial" w:eastAsia="Arial" w:hAnsi="Arial"/>
                <w:sz w:val="12"/>
                <w:szCs w:val="12"/>
                <w:color w:val="auto"/>
              </w:rPr>
              <w:t>Amortization of purchased</w:t>
            </w: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tcBorders>
              <w:left w:val="single" w:sz="8" w:color="CCEEFF"/>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tcBorders>
              <w:left w:val="single" w:sz="8" w:color="CCEEFF"/>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9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intangible assets and other</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78,784</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(78,784)</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tcBorders>
              <w:right w:val="single" w:sz="8" w:color="CCEEFF"/>
            </w:tcBorders>
            <w:gridSpan w:val="3"/>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5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Arial" w:cs="Arial" w:eastAsia="Arial" w:hAnsi="Arial"/>
                <w:sz w:val="12"/>
                <w:szCs w:val="12"/>
                <w:color w:val="auto"/>
              </w:rPr>
              <w:t>Total operating expenses</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w w:val="86"/>
              </w:rPr>
              <w:t>3,689,947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(78,784)</w:t>
            </w:r>
          </w:p>
        </w:tc>
        <w:tc>
          <w:tcPr>
            <w:tcW w:w="8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(54,249)</w:t>
            </w:r>
          </w:p>
        </w:tc>
        <w:tc>
          <w:tcPr>
            <w:tcW w:w="140" w:type="dxa"/>
            <w:vAlign w:val="bottom"/>
          </w:tcPr>
          <w:p>
            <w:pPr>
              <w:spacing w:after="0"/>
              <w:rPr>
                <w:sz w:val="12"/>
                <w:szCs w:val="12"/>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2"/>
                <w:szCs w:val="12"/>
                <w:color w:val="auto"/>
                <w:w w:val="98"/>
              </w:rPr>
              <w:t>(18,939)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ind w:left="12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w w:val="86"/>
              </w:rPr>
              <w:t>3,537,975</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80" w:type="dxa"/>
            <w:vAlign w:val="bottom"/>
            <w:shd w:val="clear" w:color="auto" w:fill="CCEEFF"/>
          </w:tcPr>
          <w:p>
            <w:pPr>
              <w:spacing w:after="0"/>
              <w:rPr>
                <w:sz w:val="20"/>
                <w:szCs w:val="20"/>
                <w:color w:val="auto"/>
              </w:rPr>
            </w:pPr>
            <w:r>
              <w:rPr>
                <w:rFonts w:ascii="Arial" w:cs="Arial" w:eastAsia="Arial" w:hAnsi="Arial"/>
                <w:sz w:val="12"/>
                <w:szCs w:val="12"/>
                <w:color w:val="auto"/>
              </w:rPr>
              <w:t>Operating income</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598,693</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78,784</w:t>
            </w:r>
          </w:p>
        </w:tc>
        <w:tc>
          <w:tcPr>
            <w:tcW w:w="20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54,249</w:t>
            </w:r>
          </w:p>
        </w:tc>
        <w:tc>
          <w:tcPr>
            <w:tcW w:w="14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18,939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3"/>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5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750,665</w:t>
            </w: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Arial" w:cs="Arial" w:eastAsia="Arial" w:hAnsi="Arial"/>
                <w:sz w:val="12"/>
                <w:szCs w:val="12"/>
                <w:color w:val="auto"/>
              </w:rPr>
              <w:t>Interest and other (expense), net</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2"/>
                <w:szCs w:val="12"/>
                <w:color w:val="auto"/>
              </w:rPr>
              <w:t>(10,797)</w:t>
            </w:r>
          </w:p>
        </w:tc>
        <w:tc>
          <w:tcPr>
            <w:tcW w:w="60" w:type="dxa"/>
            <w:vAlign w:val="bottom"/>
          </w:tcPr>
          <w:p>
            <w:pPr>
              <w:spacing w:after="0"/>
              <w:rPr>
                <w:sz w:val="12"/>
                <w:szCs w:val="1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0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ind w:left="120"/>
              <w:spacing w:after="0"/>
              <w:rPr>
                <w:sz w:val="20"/>
                <w:szCs w:val="20"/>
                <w:color w:val="auto"/>
              </w:rPr>
            </w:pPr>
            <w:r>
              <w:rPr>
                <w:rFonts w:ascii="Arial" w:cs="Arial" w:eastAsia="Arial" w:hAnsi="Arial"/>
                <w:sz w:val="12"/>
                <w:szCs w:val="12"/>
                <w:color w:val="auto"/>
              </w:rPr>
              <w:t>—</w:t>
            </w:r>
          </w:p>
        </w:tc>
        <w:tc>
          <w:tcPr>
            <w:tcW w:w="500" w:type="dxa"/>
            <w:vAlign w:val="bottom"/>
            <w:gridSpan w:val="2"/>
          </w:tcPr>
          <w:p>
            <w:pPr>
              <w:spacing w:after="0"/>
              <w:rPr>
                <w:sz w:val="20"/>
                <w:szCs w:val="20"/>
                <w:color w:val="auto"/>
              </w:rPr>
            </w:pPr>
            <w:r>
              <w:rPr>
                <w:rFonts w:ascii="Arial" w:cs="Arial" w:eastAsia="Arial" w:hAnsi="Arial"/>
                <w:sz w:val="12"/>
                <w:szCs w:val="12"/>
                <w:color w:val="auto"/>
              </w:rPr>
              <w:t>(5,046)</w:t>
            </w:r>
          </w:p>
        </w:tc>
        <w:tc>
          <w:tcPr>
            <w:tcW w:w="60" w:type="dxa"/>
            <w:vAlign w:val="bottom"/>
          </w:tcPr>
          <w:p>
            <w:pPr>
              <w:spacing w:after="0"/>
              <w:rPr>
                <w:sz w:val="12"/>
                <w:szCs w:val="12"/>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(15,843)</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80" w:type="dxa"/>
            <w:vAlign w:val="bottom"/>
            <w:shd w:val="clear" w:color="auto" w:fill="CCEEFF"/>
          </w:tcPr>
          <w:p>
            <w:pPr>
              <w:spacing w:after="0"/>
              <w:rPr>
                <w:sz w:val="20"/>
                <w:szCs w:val="20"/>
                <w:color w:val="auto"/>
              </w:rPr>
            </w:pPr>
            <w:r>
              <w:rPr>
                <w:rFonts w:ascii="Arial" w:cs="Arial" w:eastAsia="Arial" w:hAnsi="Arial"/>
                <w:sz w:val="12"/>
                <w:szCs w:val="12"/>
                <w:color w:val="auto"/>
              </w:rPr>
              <w:t>Gain from sale of a business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226,410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20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spacing w:after="0"/>
              <w:rPr>
                <w:sz w:val="12"/>
                <w:szCs w:val="12"/>
                <w:color w:val="auto"/>
              </w:rPr>
            </w:pPr>
          </w:p>
        </w:tc>
        <w:tc>
          <w:tcPr>
            <w:tcW w:w="580" w:type="dxa"/>
            <w:vAlign w:val="bottom"/>
            <w:gridSpan w:val="4"/>
            <w:shd w:val="clear" w:color="auto" w:fill="CCEEFF"/>
          </w:tcPr>
          <w:p>
            <w:pPr>
              <w:jc w:val="right"/>
              <w:ind w:right="40"/>
              <w:spacing w:after="0"/>
              <w:rPr>
                <w:sz w:val="20"/>
                <w:szCs w:val="20"/>
                <w:color w:val="auto"/>
              </w:rPr>
            </w:pPr>
            <w:r>
              <w:rPr>
                <w:rFonts w:ascii="Arial" w:cs="Arial" w:eastAsia="Arial" w:hAnsi="Arial"/>
                <w:sz w:val="12"/>
                <w:szCs w:val="12"/>
                <w:color w:val="auto"/>
              </w:rPr>
              <w:t>(226,410)</w:t>
            </w:r>
          </w:p>
        </w:tc>
        <w:tc>
          <w:tcPr>
            <w:tcW w:w="160" w:type="dxa"/>
            <w:vAlign w:val="bottom"/>
            <w:tcBorders>
              <w:right w:val="single" w:sz="8" w:color="CCEEFF"/>
            </w:tcBorders>
            <w:shd w:val="clear" w:color="auto" w:fill="CCEEFF"/>
          </w:tcPr>
          <w:p>
            <w:pPr>
              <w:spacing w:after="0"/>
              <w:rPr>
                <w:sz w:val="12"/>
                <w:szCs w:val="12"/>
                <w:color w:val="auto"/>
              </w:rPr>
            </w:pPr>
          </w:p>
        </w:tc>
        <w:tc>
          <w:tcPr>
            <w:tcW w:w="50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Arial" w:cs="Arial" w:eastAsia="Arial" w:hAnsi="Arial"/>
                <w:sz w:val="12"/>
                <w:szCs w:val="12"/>
                <w:color w:val="auto"/>
              </w:rPr>
              <w:t>Income taxes</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125,932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2"/>
                <w:szCs w:val="12"/>
                <w:color w:val="auto"/>
              </w:rPr>
              <w:t>—</w:t>
            </w:r>
          </w:p>
        </w:tc>
        <w:tc>
          <w:tcPr>
            <w:tcW w:w="1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ind w:left="120"/>
              <w:spacing w:after="0"/>
              <w:rPr>
                <w:sz w:val="20"/>
                <w:szCs w:val="20"/>
                <w:color w:val="auto"/>
              </w:rPr>
            </w:pPr>
            <w:r>
              <w:rPr>
                <w:rFonts w:ascii="Arial" w:cs="Arial" w:eastAsia="Arial" w:hAnsi="Arial"/>
                <w:sz w:val="12"/>
                <w:szCs w:val="12"/>
                <w:color w:val="auto"/>
              </w:rPr>
              <w:t>—</w:t>
            </w:r>
          </w:p>
        </w:tc>
        <w:tc>
          <w:tcPr>
            <w:tcW w:w="240" w:type="dxa"/>
            <w:vAlign w:val="bottom"/>
            <w:gridSpan w:val="2"/>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2"/>
                <w:szCs w:val="12"/>
                <w:color w:val="auto"/>
                <w:w w:val="89"/>
              </w:rPr>
              <w:t>(12,930)</w:t>
            </w:r>
          </w:p>
        </w:tc>
        <w:tc>
          <w:tcPr>
            <w:tcW w:w="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113,002</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8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688,374</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78,784</w:t>
            </w:r>
          </w:p>
        </w:tc>
        <w:tc>
          <w:tcPr>
            <w:tcW w:w="20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54,249</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18,939</w:t>
            </w:r>
          </w:p>
        </w:tc>
        <w:tc>
          <w:tcPr>
            <w:tcW w:w="80" w:type="dxa"/>
            <w:vAlign w:val="bottom"/>
            <w:shd w:val="clear" w:color="auto" w:fill="CCEEFF"/>
          </w:tcPr>
          <w:p>
            <w:pPr>
              <w:spacing w:after="0"/>
              <w:rPr>
                <w:sz w:val="12"/>
                <w:szCs w:val="12"/>
                <w:color w:val="auto"/>
              </w:rPr>
            </w:pPr>
          </w:p>
        </w:tc>
        <w:tc>
          <w:tcPr>
            <w:tcW w:w="1240" w:type="dxa"/>
            <w:vAlign w:val="bottom"/>
            <w:tcBorders>
              <w:right w:val="single" w:sz="8" w:color="CCEEFF"/>
            </w:tcBorders>
            <w:gridSpan w:val="7"/>
            <w:shd w:val="clear" w:color="auto" w:fill="CCEEFF"/>
          </w:tcPr>
          <w:p>
            <w:pPr>
              <w:jc w:val="right"/>
              <w:ind w:right="140"/>
              <w:spacing w:after="0"/>
              <w:rPr>
                <w:sz w:val="20"/>
                <w:szCs w:val="20"/>
                <w:color w:val="auto"/>
              </w:rPr>
            </w:pPr>
            <w:r>
              <w:rPr>
                <w:rFonts w:ascii="Arial" w:cs="Arial" w:eastAsia="Arial" w:hAnsi="Arial"/>
                <w:sz w:val="12"/>
                <w:szCs w:val="12"/>
                <w:u w:val="single" w:color="auto"/>
                <w:color w:val="auto"/>
                <w:w w:val="95"/>
              </w:rPr>
              <w:t>$</w:t>
            </w:r>
            <w:r>
              <w:rPr>
                <w:rFonts w:ascii="Arial" w:cs="Arial" w:eastAsia="Arial" w:hAnsi="Arial"/>
                <w:sz w:val="12"/>
                <w:szCs w:val="12"/>
                <w:color w:val="auto"/>
                <w:w w:val="95"/>
              </w:rPr>
              <w:t xml:space="preserve">(226,410)   </w:t>
            </w:r>
            <w:r>
              <w:rPr>
                <w:rFonts w:ascii="Arial" w:cs="Arial" w:eastAsia="Arial" w:hAnsi="Arial"/>
                <w:sz w:val="12"/>
                <w:szCs w:val="12"/>
                <w:u w:val="single" w:color="auto"/>
                <w:color w:val="auto"/>
                <w:w w:val="95"/>
              </w:rPr>
              <w:t>$</w:t>
            </w:r>
            <w:r>
              <w:rPr>
                <w:rFonts w:ascii="Arial" w:cs="Arial" w:eastAsia="Arial" w:hAnsi="Arial"/>
                <w:sz w:val="12"/>
                <w:szCs w:val="12"/>
                <w:color w:val="auto"/>
                <w:w w:val="95"/>
              </w:rPr>
              <w:t>(5,046)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7"/>
              </w:rPr>
              <w:t>12,930</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621,820</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8"/>
          </w:tcPr>
          <w:p>
            <w:pPr>
              <w:jc w:val="center"/>
              <w:ind w:left="86"/>
              <w:spacing w:after="0"/>
              <w:rPr>
                <w:sz w:val="20"/>
                <w:szCs w:val="20"/>
                <w:color w:val="auto"/>
              </w:rPr>
            </w:pPr>
            <w:r>
              <w:rPr>
                <w:rFonts w:ascii="Arial" w:cs="Arial" w:eastAsia="Arial" w:hAnsi="Arial"/>
                <w:sz w:val="10"/>
                <w:szCs w:val="10"/>
                <w:b w:val="1"/>
                <w:bCs w:val="1"/>
                <w:color w:val="auto"/>
                <w:w w:val="85"/>
              </w:rPr>
              <w:t>Fiscal year ended</w:t>
            </w: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3"/>
        </w:trPr>
        <w:tc>
          <w:tcPr>
            <w:tcW w:w="19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gridSpan w:val="8"/>
          </w:tcPr>
          <w:p>
            <w:pPr>
              <w:ind w:left="340"/>
              <w:spacing w:after="0" w:line="114" w:lineRule="exact"/>
              <w:rPr>
                <w:sz w:val="20"/>
                <w:szCs w:val="20"/>
                <w:color w:val="auto"/>
              </w:rPr>
            </w:pPr>
            <w:r>
              <w:rPr>
                <w:rFonts w:ascii="Arial" w:cs="Arial" w:eastAsia="Arial" w:hAnsi="Arial"/>
                <w:sz w:val="10"/>
                <w:szCs w:val="10"/>
                <w:b w:val="1"/>
                <w:bCs w:val="1"/>
                <w:color w:val="auto"/>
              </w:rPr>
              <w:t>September 30, 2020</w:t>
            </w:r>
          </w:p>
        </w:tc>
        <w:tc>
          <w:tcPr>
            <w:tcW w:w="3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9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gridSpan w:val="8"/>
          </w:tcPr>
          <w:p>
            <w:pPr>
              <w:ind w:left="320"/>
              <w:spacing w:after="0" w:line="88" w:lineRule="exact"/>
              <w:rPr>
                <w:sz w:val="20"/>
                <w:szCs w:val="20"/>
                <w:color w:val="auto"/>
              </w:rPr>
            </w:pPr>
            <w:r>
              <w:rPr>
                <w:rFonts w:ascii="Arial" w:cs="Arial" w:eastAsia="Arial" w:hAnsi="Arial"/>
                <w:sz w:val="10"/>
                <w:szCs w:val="10"/>
                <w:b w:val="1"/>
                <w:bCs w:val="1"/>
                <w:color w:val="auto"/>
              </w:rPr>
              <w:t>Reconciliation items</w:t>
            </w:r>
          </w:p>
        </w:tc>
        <w:tc>
          <w:tcPr>
            <w:tcW w:w="3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19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4"/>
          </w:tcPr>
          <w:p>
            <w:pPr>
              <w:jc w:val="center"/>
              <w:ind w:right="140"/>
              <w:spacing w:after="0" w:line="74" w:lineRule="exact"/>
              <w:rPr>
                <w:sz w:val="20"/>
                <w:szCs w:val="20"/>
                <w:color w:val="auto"/>
              </w:rPr>
            </w:pPr>
            <w:r>
              <w:rPr>
                <w:rFonts w:ascii="Arial" w:cs="Arial" w:eastAsia="Arial" w:hAnsi="Arial"/>
                <w:sz w:val="8"/>
                <w:szCs w:val="8"/>
                <w:b w:val="1"/>
                <w:bCs w:val="1"/>
                <w:color w:val="auto"/>
              </w:rPr>
              <w:t>Changes in</w:t>
            </w: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gridSpan w:val="3"/>
          </w:tcPr>
          <w:p>
            <w:pPr>
              <w:jc w:val="center"/>
              <w:ind w:right="260"/>
              <w:spacing w:after="0" w:line="99" w:lineRule="exact"/>
              <w:rPr>
                <w:sz w:val="20"/>
                <w:szCs w:val="20"/>
                <w:color w:val="auto"/>
              </w:rPr>
            </w:pPr>
            <w:r>
              <w:rPr>
                <w:rFonts w:ascii="Arial" w:cs="Arial" w:eastAsia="Arial" w:hAnsi="Arial"/>
                <w:sz w:val="10"/>
                <w:szCs w:val="10"/>
                <w:b w:val="1"/>
                <w:bCs w:val="1"/>
                <w:color w:val="auto"/>
                <w:w w:val="85"/>
              </w:rPr>
              <w:t>certain</w:t>
            </w: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4"/>
          </w:tcPr>
          <w:p>
            <w:pPr>
              <w:jc w:val="center"/>
              <w:ind w:right="160"/>
              <w:spacing w:after="0" w:line="99" w:lineRule="exact"/>
              <w:rPr>
                <w:sz w:val="20"/>
                <w:szCs w:val="20"/>
                <w:color w:val="auto"/>
              </w:rPr>
            </w:pPr>
            <w:r>
              <w:rPr>
                <w:rFonts w:ascii="Arial" w:cs="Arial" w:eastAsia="Arial" w:hAnsi="Arial"/>
                <w:sz w:val="10"/>
                <w:szCs w:val="10"/>
                <w:b w:val="1"/>
                <w:bCs w:val="1"/>
                <w:color w:val="auto"/>
                <w:w w:val="82"/>
              </w:rPr>
              <w:t>acquisitions</w:t>
            </w: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rPr>
              <w:t>Amortization</w:t>
            </w: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gridSpan w:val="3"/>
          </w:tcPr>
          <w:p>
            <w:pPr>
              <w:jc w:val="center"/>
              <w:ind w:right="260"/>
              <w:spacing w:after="0" w:line="99" w:lineRule="exact"/>
              <w:rPr>
                <w:sz w:val="20"/>
                <w:szCs w:val="20"/>
                <w:color w:val="auto"/>
              </w:rPr>
            </w:pPr>
            <w:r>
              <w:rPr>
                <w:rFonts w:ascii="Arial" w:cs="Arial" w:eastAsia="Arial" w:hAnsi="Arial"/>
                <w:sz w:val="10"/>
                <w:szCs w:val="10"/>
                <w:b w:val="1"/>
                <w:bCs w:val="1"/>
                <w:color w:val="auto"/>
                <w:w w:val="85"/>
              </w:rPr>
              <w:t>related</w:t>
            </w: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gridSpan w:val="3"/>
          </w:tcPr>
          <w:p>
            <w:pPr>
              <w:ind w:left="20"/>
              <w:spacing w:after="0" w:line="99" w:lineRule="exact"/>
              <w:rPr>
                <w:sz w:val="20"/>
                <w:szCs w:val="20"/>
                <w:color w:val="auto"/>
              </w:rPr>
            </w:pPr>
            <w:r>
              <w:rPr>
                <w:rFonts w:ascii="Arial" w:cs="Arial" w:eastAsia="Arial" w:hAnsi="Arial"/>
                <w:sz w:val="10"/>
                <w:szCs w:val="10"/>
                <w:b w:val="1"/>
                <w:bCs w:val="1"/>
                <w:color w:val="auto"/>
                <w:w w:val="98"/>
              </w:rPr>
              <w:t>of purchased</w:t>
            </w: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4"/>
          </w:tcPr>
          <w:p>
            <w:pPr>
              <w:jc w:val="center"/>
              <w:ind w:right="160"/>
              <w:spacing w:after="0" w:line="99" w:lineRule="exact"/>
              <w:rPr>
                <w:sz w:val="20"/>
                <w:szCs w:val="20"/>
                <w:color w:val="auto"/>
              </w:rPr>
            </w:pPr>
            <w:r>
              <w:rPr>
                <w:rFonts w:ascii="Arial" w:cs="Arial" w:eastAsia="Arial" w:hAnsi="Arial"/>
                <w:sz w:val="10"/>
                <w:szCs w:val="10"/>
                <w:b w:val="1"/>
                <w:bCs w:val="1"/>
                <w:color w:val="auto"/>
                <w:w w:val="83"/>
              </w:rPr>
              <w:t>liabilities</w:t>
            </w: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84"/>
              </w:rPr>
              <w:t>intangible</w:t>
            </w:r>
          </w:p>
        </w:tc>
        <w:tc>
          <w:tcPr>
            <w:tcW w:w="140" w:type="dxa"/>
            <w:vAlign w:val="bottom"/>
          </w:tcPr>
          <w:p>
            <w:pPr>
              <w:spacing w:after="0"/>
              <w:rPr>
                <w:sz w:val="8"/>
                <w:szCs w:val="8"/>
                <w:color w:val="auto"/>
              </w:rPr>
            </w:pPr>
          </w:p>
        </w:tc>
        <w:tc>
          <w:tcPr>
            <w:tcW w:w="60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w w:val="93"/>
              </w:rPr>
              <w:t>Equity based</w:t>
            </w:r>
          </w:p>
        </w:tc>
        <w:tc>
          <w:tcPr>
            <w:tcW w:w="100" w:type="dxa"/>
            <w:vAlign w:val="bottom"/>
          </w:tcPr>
          <w:p>
            <w:pPr>
              <w:spacing w:after="0"/>
              <w:rPr>
                <w:sz w:val="8"/>
                <w:szCs w:val="8"/>
                <w:color w:val="auto"/>
              </w:rPr>
            </w:pPr>
          </w:p>
        </w:tc>
        <w:tc>
          <w:tcPr>
            <w:tcW w:w="640" w:type="dxa"/>
            <w:vAlign w:val="bottom"/>
            <w:gridSpan w:val="4"/>
          </w:tcPr>
          <w:p>
            <w:pPr>
              <w:jc w:val="center"/>
              <w:ind w:right="160"/>
              <w:spacing w:after="0" w:line="99" w:lineRule="exact"/>
              <w:rPr>
                <w:sz w:val="20"/>
                <w:szCs w:val="20"/>
                <w:color w:val="auto"/>
              </w:rPr>
            </w:pPr>
            <w:r>
              <w:rPr>
                <w:rFonts w:ascii="Arial" w:cs="Arial" w:eastAsia="Arial" w:hAnsi="Arial"/>
                <w:sz w:val="10"/>
                <w:szCs w:val="10"/>
                <w:b w:val="1"/>
                <w:bCs w:val="1"/>
                <w:color w:val="auto"/>
                <w:w w:val="84"/>
              </w:rPr>
              <w:t>measured</w:t>
            </w: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77"/>
              </w:rPr>
              <w:t>assets and</w:t>
            </w:r>
          </w:p>
        </w:tc>
        <w:tc>
          <w:tcPr>
            <w:tcW w:w="140" w:type="dxa"/>
            <w:vAlign w:val="bottom"/>
          </w:tcPr>
          <w:p>
            <w:pPr>
              <w:spacing w:after="0"/>
              <w:rPr>
                <w:sz w:val="8"/>
                <w:szCs w:val="8"/>
                <w:color w:val="auto"/>
              </w:rPr>
            </w:pPr>
          </w:p>
        </w:tc>
        <w:tc>
          <w:tcPr>
            <w:tcW w:w="600" w:type="dxa"/>
            <w:vAlign w:val="bottom"/>
            <w:gridSpan w:val="3"/>
          </w:tcPr>
          <w:p>
            <w:pPr>
              <w:spacing w:after="0" w:line="99" w:lineRule="exact"/>
              <w:rPr>
                <w:sz w:val="20"/>
                <w:szCs w:val="20"/>
                <w:color w:val="auto"/>
              </w:rPr>
            </w:pPr>
            <w:r>
              <w:rPr>
                <w:rFonts w:ascii="Arial" w:cs="Arial" w:eastAsia="Arial" w:hAnsi="Arial"/>
                <w:sz w:val="10"/>
                <w:szCs w:val="10"/>
                <w:b w:val="1"/>
                <w:bCs w:val="1"/>
                <w:color w:val="auto"/>
                <w:w w:val="85"/>
              </w:rPr>
              <w:t>compensation</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gridSpan w:val="3"/>
          </w:tcPr>
          <w:p>
            <w:pPr>
              <w:jc w:val="center"/>
              <w:ind w:right="260"/>
              <w:spacing w:after="0" w:line="99" w:lineRule="exact"/>
              <w:rPr>
                <w:sz w:val="20"/>
                <w:szCs w:val="20"/>
                <w:color w:val="auto"/>
              </w:rPr>
            </w:pPr>
            <w:r>
              <w:rPr>
                <w:rFonts w:ascii="Arial" w:cs="Arial" w:eastAsia="Arial" w:hAnsi="Arial"/>
                <w:sz w:val="10"/>
                <w:szCs w:val="10"/>
                <w:b w:val="1"/>
                <w:bCs w:val="1"/>
                <w:color w:val="auto"/>
                <w:w w:val="87"/>
              </w:rPr>
              <w:t>at fair</w:t>
            </w: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0"/>
              </w:rPr>
              <w:t>Tax</w:t>
            </w: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9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tcPr>
          <w:p>
            <w:pPr>
              <w:jc w:val="center"/>
              <w:ind w:right="240"/>
              <w:spacing w:after="0" w:line="114" w:lineRule="exact"/>
              <w:rPr>
                <w:sz w:val="20"/>
                <w:szCs w:val="20"/>
                <w:color w:val="auto"/>
              </w:rPr>
            </w:pPr>
            <w:r>
              <w:rPr>
                <w:rFonts w:ascii="Arial" w:cs="Arial" w:eastAsia="Arial" w:hAnsi="Arial"/>
                <w:sz w:val="10"/>
                <w:szCs w:val="10"/>
                <w:b w:val="1"/>
                <w:bCs w:val="1"/>
                <w:color w:val="auto"/>
                <w:w w:val="96"/>
              </w:rPr>
              <w:t>GAAP</w:t>
            </w:r>
          </w:p>
        </w:tc>
        <w:tc>
          <w:tcPr>
            <w:tcW w:w="80" w:type="dxa"/>
            <w:vAlign w:val="bottom"/>
          </w:tcPr>
          <w:p>
            <w:pPr>
              <w:spacing w:after="0"/>
              <w:rPr>
                <w:sz w:val="9"/>
                <w:szCs w:val="9"/>
                <w:color w:val="auto"/>
              </w:rPr>
            </w:pPr>
          </w:p>
        </w:tc>
        <w:tc>
          <w:tcPr>
            <w:tcW w:w="58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79"/>
              </w:rPr>
              <w:t>other</w:t>
            </w:r>
          </w:p>
        </w:tc>
        <w:tc>
          <w:tcPr>
            <w:tcW w:w="140" w:type="dxa"/>
            <w:vAlign w:val="bottom"/>
          </w:tcPr>
          <w:p>
            <w:pPr>
              <w:spacing w:after="0"/>
              <w:rPr>
                <w:sz w:val="9"/>
                <w:szCs w:val="9"/>
                <w:color w:val="auto"/>
              </w:rPr>
            </w:pPr>
          </w:p>
        </w:tc>
        <w:tc>
          <w:tcPr>
            <w:tcW w:w="600" w:type="dxa"/>
            <w:vAlign w:val="bottom"/>
            <w:gridSpan w:val="3"/>
          </w:tcPr>
          <w:p>
            <w:pPr>
              <w:ind w:left="60"/>
              <w:spacing w:after="0" w:line="114" w:lineRule="exact"/>
              <w:rPr>
                <w:sz w:val="20"/>
                <w:szCs w:val="20"/>
                <w:color w:val="auto"/>
              </w:rPr>
            </w:pPr>
            <w:r>
              <w:rPr>
                <w:rFonts w:ascii="Arial" w:cs="Arial" w:eastAsia="Arial" w:hAnsi="Arial"/>
                <w:sz w:val="10"/>
                <w:szCs w:val="10"/>
                <w:b w:val="1"/>
                <w:bCs w:val="1"/>
                <w:color w:val="auto"/>
              </w:rPr>
              <w:t>expense</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3"/>
          </w:tcPr>
          <w:p>
            <w:pPr>
              <w:jc w:val="center"/>
              <w:ind w:right="240"/>
              <w:spacing w:after="0" w:line="114" w:lineRule="exact"/>
              <w:rPr>
                <w:sz w:val="20"/>
                <w:szCs w:val="20"/>
                <w:color w:val="auto"/>
              </w:rPr>
            </w:pPr>
            <w:r>
              <w:rPr>
                <w:rFonts w:ascii="Arial" w:cs="Arial" w:eastAsia="Arial" w:hAnsi="Arial"/>
                <w:sz w:val="10"/>
                <w:szCs w:val="10"/>
                <w:b w:val="1"/>
                <w:bCs w:val="1"/>
                <w:color w:val="auto"/>
                <w:w w:val="85"/>
              </w:rPr>
              <w:t>value</w:t>
            </w:r>
          </w:p>
        </w:tc>
        <w:tc>
          <w:tcPr>
            <w:tcW w:w="500" w:type="dxa"/>
            <w:vAlign w:val="bottom"/>
            <w:gridSpan w:val="2"/>
          </w:tcPr>
          <w:p>
            <w:pPr>
              <w:jc w:val="right"/>
              <w:ind w:right="220"/>
              <w:spacing w:after="0" w:line="114" w:lineRule="exact"/>
              <w:rPr>
                <w:sz w:val="20"/>
                <w:szCs w:val="20"/>
                <w:color w:val="auto"/>
              </w:rPr>
            </w:pPr>
            <w:r>
              <w:rPr>
                <w:rFonts w:ascii="Arial" w:cs="Arial" w:eastAsia="Arial" w:hAnsi="Arial"/>
                <w:sz w:val="10"/>
                <w:szCs w:val="10"/>
                <w:b w:val="1"/>
                <w:bCs w:val="1"/>
                <w:color w:val="auto"/>
                <w:w w:val="97"/>
              </w:rPr>
              <w:t>Other</w:t>
            </w:r>
          </w:p>
        </w:tc>
        <w:tc>
          <w:tcPr>
            <w:tcW w:w="60" w:type="dxa"/>
            <w:vAlign w:val="bottom"/>
          </w:tcPr>
          <w:p>
            <w:pPr>
              <w:spacing w:after="0"/>
              <w:rPr>
                <w:sz w:val="9"/>
                <w:szCs w:val="9"/>
                <w:color w:val="auto"/>
              </w:rPr>
            </w:pPr>
          </w:p>
        </w:tc>
        <w:tc>
          <w:tcPr>
            <w:tcW w:w="56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82"/>
              </w:rPr>
              <w:t>effect</w:t>
            </w:r>
          </w:p>
        </w:tc>
        <w:tc>
          <w:tcPr>
            <w:tcW w:w="620" w:type="dxa"/>
            <w:vAlign w:val="bottom"/>
            <w:gridSpan w:val="3"/>
          </w:tcPr>
          <w:p>
            <w:pPr>
              <w:jc w:val="right"/>
              <w:ind w:right="120"/>
              <w:spacing w:after="0" w:line="114" w:lineRule="exact"/>
              <w:rPr>
                <w:sz w:val="20"/>
                <w:szCs w:val="20"/>
                <w:color w:val="auto"/>
              </w:rPr>
            </w:pPr>
            <w:r>
              <w:rPr>
                <w:rFonts w:ascii="Arial" w:cs="Arial" w:eastAsia="Arial" w:hAnsi="Arial"/>
                <w:sz w:val="10"/>
                <w:szCs w:val="10"/>
                <w:b w:val="1"/>
                <w:bCs w:val="1"/>
                <w:color w:val="auto"/>
                <w:w w:val="92"/>
              </w:rPr>
              <w:t>Non-GAAP</w:t>
            </w:r>
          </w:p>
        </w:tc>
        <w:tc>
          <w:tcPr>
            <w:tcW w:w="0" w:type="dxa"/>
            <w:vAlign w:val="bottom"/>
          </w:tcPr>
          <w:p>
            <w:pPr>
              <w:spacing w:after="0"/>
              <w:rPr>
                <w:sz w:val="1"/>
                <w:szCs w:val="1"/>
                <w:color w:val="auto"/>
              </w:rPr>
            </w:pPr>
          </w:p>
        </w:tc>
      </w:tr>
      <w:tr>
        <w:trPr>
          <w:trHeight w:val="124"/>
        </w:trPr>
        <w:tc>
          <w:tcPr>
            <w:tcW w:w="198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Operating expenses:</w:t>
            </w:r>
          </w:p>
        </w:tc>
        <w:tc>
          <w:tcPr>
            <w:tcW w:w="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left w:val="single" w:sz="8" w:color="CCEEFF"/>
              <w:right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right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right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left w:val="single" w:sz="8" w:color="CCEEFF"/>
              <w:right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left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980" w:type="dxa"/>
            <w:vAlign w:val="bottom"/>
          </w:tcPr>
          <w:p>
            <w:pPr>
              <w:ind w:left="240"/>
              <w:spacing w:after="0"/>
              <w:rPr>
                <w:sz w:val="20"/>
                <w:szCs w:val="20"/>
                <w:color w:val="auto"/>
              </w:rPr>
            </w:pPr>
            <w:r>
              <w:rPr>
                <w:rFonts w:ascii="Arial" w:cs="Arial" w:eastAsia="Arial" w:hAnsi="Arial"/>
                <w:sz w:val="12"/>
                <w:szCs w:val="12"/>
                <w:color w:val="auto"/>
              </w:rPr>
              <w:t>Cost of revenue</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2"/>
                <w:szCs w:val="12"/>
                <w:color w:val="auto"/>
                <w:w w:val="89"/>
              </w:rPr>
              <w:t>2,755,563</w:t>
            </w:r>
          </w:p>
        </w:tc>
        <w:tc>
          <w:tcPr>
            <w:tcW w:w="20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gridSpan w:val="3"/>
          </w:tcPr>
          <w:p>
            <w:pPr>
              <w:jc w:val="right"/>
              <w:ind w:right="40"/>
              <w:spacing w:after="0"/>
              <w:rPr>
                <w:sz w:val="20"/>
                <w:szCs w:val="20"/>
                <w:color w:val="auto"/>
              </w:rPr>
            </w:pPr>
            <w:r>
              <w:rPr>
                <w:rFonts w:ascii="Arial" w:cs="Arial" w:eastAsia="Arial" w:hAnsi="Arial"/>
                <w:sz w:val="12"/>
                <w:szCs w:val="12"/>
                <w:color w:val="auto"/>
              </w:rPr>
              <w:t>(20,005)</w:t>
            </w:r>
          </w:p>
        </w:tc>
        <w:tc>
          <w:tcPr>
            <w:tcW w:w="200" w:type="dxa"/>
            <w:vAlign w:val="bottom"/>
            <w:gridSpan w:val="2"/>
          </w:tcPr>
          <w:p>
            <w:pPr>
              <w:jc w:val="center"/>
              <w:ind w:left="6"/>
              <w:spacing w:after="0"/>
              <w:rPr>
                <w:sz w:val="20"/>
                <w:szCs w:val="20"/>
                <w:color w:val="auto"/>
              </w:rPr>
            </w:pPr>
            <w:r>
              <w:rPr>
                <w:rFonts w:ascii="Arial" w:cs="Arial" w:eastAsia="Arial" w:hAnsi="Arial"/>
                <w:sz w:val="12"/>
                <w:szCs w:val="12"/>
                <w:color w:val="auto"/>
                <w:w w:val="89"/>
              </w:rPr>
              <w:t>$</w:t>
            </w:r>
          </w:p>
        </w:tc>
        <w:tc>
          <w:tcPr>
            <w:tcW w:w="540" w:type="dxa"/>
            <w:vAlign w:val="bottom"/>
            <w:gridSpan w:val="3"/>
          </w:tcPr>
          <w:p>
            <w:pPr>
              <w:ind w:left="200"/>
              <w:spacing w:after="0"/>
              <w:rPr>
                <w:sz w:val="20"/>
                <w:szCs w:val="20"/>
                <w:color w:val="auto"/>
              </w:rPr>
            </w:pPr>
            <w:r>
              <w:rPr>
                <w:rFonts w:ascii="Arial" w:cs="Arial" w:eastAsia="Arial" w:hAnsi="Arial"/>
                <w:sz w:val="12"/>
                <w:szCs w:val="12"/>
                <w:color w:val="auto"/>
              </w:rPr>
              <w:t>307</w:t>
            </w:r>
          </w:p>
        </w:tc>
        <w:tc>
          <w:tcPr>
            <w:tcW w:w="500" w:type="dxa"/>
            <w:vAlign w:val="bottom"/>
            <w:gridSpan w:val="2"/>
          </w:tcPr>
          <w:p>
            <w:pPr>
              <w:jc w:val="right"/>
              <w:ind w:right="260"/>
              <w:spacing w:after="0"/>
              <w:rPr>
                <w:sz w:val="20"/>
                <w:szCs w:val="20"/>
                <w:color w:val="auto"/>
              </w:rPr>
            </w:pPr>
            <w:r>
              <w:rPr>
                <w:rFonts w:ascii="Arial" w:cs="Arial" w:eastAsia="Arial" w:hAnsi="Arial"/>
                <w:sz w:val="12"/>
                <w:szCs w:val="12"/>
                <w:color w:val="auto"/>
                <w:w w:val="99"/>
              </w:rPr>
              <w:t>$ —</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ind w:right="80"/>
              <w:spacing w:after="0"/>
              <w:rPr>
                <w:sz w:val="20"/>
                <w:szCs w:val="20"/>
                <w:color w:val="auto"/>
              </w:rPr>
            </w:pPr>
            <w:r>
              <w:rPr>
                <w:rFonts w:ascii="Arial" w:cs="Arial" w:eastAsia="Arial" w:hAnsi="Arial"/>
                <w:sz w:val="12"/>
                <w:szCs w:val="12"/>
                <w:color w:val="auto"/>
                <w:w w:val="86"/>
              </w:rPr>
              <w:t>$2,735,865</w:t>
            </w:r>
          </w:p>
        </w:tc>
        <w:tc>
          <w:tcPr>
            <w:tcW w:w="0" w:type="dxa"/>
            <w:vAlign w:val="bottom"/>
          </w:tcPr>
          <w:p>
            <w:pPr>
              <w:spacing w:after="0"/>
              <w:rPr>
                <w:sz w:val="1"/>
                <w:szCs w:val="1"/>
                <w:color w:val="auto"/>
              </w:rPr>
            </w:pPr>
          </w:p>
        </w:tc>
      </w:tr>
      <w:tr>
        <w:trPr>
          <w:trHeight w:val="144"/>
        </w:trPr>
        <w:tc>
          <w:tcPr>
            <w:tcW w:w="19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Research and development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282,042</w:t>
            </w:r>
          </w:p>
        </w:tc>
        <w:tc>
          <w:tcPr>
            <w:tcW w:w="20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(3,058)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3"/>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5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278,984</w:t>
            </w:r>
          </w:p>
        </w:tc>
        <w:tc>
          <w:tcPr>
            <w:tcW w:w="0" w:type="dxa"/>
            <w:vAlign w:val="bottom"/>
          </w:tcPr>
          <w:p>
            <w:pPr>
              <w:spacing w:after="0"/>
              <w:rPr>
                <w:sz w:val="1"/>
                <w:szCs w:val="1"/>
                <w:color w:val="auto"/>
              </w:rPr>
            </w:pPr>
          </w:p>
        </w:tc>
      </w:tr>
      <w:tr>
        <w:trPr>
          <w:trHeight w:val="144"/>
        </w:trPr>
        <w:tc>
          <w:tcPr>
            <w:tcW w:w="1980" w:type="dxa"/>
            <w:vAlign w:val="bottom"/>
          </w:tcPr>
          <w:p>
            <w:pPr>
              <w:ind w:left="240"/>
              <w:spacing w:after="0"/>
              <w:rPr>
                <w:sz w:val="20"/>
                <w:szCs w:val="20"/>
                <w:color w:val="auto"/>
              </w:rPr>
            </w:pPr>
            <w:r>
              <w:rPr>
                <w:rFonts w:ascii="Arial" w:cs="Arial" w:eastAsia="Arial" w:hAnsi="Arial"/>
                <w:sz w:val="12"/>
                <w:szCs w:val="12"/>
                <w:color w:val="auto"/>
                <w:w w:val="93"/>
              </w:rPr>
              <w:t>Selling, general and administrative</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458,539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2"/>
                <w:szCs w:val="12"/>
                <w:color w:val="auto"/>
              </w:rPr>
              <w:t>(19,371)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ind w:left="20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439,168</w:t>
            </w:r>
          </w:p>
        </w:tc>
        <w:tc>
          <w:tcPr>
            <w:tcW w:w="0" w:type="dxa"/>
            <w:vAlign w:val="bottom"/>
          </w:tcPr>
          <w:p>
            <w:pPr>
              <w:spacing w:after="0"/>
              <w:rPr>
                <w:sz w:val="1"/>
                <w:szCs w:val="1"/>
                <w:color w:val="auto"/>
              </w:rPr>
            </w:pPr>
          </w:p>
        </w:tc>
      </w:tr>
      <w:tr>
        <w:trPr>
          <w:trHeight w:val="135"/>
        </w:trPr>
        <w:tc>
          <w:tcPr>
            <w:tcW w:w="2720" w:type="dxa"/>
            <w:vAlign w:val="bottom"/>
            <w:gridSpan w:val="4"/>
            <w:shd w:val="clear" w:color="auto" w:fill="CCEEFF"/>
          </w:tcPr>
          <w:p>
            <w:pPr>
              <w:ind w:left="240"/>
              <w:spacing w:after="0" w:line="135" w:lineRule="exact"/>
              <w:rPr>
                <w:sz w:val="20"/>
                <w:szCs w:val="20"/>
                <w:color w:val="auto"/>
              </w:rPr>
            </w:pPr>
            <w:r>
              <w:rPr>
                <w:rFonts w:ascii="Arial" w:cs="Arial" w:eastAsia="Arial" w:hAnsi="Arial"/>
                <w:sz w:val="12"/>
                <w:szCs w:val="12"/>
                <w:color w:val="auto"/>
                <w:w w:val="96"/>
              </w:rPr>
              <w:t>Amortization of purchased intangible assets and</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tcBorders>
              <w:left w:val="single" w:sz="8" w:color="CCEEFF"/>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00" w:type="dxa"/>
            <w:vAlign w:val="bottom"/>
            <w:tcBorders>
              <w:left w:val="single" w:sz="8" w:color="CCEEFF"/>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tcBorders>
              <w:lef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980" w:type="dxa"/>
            <w:vAlign w:val="bottom"/>
            <w:shd w:val="clear" w:color="auto" w:fill="CCEEFF"/>
          </w:tcPr>
          <w:p>
            <w:pPr>
              <w:ind w:left="360"/>
              <w:spacing w:after="0"/>
              <w:rPr>
                <w:sz w:val="20"/>
                <w:szCs w:val="20"/>
                <w:color w:val="auto"/>
              </w:rPr>
            </w:pPr>
            <w:r>
              <w:rPr>
                <w:rFonts w:ascii="Arial" w:cs="Arial" w:eastAsia="Arial" w:hAnsi="Arial"/>
                <w:sz w:val="12"/>
                <w:szCs w:val="12"/>
                <w:color w:val="auto"/>
              </w:rPr>
              <w:t>other</w:t>
            </w: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78,137</w:t>
            </w:r>
          </w:p>
        </w:tc>
        <w:tc>
          <w:tcPr>
            <w:tcW w:w="200" w:type="dxa"/>
            <w:vAlign w:val="bottom"/>
            <w:tcBorders>
              <w:left w:val="single" w:sz="8" w:color="CCEEFF"/>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(78,137)</w:t>
            </w:r>
          </w:p>
        </w:tc>
        <w:tc>
          <w:tcPr>
            <w:tcW w:w="14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3"/>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tcBorders>
              <w:right w:val="single" w:sz="8" w:color="CCEEFF"/>
            </w:tcBorders>
            <w:gridSpan w:val="3"/>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5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Arial" w:cs="Arial" w:eastAsia="Arial" w:hAnsi="Arial"/>
                <w:sz w:val="12"/>
                <w:szCs w:val="12"/>
                <w:color w:val="auto"/>
              </w:rPr>
              <w:t>Total operating expenses</w:t>
            </w: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w w:val="89"/>
              </w:rPr>
              <w:t>3,574,281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2"/>
                <w:szCs w:val="12"/>
                <w:color w:val="auto"/>
              </w:rPr>
              <w:t>(78,137)</w:t>
            </w:r>
          </w:p>
        </w:tc>
        <w:tc>
          <w:tcPr>
            <w:tcW w:w="140" w:type="dxa"/>
            <w:vAlign w:val="bottom"/>
          </w:tcPr>
          <w:p>
            <w:pPr>
              <w:spacing w:after="0"/>
              <w:rPr>
                <w:sz w:val="12"/>
                <w:szCs w:val="12"/>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2"/>
                <w:szCs w:val="12"/>
                <w:color w:val="auto"/>
              </w:rPr>
              <w:t>(42,434)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ind w:left="200"/>
              <w:spacing w:after="0"/>
              <w:rPr>
                <w:sz w:val="20"/>
                <w:szCs w:val="20"/>
                <w:color w:val="auto"/>
              </w:rPr>
            </w:pPr>
            <w:r>
              <w:rPr>
                <w:rFonts w:ascii="Arial" w:cs="Arial" w:eastAsia="Arial" w:hAnsi="Arial"/>
                <w:sz w:val="12"/>
                <w:szCs w:val="12"/>
                <w:color w:val="auto"/>
              </w:rPr>
              <w:t>307</w:t>
            </w:r>
          </w:p>
        </w:tc>
        <w:tc>
          <w:tcPr>
            <w:tcW w:w="5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w w:val="86"/>
              </w:rPr>
              <w:t>3,454,017</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80" w:type="dxa"/>
            <w:vAlign w:val="bottom"/>
            <w:shd w:val="clear" w:color="auto" w:fill="CCEEFF"/>
          </w:tcPr>
          <w:p>
            <w:pPr>
              <w:spacing w:after="0"/>
              <w:rPr>
                <w:sz w:val="20"/>
                <w:szCs w:val="20"/>
                <w:color w:val="auto"/>
              </w:rPr>
            </w:pPr>
            <w:r>
              <w:rPr>
                <w:rFonts w:ascii="Arial" w:cs="Arial" w:eastAsia="Arial" w:hAnsi="Arial"/>
                <w:sz w:val="12"/>
                <w:szCs w:val="12"/>
                <w:color w:val="auto"/>
              </w:rPr>
              <w:t>Operating income</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594,758</w:t>
            </w:r>
          </w:p>
        </w:tc>
        <w:tc>
          <w:tcPr>
            <w:tcW w:w="20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78,137</w:t>
            </w: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42,434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3"/>
            <w:shd w:val="clear" w:color="auto" w:fill="CCEEFF"/>
          </w:tcPr>
          <w:p>
            <w:pPr>
              <w:ind w:left="200"/>
              <w:spacing w:after="0"/>
              <w:rPr>
                <w:sz w:val="20"/>
                <w:szCs w:val="20"/>
                <w:color w:val="auto"/>
              </w:rPr>
            </w:pPr>
            <w:r>
              <w:rPr>
                <w:rFonts w:ascii="Arial" w:cs="Arial" w:eastAsia="Arial" w:hAnsi="Arial"/>
                <w:sz w:val="12"/>
                <w:szCs w:val="12"/>
                <w:color w:val="auto"/>
              </w:rPr>
              <w:t>307</w:t>
            </w:r>
          </w:p>
        </w:tc>
        <w:tc>
          <w:tcPr>
            <w:tcW w:w="5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715,022</w:t>
            </w: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Arial" w:cs="Arial" w:eastAsia="Arial" w:hAnsi="Arial"/>
                <w:sz w:val="12"/>
                <w:szCs w:val="12"/>
                <w:color w:val="auto"/>
                <w:w w:val="90"/>
              </w:rPr>
              <w:t>Interest and other (expense) income, net</w:t>
            </w: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(11,436)</w:t>
            </w:r>
          </w:p>
        </w:tc>
        <w:tc>
          <w:tcPr>
            <w:tcW w:w="80" w:type="dxa"/>
            <w:vAlign w:val="bottom"/>
          </w:tcPr>
          <w:p>
            <w:pPr>
              <w:spacing w:after="0"/>
              <w:rPr>
                <w:sz w:val="12"/>
                <w:szCs w:val="12"/>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00" w:type="dxa"/>
            <w:vAlign w:val="bottom"/>
            <w:gridSpan w:val="3"/>
          </w:tcPr>
          <w:p>
            <w:pPr>
              <w:ind w:left="3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ind w:left="20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2"/>
                <w:szCs w:val="12"/>
                <w:color w:val="auto"/>
              </w:rPr>
              <w:t>(600)</w:t>
            </w:r>
          </w:p>
        </w:tc>
        <w:tc>
          <w:tcPr>
            <w:tcW w:w="60" w:type="dxa"/>
            <w:vAlign w:val="bottom"/>
          </w:tcPr>
          <w:p>
            <w:pPr>
              <w:spacing w:after="0"/>
              <w:rPr>
                <w:sz w:val="12"/>
                <w:szCs w:val="12"/>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(12,036)</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80" w:type="dxa"/>
            <w:vAlign w:val="bottom"/>
            <w:shd w:val="clear" w:color="auto" w:fill="CCEEFF"/>
          </w:tcPr>
          <w:p>
            <w:pPr>
              <w:spacing w:after="0"/>
              <w:rPr>
                <w:sz w:val="20"/>
                <w:szCs w:val="20"/>
                <w:color w:val="auto"/>
              </w:rPr>
            </w:pPr>
            <w:r>
              <w:rPr>
                <w:rFonts w:ascii="Arial" w:cs="Arial" w:eastAsia="Arial" w:hAnsi="Arial"/>
                <w:sz w:val="12"/>
                <w:szCs w:val="12"/>
                <w:color w:val="auto"/>
              </w:rPr>
              <w:t>Income taxes</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85,482</w:t>
            </w:r>
          </w:p>
        </w:tc>
        <w:tc>
          <w:tcPr>
            <w:tcW w:w="200" w:type="dxa"/>
            <w:vAlign w:val="bottom"/>
            <w:tcBorders>
              <w:left w:val="single" w:sz="8" w:color="CCEEFF"/>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200" w:type="dxa"/>
            <w:vAlign w:val="bottom"/>
            <w:tcBorders>
              <w:left w:val="single" w:sz="8" w:color="CCEEFF"/>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21,746</w:t>
            </w:r>
          </w:p>
        </w:tc>
        <w:tc>
          <w:tcPr>
            <w:tcW w:w="2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107,228</w:t>
            </w: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Arial" w:cs="Arial" w:eastAsia="Arial" w:hAnsi="Arial"/>
                <w:sz w:val="12"/>
                <w:szCs w:val="12"/>
                <w:color w:val="auto"/>
              </w:rPr>
              <w:t>Net income</w:t>
            </w: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9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497,840</w:t>
            </w:r>
          </w:p>
        </w:tc>
        <w:tc>
          <w:tcPr>
            <w:tcW w:w="20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78,137</w:t>
            </w:r>
          </w:p>
        </w:tc>
        <w:tc>
          <w:tcPr>
            <w:tcW w:w="10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gridSpan w:val="3"/>
          </w:tcPr>
          <w:p>
            <w:pPr>
              <w:jc w:val="right"/>
              <w:ind w:right="80"/>
              <w:spacing w:after="0"/>
              <w:rPr>
                <w:sz w:val="20"/>
                <w:szCs w:val="20"/>
                <w:color w:val="auto"/>
              </w:rPr>
            </w:pPr>
            <w:r>
              <w:rPr>
                <w:rFonts w:ascii="Arial" w:cs="Arial" w:eastAsia="Arial" w:hAnsi="Arial"/>
                <w:sz w:val="12"/>
                <w:szCs w:val="12"/>
                <w:color w:val="auto"/>
              </w:rPr>
              <w:t>42,434</w:t>
            </w:r>
          </w:p>
        </w:tc>
        <w:tc>
          <w:tcPr>
            <w:tcW w:w="200" w:type="dxa"/>
            <w:vAlign w:val="bottom"/>
            <w:gridSpan w:val="2"/>
          </w:tcPr>
          <w:p>
            <w:pPr>
              <w:jc w:val="center"/>
              <w:ind w:left="6"/>
              <w:spacing w:after="0"/>
              <w:rPr>
                <w:sz w:val="20"/>
                <w:szCs w:val="20"/>
                <w:color w:val="auto"/>
              </w:rPr>
            </w:pPr>
            <w:r>
              <w:rPr>
                <w:rFonts w:ascii="Arial" w:cs="Arial" w:eastAsia="Arial" w:hAnsi="Arial"/>
                <w:sz w:val="12"/>
                <w:szCs w:val="12"/>
                <w:color w:val="auto"/>
                <w:w w:val="89"/>
              </w:rPr>
              <w:t>$</w:t>
            </w:r>
          </w:p>
        </w:tc>
        <w:tc>
          <w:tcPr>
            <w:tcW w:w="540" w:type="dxa"/>
            <w:vAlign w:val="bottom"/>
            <w:gridSpan w:val="3"/>
          </w:tcPr>
          <w:p>
            <w:pPr>
              <w:ind w:left="200"/>
              <w:spacing w:after="0"/>
              <w:rPr>
                <w:sz w:val="20"/>
                <w:szCs w:val="20"/>
                <w:color w:val="auto"/>
              </w:rPr>
            </w:pPr>
            <w:r>
              <w:rPr>
                <w:rFonts w:ascii="Arial" w:cs="Arial" w:eastAsia="Arial" w:hAnsi="Arial"/>
                <w:sz w:val="12"/>
                <w:szCs w:val="12"/>
                <w:color w:val="auto"/>
              </w:rPr>
              <w:t>307</w:t>
            </w:r>
          </w:p>
        </w:tc>
        <w:tc>
          <w:tcPr>
            <w:tcW w:w="500" w:type="dxa"/>
            <w:vAlign w:val="bottom"/>
            <w:gridSpan w:val="2"/>
          </w:tcPr>
          <w:p>
            <w:pPr>
              <w:jc w:val="right"/>
              <w:ind w:right="160"/>
              <w:spacing w:after="0"/>
              <w:rPr>
                <w:sz w:val="20"/>
                <w:szCs w:val="20"/>
                <w:color w:val="auto"/>
              </w:rPr>
            </w:pPr>
            <w:r>
              <w:rPr>
                <w:rFonts w:ascii="Arial" w:cs="Arial" w:eastAsia="Arial" w:hAnsi="Arial"/>
                <w:sz w:val="12"/>
                <w:szCs w:val="12"/>
                <w:u w:val="single" w:color="auto"/>
                <w:color w:val="auto"/>
                <w:w w:val="92"/>
              </w:rPr>
              <w:t>$</w:t>
            </w:r>
            <w:r>
              <w:rPr>
                <w:rFonts w:ascii="Arial" w:cs="Arial" w:eastAsia="Arial" w:hAnsi="Arial"/>
                <w:sz w:val="12"/>
                <w:szCs w:val="12"/>
                <w:color w:val="auto"/>
                <w:w w:val="92"/>
              </w:rPr>
              <w:t>(600)</w:t>
            </w:r>
          </w:p>
        </w:tc>
        <w:tc>
          <w:tcPr>
            <w:tcW w:w="60" w:type="dxa"/>
            <w:vAlign w:val="bottom"/>
          </w:tcPr>
          <w:p>
            <w:pPr>
              <w:jc w:val="right"/>
              <w:spacing w:after="0"/>
              <w:rPr>
                <w:sz w:val="20"/>
                <w:szCs w:val="20"/>
                <w:color w:val="auto"/>
              </w:rPr>
            </w:pPr>
            <w:r>
              <w:rPr>
                <w:rFonts w:ascii="Arial" w:cs="Arial" w:eastAsia="Arial" w:hAnsi="Arial"/>
                <w:sz w:val="5"/>
                <w:szCs w:val="5"/>
                <w:u w:val="single" w:color="auto"/>
                <w:color w:val="auto"/>
                <w:w w:val="70"/>
              </w:rPr>
              <w:t>$</w:t>
            </w:r>
          </w:p>
        </w:tc>
        <w:tc>
          <w:tcPr>
            <w:tcW w:w="560" w:type="dxa"/>
            <w:vAlign w:val="bottom"/>
            <w:gridSpan w:val="2"/>
          </w:tcPr>
          <w:p>
            <w:pPr>
              <w:jc w:val="right"/>
              <w:ind w:right="160"/>
              <w:spacing w:after="0"/>
              <w:rPr>
                <w:sz w:val="20"/>
                <w:szCs w:val="20"/>
                <w:color w:val="auto"/>
              </w:rPr>
            </w:pPr>
            <w:r>
              <w:rPr>
                <w:rFonts w:ascii="Arial" w:cs="Arial" w:eastAsia="Arial" w:hAnsi="Arial"/>
                <w:sz w:val="12"/>
                <w:szCs w:val="12"/>
                <w:color w:val="auto"/>
                <w:w w:val="84"/>
              </w:rPr>
              <w:t>(21,746)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80"/>
              <w:spacing w:after="0"/>
              <w:rPr>
                <w:sz w:val="20"/>
                <w:szCs w:val="20"/>
                <w:color w:val="auto"/>
              </w:rPr>
            </w:pPr>
            <w:r>
              <w:rPr>
                <w:rFonts w:ascii="Arial" w:cs="Arial" w:eastAsia="Arial" w:hAnsi="Arial"/>
                <w:sz w:val="12"/>
                <w:szCs w:val="12"/>
                <w:color w:val="auto"/>
              </w:rPr>
              <w:t>595,758</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6" w:right="1440"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AMDOCS LIMITED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Condensed Consolidated Balance Sheets</w:t>
      </w:r>
    </w:p>
    <w:p>
      <w:pPr>
        <w:jc w:val="center"/>
        <w:ind w:right="19"/>
        <w:spacing w:after="0"/>
        <w:rPr>
          <w:sz w:val="20"/>
          <w:szCs w:val="20"/>
          <w:color w:val="auto"/>
        </w:rPr>
      </w:pPr>
      <w:r>
        <w:rPr>
          <w:rFonts w:ascii="Arial" w:cs="Arial" w:eastAsia="Arial" w:hAnsi="Arial"/>
          <w:sz w:val="10"/>
          <w:szCs w:val="10"/>
          <w:b w:val="1"/>
          <w:bCs w:val="1"/>
          <w:color w:val="auto"/>
        </w:rPr>
        <w:t>(In thousands)</w:t>
      </w:r>
    </w:p>
    <w:p>
      <w:pPr>
        <w:spacing w:after="0" w:line="136"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58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As of</w:t>
            </w:r>
          </w:p>
        </w:tc>
        <w:tc>
          <w:tcPr>
            <w:tcW w:w="5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4"/>
        </w:trPr>
        <w:tc>
          <w:tcPr>
            <w:tcW w:w="5880" w:type="dxa"/>
            <w:vAlign w:val="bottom"/>
          </w:tcPr>
          <w:p>
            <w:pPr>
              <w:spacing w:after="0"/>
              <w:rPr>
                <w:sz w:val="6"/>
                <w:szCs w:val="6"/>
                <w:color w:val="auto"/>
              </w:rPr>
            </w:pPr>
          </w:p>
        </w:tc>
        <w:tc>
          <w:tcPr>
            <w:tcW w:w="600" w:type="dxa"/>
            <w:vAlign w:val="bottom"/>
            <w:gridSpan w:val="3"/>
          </w:tcPr>
          <w:p>
            <w:pPr>
              <w:spacing w:after="0" w:line="74" w:lineRule="exact"/>
              <w:rPr>
                <w:sz w:val="20"/>
                <w:szCs w:val="20"/>
                <w:color w:val="auto"/>
              </w:rPr>
            </w:pPr>
            <w:r>
              <w:rPr>
                <w:rFonts w:ascii="Arial" w:cs="Arial" w:eastAsia="Arial" w:hAnsi="Arial"/>
                <w:sz w:val="8"/>
                <w:szCs w:val="8"/>
                <w:b w:val="1"/>
                <w:bCs w:val="1"/>
                <w:color w:val="auto"/>
              </w:rPr>
              <w:t>September 30,</w:t>
            </w:r>
          </w:p>
        </w:tc>
        <w:tc>
          <w:tcPr>
            <w:tcW w:w="240" w:type="dxa"/>
            <w:vAlign w:val="bottom"/>
          </w:tcPr>
          <w:p>
            <w:pPr>
              <w:spacing w:after="0"/>
              <w:rPr>
                <w:sz w:val="6"/>
                <w:szCs w:val="6"/>
                <w:color w:val="auto"/>
              </w:rPr>
            </w:pPr>
          </w:p>
        </w:tc>
        <w:tc>
          <w:tcPr>
            <w:tcW w:w="580" w:type="dxa"/>
            <w:vAlign w:val="bottom"/>
            <w:gridSpan w:val="2"/>
          </w:tcPr>
          <w:p>
            <w:pPr>
              <w:spacing w:after="0" w:line="74" w:lineRule="exact"/>
              <w:rPr>
                <w:sz w:val="20"/>
                <w:szCs w:val="20"/>
                <w:color w:val="auto"/>
              </w:rPr>
            </w:pPr>
            <w:r>
              <w:rPr>
                <w:rFonts w:ascii="Arial" w:cs="Arial" w:eastAsia="Arial" w:hAnsi="Arial"/>
                <w:sz w:val="8"/>
                <w:szCs w:val="8"/>
                <w:b w:val="1"/>
                <w:bCs w:val="1"/>
                <w:color w:val="auto"/>
              </w:rPr>
              <w:t>September 30,</w:t>
            </w:r>
          </w:p>
        </w:tc>
        <w:tc>
          <w:tcPr>
            <w:tcW w:w="40" w:type="dxa"/>
            <w:vAlign w:val="bottom"/>
          </w:tcPr>
          <w:p>
            <w:pPr>
              <w:spacing w:after="0"/>
              <w:rPr>
                <w:sz w:val="6"/>
                <w:szCs w:val="6"/>
                <w:color w:val="auto"/>
              </w:rPr>
            </w:pPr>
          </w:p>
        </w:tc>
      </w:tr>
      <w:tr>
        <w:trPr>
          <w:trHeight w:val="113"/>
        </w:trPr>
        <w:tc>
          <w:tcPr>
            <w:tcW w:w="588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ind w:right="141"/>
              <w:spacing w:after="0" w:line="114" w:lineRule="exact"/>
              <w:rPr>
                <w:sz w:val="20"/>
                <w:szCs w:val="20"/>
                <w:color w:val="auto"/>
              </w:rPr>
            </w:pPr>
            <w:r>
              <w:rPr>
                <w:rFonts w:ascii="Arial" w:cs="Arial" w:eastAsia="Arial" w:hAnsi="Arial"/>
                <w:sz w:val="10"/>
                <w:szCs w:val="10"/>
                <w:b w:val="1"/>
                <w:bCs w:val="1"/>
                <w:color w:val="auto"/>
              </w:rPr>
              <w:t>2021</w:t>
            </w:r>
          </w:p>
        </w:tc>
        <w:tc>
          <w:tcPr>
            <w:tcW w:w="20" w:type="dxa"/>
            <w:vAlign w:val="bottom"/>
            <w:tcBorders>
              <w:bottom w:val="single" w:sz="8" w:color="CCEEFF"/>
            </w:tcBorders>
          </w:tcPr>
          <w:p>
            <w:pPr>
              <w:spacing w:after="0"/>
              <w:rPr>
                <w:sz w:val="9"/>
                <w:szCs w:val="9"/>
                <w:color w:val="auto"/>
              </w:rPr>
            </w:pPr>
          </w:p>
        </w:tc>
        <w:tc>
          <w:tcPr>
            <w:tcW w:w="2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ind w:right="141"/>
              <w:spacing w:after="0" w:line="114" w:lineRule="exact"/>
              <w:rPr>
                <w:sz w:val="20"/>
                <w:szCs w:val="20"/>
                <w:color w:val="auto"/>
              </w:rPr>
            </w:pPr>
            <w:r>
              <w:rPr>
                <w:rFonts w:ascii="Arial" w:cs="Arial" w:eastAsia="Arial" w:hAnsi="Arial"/>
                <w:sz w:val="10"/>
                <w:szCs w:val="10"/>
                <w:b w:val="1"/>
                <w:bCs w:val="1"/>
                <w:color w:val="auto"/>
              </w:rPr>
              <w:t>2020</w:t>
            </w:r>
          </w:p>
        </w:tc>
        <w:tc>
          <w:tcPr>
            <w:tcW w:w="40" w:type="dxa"/>
            <w:vAlign w:val="bottom"/>
            <w:tcBorders>
              <w:bottom w:val="single" w:sz="8" w:color="CCEEFF"/>
            </w:tcBorders>
          </w:tcPr>
          <w:p>
            <w:pPr>
              <w:spacing w:after="0"/>
              <w:rPr>
                <w:sz w:val="9"/>
                <w:szCs w:val="9"/>
                <w:color w:val="auto"/>
              </w:rPr>
            </w:pPr>
          </w:p>
        </w:tc>
      </w:tr>
      <w:tr>
        <w:trPr>
          <w:trHeight w:val="124"/>
        </w:trPr>
        <w:tc>
          <w:tcPr>
            <w:tcW w:w="588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ASSETS</w:t>
            </w: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4"/>
        </w:trPr>
        <w:tc>
          <w:tcPr>
            <w:tcW w:w="5880" w:type="dxa"/>
            <w:vAlign w:val="bottom"/>
          </w:tcPr>
          <w:p>
            <w:pPr>
              <w:spacing w:after="0"/>
              <w:rPr>
                <w:sz w:val="20"/>
                <w:szCs w:val="20"/>
                <w:color w:val="auto"/>
              </w:rPr>
            </w:pPr>
            <w:r>
              <w:rPr>
                <w:rFonts w:ascii="Arial" w:cs="Arial" w:eastAsia="Arial" w:hAnsi="Arial"/>
                <w:sz w:val="12"/>
                <w:szCs w:val="12"/>
                <w:color w:val="auto"/>
              </w:rPr>
              <w:t>Current assets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588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709,064</w:t>
            </w:r>
          </w:p>
        </w:tc>
        <w:tc>
          <w:tcPr>
            <w:tcW w:w="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983,188</w:t>
            </w:r>
          </w:p>
        </w:tc>
      </w:tr>
      <w:tr>
        <w:trPr>
          <w:trHeight w:val="144"/>
        </w:trPr>
        <w:tc>
          <w:tcPr>
            <w:tcW w:w="5880" w:type="dxa"/>
            <w:vAlign w:val="bottom"/>
          </w:tcPr>
          <w:p>
            <w:pPr>
              <w:spacing w:after="0"/>
              <w:rPr>
                <w:sz w:val="20"/>
                <w:szCs w:val="20"/>
                <w:color w:val="auto"/>
              </w:rPr>
            </w:pPr>
            <w:r>
              <w:rPr>
                <w:rFonts w:ascii="Arial" w:cs="Arial" w:eastAsia="Arial" w:hAnsi="Arial"/>
                <w:sz w:val="12"/>
                <w:szCs w:val="12"/>
                <w:color w:val="auto"/>
              </w:rPr>
              <w:t>Short-term interest-bearing investments</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256,527</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752</w:t>
            </w:r>
          </w:p>
        </w:tc>
      </w:tr>
      <w:tr>
        <w:trPr>
          <w:trHeight w:val="144"/>
        </w:trPr>
        <w:tc>
          <w:tcPr>
            <w:tcW w:w="5880" w:type="dxa"/>
            <w:vAlign w:val="bottom"/>
            <w:shd w:val="clear" w:color="auto" w:fill="CCEEFF"/>
          </w:tcPr>
          <w:p>
            <w:pPr>
              <w:spacing w:after="0"/>
              <w:rPr>
                <w:sz w:val="20"/>
                <w:szCs w:val="20"/>
                <w:color w:val="auto"/>
              </w:rPr>
            </w:pPr>
            <w:r>
              <w:rPr>
                <w:rFonts w:ascii="Arial" w:cs="Arial" w:eastAsia="Arial" w:hAnsi="Arial"/>
                <w:sz w:val="12"/>
                <w:szCs w:val="12"/>
                <w:color w:val="auto"/>
              </w:rPr>
              <w:t>Accounts receivable, net, including unbilled of $162,278 and $175,548, respectively</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866,819</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861,033</w:t>
            </w:r>
          </w:p>
        </w:tc>
      </w:tr>
      <w:tr>
        <w:trPr>
          <w:trHeight w:val="144"/>
        </w:trPr>
        <w:tc>
          <w:tcPr>
            <w:tcW w:w="5880" w:type="dxa"/>
            <w:vAlign w:val="bottom"/>
          </w:tcPr>
          <w:p>
            <w:pPr>
              <w:spacing w:after="0"/>
              <w:rPr>
                <w:sz w:val="20"/>
                <w:szCs w:val="20"/>
                <w:color w:val="auto"/>
              </w:rPr>
            </w:pPr>
            <w:r>
              <w:rPr>
                <w:rFonts w:ascii="Arial" w:cs="Arial" w:eastAsia="Arial" w:hAnsi="Arial"/>
                <w:sz w:val="12"/>
                <w:szCs w:val="12"/>
                <w:color w:val="auto"/>
              </w:rPr>
              <w:t>Prepaid expenses and other current assets</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235,089</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229,604</w:t>
            </w:r>
          </w:p>
        </w:tc>
        <w:tc>
          <w:tcPr>
            <w:tcW w:w="40" w:type="dxa"/>
            <w:vAlign w:val="bottom"/>
          </w:tcPr>
          <w:p>
            <w:pPr>
              <w:spacing w:after="0"/>
              <w:rPr>
                <w:sz w:val="12"/>
                <w:szCs w:val="12"/>
                <w:color w:val="auto"/>
              </w:rPr>
            </w:pPr>
          </w:p>
        </w:tc>
      </w:tr>
      <w:tr>
        <w:trPr>
          <w:trHeight w:val="142"/>
        </w:trPr>
        <w:tc>
          <w:tcPr>
            <w:tcW w:w="58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current assets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2,067,499</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2,074,577</w:t>
            </w:r>
          </w:p>
        </w:tc>
      </w:tr>
      <w:tr>
        <w:trPr>
          <w:trHeight w:val="144"/>
        </w:trPr>
        <w:tc>
          <w:tcPr>
            <w:tcW w:w="5880" w:type="dxa"/>
            <w:vAlign w:val="bottom"/>
          </w:tcPr>
          <w:p>
            <w:pPr>
              <w:spacing w:after="0"/>
              <w:rPr>
                <w:sz w:val="20"/>
                <w:szCs w:val="20"/>
                <w:color w:val="auto"/>
              </w:rPr>
            </w:pPr>
            <w:r>
              <w:rPr>
                <w:rFonts w:ascii="Arial" w:cs="Arial" w:eastAsia="Arial" w:hAnsi="Arial"/>
                <w:sz w:val="12"/>
                <w:szCs w:val="12"/>
                <w:color w:val="auto"/>
              </w:rPr>
              <w:t>Property and equipment, net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698,768</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607,951</w:t>
            </w:r>
          </w:p>
        </w:tc>
      </w:tr>
      <w:tr>
        <w:trPr>
          <w:trHeight w:val="144"/>
        </w:trPr>
        <w:tc>
          <w:tcPr>
            <w:tcW w:w="5880" w:type="dxa"/>
            <w:vAlign w:val="bottom"/>
            <w:shd w:val="clear" w:color="auto" w:fill="CCEEFF"/>
          </w:tcPr>
          <w:p>
            <w:pPr>
              <w:spacing w:after="0"/>
              <w:rPr>
                <w:sz w:val="20"/>
                <w:szCs w:val="20"/>
                <w:color w:val="auto"/>
              </w:rPr>
            </w:pPr>
            <w:r>
              <w:rPr>
                <w:rFonts w:ascii="Arial" w:cs="Arial" w:eastAsia="Arial" w:hAnsi="Arial"/>
                <w:sz w:val="12"/>
                <w:szCs w:val="12"/>
                <w:color w:val="auto"/>
              </w:rPr>
              <w:t>Lease assets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233,162</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295,494</w:t>
            </w:r>
          </w:p>
        </w:tc>
      </w:tr>
      <w:tr>
        <w:trPr>
          <w:trHeight w:val="144"/>
        </w:trPr>
        <w:tc>
          <w:tcPr>
            <w:tcW w:w="5880" w:type="dxa"/>
            <w:vAlign w:val="bottom"/>
          </w:tcPr>
          <w:p>
            <w:pPr>
              <w:spacing w:after="0"/>
              <w:rPr>
                <w:sz w:val="20"/>
                <w:szCs w:val="20"/>
                <w:color w:val="auto"/>
              </w:rPr>
            </w:pPr>
            <w:r>
              <w:rPr>
                <w:rFonts w:ascii="Arial" w:cs="Arial" w:eastAsia="Arial" w:hAnsi="Arial"/>
                <w:sz w:val="12"/>
                <w:szCs w:val="12"/>
                <w:color w:val="auto"/>
              </w:rPr>
              <w:t>Goodwill and other intangible assets, net</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w w:val="89"/>
              </w:rPr>
              <w:t>2,881,676</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w w:val="89"/>
              </w:rPr>
              <w:t>2,874,979</w:t>
            </w:r>
          </w:p>
        </w:tc>
      </w:tr>
      <w:tr>
        <w:trPr>
          <w:trHeight w:val="144"/>
        </w:trPr>
        <w:tc>
          <w:tcPr>
            <w:tcW w:w="5880" w:type="dxa"/>
            <w:vAlign w:val="bottom"/>
            <w:shd w:val="clear" w:color="auto" w:fill="CCEEFF"/>
          </w:tcPr>
          <w:p>
            <w:pPr>
              <w:spacing w:after="0"/>
              <w:rPr>
                <w:sz w:val="20"/>
                <w:szCs w:val="20"/>
                <w:color w:val="auto"/>
              </w:rPr>
            </w:pPr>
            <w:r>
              <w:rPr>
                <w:rFonts w:ascii="Arial" w:cs="Arial" w:eastAsia="Arial" w:hAnsi="Arial"/>
                <w:sz w:val="12"/>
                <w:szCs w:val="12"/>
                <w:color w:val="auto"/>
              </w:rPr>
              <w:t>Other noncurrent assets</w:t>
            </w:r>
          </w:p>
        </w:tc>
        <w:tc>
          <w:tcPr>
            <w:tcW w:w="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630,669</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488,620</w:t>
            </w:r>
          </w:p>
        </w:tc>
        <w:tc>
          <w:tcPr>
            <w:tcW w:w="40" w:type="dxa"/>
            <w:vAlign w:val="bottom"/>
            <w:shd w:val="clear" w:color="auto" w:fill="CCEEFF"/>
          </w:tcPr>
          <w:p>
            <w:pPr>
              <w:spacing w:after="0"/>
              <w:rPr>
                <w:sz w:val="12"/>
                <w:szCs w:val="12"/>
                <w:color w:val="auto"/>
              </w:rPr>
            </w:pPr>
          </w:p>
        </w:tc>
      </w:tr>
      <w:tr>
        <w:trPr>
          <w:trHeight w:val="154"/>
        </w:trPr>
        <w:tc>
          <w:tcPr>
            <w:tcW w:w="5880" w:type="dxa"/>
            <w:vAlign w:val="bottom"/>
          </w:tcPr>
          <w:p>
            <w:pPr>
              <w:spacing w:after="0"/>
              <w:rPr>
                <w:sz w:val="20"/>
                <w:szCs w:val="20"/>
                <w:color w:val="auto"/>
              </w:rPr>
            </w:pPr>
            <w:r>
              <w:rPr>
                <w:rFonts w:ascii="Arial" w:cs="Arial" w:eastAsia="Arial" w:hAnsi="Arial"/>
                <w:sz w:val="12"/>
                <w:szCs w:val="12"/>
                <w:color w:val="auto"/>
              </w:rPr>
              <w:t>Total assets</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w w:val="89"/>
              </w:rPr>
              <w:t>6,511,774</w:t>
            </w:r>
          </w:p>
        </w:tc>
        <w:tc>
          <w:tcPr>
            <w:tcW w:w="20" w:type="dxa"/>
            <w:vAlign w:val="bottom"/>
          </w:tcPr>
          <w:p>
            <w:pPr>
              <w:spacing w:after="0"/>
              <w:rPr>
                <w:sz w:val="13"/>
                <w:szCs w:val="13"/>
                <w:color w:val="auto"/>
              </w:rPr>
            </w:pPr>
          </w:p>
        </w:tc>
        <w:tc>
          <w:tcPr>
            <w:tcW w:w="320" w:type="dxa"/>
            <w:vAlign w:val="bottom"/>
            <w:gridSpan w:val="2"/>
          </w:tcPr>
          <w:p>
            <w:pPr>
              <w:ind w:left="240"/>
              <w:spacing w:after="0"/>
              <w:rPr>
                <w:sz w:val="20"/>
                <w:szCs w:val="20"/>
                <w:color w:val="auto"/>
              </w:rPr>
            </w:pPr>
            <w:r>
              <w:rPr>
                <w:rFonts w:ascii="Arial" w:cs="Arial" w:eastAsia="Arial" w:hAnsi="Arial"/>
                <w:sz w:val="12"/>
                <w:szCs w:val="12"/>
                <w:color w:val="auto"/>
                <w:w w:val="89"/>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w w:val="89"/>
              </w:rPr>
              <w:t>6,341,621</w:t>
            </w:r>
          </w:p>
        </w:tc>
      </w:tr>
      <w:tr>
        <w:trPr>
          <w:trHeight w:val="148"/>
        </w:trPr>
        <w:tc>
          <w:tcPr>
            <w:tcW w:w="58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LIABILITIES AND SHAREHOLDERS’ EQUITY</w:t>
            </w: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4"/>
        </w:trPr>
        <w:tc>
          <w:tcPr>
            <w:tcW w:w="5880" w:type="dxa"/>
            <w:vAlign w:val="bottom"/>
          </w:tcPr>
          <w:p>
            <w:pPr>
              <w:spacing w:after="0"/>
              <w:rPr>
                <w:sz w:val="20"/>
                <w:szCs w:val="20"/>
                <w:color w:val="auto"/>
              </w:rPr>
            </w:pPr>
            <w:r>
              <w:rPr>
                <w:rFonts w:ascii="Arial" w:cs="Arial" w:eastAsia="Arial" w:hAnsi="Arial"/>
                <w:sz w:val="12"/>
                <w:szCs w:val="12"/>
                <w:color w:val="auto"/>
              </w:rPr>
              <w:t>Current liabilities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4"/>
        </w:trPr>
        <w:tc>
          <w:tcPr>
            <w:tcW w:w="5880" w:type="dxa"/>
            <w:vAlign w:val="bottom"/>
            <w:shd w:val="clear" w:color="auto" w:fill="CCEEFF"/>
          </w:tcPr>
          <w:p>
            <w:pPr>
              <w:spacing w:after="0"/>
              <w:rPr>
                <w:sz w:val="20"/>
                <w:szCs w:val="20"/>
                <w:color w:val="auto"/>
              </w:rPr>
            </w:pPr>
            <w:r>
              <w:rPr>
                <w:rFonts w:ascii="Arial" w:cs="Arial" w:eastAsia="Arial" w:hAnsi="Arial"/>
                <w:sz w:val="12"/>
                <w:szCs w:val="12"/>
                <w:color w:val="auto"/>
              </w:rPr>
              <w:t>Accounts payable, accruals and other</w:t>
            </w: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1,007,777</w:t>
            </w:r>
          </w:p>
        </w:tc>
        <w:tc>
          <w:tcPr>
            <w:tcW w:w="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930,259</w:t>
            </w:r>
          </w:p>
        </w:tc>
      </w:tr>
      <w:tr>
        <w:trPr>
          <w:trHeight w:val="144"/>
        </w:trPr>
        <w:tc>
          <w:tcPr>
            <w:tcW w:w="5880" w:type="dxa"/>
            <w:vAlign w:val="bottom"/>
          </w:tcPr>
          <w:p>
            <w:pPr>
              <w:spacing w:after="0"/>
              <w:rPr>
                <w:sz w:val="20"/>
                <w:szCs w:val="20"/>
                <w:color w:val="auto"/>
              </w:rPr>
            </w:pPr>
            <w:r>
              <w:rPr>
                <w:rFonts w:ascii="Arial" w:cs="Arial" w:eastAsia="Arial" w:hAnsi="Arial"/>
                <w:sz w:val="12"/>
                <w:szCs w:val="12"/>
                <w:color w:val="auto"/>
              </w:rPr>
              <w:t>Short-term financing arrangement</w:t>
            </w:r>
          </w:p>
        </w:tc>
        <w:tc>
          <w:tcPr>
            <w:tcW w:w="8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100,000</w:t>
            </w:r>
          </w:p>
        </w:tc>
      </w:tr>
      <w:tr>
        <w:trPr>
          <w:trHeight w:val="144"/>
        </w:trPr>
        <w:tc>
          <w:tcPr>
            <w:tcW w:w="5880" w:type="dxa"/>
            <w:vAlign w:val="bottom"/>
            <w:shd w:val="clear" w:color="auto" w:fill="CCEEFF"/>
          </w:tcPr>
          <w:p>
            <w:pPr>
              <w:spacing w:after="0"/>
              <w:rPr>
                <w:sz w:val="20"/>
                <w:szCs w:val="20"/>
                <w:color w:val="auto"/>
              </w:rPr>
            </w:pPr>
            <w:r>
              <w:rPr>
                <w:rFonts w:ascii="Arial" w:cs="Arial" w:eastAsia="Arial" w:hAnsi="Arial"/>
                <w:sz w:val="12"/>
                <w:szCs w:val="12"/>
                <w:color w:val="auto"/>
              </w:rPr>
              <w:t>Lease liabilities</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58,714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59,100</w:t>
            </w:r>
          </w:p>
        </w:tc>
      </w:tr>
      <w:tr>
        <w:trPr>
          <w:trHeight w:val="144"/>
        </w:trPr>
        <w:tc>
          <w:tcPr>
            <w:tcW w:w="5880" w:type="dxa"/>
            <w:vAlign w:val="bottom"/>
          </w:tcPr>
          <w:p>
            <w:pPr>
              <w:spacing w:after="0"/>
              <w:rPr>
                <w:sz w:val="20"/>
                <w:szCs w:val="20"/>
                <w:color w:val="auto"/>
              </w:rPr>
            </w:pPr>
            <w:r>
              <w:rPr>
                <w:rFonts w:ascii="Arial" w:cs="Arial" w:eastAsia="Arial" w:hAnsi="Arial"/>
                <w:sz w:val="12"/>
                <w:szCs w:val="12"/>
                <w:color w:val="auto"/>
              </w:rPr>
              <w:t>Deferred revenue</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237,374</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126,841</w:t>
            </w:r>
          </w:p>
        </w:tc>
        <w:tc>
          <w:tcPr>
            <w:tcW w:w="40" w:type="dxa"/>
            <w:vAlign w:val="bottom"/>
          </w:tcPr>
          <w:p>
            <w:pPr>
              <w:spacing w:after="0"/>
              <w:rPr>
                <w:sz w:val="12"/>
                <w:szCs w:val="12"/>
                <w:color w:val="auto"/>
              </w:rPr>
            </w:pPr>
          </w:p>
        </w:tc>
      </w:tr>
      <w:tr>
        <w:trPr>
          <w:trHeight w:val="142"/>
        </w:trPr>
        <w:tc>
          <w:tcPr>
            <w:tcW w:w="5880" w:type="dxa"/>
            <w:vAlign w:val="bottom"/>
            <w:shd w:val="clear" w:color="auto" w:fill="CCEEFF"/>
          </w:tcPr>
          <w:p>
            <w:pPr>
              <w:ind w:left="240"/>
              <w:spacing w:after="0"/>
              <w:rPr>
                <w:sz w:val="20"/>
                <w:szCs w:val="20"/>
                <w:color w:val="auto"/>
              </w:rPr>
            </w:pPr>
            <w:r>
              <w:rPr>
                <w:rFonts w:ascii="Arial" w:cs="Arial" w:eastAsia="Arial" w:hAnsi="Arial"/>
                <w:sz w:val="12"/>
                <w:szCs w:val="12"/>
                <w:color w:val="auto"/>
              </w:rPr>
              <w:t>Total current liabilities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1,303,865</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1,216,200</w:t>
            </w:r>
          </w:p>
        </w:tc>
      </w:tr>
      <w:tr>
        <w:trPr>
          <w:trHeight w:val="144"/>
        </w:trPr>
        <w:tc>
          <w:tcPr>
            <w:tcW w:w="5880" w:type="dxa"/>
            <w:vAlign w:val="bottom"/>
          </w:tcPr>
          <w:p>
            <w:pPr>
              <w:spacing w:after="0"/>
              <w:rPr>
                <w:sz w:val="20"/>
                <w:szCs w:val="20"/>
                <w:color w:val="auto"/>
              </w:rPr>
            </w:pPr>
            <w:r>
              <w:rPr>
                <w:rFonts w:ascii="Arial" w:cs="Arial" w:eastAsia="Arial" w:hAnsi="Arial"/>
                <w:sz w:val="12"/>
                <w:szCs w:val="12"/>
                <w:color w:val="auto"/>
              </w:rPr>
              <w:t>Lease liabilities</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177,906</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230,076</w:t>
            </w:r>
          </w:p>
        </w:tc>
      </w:tr>
      <w:tr>
        <w:trPr>
          <w:trHeight w:val="144"/>
        </w:trPr>
        <w:tc>
          <w:tcPr>
            <w:tcW w:w="5880" w:type="dxa"/>
            <w:vAlign w:val="bottom"/>
            <w:shd w:val="clear" w:color="auto" w:fill="CCEEFF"/>
          </w:tcPr>
          <w:p>
            <w:pPr>
              <w:spacing w:after="0"/>
              <w:rPr>
                <w:sz w:val="20"/>
                <w:szCs w:val="20"/>
                <w:color w:val="auto"/>
              </w:rPr>
            </w:pPr>
            <w:r>
              <w:rPr>
                <w:rFonts w:ascii="Arial" w:cs="Arial" w:eastAsia="Arial" w:hAnsi="Arial"/>
                <w:sz w:val="12"/>
                <w:szCs w:val="12"/>
                <w:color w:val="auto"/>
              </w:rPr>
              <w:t>Long-term debt, net of unamortized debt issuance costs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644,553</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644,023</w:t>
            </w:r>
          </w:p>
        </w:tc>
      </w:tr>
      <w:tr>
        <w:trPr>
          <w:trHeight w:val="144"/>
        </w:trPr>
        <w:tc>
          <w:tcPr>
            <w:tcW w:w="5880" w:type="dxa"/>
            <w:vAlign w:val="bottom"/>
          </w:tcPr>
          <w:p>
            <w:pPr>
              <w:spacing w:after="0"/>
              <w:rPr>
                <w:sz w:val="20"/>
                <w:szCs w:val="20"/>
                <w:color w:val="auto"/>
              </w:rPr>
            </w:pPr>
            <w:r>
              <w:rPr>
                <w:rFonts w:ascii="Arial" w:cs="Arial" w:eastAsia="Arial" w:hAnsi="Arial"/>
                <w:sz w:val="12"/>
                <w:szCs w:val="12"/>
                <w:color w:val="auto"/>
              </w:rPr>
              <w:t>Other noncurrent liabilities</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750,266</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586,167</w:t>
            </w:r>
          </w:p>
        </w:tc>
      </w:tr>
      <w:tr>
        <w:trPr>
          <w:trHeight w:val="144"/>
        </w:trPr>
        <w:tc>
          <w:tcPr>
            <w:tcW w:w="5880" w:type="dxa"/>
            <w:vAlign w:val="bottom"/>
            <w:shd w:val="clear" w:color="auto" w:fill="CCEEFF"/>
          </w:tcPr>
          <w:p>
            <w:pPr>
              <w:spacing w:after="0"/>
              <w:rPr>
                <w:sz w:val="20"/>
                <w:szCs w:val="20"/>
                <w:color w:val="auto"/>
              </w:rPr>
            </w:pPr>
            <w:r>
              <w:rPr>
                <w:rFonts w:ascii="Arial" w:cs="Arial" w:eastAsia="Arial" w:hAnsi="Arial"/>
                <w:sz w:val="12"/>
                <w:szCs w:val="12"/>
                <w:color w:val="auto"/>
              </w:rPr>
              <w:t>Total Amdocs Limited Shareholders’ equity</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3,592,675</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3,622,646</w:t>
            </w:r>
          </w:p>
        </w:tc>
      </w:tr>
      <w:tr>
        <w:trPr>
          <w:trHeight w:val="144"/>
        </w:trPr>
        <w:tc>
          <w:tcPr>
            <w:tcW w:w="5880" w:type="dxa"/>
            <w:vAlign w:val="bottom"/>
          </w:tcPr>
          <w:p>
            <w:pPr>
              <w:spacing w:after="0"/>
              <w:rPr>
                <w:sz w:val="20"/>
                <w:szCs w:val="20"/>
                <w:color w:val="auto"/>
              </w:rPr>
            </w:pPr>
            <w:r>
              <w:rPr>
                <w:rFonts w:ascii="Arial" w:cs="Arial" w:eastAsia="Arial" w:hAnsi="Arial"/>
                <w:sz w:val="12"/>
                <w:szCs w:val="12"/>
                <w:color w:val="auto"/>
              </w:rPr>
              <w:t>Noncontrolling interests</w:t>
            </w:r>
          </w:p>
        </w:tc>
        <w:tc>
          <w:tcPr>
            <w:tcW w:w="80" w:type="dxa"/>
            <w:vAlign w:val="bottom"/>
          </w:tcPr>
          <w:p>
            <w:pPr>
              <w:spacing w:after="0"/>
              <w:rPr>
                <w:sz w:val="12"/>
                <w:szCs w:val="12"/>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2"/>
                <w:szCs w:val="12"/>
                <w:color w:val="auto"/>
              </w:rPr>
              <w:t>42,509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42,509</w:t>
            </w:r>
          </w:p>
        </w:tc>
      </w:tr>
      <w:tr>
        <w:trPr>
          <w:trHeight w:val="142"/>
        </w:trPr>
        <w:tc>
          <w:tcPr>
            <w:tcW w:w="5880" w:type="dxa"/>
            <w:vAlign w:val="bottom"/>
            <w:shd w:val="clear" w:color="auto" w:fill="CCEEFF"/>
          </w:tcPr>
          <w:p>
            <w:pPr>
              <w:spacing w:after="0"/>
              <w:rPr>
                <w:sz w:val="20"/>
                <w:szCs w:val="20"/>
                <w:color w:val="auto"/>
              </w:rPr>
            </w:pPr>
            <w:r>
              <w:rPr>
                <w:rFonts w:ascii="Arial" w:cs="Arial" w:eastAsia="Arial" w:hAnsi="Arial"/>
                <w:sz w:val="12"/>
                <w:szCs w:val="12"/>
                <w:color w:val="auto"/>
              </w:rPr>
              <w:t>Total equity</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3,635,184</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3,665,155</w:t>
            </w:r>
          </w:p>
        </w:tc>
        <w:tc>
          <w:tcPr>
            <w:tcW w:w="40" w:type="dxa"/>
            <w:vAlign w:val="bottom"/>
            <w:shd w:val="clear" w:color="auto" w:fill="CCEEFF"/>
          </w:tcPr>
          <w:p>
            <w:pPr>
              <w:spacing w:after="0"/>
              <w:rPr>
                <w:sz w:val="12"/>
                <w:szCs w:val="12"/>
                <w:color w:val="auto"/>
              </w:rPr>
            </w:pPr>
          </w:p>
        </w:tc>
      </w:tr>
      <w:tr>
        <w:trPr>
          <w:trHeight w:val="142"/>
        </w:trPr>
        <w:tc>
          <w:tcPr>
            <w:tcW w:w="5880" w:type="dxa"/>
            <w:vAlign w:val="bottom"/>
          </w:tcPr>
          <w:p>
            <w:pPr>
              <w:spacing w:after="0"/>
              <w:rPr>
                <w:sz w:val="20"/>
                <w:szCs w:val="20"/>
                <w:color w:val="auto"/>
              </w:rPr>
            </w:pPr>
            <w:r>
              <w:rPr>
                <w:rFonts w:ascii="Arial" w:cs="Arial" w:eastAsia="Arial" w:hAnsi="Arial"/>
                <w:sz w:val="12"/>
                <w:szCs w:val="12"/>
                <w:color w:val="auto"/>
              </w:rPr>
              <w:t>Total liabilities and equity</w:t>
            </w: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w w:val="89"/>
              </w:rPr>
              <w:t>6,511,774</w:t>
            </w:r>
          </w:p>
        </w:tc>
        <w:tc>
          <w:tcPr>
            <w:tcW w:w="20" w:type="dxa"/>
            <w:vAlign w:val="bottom"/>
          </w:tcPr>
          <w:p>
            <w:pPr>
              <w:spacing w:after="0"/>
              <w:rPr>
                <w:sz w:val="12"/>
                <w:szCs w:val="12"/>
                <w:color w:val="auto"/>
              </w:rPr>
            </w:pPr>
          </w:p>
        </w:tc>
        <w:tc>
          <w:tcPr>
            <w:tcW w:w="320" w:type="dxa"/>
            <w:vAlign w:val="bottom"/>
            <w:gridSpan w:val="2"/>
          </w:tcPr>
          <w:p>
            <w:pPr>
              <w:ind w:left="240"/>
              <w:spacing w:after="0"/>
              <w:rPr>
                <w:sz w:val="20"/>
                <w:szCs w:val="20"/>
                <w:color w:val="auto"/>
              </w:rPr>
            </w:pPr>
            <w:r>
              <w:rPr>
                <w:rFonts w:ascii="Arial" w:cs="Arial" w:eastAsia="Arial" w:hAnsi="Arial"/>
                <w:sz w:val="12"/>
                <w:szCs w:val="12"/>
                <w:color w:val="auto"/>
                <w:w w:val="89"/>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w w:val="89"/>
              </w:rPr>
              <w:t>6,341,621</w:t>
            </w:r>
          </w:p>
        </w:tc>
      </w:tr>
      <w:tr>
        <w:trPr>
          <w:trHeight w:val="27"/>
        </w:trPr>
        <w:tc>
          <w:tcPr>
            <w:tcW w:w="5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ectPr>
          <w:pgSz w:w="11900" w:h="16838" w:orient="portrait"/>
          <w:cols w:equalWidth="0" w:num="1">
            <w:col w:w="9019"/>
          </w:cols>
          <w:pgMar w:left="1440" w:top="226" w:right="1440"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AMDOCS LIMITED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Consolidated Statements of Cash Flows</w:t>
      </w:r>
    </w:p>
    <w:p>
      <w:pPr>
        <w:jc w:val="center"/>
        <w:ind w:right="19"/>
        <w:spacing w:after="0"/>
        <w:rPr>
          <w:sz w:val="20"/>
          <w:szCs w:val="20"/>
          <w:color w:val="auto"/>
        </w:rPr>
      </w:pPr>
      <w:r>
        <w:rPr>
          <w:rFonts w:ascii="Arial" w:cs="Arial" w:eastAsia="Arial" w:hAnsi="Arial"/>
          <w:sz w:val="10"/>
          <w:szCs w:val="10"/>
          <w:b w:val="1"/>
          <w:bCs w:val="1"/>
          <w:color w:val="auto"/>
        </w:rPr>
        <w:t>(In thousands)</w:t>
      </w:r>
    </w:p>
    <w:p>
      <w:pPr>
        <w:spacing w:after="0" w:line="132" w:lineRule="exact"/>
        <w:rPr>
          <w:sz w:val="20"/>
          <w:szCs w:val="20"/>
          <w:color w:val="auto"/>
        </w:rPr>
      </w:pPr>
    </w:p>
    <w:p>
      <w:pPr>
        <w:jc w:val="center"/>
        <w:ind w:left="5980"/>
        <w:spacing w:after="0"/>
        <w:rPr>
          <w:sz w:val="20"/>
          <w:szCs w:val="20"/>
          <w:color w:val="auto"/>
        </w:rPr>
      </w:pPr>
      <w:r>
        <w:rPr>
          <w:rFonts w:ascii="Arial" w:cs="Arial" w:eastAsia="Arial" w:hAnsi="Arial"/>
          <w:sz w:val="10"/>
          <w:szCs w:val="10"/>
          <w:b w:val="1"/>
          <w:bCs w:val="1"/>
          <w:color w:val="auto"/>
        </w:rPr>
        <w:t>Fiscal year ended</w:t>
      </w:r>
    </w:p>
    <w:p>
      <w:pPr>
        <w:jc w:val="center"/>
        <w:ind w:left="5980"/>
        <w:spacing w:after="0" w:line="215" w:lineRule="auto"/>
        <w:rPr>
          <w:sz w:val="20"/>
          <w:szCs w:val="20"/>
          <w:color w:val="auto"/>
        </w:rPr>
      </w:pPr>
      <w:r>
        <w:rPr>
          <w:rFonts w:ascii="Arial" w:cs="Arial" w:eastAsia="Arial" w:hAnsi="Arial"/>
          <w:sz w:val="10"/>
          <w:szCs w:val="10"/>
          <w:b w:val="1"/>
          <w:bCs w:val="1"/>
          <w:color w:val="auto"/>
        </w:rPr>
        <w:t>September 30,</w:t>
      </w:r>
    </w:p>
    <w:tbl>
      <w:tblPr>
        <w:tblLayout w:type="fixed"/>
        <w:tblInd w:w="840" w:type="dxa"/>
        <w:tblCellMar>
          <w:top w:w="0" w:type="dxa"/>
          <w:left w:w="0" w:type="dxa"/>
          <w:bottom w:w="0" w:type="dxa"/>
          <w:right w:w="0" w:type="dxa"/>
        </w:tblCellMar>
      </w:tblPr>
      <w:tr>
        <w:trPr>
          <w:trHeight w:val="88"/>
        </w:trPr>
        <w:tc>
          <w:tcPr>
            <w:tcW w:w="6060" w:type="dxa"/>
            <w:vAlign w:val="bottom"/>
            <w:tcBorders>
              <w:bottom w:val="single" w:sz="8" w:color="CCEEFF"/>
            </w:tcBorders>
          </w:tcPr>
          <w:p>
            <w:pPr>
              <w:spacing w:after="0"/>
              <w:rPr>
                <w:sz w:val="7"/>
                <w:szCs w:val="7"/>
                <w:color w:val="auto"/>
              </w:rPr>
            </w:pPr>
          </w:p>
        </w:tc>
        <w:tc>
          <w:tcPr>
            <w:tcW w:w="500" w:type="dxa"/>
            <w:vAlign w:val="bottom"/>
            <w:tcBorders>
              <w:top w:val="single" w:sz="8" w:color="auto"/>
              <w:bottom w:val="single" w:sz="8" w:color="auto"/>
            </w:tcBorders>
          </w:tcPr>
          <w:p>
            <w:pPr>
              <w:jc w:val="right"/>
              <w:ind w:right="100"/>
              <w:spacing w:after="0" w:line="88" w:lineRule="exact"/>
              <w:rPr>
                <w:sz w:val="20"/>
                <w:szCs w:val="20"/>
                <w:color w:val="auto"/>
              </w:rPr>
            </w:pPr>
            <w:r>
              <w:rPr>
                <w:rFonts w:ascii="Arial" w:cs="Arial" w:eastAsia="Arial" w:hAnsi="Arial"/>
                <w:sz w:val="10"/>
                <w:szCs w:val="10"/>
                <w:b w:val="1"/>
                <w:bCs w:val="1"/>
                <w:color w:val="auto"/>
              </w:rPr>
              <w:t>2021</w:t>
            </w:r>
          </w:p>
        </w:tc>
        <w:tc>
          <w:tcPr>
            <w:tcW w:w="200" w:type="dxa"/>
            <w:vAlign w:val="bottom"/>
            <w:tcBorders>
              <w:top w:val="single" w:sz="8" w:color="auto"/>
              <w:bottom w:val="single" w:sz="8" w:color="CCEEFF"/>
            </w:tcBorders>
          </w:tcPr>
          <w:p>
            <w:pPr>
              <w:spacing w:after="0"/>
              <w:rPr>
                <w:sz w:val="7"/>
                <w:szCs w:val="7"/>
                <w:color w:val="auto"/>
              </w:rPr>
            </w:pPr>
          </w:p>
        </w:tc>
        <w:tc>
          <w:tcPr>
            <w:tcW w:w="500" w:type="dxa"/>
            <w:vAlign w:val="bottom"/>
            <w:tcBorders>
              <w:top w:val="single" w:sz="8" w:color="auto"/>
              <w:bottom w:val="single" w:sz="8" w:color="auto"/>
            </w:tcBorders>
          </w:tcPr>
          <w:p>
            <w:pPr>
              <w:jc w:val="right"/>
              <w:ind w:right="80"/>
              <w:spacing w:after="0" w:line="88" w:lineRule="exact"/>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6060" w:type="dxa"/>
            <w:vAlign w:val="bottom"/>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Cash Flow from Operating Activities:</w:t>
            </w:r>
          </w:p>
        </w:tc>
        <w:tc>
          <w:tcPr>
            <w:tcW w:w="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060" w:type="dxa"/>
            <w:vAlign w:val="bottom"/>
          </w:tcPr>
          <w:p>
            <w:pPr>
              <w:spacing w:after="0"/>
              <w:rPr>
                <w:sz w:val="20"/>
                <w:szCs w:val="20"/>
                <w:color w:val="auto"/>
              </w:rPr>
            </w:pPr>
            <w:r>
              <w:rPr>
                <w:rFonts w:ascii="Arial" w:cs="Arial" w:eastAsia="Arial" w:hAnsi="Arial"/>
                <w:sz w:val="12"/>
                <w:szCs w:val="12"/>
                <w:color w:val="auto"/>
              </w:rPr>
              <w:t>Net income</w:t>
            </w:r>
            <w:r>
              <w:rPr>
                <w:rFonts w:ascii="Arial" w:cs="Arial" w:eastAsia="Arial" w:hAnsi="Arial"/>
                <w:sz w:val="10"/>
                <w:szCs w:val="10"/>
                <w:b w:val="1"/>
                <w:bCs w:val="1"/>
                <w:color w:val="auto"/>
              </w:rPr>
              <w:t>(a)</w:t>
            </w:r>
          </w:p>
        </w:tc>
        <w:tc>
          <w:tcPr>
            <w:tcW w:w="500" w:type="dxa"/>
            <w:vAlign w:val="bottom"/>
          </w:tcPr>
          <w:p>
            <w:pPr>
              <w:jc w:val="right"/>
              <w:spacing w:after="0"/>
              <w:rPr>
                <w:sz w:val="20"/>
                <w:szCs w:val="20"/>
                <w:color w:val="auto"/>
              </w:rPr>
            </w:pPr>
            <w:r>
              <w:rPr>
                <w:rFonts w:ascii="Arial" w:cs="Arial" w:eastAsia="Arial" w:hAnsi="Arial"/>
                <w:sz w:val="12"/>
                <w:szCs w:val="12"/>
                <w:color w:val="auto"/>
                <w:w w:val="89"/>
              </w:rPr>
              <w:t>$ 688,374</w:t>
            </w:r>
          </w:p>
        </w:tc>
        <w:tc>
          <w:tcPr>
            <w:tcW w:w="20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w w:val="89"/>
              </w:rPr>
              <w:t>$ 497,840</w:t>
            </w: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Reconciliation of net income to net cash provided by operating activities:</w:t>
            </w: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60" w:type="dxa"/>
            <w:vAlign w:val="bottom"/>
          </w:tcPr>
          <w:p>
            <w:pPr>
              <w:ind w:left="240"/>
              <w:spacing w:after="0"/>
              <w:rPr>
                <w:sz w:val="20"/>
                <w:szCs w:val="20"/>
                <w:color w:val="auto"/>
              </w:rPr>
            </w:pPr>
            <w:r>
              <w:rPr>
                <w:rFonts w:ascii="Arial" w:cs="Arial" w:eastAsia="Arial" w:hAnsi="Arial"/>
                <w:sz w:val="12"/>
                <w:szCs w:val="12"/>
                <w:color w:val="auto"/>
              </w:rPr>
              <w:t>Depreciation and amortization</w:t>
            </w:r>
          </w:p>
        </w:tc>
        <w:tc>
          <w:tcPr>
            <w:tcW w:w="500" w:type="dxa"/>
            <w:vAlign w:val="bottom"/>
          </w:tcPr>
          <w:p>
            <w:pPr>
              <w:jc w:val="right"/>
              <w:spacing w:after="0"/>
              <w:rPr>
                <w:sz w:val="20"/>
                <w:szCs w:val="20"/>
                <w:color w:val="auto"/>
              </w:rPr>
            </w:pPr>
            <w:r>
              <w:rPr>
                <w:rFonts w:ascii="Arial" w:cs="Arial" w:eastAsia="Arial" w:hAnsi="Arial"/>
                <w:sz w:val="12"/>
                <w:szCs w:val="12"/>
                <w:color w:val="auto"/>
              </w:rPr>
              <w:t>208,830</w:t>
            </w:r>
          </w:p>
        </w:tc>
        <w:tc>
          <w:tcPr>
            <w:tcW w:w="20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198,409</w:t>
            </w: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Amortization of debt issuance costs</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548</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144</w:t>
            </w:r>
          </w:p>
        </w:tc>
        <w:tc>
          <w:tcPr>
            <w:tcW w:w="0" w:type="dxa"/>
            <w:vAlign w:val="bottom"/>
          </w:tcPr>
          <w:p>
            <w:pPr>
              <w:spacing w:after="0"/>
              <w:rPr>
                <w:sz w:val="1"/>
                <w:szCs w:val="1"/>
                <w:color w:val="auto"/>
              </w:rPr>
            </w:pPr>
          </w:p>
        </w:tc>
      </w:tr>
      <w:tr>
        <w:trPr>
          <w:trHeight w:val="144"/>
        </w:trPr>
        <w:tc>
          <w:tcPr>
            <w:tcW w:w="6060" w:type="dxa"/>
            <w:vAlign w:val="bottom"/>
          </w:tcPr>
          <w:p>
            <w:pPr>
              <w:ind w:left="240"/>
              <w:spacing w:after="0"/>
              <w:rPr>
                <w:sz w:val="20"/>
                <w:szCs w:val="20"/>
                <w:color w:val="auto"/>
              </w:rPr>
            </w:pPr>
            <w:r>
              <w:rPr>
                <w:rFonts w:ascii="Arial" w:cs="Arial" w:eastAsia="Arial" w:hAnsi="Arial"/>
                <w:sz w:val="12"/>
                <w:szCs w:val="12"/>
                <w:color w:val="auto"/>
              </w:rPr>
              <w:t>Equity-based compensation expense</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54,249</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42,434</w:t>
            </w: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Gain from sale of a business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(226,410)</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060" w:type="dxa"/>
            <w:vAlign w:val="bottom"/>
          </w:tcPr>
          <w:p>
            <w:pPr>
              <w:ind w:left="240"/>
              <w:spacing w:after="0"/>
              <w:rPr>
                <w:sz w:val="20"/>
                <w:szCs w:val="20"/>
                <w:color w:val="auto"/>
              </w:rPr>
            </w:pPr>
            <w:r>
              <w:rPr>
                <w:rFonts w:ascii="Arial" w:cs="Arial" w:eastAsia="Arial" w:hAnsi="Arial"/>
                <w:sz w:val="12"/>
                <w:szCs w:val="12"/>
                <w:color w:val="auto"/>
              </w:rPr>
              <w:t>Deferred income taxes</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(50,605)</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30,239</w:t>
            </w: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Loss from short-term interest-bearing investments</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1,726</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060" w:type="dxa"/>
            <w:vAlign w:val="bottom"/>
          </w:tcPr>
          <w:p>
            <w:pPr>
              <w:spacing w:after="0"/>
              <w:rPr>
                <w:sz w:val="20"/>
                <w:szCs w:val="20"/>
                <w:color w:val="auto"/>
              </w:rPr>
            </w:pPr>
            <w:r>
              <w:rPr>
                <w:rFonts w:ascii="Arial" w:cs="Arial" w:eastAsia="Arial" w:hAnsi="Arial"/>
                <w:sz w:val="12"/>
                <w:szCs w:val="12"/>
                <w:color w:val="auto"/>
              </w:rPr>
              <w:t>Net changes in operating assets and liabilities, net of amounts acquired:</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receivable, net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(69,051)</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134,584</w:t>
            </w:r>
          </w:p>
        </w:tc>
        <w:tc>
          <w:tcPr>
            <w:tcW w:w="0" w:type="dxa"/>
            <w:vAlign w:val="bottom"/>
          </w:tcPr>
          <w:p>
            <w:pPr>
              <w:spacing w:after="0"/>
              <w:rPr>
                <w:sz w:val="1"/>
                <w:szCs w:val="1"/>
                <w:color w:val="auto"/>
              </w:rPr>
            </w:pPr>
          </w:p>
        </w:tc>
      </w:tr>
      <w:tr>
        <w:trPr>
          <w:trHeight w:val="144"/>
        </w:trPr>
        <w:tc>
          <w:tcPr>
            <w:tcW w:w="6060" w:type="dxa"/>
            <w:vAlign w:val="bottom"/>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(17,041)</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(10,815)</w:t>
            </w: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 noncurrent assets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(50,038)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(23,329)</w:t>
            </w:r>
          </w:p>
        </w:tc>
        <w:tc>
          <w:tcPr>
            <w:tcW w:w="0" w:type="dxa"/>
            <w:vAlign w:val="bottom"/>
          </w:tcPr>
          <w:p>
            <w:pPr>
              <w:spacing w:after="0"/>
              <w:rPr>
                <w:sz w:val="1"/>
                <w:szCs w:val="1"/>
                <w:color w:val="auto"/>
              </w:rPr>
            </w:pPr>
          </w:p>
        </w:tc>
      </w:tr>
      <w:tr>
        <w:trPr>
          <w:trHeight w:val="144"/>
        </w:trPr>
        <w:tc>
          <w:tcPr>
            <w:tcW w:w="6060" w:type="dxa"/>
            <w:vAlign w:val="bottom"/>
          </w:tcPr>
          <w:p>
            <w:pPr>
              <w:ind w:left="240"/>
              <w:spacing w:after="0"/>
              <w:rPr>
                <w:sz w:val="20"/>
                <w:szCs w:val="20"/>
                <w:color w:val="auto"/>
              </w:rPr>
            </w:pPr>
            <w:r>
              <w:rPr>
                <w:rFonts w:ascii="Arial" w:cs="Arial" w:eastAsia="Arial" w:hAnsi="Arial"/>
                <w:sz w:val="12"/>
                <w:szCs w:val="12"/>
                <w:color w:val="auto"/>
              </w:rPr>
              <w:t>Lease assets and liabilities, net</w:t>
            </w:r>
          </w:p>
        </w:tc>
        <w:tc>
          <w:tcPr>
            <w:tcW w:w="500" w:type="dxa"/>
            <w:vAlign w:val="bottom"/>
          </w:tcPr>
          <w:p>
            <w:pPr>
              <w:jc w:val="right"/>
              <w:spacing w:after="0"/>
              <w:rPr>
                <w:sz w:val="20"/>
                <w:szCs w:val="20"/>
                <w:color w:val="auto"/>
              </w:rPr>
            </w:pPr>
            <w:r>
              <w:rPr>
                <w:rFonts w:ascii="Arial" w:cs="Arial" w:eastAsia="Arial" w:hAnsi="Arial"/>
                <w:sz w:val="12"/>
                <w:szCs w:val="12"/>
                <w:color w:val="auto"/>
              </w:rPr>
              <w:t>9,630</w:t>
            </w:r>
          </w:p>
        </w:tc>
        <w:tc>
          <w:tcPr>
            <w:tcW w:w="20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(7,881)</w:t>
            </w: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Accounts payable, accrued expenses and accrued personnel</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122,224</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(190,354)</w:t>
            </w:r>
          </w:p>
        </w:tc>
        <w:tc>
          <w:tcPr>
            <w:tcW w:w="0" w:type="dxa"/>
            <w:vAlign w:val="bottom"/>
          </w:tcPr>
          <w:p>
            <w:pPr>
              <w:spacing w:after="0"/>
              <w:rPr>
                <w:sz w:val="1"/>
                <w:szCs w:val="1"/>
                <w:color w:val="auto"/>
              </w:rPr>
            </w:pPr>
          </w:p>
        </w:tc>
      </w:tr>
      <w:tr>
        <w:trPr>
          <w:trHeight w:val="144"/>
        </w:trPr>
        <w:tc>
          <w:tcPr>
            <w:tcW w:w="6060" w:type="dxa"/>
            <w:vAlign w:val="bottom"/>
          </w:tcPr>
          <w:p>
            <w:pPr>
              <w:ind w:left="240"/>
              <w:spacing w:after="0"/>
              <w:rPr>
                <w:sz w:val="20"/>
                <w:szCs w:val="20"/>
                <w:color w:val="auto"/>
              </w:rPr>
            </w:pPr>
            <w:r>
              <w:rPr>
                <w:rFonts w:ascii="Arial" w:cs="Arial" w:eastAsia="Arial" w:hAnsi="Arial"/>
                <w:sz w:val="12"/>
                <w:szCs w:val="12"/>
                <w:color w:val="auto"/>
              </w:rPr>
              <w:t>Deferred revenue</w:t>
            </w:r>
          </w:p>
        </w:tc>
        <w:tc>
          <w:tcPr>
            <w:tcW w:w="500" w:type="dxa"/>
            <w:vAlign w:val="bottom"/>
          </w:tcPr>
          <w:p>
            <w:pPr>
              <w:jc w:val="right"/>
              <w:spacing w:after="0"/>
              <w:rPr>
                <w:sz w:val="20"/>
                <w:szCs w:val="20"/>
                <w:color w:val="auto"/>
              </w:rPr>
            </w:pPr>
            <w:r>
              <w:rPr>
                <w:rFonts w:ascii="Arial" w:cs="Arial" w:eastAsia="Arial" w:hAnsi="Arial"/>
                <w:sz w:val="12"/>
                <w:szCs w:val="12"/>
                <w:color w:val="auto"/>
              </w:rPr>
              <w:t>193,655</w:t>
            </w:r>
          </w:p>
        </w:tc>
        <w:tc>
          <w:tcPr>
            <w:tcW w:w="20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(15,184)</w:t>
            </w: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Income taxes payable, net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26,814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(9,281)</w:t>
            </w:r>
          </w:p>
        </w:tc>
        <w:tc>
          <w:tcPr>
            <w:tcW w:w="0" w:type="dxa"/>
            <w:vAlign w:val="bottom"/>
          </w:tcPr>
          <w:p>
            <w:pPr>
              <w:spacing w:after="0"/>
              <w:rPr>
                <w:sz w:val="1"/>
                <w:szCs w:val="1"/>
                <w:color w:val="auto"/>
              </w:rPr>
            </w:pPr>
          </w:p>
        </w:tc>
      </w:tr>
      <w:tr>
        <w:trPr>
          <w:trHeight w:val="144"/>
        </w:trPr>
        <w:tc>
          <w:tcPr>
            <w:tcW w:w="6060" w:type="dxa"/>
            <w:vAlign w:val="bottom"/>
          </w:tcPr>
          <w:p>
            <w:pPr>
              <w:ind w:left="240"/>
              <w:spacing w:after="0"/>
              <w:rPr>
                <w:sz w:val="20"/>
                <w:szCs w:val="20"/>
                <w:color w:val="auto"/>
              </w:rPr>
            </w:pPr>
            <w:r>
              <w:rPr>
                <w:rFonts w:ascii="Arial" w:cs="Arial" w:eastAsia="Arial" w:hAnsi="Arial"/>
                <w:sz w:val="12"/>
                <w:szCs w:val="12"/>
                <w:color w:val="auto"/>
              </w:rPr>
              <w:t>Other noncurrent liabilities</w:t>
            </w:r>
          </w:p>
        </w:tc>
        <w:tc>
          <w:tcPr>
            <w:tcW w:w="500" w:type="dxa"/>
            <w:vAlign w:val="bottom"/>
          </w:tcPr>
          <w:p>
            <w:pPr>
              <w:jc w:val="right"/>
              <w:spacing w:after="0"/>
              <w:rPr>
                <w:sz w:val="20"/>
                <w:szCs w:val="20"/>
                <w:color w:val="auto"/>
              </w:rPr>
            </w:pPr>
            <w:r>
              <w:rPr>
                <w:rFonts w:ascii="Arial" w:cs="Arial" w:eastAsia="Arial" w:hAnsi="Arial"/>
                <w:sz w:val="12"/>
                <w:szCs w:val="12"/>
                <w:color w:val="auto"/>
              </w:rPr>
              <w:t>32,902</w:t>
            </w:r>
          </w:p>
        </w:tc>
        <w:tc>
          <w:tcPr>
            <w:tcW w:w="20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11,330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operating activities</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925,807</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658,136</w:t>
            </w:r>
          </w:p>
        </w:tc>
        <w:tc>
          <w:tcPr>
            <w:tcW w:w="0" w:type="dxa"/>
            <w:vAlign w:val="bottom"/>
          </w:tcPr>
          <w:p>
            <w:pPr>
              <w:spacing w:after="0"/>
              <w:rPr>
                <w:sz w:val="1"/>
                <w:szCs w:val="1"/>
                <w:color w:val="auto"/>
              </w:rPr>
            </w:pPr>
          </w:p>
        </w:tc>
      </w:tr>
      <w:tr>
        <w:trPr>
          <w:trHeight w:val="142"/>
        </w:trPr>
        <w:tc>
          <w:tcPr>
            <w:tcW w:w="6060" w:type="dxa"/>
            <w:vAlign w:val="bottom"/>
          </w:tcPr>
          <w:p>
            <w:pPr>
              <w:spacing w:after="0"/>
              <w:rPr>
                <w:sz w:val="20"/>
                <w:szCs w:val="20"/>
                <w:color w:val="auto"/>
              </w:rPr>
            </w:pPr>
            <w:r>
              <w:rPr>
                <w:rFonts w:ascii="Arial" w:cs="Arial" w:eastAsia="Arial" w:hAnsi="Arial"/>
                <w:sz w:val="12"/>
                <w:szCs w:val="12"/>
                <w:b w:val="1"/>
                <w:bCs w:val="1"/>
                <w:color w:val="auto"/>
              </w:rPr>
              <w:t>Cash Flow from Investing Activities:</w:t>
            </w: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 xml:space="preserve">Purchase of property and equipment, net </w:t>
            </w:r>
            <w:r>
              <w:rPr>
                <w:rFonts w:ascii="Arial" w:cs="Arial" w:eastAsia="Arial" w:hAnsi="Arial"/>
                <w:sz w:val="10"/>
                <w:szCs w:val="10"/>
                <w:b w:val="1"/>
                <w:bCs w:val="1"/>
                <w:color w:val="auto"/>
              </w:rPr>
              <w:t>(c)</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(210,438)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(205,510)</w:t>
            </w:r>
          </w:p>
        </w:tc>
        <w:tc>
          <w:tcPr>
            <w:tcW w:w="0" w:type="dxa"/>
            <w:vAlign w:val="bottom"/>
          </w:tcPr>
          <w:p>
            <w:pPr>
              <w:spacing w:after="0"/>
              <w:rPr>
                <w:sz w:val="1"/>
                <w:szCs w:val="1"/>
                <w:color w:val="auto"/>
              </w:rPr>
            </w:pPr>
          </w:p>
        </w:tc>
      </w:tr>
      <w:tr>
        <w:trPr>
          <w:trHeight w:val="144"/>
        </w:trPr>
        <w:tc>
          <w:tcPr>
            <w:tcW w:w="6060" w:type="dxa"/>
            <w:vAlign w:val="bottom"/>
          </w:tcPr>
          <w:p>
            <w:pPr>
              <w:spacing w:after="0"/>
              <w:rPr>
                <w:sz w:val="20"/>
                <w:szCs w:val="20"/>
                <w:color w:val="auto"/>
              </w:rPr>
            </w:pPr>
            <w:r>
              <w:rPr>
                <w:rFonts w:ascii="Arial" w:cs="Arial" w:eastAsia="Arial" w:hAnsi="Arial"/>
                <w:sz w:val="12"/>
                <w:szCs w:val="12"/>
                <w:color w:val="auto"/>
              </w:rPr>
              <w:t>Proceeds from sale of short-term interest-bearing investments</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18,205</w:t>
            </w: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Purchase of short-term interest-bearing investments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(276,978)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(753)</w:t>
            </w:r>
          </w:p>
        </w:tc>
        <w:tc>
          <w:tcPr>
            <w:tcW w:w="0" w:type="dxa"/>
            <w:vAlign w:val="bottom"/>
          </w:tcPr>
          <w:p>
            <w:pPr>
              <w:spacing w:after="0"/>
              <w:rPr>
                <w:sz w:val="1"/>
                <w:szCs w:val="1"/>
                <w:color w:val="auto"/>
              </w:rPr>
            </w:pPr>
          </w:p>
        </w:tc>
      </w:tr>
      <w:tr>
        <w:trPr>
          <w:trHeight w:val="144"/>
        </w:trPr>
        <w:tc>
          <w:tcPr>
            <w:tcW w:w="6060" w:type="dxa"/>
            <w:vAlign w:val="bottom"/>
          </w:tcPr>
          <w:p>
            <w:pPr>
              <w:spacing w:after="0"/>
              <w:rPr>
                <w:sz w:val="20"/>
                <w:szCs w:val="20"/>
                <w:color w:val="auto"/>
              </w:rPr>
            </w:pPr>
            <w:r>
              <w:rPr>
                <w:rFonts w:ascii="Arial" w:cs="Arial" w:eastAsia="Arial" w:hAnsi="Arial"/>
                <w:sz w:val="12"/>
                <w:szCs w:val="12"/>
                <w:color w:val="auto"/>
              </w:rPr>
              <w:t>Net cash paid for business and intangible assets acquisitions</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(142,697)</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(249,358)</w:t>
            </w: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Net cash received from sale of a business</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288,990</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6060" w:type="dxa"/>
            <w:vAlign w:val="bottom"/>
          </w:tcPr>
          <w:p>
            <w:pPr>
              <w:spacing w:after="0"/>
              <w:rPr>
                <w:sz w:val="20"/>
                <w:szCs w:val="20"/>
                <w:color w:val="auto"/>
              </w:rPr>
            </w:pPr>
            <w:r>
              <w:rPr>
                <w:rFonts w:ascii="Arial" w:cs="Arial" w:eastAsia="Arial" w:hAnsi="Arial"/>
                <w:sz w:val="12"/>
                <w:szCs w:val="12"/>
                <w:color w:val="auto"/>
              </w:rPr>
              <w:t>Other</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(6,082)</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(6,104)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investing activities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(329,000)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(461,725)</w:t>
            </w:r>
          </w:p>
        </w:tc>
        <w:tc>
          <w:tcPr>
            <w:tcW w:w="0" w:type="dxa"/>
            <w:vAlign w:val="bottom"/>
          </w:tcPr>
          <w:p>
            <w:pPr>
              <w:spacing w:after="0"/>
              <w:rPr>
                <w:sz w:val="1"/>
                <w:szCs w:val="1"/>
                <w:color w:val="auto"/>
              </w:rPr>
            </w:pPr>
          </w:p>
        </w:tc>
      </w:tr>
      <w:tr>
        <w:trPr>
          <w:trHeight w:val="142"/>
        </w:trPr>
        <w:tc>
          <w:tcPr>
            <w:tcW w:w="6060" w:type="dxa"/>
            <w:vAlign w:val="bottom"/>
          </w:tcPr>
          <w:p>
            <w:pPr>
              <w:spacing w:after="0"/>
              <w:rPr>
                <w:sz w:val="20"/>
                <w:szCs w:val="20"/>
                <w:color w:val="auto"/>
              </w:rPr>
            </w:pPr>
            <w:r>
              <w:rPr>
                <w:rFonts w:ascii="Arial" w:cs="Arial" w:eastAsia="Arial" w:hAnsi="Arial"/>
                <w:sz w:val="12"/>
                <w:szCs w:val="12"/>
                <w:b w:val="1"/>
                <w:bCs w:val="1"/>
                <w:color w:val="auto"/>
              </w:rPr>
              <w:t>Cash Flow from Financing Activities:</w:t>
            </w:r>
          </w:p>
        </w:tc>
        <w:tc>
          <w:tcPr>
            <w:tcW w:w="5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Borrowings under financing arrangements</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450,000</w:t>
            </w:r>
          </w:p>
        </w:tc>
        <w:tc>
          <w:tcPr>
            <w:tcW w:w="0" w:type="dxa"/>
            <w:vAlign w:val="bottom"/>
          </w:tcPr>
          <w:p>
            <w:pPr>
              <w:spacing w:after="0"/>
              <w:rPr>
                <w:sz w:val="1"/>
                <w:szCs w:val="1"/>
                <w:color w:val="auto"/>
              </w:rPr>
            </w:pPr>
          </w:p>
        </w:tc>
      </w:tr>
      <w:tr>
        <w:trPr>
          <w:trHeight w:val="144"/>
        </w:trPr>
        <w:tc>
          <w:tcPr>
            <w:tcW w:w="6060" w:type="dxa"/>
            <w:vAlign w:val="bottom"/>
          </w:tcPr>
          <w:p>
            <w:pPr>
              <w:spacing w:after="0"/>
              <w:rPr>
                <w:sz w:val="20"/>
                <w:szCs w:val="20"/>
                <w:color w:val="auto"/>
              </w:rPr>
            </w:pPr>
            <w:r>
              <w:rPr>
                <w:rFonts w:ascii="Arial" w:cs="Arial" w:eastAsia="Arial" w:hAnsi="Arial"/>
                <w:sz w:val="12"/>
                <w:szCs w:val="12"/>
                <w:color w:val="auto"/>
              </w:rPr>
              <w:t>Payments under financing arrangements</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(100,000)</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(350,000)</w:t>
            </w: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Proceeds from issuance of debt, net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643,919</w:t>
            </w:r>
          </w:p>
        </w:tc>
        <w:tc>
          <w:tcPr>
            <w:tcW w:w="0" w:type="dxa"/>
            <w:vAlign w:val="bottom"/>
          </w:tcPr>
          <w:p>
            <w:pPr>
              <w:spacing w:after="0"/>
              <w:rPr>
                <w:sz w:val="1"/>
                <w:szCs w:val="1"/>
                <w:color w:val="auto"/>
              </w:rPr>
            </w:pPr>
          </w:p>
        </w:tc>
      </w:tr>
      <w:tr>
        <w:trPr>
          <w:trHeight w:val="144"/>
        </w:trPr>
        <w:tc>
          <w:tcPr>
            <w:tcW w:w="6060" w:type="dxa"/>
            <w:vAlign w:val="bottom"/>
          </w:tcPr>
          <w:p>
            <w:pPr>
              <w:spacing w:after="0"/>
              <w:rPr>
                <w:sz w:val="20"/>
                <w:szCs w:val="20"/>
                <w:color w:val="auto"/>
              </w:rPr>
            </w:pPr>
            <w:r>
              <w:rPr>
                <w:rFonts w:ascii="Arial" w:cs="Arial" w:eastAsia="Arial" w:hAnsi="Arial"/>
                <w:sz w:val="12"/>
                <w:szCs w:val="12"/>
                <w:color w:val="auto"/>
              </w:rPr>
              <w:t>Repurchase of shares</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(679,996)</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(360,912)</w:t>
            </w: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Proceeds from employee stock options exercises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89,056</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97,850</w:t>
            </w:r>
          </w:p>
        </w:tc>
        <w:tc>
          <w:tcPr>
            <w:tcW w:w="0" w:type="dxa"/>
            <w:vAlign w:val="bottom"/>
          </w:tcPr>
          <w:p>
            <w:pPr>
              <w:spacing w:after="0"/>
              <w:rPr>
                <w:sz w:val="1"/>
                <w:szCs w:val="1"/>
                <w:color w:val="auto"/>
              </w:rPr>
            </w:pPr>
          </w:p>
        </w:tc>
      </w:tr>
      <w:tr>
        <w:trPr>
          <w:trHeight w:val="144"/>
        </w:trPr>
        <w:tc>
          <w:tcPr>
            <w:tcW w:w="6060" w:type="dxa"/>
            <w:vAlign w:val="bottom"/>
          </w:tcPr>
          <w:p>
            <w:pPr>
              <w:spacing w:after="0"/>
              <w:rPr>
                <w:sz w:val="20"/>
                <w:szCs w:val="20"/>
                <w:color w:val="auto"/>
              </w:rPr>
            </w:pPr>
            <w:r>
              <w:rPr>
                <w:rFonts w:ascii="Arial" w:cs="Arial" w:eastAsia="Arial" w:hAnsi="Arial"/>
                <w:sz w:val="12"/>
                <w:szCs w:val="12"/>
                <w:color w:val="auto"/>
              </w:rPr>
              <w:t>Payments of dividends</w:t>
            </w: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(177,472)</w:t>
            </w: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(164,061)</w:t>
            </w: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Payment of contingent consideration from a business acquisition</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(2,519)</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(1,411)</w:t>
            </w:r>
          </w:p>
        </w:tc>
        <w:tc>
          <w:tcPr>
            <w:tcW w:w="0" w:type="dxa"/>
            <w:vAlign w:val="bottom"/>
          </w:tcPr>
          <w:p>
            <w:pPr>
              <w:spacing w:after="0"/>
              <w:rPr>
                <w:sz w:val="1"/>
                <w:szCs w:val="1"/>
                <w:color w:val="auto"/>
              </w:rPr>
            </w:pPr>
          </w:p>
        </w:tc>
      </w:tr>
      <w:tr>
        <w:trPr>
          <w:trHeight w:val="144"/>
        </w:trPr>
        <w:tc>
          <w:tcPr>
            <w:tcW w:w="6060" w:type="dxa"/>
            <w:vAlign w:val="bottom"/>
          </w:tcPr>
          <w:p>
            <w:pPr>
              <w:spacing w:after="0"/>
              <w:rPr>
                <w:sz w:val="20"/>
                <w:szCs w:val="20"/>
                <w:color w:val="auto"/>
              </w:rPr>
            </w:pPr>
            <w:r>
              <w:rPr>
                <w:rFonts w:ascii="Arial" w:cs="Arial" w:eastAsia="Arial" w:hAnsi="Arial"/>
                <w:sz w:val="12"/>
                <w:szCs w:val="12"/>
                <w:color w:val="auto"/>
              </w:rPr>
              <w:t>Other</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(240)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provided by financing activities</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(870,931)</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315,145</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2"/>
                <w:szCs w:val="12"/>
                <w:color w:val="auto"/>
              </w:rPr>
              <w:t>Net (decrease) increase in cash and cash equivalents</w:t>
            </w: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60" w:type="dxa"/>
            <w:vAlign w:val="bottom"/>
            <w:vMerge w:val="continue"/>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(274,124)</w:t>
            </w: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511,556</w:t>
            </w: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 at beginning of period</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983,188</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471,632</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2"/>
                <w:szCs w:val="12"/>
                <w:color w:val="auto"/>
              </w:rPr>
              <w:t>Cash and cash equivalents at end of period</w:t>
            </w: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60" w:type="dxa"/>
            <w:vAlign w:val="bottom"/>
            <w:vMerge w:val="continue"/>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w w:val="89"/>
              </w:rPr>
              <w:t>$ 709,064</w:t>
            </w:r>
          </w:p>
        </w:tc>
        <w:tc>
          <w:tcPr>
            <w:tcW w:w="20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w w:val="89"/>
              </w:rPr>
              <w:t>$ 983,188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26" w:right="1440" w:bottom="1440" w:gutter="0" w:footer="0" w:header="0"/>
        </w:sectPr>
      </w:pPr>
    </w:p>
    <w:bookmarkStart w:id="20" w:name="page21"/>
    <w:bookmarkEnd w:id="20"/>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AMDOCS LIMITED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Supplementary Information</w:t>
      </w:r>
    </w:p>
    <w:p>
      <w:pPr>
        <w:jc w:val="center"/>
        <w:spacing w:after="0"/>
        <w:rPr>
          <w:sz w:val="20"/>
          <w:szCs w:val="20"/>
          <w:color w:val="auto"/>
        </w:rPr>
      </w:pPr>
      <w:r>
        <w:rPr>
          <w:rFonts w:ascii="Arial" w:cs="Arial" w:eastAsia="Arial" w:hAnsi="Arial"/>
          <w:sz w:val="10"/>
          <w:szCs w:val="10"/>
          <w:b w:val="1"/>
          <w:bCs w:val="1"/>
          <w:color w:val="auto"/>
        </w:rPr>
        <w:t>(In millions)</w:t>
      </w:r>
    </w:p>
    <w:p>
      <w:pPr>
        <w:spacing w:after="0" w:line="136"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36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9"/>
          </w:tcPr>
          <w:p>
            <w:pPr>
              <w:jc w:val="center"/>
              <w:ind w:right="55"/>
              <w:spacing w:after="0"/>
              <w:rPr>
                <w:sz w:val="20"/>
                <w:szCs w:val="20"/>
                <w:color w:val="auto"/>
              </w:rPr>
            </w:pPr>
            <w:r>
              <w:rPr>
                <w:rFonts w:ascii="Arial" w:cs="Arial" w:eastAsia="Arial" w:hAnsi="Arial"/>
                <w:sz w:val="10"/>
                <w:szCs w:val="10"/>
                <w:b w:val="1"/>
                <w:bCs w:val="1"/>
                <w:color w:val="auto"/>
                <w:w w:val="85"/>
              </w:rPr>
              <w:t>Three months ended</w:t>
            </w:r>
          </w:p>
        </w:tc>
        <w:tc>
          <w:tcPr>
            <w:tcW w:w="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3640" w:type="dxa"/>
            <w:vAlign w:val="bottom"/>
          </w:tcPr>
          <w:p>
            <w:pPr>
              <w:spacing w:after="0"/>
              <w:rPr>
                <w:sz w:val="6"/>
                <w:szCs w:val="6"/>
                <w:color w:val="auto"/>
              </w:rPr>
            </w:pPr>
          </w:p>
        </w:tc>
        <w:tc>
          <w:tcPr>
            <w:tcW w:w="760" w:type="dxa"/>
            <w:vAlign w:val="bottom"/>
            <w:gridSpan w:val="7"/>
          </w:tcPr>
          <w:p>
            <w:pPr>
              <w:spacing w:after="0" w:line="74" w:lineRule="exact"/>
              <w:rPr>
                <w:sz w:val="20"/>
                <w:szCs w:val="20"/>
                <w:color w:val="auto"/>
              </w:rPr>
            </w:pPr>
            <w:r>
              <w:rPr>
                <w:rFonts w:ascii="Arial" w:cs="Arial" w:eastAsia="Arial" w:hAnsi="Arial"/>
                <w:sz w:val="8"/>
                <w:szCs w:val="8"/>
                <w:b w:val="1"/>
                <w:bCs w:val="1"/>
                <w:color w:val="auto"/>
              </w:rPr>
              <w:t>September 30,</w:t>
            </w:r>
          </w:p>
        </w:tc>
        <w:tc>
          <w:tcPr>
            <w:tcW w:w="100" w:type="dxa"/>
            <w:vAlign w:val="bottom"/>
          </w:tcPr>
          <w:p>
            <w:pPr>
              <w:spacing w:after="0"/>
              <w:rPr>
                <w:sz w:val="6"/>
                <w:szCs w:val="6"/>
                <w:color w:val="auto"/>
              </w:rPr>
            </w:pPr>
          </w:p>
        </w:tc>
        <w:tc>
          <w:tcPr>
            <w:tcW w:w="520" w:type="dxa"/>
            <w:vAlign w:val="bottom"/>
            <w:gridSpan w:val="6"/>
          </w:tcPr>
          <w:p>
            <w:pPr>
              <w:jc w:val="right"/>
              <w:ind w:right="140"/>
              <w:spacing w:after="0" w:line="74" w:lineRule="exact"/>
              <w:rPr>
                <w:sz w:val="20"/>
                <w:szCs w:val="20"/>
                <w:color w:val="auto"/>
              </w:rPr>
            </w:pPr>
            <w:r>
              <w:rPr>
                <w:rFonts w:ascii="Arial" w:cs="Arial" w:eastAsia="Arial" w:hAnsi="Arial"/>
                <w:sz w:val="8"/>
                <w:szCs w:val="8"/>
                <w:b w:val="1"/>
                <w:bCs w:val="1"/>
                <w:color w:val="auto"/>
              </w:rPr>
              <w:t>June 30,</w:t>
            </w: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gridSpan w:val="4"/>
          </w:tcPr>
          <w:p>
            <w:pPr>
              <w:jc w:val="center"/>
              <w:ind w:right="200"/>
              <w:spacing w:after="0" w:line="74" w:lineRule="exact"/>
              <w:rPr>
                <w:sz w:val="20"/>
                <w:szCs w:val="20"/>
                <w:color w:val="auto"/>
              </w:rPr>
            </w:pPr>
            <w:r>
              <w:rPr>
                <w:rFonts w:ascii="Arial" w:cs="Arial" w:eastAsia="Arial" w:hAnsi="Arial"/>
                <w:sz w:val="8"/>
                <w:szCs w:val="8"/>
                <w:b w:val="1"/>
                <w:bCs w:val="1"/>
                <w:color w:val="auto"/>
              </w:rPr>
              <w:t>March 31,</w:t>
            </w: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gridSpan w:val="5"/>
          </w:tcPr>
          <w:p>
            <w:pPr>
              <w:ind w:left="20"/>
              <w:spacing w:after="0" w:line="74" w:lineRule="exact"/>
              <w:rPr>
                <w:sz w:val="20"/>
                <w:szCs w:val="20"/>
                <w:color w:val="auto"/>
              </w:rPr>
            </w:pPr>
            <w:r>
              <w:rPr>
                <w:rFonts w:ascii="Arial" w:cs="Arial" w:eastAsia="Arial" w:hAnsi="Arial"/>
                <w:sz w:val="8"/>
                <w:szCs w:val="8"/>
                <w:b w:val="1"/>
                <w:bCs w:val="1"/>
                <w:color w:val="auto"/>
              </w:rPr>
              <w:t>December 31,</w:t>
            </w:r>
          </w:p>
        </w:tc>
        <w:tc>
          <w:tcPr>
            <w:tcW w:w="580" w:type="dxa"/>
            <w:vAlign w:val="bottom"/>
            <w:gridSpan w:val="2"/>
          </w:tcPr>
          <w:p>
            <w:pPr>
              <w:spacing w:after="0" w:line="74" w:lineRule="exact"/>
              <w:rPr>
                <w:sz w:val="20"/>
                <w:szCs w:val="20"/>
                <w:color w:val="auto"/>
              </w:rPr>
            </w:pPr>
            <w:r>
              <w:rPr>
                <w:rFonts w:ascii="Arial" w:cs="Arial" w:eastAsia="Arial" w:hAnsi="Arial"/>
                <w:sz w:val="8"/>
                <w:szCs w:val="8"/>
                <w:b w:val="1"/>
                <w:bCs w:val="1"/>
                <w:color w:val="auto"/>
              </w:rPr>
              <w:t>September 30,</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3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4"/>
          </w:tcPr>
          <w:p>
            <w:pPr>
              <w:spacing w:after="0" w:line="114" w:lineRule="exact"/>
              <w:rPr>
                <w:sz w:val="20"/>
                <w:szCs w:val="20"/>
                <w:color w:val="auto"/>
              </w:rPr>
            </w:pPr>
            <w:r>
              <w:rPr>
                <w:rFonts w:ascii="Arial" w:cs="Arial" w:eastAsia="Arial" w:hAnsi="Arial"/>
                <w:sz w:val="10"/>
                <w:szCs w:val="10"/>
                <w:b w:val="1"/>
                <w:bCs w:val="1"/>
                <w:color w:val="auto"/>
              </w:rPr>
              <w:t>2021</w:t>
            </w:r>
            <w:r>
              <w:rPr>
                <w:rFonts w:ascii="Arial" w:cs="Arial" w:eastAsia="Arial" w:hAnsi="Arial"/>
                <w:sz w:val="8"/>
                <w:szCs w:val="8"/>
                <w:b w:val="1"/>
                <w:bCs w:val="1"/>
                <w:color w:val="auto"/>
              </w:rPr>
              <w:t>(a)</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gridSpan w:val="5"/>
          </w:tcPr>
          <w:p>
            <w:pPr>
              <w:spacing w:after="0" w:line="114" w:lineRule="exact"/>
              <w:rPr>
                <w:sz w:val="20"/>
                <w:szCs w:val="20"/>
                <w:color w:val="auto"/>
              </w:rPr>
            </w:pPr>
            <w:r>
              <w:rPr>
                <w:rFonts w:ascii="Arial" w:cs="Arial" w:eastAsia="Arial" w:hAnsi="Arial"/>
                <w:sz w:val="10"/>
                <w:szCs w:val="10"/>
                <w:b w:val="1"/>
                <w:bCs w:val="1"/>
                <w:color w:val="auto"/>
              </w:rPr>
              <w:t>2021</w:t>
            </w:r>
            <w:r>
              <w:rPr>
                <w:rFonts w:ascii="Arial" w:cs="Arial" w:eastAsia="Arial" w:hAnsi="Arial"/>
                <w:sz w:val="8"/>
                <w:szCs w:val="8"/>
                <w:b w:val="1"/>
                <w:bCs w:val="1"/>
                <w:color w:val="auto"/>
              </w:rPr>
              <w:t>(a)</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4"/>
          </w:tcPr>
          <w:p>
            <w:pPr>
              <w:jc w:val="center"/>
              <w:ind w:right="200"/>
              <w:spacing w:after="0" w:line="114" w:lineRule="exact"/>
              <w:rPr>
                <w:sz w:val="20"/>
                <w:szCs w:val="20"/>
                <w:color w:val="auto"/>
              </w:rPr>
            </w:pPr>
            <w:r>
              <w:rPr>
                <w:rFonts w:ascii="Arial" w:cs="Arial" w:eastAsia="Arial" w:hAnsi="Arial"/>
                <w:sz w:val="10"/>
                <w:szCs w:val="10"/>
                <w:b w:val="1"/>
                <w:bCs w:val="1"/>
                <w:color w:val="auto"/>
                <w:w w:val="93"/>
              </w:rPr>
              <w:t>2021</w:t>
            </w:r>
            <w:r>
              <w:rPr>
                <w:rFonts w:ascii="Arial" w:cs="Arial" w:eastAsia="Arial" w:hAnsi="Arial"/>
                <w:sz w:val="8"/>
                <w:szCs w:val="8"/>
                <w:b w:val="1"/>
                <w:bCs w:val="1"/>
                <w:color w:val="auto"/>
                <w:w w:val="93"/>
              </w:rPr>
              <w:t>(a)</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jc w:val="right"/>
              <w:ind w:right="64"/>
              <w:spacing w:after="0" w:line="114" w:lineRule="exact"/>
              <w:rPr>
                <w:sz w:val="20"/>
                <w:szCs w:val="20"/>
                <w:color w:val="auto"/>
              </w:rPr>
            </w:pPr>
            <w:r>
              <w:rPr>
                <w:rFonts w:ascii="Arial" w:cs="Arial" w:eastAsia="Arial" w:hAnsi="Arial"/>
                <w:sz w:val="10"/>
                <w:szCs w:val="10"/>
                <w:b w:val="1"/>
                <w:bCs w:val="1"/>
                <w:color w:val="auto"/>
              </w:rPr>
              <w:t>2020</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ind w:right="144"/>
              <w:spacing w:after="0" w:line="114"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6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North America</w:t>
            </w: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722.8</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gridSpan w:val="5"/>
            <w:shd w:val="clear" w:color="auto" w:fill="CCEEFF"/>
          </w:tcPr>
          <w:p>
            <w:pPr>
              <w:jc w:val="right"/>
              <w:spacing w:after="0" w:line="133" w:lineRule="exact"/>
              <w:rPr>
                <w:sz w:val="20"/>
                <w:szCs w:val="20"/>
                <w:color w:val="auto"/>
              </w:rPr>
            </w:pPr>
            <w:r>
              <w:rPr>
                <w:rFonts w:ascii="Arial" w:cs="Arial" w:eastAsia="Arial" w:hAnsi="Arial"/>
                <w:sz w:val="12"/>
                <w:szCs w:val="12"/>
                <w:color w:val="auto"/>
              </w:rPr>
              <w:t>686.1</w:t>
            </w: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left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500" w:type="dxa"/>
            <w:vAlign w:val="bottom"/>
            <w:tcBorders>
              <w:top w:val="single" w:sz="8" w:color="auto"/>
            </w:tcBorders>
            <w:gridSpan w:val="3"/>
            <w:shd w:val="clear" w:color="auto" w:fill="CCEEFF"/>
          </w:tcPr>
          <w:p>
            <w:pPr>
              <w:jc w:val="right"/>
              <w:spacing w:after="0" w:line="133" w:lineRule="exact"/>
              <w:rPr>
                <w:sz w:val="20"/>
                <w:szCs w:val="20"/>
                <w:color w:val="auto"/>
              </w:rPr>
            </w:pPr>
            <w:r>
              <w:rPr>
                <w:rFonts w:ascii="Arial" w:cs="Arial" w:eastAsia="Arial" w:hAnsi="Arial"/>
                <w:sz w:val="12"/>
                <w:szCs w:val="12"/>
                <w:color w:val="auto"/>
              </w:rPr>
              <w:t>679.1</w:t>
            </w: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gridSpan w:val="3"/>
            <w:shd w:val="clear" w:color="auto" w:fill="CCEEFF"/>
          </w:tcPr>
          <w:p>
            <w:pPr>
              <w:jc w:val="right"/>
              <w:spacing w:after="0" w:line="133" w:lineRule="exact"/>
              <w:rPr>
                <w:sz w:val="20"/>
                <w:szCs w:val="20"/>
                <w:color w:val="auto"/>
              </w:rPr>
            </w:pPr>
            <w:r>
              <w:rPr>
                <w:rFonts w:ascii="Arial" w:cs="Arial" w:eastAsia="Arial" w:hAnsi="Arial"/>
                <w:sz w:val="12"/>
                <w:szCs w:val="12"/>
                <w:color w:val="auto"/>
              </w:rPr>
              <w:t>703.4</w:t>
            </w: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681.6</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640" w:type="dxa"/>
            <w:vAlign w:val="bottom"/>
          </w:tcPr>
          <w:p>
            <w:pPr>
              <w:spacing w:after="0"/>
              <w:rPr>
                <w:sz w:val="20"/>
                <w:szCs w:val="20"/>
                <w:color w:val="auto"/>
              </w:rPr>
            </w:pPr>
            <w:r>
              <w:rPr>
                <w:rFonts w:ascii="Arial" w:cs="Arial" w:eastAsia="Arial" w:hAnsi="Arial"/>
                <w:sz w:val="12"/>
                <w:szCs w:val="12"/>
                <w:color w:val="auto"/>
              </w:rPr>
              <w:t>Europe</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146.8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6"/>
          </w:tcPr>
          <w:p>
            <w:pPr>
              <w:jc w:val="right"/>
              <w:ind w:right="20"/>
              <w:spacing w:after="0"/>
              <w:rPr>
                <w:sz w:val="20"/>
                <w:szCs w:val="20"/>
                <w:color w:val="auto"/>
              </w:rPr>
            </w:pPr>
            <w:r>
              <w:rPr>
                <w:rFonts w:ascii="Arial" w:cs="Arial" w:eastAsia="Arial" w:hAnsi="Arial"/>
                <w:sz w:val="12"/>
                <w:szCs w:val="12"/>
                <w:color w:val="auto"/>
              </w:rPr>
              <w:t>155.7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4"/>
          </w:tcPr>
          <w:p>
            <w:pPr>
              <w:jc w:val="right"/>
              <w:ind w:right="100"/>
              <w:spacing w:after="0"/>
              <w:rPr>
                <w:sz w:val="20"/>
                <w:szCs w:val="20"/>
                <w:color w:val="auto"/>
              </w:rPr>
            </w:pPr>
            <w:r>
              <w:rPr>
                <w:rFonts w:ascii="Arial" w:cs="Arial" w:eastAsia="Arial" w:hAnsi="Arial"/>
                <w:sz w:val="12"/>
                <w:szCs w:val="12"/>
                <w:color w:val="auto"/>
              </w:rPr>
              <w:t>148.8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4"/>
          </w:tcPr>
          <w:p>
            <w:pPr>
              <w:jc w:val="right"/>
              <w:ind w:right="180"/>
              <w:spacing w:after="0"/>
              <w:rPr>
                <w:sz w:val="20"/>
                <w:szCs w:val="20"/>
                <w:color w:val="auto"/>
              </w:rPr>
            </w:pPr>
            <w:r>
              <w:rPr>
                <w:rFonts w:ascii="Arial" w:cs="Arial" w:eastAsia="Arial" w:hAnsi="Arial"/>
                <w:sz w:val="12"/>
                <w:szCs w:val="12"/>
                <w:color w:val="auto"/>
              </w:rPr>
              <w:t>171.6</w:t>
            </w:r>
          </w:p>
        </w:tc>
        <w:tc>
          <w:tcPr>
            <w:tcW w:w="12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165.3</w:t>
            </w:r>
          </w:p>
        </w:tc>
        <w:tc>
          <w:tcPr>
            <w:tcW w:w="0" w:type="dxa"/>
            <w:vAlign w:val="bottom"/>
          </w:tcPr>
          <w:p>
            <w:pPr>
              <w:spacing w:after="0"/>
              <w:rPr>
                <w:sz w:val="1"/>
                <w:szCs w:val="1"/>
                <w:color w:val="auto"/>
              </w:rPr>
            </w:pPr>
          </w:p>
        </w:tc>
      </w:tr>
      <w:tr>
        <w:trPr>
          <w:trHeight w:val="144"/>
        </w:trPr>
        <w:tc>
          <w:tcPr>
            <w:tcW w:w="3640" w:type="dxa"/>
            <w:vAlign w:val="bottom"/>
            <w:shd w:val="clear" w:color="auto" w:fill="CCEEFF"/>
          </w:tcPr>
          <w:p>
            <w:pPr>
              <w:spacing w:after="0"/>
              <w:rPr>
                <w:sz w:val="20"/>
                <w:szCs w:val="20"/>
                <w:color w:val="auto"/>
              </w:rPr>
            </w:pPr>
            <w:r>
              <w:rPr>
                <w:rFonts w:ascii="Arial" w:cs="Arial" w:eastAsia="Arial" w:hAnsi="Arial"/>
                <w:sz w:val="12"/>
                <w:szCs w:val="12"/>
                <w:color w:val="auto"/>
              </w:rPr>
              <w:t>Rest of the World</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217.7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6"/>
            <w:shd w:val="clear" w:color="auto" w:fill="CCEEFF"/>
          </w:tcPr>
          <w:p>
            <w:pPr>
              <w:jc w:val="right"/>
              <w:ind w:right="20"/>
              <w:spacing w:after="0"/>
              <w:rPr>
                <w:sz w:val="20"/>
                <w:szCs w:val="20"/>
                <w:color w:val="auto"/>
              </w:rPr>
            </w:pPr>
            <w:r>
              <w:rPr>
                <w:rFonts w:ascii="Arial" w:cs="Arial" w:eastAsia="Arial" w:hAnsi="Arial"/>
                <w:sz w:val="12"/>
                <w:szCs w:val="12"/>
                <w:color w:val="auto"/>
              </w:rPr>
              <w:t>224.5</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620" w:type="dxa"/>
            <w:vAlign w:val="bottom"/>
            <w:gridSpan w:val="4"/>
            <w:shd w:val="clear" w:color="auto" w:fill="CCEEFF"/>
          </w:tcPr>
          <w:p>
            <w:pPr>
              <w:jc w:val="right"/>
              <w:ind w:right="100"/>
              <w:spacing w:after="0"/>
              <w:rPr>
                <w:sz w:val="20"/>
                <w:szCs w:val="20"/>
                <w:color w:val="auto"/>
              </w:rPr>
            </w:pPr>
            <w:r>
              <w:rPr>
                <w:rFonts w:ascii="Arial" w:cs="Arial" w:eastAsia="Arial" w:hAnsi="Arial"/>
                <w:sz w:val="12"/>
                <w:szCs w:val="12"/>
                <w:color w:val="auto"/>
              </w:rPr>
              <w:t>220.8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tcBorders>
              <w:right w:val="single" w:sz="8" w:color="CCEEFF"/>
            </w:tcBorders>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211.3</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206.0</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2"/>
                <w:szCs w:val="12"/>
                <w:color w:val="auto"/>
              </w:rPr>
              <w:t>Total Revenue</w:t>
            </w: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640" w:type="dxa"/>
            <w:vAlign w:val="bottom"/>
            <w:vMerge w:val="continue"/>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1,087.3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6"/>
          </w:tcPr>
          <w:p>
            <w:pPr>
              <w:jc w:val="right"/>
              <w:ind w:right="20"/>
              <w:spacing w:after="0"/>
              <w:rPr>
                <w:sz w:val="20"/>
                <w:szCs w:val="20"/>
                <w:color w:val="auto"/>
              </w:rPr>
            </w:pPr>
            <w:r>
              <w:rPr>
                <w:rFonts w:ascii="Arial" w:cs="Arial" w:eastAsia="Arial" w:hAnsi="Arial"/>
                <w:sz w:val="12"/>
                <w:szCs w:val="12"/>
                <w:color w:val="auto"/>
              </w:rPr>
              <w:t>1,066.3</w:t>
            </w:r>
          </w:p>
        </w:tc>
        <w:tc>
          <w:tcPr>
            <w:tcW w:w="240" w:type="dxa"/>
            <w:vAlign w:val="bottom"/>
            <w:gridSpan w:val="2"/>
          </w:tcPr>
          <w:p>
            <w:pPr>
              <w:ind w:left="140"/>
              <w:spacing w:after="0"/>
              <w:rPr>
                <w:sz w:val="20"/>
                <w:szCs w:val="20"/>
                <w:color w:val="auto"/>
              </w:rPr>
            </w:pPr>
            <w:r>
              <w:rPr>
                <w:rFonts w:ascii="Arial" w:cs="Arial" w:eastAsia="Arial" w:hAnsi="Arial"/>
                <w:sz w:val="12"/>
                <w:szCs w:val="12"/>
                <w:color w:val="auto"/>
              </w:rPr>
              <w:t>$</w:t>
            </w:r>
          </w:p>
        </w:tc>
        <w:tc>
          <w:tcPr>
            <w:tcW w:w="620" w:type="dxa"/>
            <w:vAlign w:val="bottom"/>
            <w:gridSpan w:val="4"/>
          </w:tcPr>
          <w:p>
            <w:pPr>
              <w:jc w:val="right"/>
              <w:ind w:right="100"/>
              <w:spacing w:after="0"/>
              <w:rPr>
                <w:sz w:val="20"/>
                <w:szCs w:val="20"/>
                <w:color w:val="auto"/>
              </w:rPr>
            </w:pPr>
            <w:r>
              <w:rPr>
                <w:rFonts w:ascii="Arial" w:cs="Arial" w:eastAsia="Arial" w:hAnsi="Arial"/>
                <w:sz w:val="12"/>
                <w:szCs w:val="12"/>
                <w:color w:val="auto"/>
              </w:rPr>
              <w:t>1,048.7</w:t>
            </w:r>
          </w:p>
        </w:tc>
        <w:tc>
          <w:tcPr>
            <w:tcW w:w="12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720" w:type="dxa"/>
            <w:vAlign w:val="bottom"/>
            <w:gridSpan w:val="4"/>
          </w:tcPr>
          <w:p>
            <w:pPr>
              <w:jc w:val="right"/>
              <w:ind w:right="180"/>
              <w:spacing w:after="0"/>
              <w:rPr>
                <w:sz w:val="20"/>
                <w:szCs w:val="20"/>
                <w:color w:val="auto"/>
              </w:rPr>
            </w:pPr>
            <w:r>
              <w:rPr>
                <w:rFonts w:ascii="Arial" w:cs="Arial" w:eastAsia="Arial" w:hAnsi="Arial"/>
                <w:sz w:val="12"/>
                <w:szCs w:val="12"/>
                <w:color w:val="auto"/>
              </w:rPr>
              <w:t>1,086.3</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1,052.9</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20" w:type="dxa"/>
            <w:vAlign w:val="bottom"/>
            <w:tcBorders>
              <w:left w:val="single" w:sz="8" w:color="auto"/>
            </w:tcBorders>
            <w:gridSpan w:val="2"/>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gridSpan w:val="9"/>
          </w:tcPr>
          <w:p>
            <w:pPr>
              <w:jc w:val="right"/>
              <w:ind w:right="35"/>
              <w:spacing w:after="0"/>
              <w:rPr>
                <w:sz w:val="20"/>
                <w:szCs w:val="20"/>
                <w:color w:val="auto"/>
              </w:rPr>
            </w:pPr>
            <w:r>
              <w:rPr>
                <w:rFonts w:ascii="Arial" w:cs="Arial" w:eastAsia="Arial" w:hAnsi="Arial"/>
                <w:sz w:val="10"/>
                <w:szCs w:val="10"/>
                <w:b w:val="1"/>
                <w:bCs w:val="1"/>
                <w:color w:val="auto"/>
                <w:w w:val="89"/>
              </w:rPr>
              <w:t>Three months ended</w:t>
            </w:r>
          </w:p>
        </w:tc>
        <w:tc>
          <w:tcPr>
            <w:tcW w:w="4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
        </w:trPr>
        <w:tc>
          <w:tcPr>
            <w:tcW w:w="3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6"/>
          </w:tcPr>
          <w:p>
            <w:pPr>
              <w:spacing w:after="0" w:line="74" w:lineRule="exact"/>
              <w:rPr>
                <w:sz w:val="20"/>
                <w:szCs w:val="20"/>
                <w:color w:val="auto"/>
              </w:rPr>
            </w:pPr>
            <w:r>
              <w:rPr>
                <w:rFonts w:ascii="Arial" w:cs="Arial" w:eastAsia="Arial" w:hAnsi="Arial"/>
                <w:sz w:val="8"/>
                <w:szCs w:val="8"/>
                <w:b w:val="1"/>
                <w:bCs w:val="1"/>
                <w:color w:val="auto"/>
              </w:rPr>
              <w:t>September 30,</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gridSpan w:val="5"/>
          </w:tcPr>
          <w:p>
            <w:pPr>
              <w:spacing w:after="0" w:line="74" w:lineRule="exact"/>
              <w:rPr>
                <w:sz w:val="20"/>
                <w:szCs w:val="20"/>
                <w:color w:val="auto"/>
              </w:rPr>
            </w:pPr>
            <w:r>
              <w:rPr>
                <w:rFonts w:ascii="Arial" w:cs="Arial" w:eastAsia="Arial" w:hAnsi="Arial"/>
                <w:sz w:val="8"/>
                <w:szCs w:val="8"/>
                <w:b w:val="1"/>
                <w:bCs w:val="1"/>
                <w:color w:val="auto"/>
              </w:rPr>
              <w:t>June 30,</w:t>
            </w:r>
          </w:p>
        </w:tc>
        <w:tc>
          <w:tcPr>
            <w:tcW w:w="160" w:type="dxa"/>
            <w:vAlign w:val="bottom"/>
          </w:tcPr>
          <w:p>
            <w:pPr>
              <w:spacing w:after="0"/>
              <w:rPr>
                <w:sz w:val="6"/>
                <w:szCs w:val="6"/>
                <w:color w:val="auto"/>
              </w:rPr>
            </w:pPr>
          </w:p>
        </w:tc>
        <w:tc>
          <w:tcPr>
            <w:tcW w:w="700" w:type="dxa"/>
            <w:vAlign w:val="bottom"/>
            <w:gridSpan w:val="5"/>
          </w:tcPr>
          <w:p>
            <w:pPr>
              <w:spacing w:after="0" w:line="74" w:lineRule="exact"/>
              <w:rPr>
                <w:sz w:val="20"/>
                <w:szCs w:val="20"/>
                <w:color w:val="auto"/>
              </w:rPr>
            </w:pPr>
            <w:r>
              <w:rPr>
                <w:rFonts w:ascii="Arial" w:cs="Arial" w:eastAsia="Arial" w:hAnsi="Arial"/>
                <w:sz w:val="8"/>
                <w:szCs w:val="8"/>
                <w:b w:val="1"/>
                <w:bCs w:val="1"/>
                <w:color w:val="auto"/>
              </w:rPr>
              <w:t>March 31,</w:t>
            </w:r>
          </w:p>
        </w:tc>
        <w:tc>
          <w:tcPr>
            <w:tcW w:w="840" w:type="dxa"/>
            <w:vAlign w:val="bottom"/>
            <w:gridSpan w:val="7"/>
          </w:tcPr>
          <w:p>
            <w:pPr>
              <w:spacing w:after="0" w:line="74" w:lineRule="exact"/>
              <w:rPr>
                <w:sz w:val="20"/>
                <w:szCs w:val="20"/>
                <w:color w:val="auto"/>
              </w:rPr>
            </w:pPr>
            <w:r>
              <w:rPr>
                <w:rFonts w:ascii="Arial" w:cs="Arial" w:eastAsia="Arial" w:hAnsi="Arial"/>
                <w:sz w:val="8"/>
                <w:szCs w:val="8"/>
                <w:b w:val="1"/>
                <w:bCs w:val="1"/>
                <w:color w:val="auto"/>
              </w:rPr>
              <w:t>December 31,</w:t>
            </w:r>
          </w:p>
        </w:tc>
        <w:tc>
          <w:tcPr>
            <w:tcW w:w="580" w:type="dxa"/>
            <w:vAlign w:val="bottom"/>
            <w:gridSpan w:val="2"/>
          </w:tcPr>
          <w:p>
            <w:pPr>
              <w:spacing w:after="0" w:line="74" w:lineRule="exact"/>
              <w:rPr>
                <w:sz w:val="20"/>
                <w:szCs w:val="20"/>
                <w:color w:val="auto"/>
              </w:rPr>
            </w:pPr>
            <w:r>
              <w:rPr>
                <w:rFonts w:ascii="Arial" w:cs="Arial" w:eastAsia="Arial" w:hAnsi="Arial"/>
                <w:sz w:val="8"/>
                <w:szCs w:val="8"/>
                <w:b w:val="1"/>
                <w:bCs w:val="1"/>
                <w:color w:val="auto"/>
              </w:rPr>
              <w:t>September 30,</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3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jc w:val="right"/>
              <w:ind w:right="104"/>
              <w:spacing w:after="0" w:line="114" w:lineRule="exact"/>
              <w:rPr>
                <w:sz w:val="20"/>
                <w:szCs w:val="20"/>
                <w:color w:val="auto"/>
              </w:rPr>
            </w:pPr>
            <w:r>
              <w:rPr>
                <w:rFonts w:ascii="Arial" w:cs="Arial" w:eastAsia="Arial" w:hAnsi="Arial"/>
                <w:sz w:val="10"/>
                <w:szCs w:val="10"/>
                <w:b w:val="1"/>
                <w:bCs w:val="1"/>
                <w:color w:val="auto"/>
              </w:rPr>
              <w:t>2021</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gridSpan w:val="3"/>
          </w:tcPr>
          <w:p>
            <w:pPr>
              <w:jc w:val="right"/>
              <w:ind w:right="30"/>
              <w:spacing w:after="0" w:line="114" w:lineRule="exact"/>
              <w:rPr>
                <w:sz w:val="20"/>
                <w:szCs w:val="20"/>
                <w:color w:val="auto"/>
              </w:rPr>
            </w:pPr>
            <w:r>
              <w:rPr>
                <w:rFonts w:ascii="Arial" w:cs="Arial" w:eastAsia="Arial" w:hAnsi="Arial"/>
                <w:sz w:val="10"/>
                <w:szCs w:val="10"/>
                <w:b w:val="1"/>
                <w:bCs w:val="1"/>
                <w:color w:val="auto"/>
              </w:rPr>
              <w:t>2021</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jc w:val="right"/>
              <w:ind w:right="66"/>
              <w:spacing w:after="0" w:line="114" w:lineRule="exact"/>
              <w:rPr>
                <w:sz w:val="20"/>
                <w:szCs w:val="20"/>
                <w:color w:val="auto"/>
              </w:rPr>
            </w:pPr>
            <w:r>
              <w:rPr>
                <w:rFonts w:ascii="Arial" w:cs="Arial" w:eastAsia="Arial" w:hAnsi="Arial"/>
                <w:sz w:val="10"/>
                <w:szCs w:val="10"/>
                <w:b w:val="1"/>
                <w:bCs w:val="1"/>
                <w:color w:val="auto"/>
                <w:w w:val="89"/>
              </w:rPr>
              <w:t>2021</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jc w:val="right"/>
              <w:ind w:right="124"/>
              <w:spacing w:after="0" w:line="114" w:lineRule="exact"/>
              <w:rPr>
                <w:sz w:val="20"/>
                <w:szCs w:val="20"/>
                <w:color w:val="auto"/>
              </w:rPr>
            </w:pPr>
            <w:r>
              <w:rPr>
                <w:rFonts w:ascii="Arial" w:cs="Arial" w:eastAsia="Arial" w:hAnsi="Arial"/>
                <w:sz w:val="10"/>
                <w:szCs w:val="10"/>
                <w:b w:val="1"/>
                <w:bCs w:val="1"/>
                <w:color w:val="auto"/>
              </w:rPr>
              <w:t>2020</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ind w:right="144"/>
              <w:spacing w:after="0" w:line="114"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6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Managed Services Revenue</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480" w:type="dxa"/>
            <w:vAlign w:val="bottom"/>
            <w:tcBorders>
              <w:top w:val="single" w:sz="8" w:color="auto"/>
              <w:bottom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637.5</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gridSpan w:val="2"/>
            <w:shd w:val="clear" w:color="auto" w:fill="CCEEFF"/>
          </w:tcPr>
          <w:p>
            <w:pPr>
              <w:jc w:val="center"/>
              <w:spacing w:after="0" w:line="133" w:lineRule="exact"/>
              <w:rPr>
                <w:sz w:val="20"/>
                <w:szCs w:val="20"/>
                <w:color w:val="auto"/>
              </w:rPr>
            </w:pPr>
            <w:r>
              <w:rPr>
                <w:rFonts w:ascii="Arial" w:cs="Arial" w:eastAsia="Arial" w:hAnsi="Arial"/>
                <w:sz w:val="12"/>
                <w:szCs w:val="12"/>
                <w:u w:val="single" w:color="auto"/>
                <w:color w:val="auto"/>
                <w:w w:val="79"/>
              </w:rPr>
              <w:t>$</w:t>
            </w:r>
            <w:r>
              <w:rPr>
                <w:rFonts w:ascii="Arial" w:cs="Arial" w:eastAsia="Arial" w:hAnsi="Arial"/>
                <w:sz w:val="12"/>
                <w:szCs w:val="12"/>
                <w:color w:val="auto"/>
                <w:w w:val="79"/>
              </w:rPr>
              <w:t xml:space="preserve"> 650.5</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left w:val="single" w:sz="8" w:color="CCEEFF"/>
              <w:bottom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340" w:type="dxa"/>
            <w:vAlign w:val="bottom"/>
            <w:tcBorders>
              <w:top w:val="single" w:sz="8" w:color="auto"/>
              <w:bottom w:val="single" w:sz="8" w:color="auto"/>
            </w:tcBorders>
            <w:shd w:val="clear" w:color="auto" w:fill="CCEEFF"/>
          </w:tcPr>
          <w:p>
            <w:pPr>
              <w:jc w:val="center"/>
              <w:ind w:left="6"/>
              <w:spacing w:after="0" w:line="133" w:lineRule="exact"/>
              <w:rPr>
                <w:sz w:val="20"/>
                <w:szCs w:val="20"/>
                <w:color w:val="auto"/>
              </w:rPr>
            </w:pPr>
            <w:r>
              <w:rPr>
                <w:rFonts w:ascii="Arial" w:cs="Arial" w:eastAsia="Arial" w:hAnsi="Arial"/>
                <w:sz w:val="12"/>
                <w:szCs w:val="12"/>
                <w:color w:val="auto"/>
                <w:w w:val="93"/>
              </w:rPr>
              <w:t>634.6</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gridSpan w:val="3"/>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623.7</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4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610.5</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9"/>
        </w:trPr>
        <w:tc>
          <w:tcPr>
            <w:tcW w:w="3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0"/>
                <w:szCs w:val="10"/>
                <w:b w:val="1"/>
                <w:bCs w:val="1"/>
                <w:color w:val="auto"/>
              </w:rPr>
              <w:t>As of</w:t>
            </w: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4"/>
        </w:trPr>
        <w:tc>
          <w:tcPr>
            <w:tcW w:w="36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gridSpan w:val="5"/>
          </w:tcPr>
          <w:p>
            <w:pPr>
              <w:spacing w:after="0" w:line="74" w:lineRule="exact"/>
              <w:rPr>
                <w:sz w:val="20"/>
                <w:szCs w:val="20"/>
                <w:color w:val="auto"/>
              </w:rPr>
            </w:pPr>
            <w:r>
              <w:rPr>
                <w:rFonts w:ascii="Arial" w:cs="Arial" w:eastAsia="Arial" w:hAnsi="Arial"/>
                <w:sz w:val="8"/>
                <w:szCs w:val="8"/>
                <w:b w:val="1"/>
                <w:bCs w:val="1"/>
                <w:color w:val="auto"/>
              </w:rPr>
              <w:t>September 30,</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gridSpan w:val="4"/>
          </w:tcPr>
          <w:p>
            <w:pPr>
              <w:jc w:val="center"/>
              <w:ind w:right="100"/>
              <w:spacing w:after="0" w:line="74" w:lineRule="exact"/>
              <w:rPr>
                <w:sz w:val="20"/>
                <w:szCs w:val="20"/>
                <w:color w:val="auto"/>
              </w:rPr>
            </w:pPr>
            <w:r>
              <w:rPr>
                <w:rFonts w:ascii="Arial" w:cs="Arial" w:eastAsia="Arial" w:hAnsi="Arial"/>
                <w:sz w:val="8"/>
                <w:szCs w:val="8"/>
                <w:b w:val="1"/>
                <w:bCs w:val="1"/>
                <w:color w:val="auto"/>
              </w:rPr>
              <w:t>June 30,</w:t>
            </w:r>
          </w:p>
        </w:tc>
        <w:tc>
          <w:tcPr>
            <w:tcW w:w="160" w:type="dxa"/>
            <w:vAlign w:val="bottom"/>
          </w:tcPr>
          <w:p>
            <w:pPr>
              <w:spacing w:after="0"/>
              <w:rPr>
                <w:sz w:val="6"/>
                <w:szCs w:val="6"/>
                <w:color w:val="auto"/>
              </w:rPr>
            </w:pPr>
          </w:p>
        </w:tc>
        <w:tc>
          <w:tcPr>
            <w:tcW w:w="700" w:type="dxa"/>
            <w:vAlign w:val="bottom"/>
            <w:gridSpan w:val="5"/>
          </w:tcPr>
          <w:p>
            <w:pPr>
              <w:jc w:val="right"/>
              <w:ind w:right="260"/>
              <w:spacing w:after="0" w:line="74" w:lineRule="exact"/>
              <w:rPr>
                <w:sz w:val="20"/>
                <w:szCs w:val="20"/>
                <w:color w:val="auto"/>
              </w:rPr>
            </w:pPr>
            <w:r>
              <w:rPr>
                <w:rFonts w:ascii="Arial" w:cs="Arial" w:eastAsia="Arial" w:hAnsi="Arial"/>
                <w:sz w:val="8"/>
                <w:szCs w:val="8"/>
                <w:b w:val="1"/>
                <w:bCs w:val="1"/>
                <w:color w:val="auto"/>
              </w:rPr>
              <w:t>March 31,</w:t>
            </w:r>
          </w:p>
        </w:tc>
        <w:tc>
          <w:tcPr>
            <w:tcW w:w="20" w:type="dxa"/>
            <w:vAlign w:val="bottom"/>
          </w:tcPr>
          <w:p>
            <w:pPr>
              <w:spacing w:after="0"/>
              <w:rPr>
                <w:sz w:val="6"/>
                <w:szCs w:val="6"/>
                <w:color w:val="auto"/>
              </w:rPr>
            </w:pPr>
          </w:p>
        </w:tc>
        <w:tc>
          <w:tcPr>
            <w:tcW w:w="820" w:type="dxa"/>
            <w:vAlign w:val="bottom"/>
            <w:gridSpan w:val="6"/>
          </w:tcPr>
          <w:p>
            <w:pPr>
              <w:spacing w:after="0" w:line="74" w:lineRule="exact"/>
              <w:rPr>
                <w:sz w:val="20"/>
                <w:szCs w:val="20"/>
                <w:color w:val="auto"/>
              </w:rPr>
            </w:pPr>
            <w:r>
              <w:rPr>
                <w:rFonts w:ascii="Arial" w:cs="Arial" w:eastAsia="Arial" w:hAnsi="Arial"/>
                <w:sz w:val="8"/>
                <w:szCs w:val="8"/>
                <w:b w:val="1"/>
                <w:bCs w:val="1"/>
                <w:color w:val="auto"/>
              </w:rPr>
              <w:t>December 31,</w:t>
            </w:r>
          </w:p>
        </w:tc>
        <w:tc>
          <w:tcPr>
            <w:tcW w:w="580" w:type="dxa"/>
            <w:vAlign w:val="bottom"/>
            <w:gridSpan w:val="2"/>
          </w:tcPr>
          <w:p>
            <w:pPr>
              <w:spacing w:after="0" w:line="74" w:lineRule="exact"/>
              <w:rPr>
                <w:sz w:val="20"/>
                <w:szCs w:val="20"/>
                <w:color w:val="auto"/>
              </w:rPr>
            </w:pPr>
            <w:r>
              <w:rPr>
                <w:rFonts w:ascii="Arial" w:cs="Arial" w:eastAsia="Arial" w:hAnsi="Arial"/>
                <w:sz w:val="8"/>
                <w:szCs w:val="8"/>
                <w:b w:val="1"/>
                <w:bCs w:val="1"/>
                <w:color w:val="auto"/>
              </w:rPr>
              <w:t>September 30,</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3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4"/>
          </w:tcPr>
          <w:p>
            <w:pPr>
              <w:ind w:left="80"/>
              <w:spacing w:after="0" w:line="114" w:lineRule="exact"/>
              <w:rPr>
                <w:sz w:val="20"/>
                <w:szCs w:val="20"/>
                <w:color w:val="auto"/>
              </w:rPr>
            </w:pPr>
            <w:r>
              <w:rPr>
                <w:rFonts w:ascii="Arial" w:cs="Arial" w:eastAsia="Arial" w:hAnsi="Arial"/>
                <w:sz w:val="10"/>
                <w:szCs w:val="10"/>
                <w:b w:val="1"/>
                <w:bCs w:val="1"/>
                <w:color w:val="auto"/>
              </w:rPr>
              <w:t>2021</w:t>
            </w:r>
            <w:r>
              <w:rPr>
                <w:rFonts w:ascii="Arial" w:cs="Arial" w:eastAsia="Arial" w:hAnsi="Arial"/>
                <w:sz w:val="8"/>
                <w:szCs w:val="8"/>
                <w:b w:val="1"/>
                <w:bCs w:val="1"/>
                <w:color w:val="auto"/>
              </w:rPr>
              <w:t>(d)</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gridSpan w:val="4"/>
          </w:tcPr>
          <w:p>
            <w:pPr>
              <w:jc w:val="center"/>
              <w:ind w:right="100"/>
              <w:spacing w:after="0" w:line="114" w:lineRule="exact"/>
              <w:rPr>
                <w:sz w:val="20"/>
                <w:szCs w:val="20"/>
                <w:color w:val="auto"/>
              </w:rPr>
            </w:pPr>
            <w:r>
              <w:rPr>
                <w:rFonts w:ascii="Arial" w:cs="Arial" w:eastAsia="Arial" w:hAnsi="Arial"/>
                <w:sz w:val="10"/>
                <w:szCs w:val="10"/>
                <w:b w:val="1"/>
                <w:bCs w:val="1"/>
                <w:color w:val="auto"/>
                <w:w w:val="92"/>
              </w:rPr>
              <w:t>2021</w:t>
            </w:r>
            <w:r>
              <w:rPr>
                <w:rFonts w:ascii="Arial" w:cs="Arial" w:eastAsia="Arial" w:hAnsi="Arial"/>
                <w:sz w:val="8"/>
                <w:szCs w:val="8"/>
                <w:b w:val="1"/>
                <w:bCs w:val="1"/>
                <w:color w:val="auto"/>
                <w:w w:val="92"/>
              </w:rPr>
              <w:t>(d)</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4"/>
          </w:tcPr>
          <w:p>
            <w:pPr>
              <w:jc w:val="right"/>
              <w:ind w:right="320"/>
              <w:spacing w:after="0" w:line="114" w:lineRule="exact"/>
              <w:rPr>
                <w:sz w:val="20"/>
                <w:szCs w:val="20"/>
                <w:color w:val="auto"/>
              </w:rPr>
            </w:pPr>
            <w:r>
              <w:rPr>
                <w:rFonts w:ascii="Arial" w:cs="Arial" w:eastAsia="Arial" w:hAnsi="Arial"/>
                <w:sz w:val="10"/>
                <w:szCs w:val="10"/>
                <w:b w:val="1"/>
                <w:bCs w:val="1"/>
                <w:color w:val="auto"/>
                <w:w w:val="86"/>
              </w:rPr>
              <w:t>2021</w:t>
            </w:r>
            <w:r>
              <w:rPr>
                <w:rFonts w:ascii="Arial" w:cs="Arial" w:eastAsia="Arial" w:hAnsi="Arial"/>
                <w:sz w:val="8"/>
                <w:szCs w:val="8"/>
                <w:b w:val="1"/>
                <w:bCs w:val="1"/>
                <w:color w:val="auto"/>
                <w:w w:val="86"/>
              </w:rPr>
              <w:t>(d)</w:t>
            </w: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4"/>
          </w:tcPr>
          <w:p>
            <w:pPr>
              <w:ind w:left="20"/>
              <w:spacing w:after="0" w:line="114" w:lineRule="exact"/>
              <w:rPr>
                <w:sz w:val="20"/>
                <w:szCs w:val="20"/>
                <w:color w:val="auto"/>
              </w:rPr>
            </w:pPr>
            <w:r>
              <w:rPr>
                <w:rFonts w:ascii="Arial" w:cs="Arial" w:eastAsia="Arial" w:hAnsi="Arial"/>
                <w:sz w:val="10"/>
                <w:szCs w:val="10"/>
                <w:b w:val="1"/>
                <w:bCs w:val="1"/>
                <w:color w:val="auto"/>
              </w:rPr>
              <w:t>2020</w:t>
            </w:r>
            <w:r>
              <w:rPr>
                <w:rFonts w:ascii="Arial" w:cs="Arial" w:eastAsia="Arial" w:hAnsi="Arial"/>
                <w:sz w:val="8"/>
                <w:szCs w:val="8"/>
                <w:b w:val="1"/>
                <w:bCs w:val="1"/>
                <w:color w:val="auto"/>
              </w:rPr>
              <w:t>(d)</w:t>
            </w:r>
          </w:p>
        </w:tc>
        <w:tc>
          <w:tcPr>
            <w:tcW w:w="120" w:type="dxa"/>
            <w:vAlign w:val="bottom"/>
          </w:tcPr>
          <w:p>
            <w:pPr>
              <w:spacing w:after="0"/>
              <w:rPr>
                <w:sz w:val="9"/>
                <w:szCs w:val="9"/>
                <w:color w:val="auto"/>
              </w:rPr>
            </w:pPr>
          </w:p>
        </w:tc>
        <w:tc>
          <w:tcPr>
            <w:tcW w:w="460" w:type="dxa"/>
            <w:vAlign w:val="bottom"/>
          </w:tcPr>
          <w:p>
            <w:pPr>
              <w:jc w:val="right"/>
              <w:ind w:right="144"/>
              <w:spacing w:after="0" w:line="114"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640" w:type="dxa"/>
            <w:vAlign w:val="bottom"/>
            <w:tcBorders>
              <w:top w:val="single" w:sz="8" w:color="CCEEFF"/>
            </w:tcBorders>
            <w:shd w:val="clear" w:color="auto" w:fill="CCEEFF"/>
          </w:tcPr>
          <w:p>
            <w:pPr>
              <w:ind w:left="240"/>
              <w:spacing w:after="0" w:line="133" w:lineRule="exact"/>
              <w:rPr>
                <w:sz w:val="20"/>
                <w:szCs w:val="20"/>
                <w:color w:val="auto"/>
              </w:rPr>
            </w:pPr>
            <w:r>
              <w:rPr>
                <w:rFonts w:ascii="Arial" w:cs="Arial" w:eastAsia="Arial" w:hAnsi="Arial"/>
                <w:sz w:val="12"/>
                <w:szCs w:val="12"/>
                <w:color w:val="auto"/>
              </w:rPr>
              <w:t>12-Month Backlog</w:t>
            </w:r>
          </w:p>
        </w:tc>
        <w:tc>
          <w:tcPr>
            <w:tcW w:w="8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bottom w:val="single" w:sz="8" w:color="auto"/>
            </w:tcBorders>
            <w:gridSpan w:val="3"/>
            <w:shd w:val="clear" w:color="auto" w:fill="CCEEFF"/>
          </w:tcPr>
          <w:p>
            <w:pPr>
              <w:jc w:val="right"/>
              <w:spacing w:after="0" w:line="133" w:lineRule="exact"/>
              <w:rPr>
                <w:sz w:val="20"/>
                <w:szCs w:val="20"/>
                <w:color w:val="auto"/>
              </w:rPr>
            </w:pPr>
            <w:r>
              <w:rPr>
                <w:rFonts w:ascii="Arial" w:cs="Arial" w:eastAsia="Arial" w:hAnsi="Arial"/>
                <w:sz w:val="12"/>
                <w:szCs w:val="12"/>
                <w:color w:val="auto"/>
              </w:rPr>
              <w:t>3,690</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gridSpan w:val="2"/>
            <w:shd w:val="clear" w:color="auto" w:fill="CCEEFF"/>
          </w:tcPr>
          <w:p>
            <w:pPr>
              <w:spacing w:after="0"/>
              <w:rPr>
                <w:sz w:val="11"/>
                <w:szCs w:val="11"/>
                <w:color w:val="auto"/>
              </w:rPr>
            </w:pPr>
          </w:p>
        </w:tc>
        <w:tc>
          <w:tcPr>
            <w:tcW w:w="340" w:type="dxa"/>
            <w:vAlign w:val="bottom"/>
            <w:tcBorders>
              <w:top w:val="single" w:sz="8" w:color="auto"/>
              <w:bottom w:val="single" w:sz="8" w:color="auto"/>
            </w:tcBorders>
            <w:gridSpan w:val="2"/>
            <w:shd w:val="clear" w:color="auto" w:fill="CCEEFF"/>
          </w:tcPr>
          <w:p>
            <w:pPr>
              <w:jc w:val="center"/>
              <w:spacing w:after="0" w:line="133" w:lineRule="exact"/>
              <w:rPr>
                <w:sz w:val="20"/>
                <w:szCs w:val="20"/>
                <w:color w:val="auto"/>
              </w:rPr>
            </w:pPr>
            <w:r>
              <w:rPr>
                <w:rFonts w:ascii="Arial" w:cs="Arial" w:eastAsia="Arial" w:hAnsi="Arial"/>
                <w:sz w:val="12"/>
                <w:szCs w:val="12"/>
                <w:u w:val="single" w:color="auto"/>
                <w:color w:val="auto"/>
                <w:w w:val="84"/>
              </w:rPr>
              <w:t>$</w:t>
            </w:r>
            <w:r>
              <w:rPr>
                <w:rFonts w:ascii="Arial" w:cs="Arial" w:eastAsia="Arial" w:hAnsi="Arial"/>
                <w:sz w:val="12"/>
                <w:szCs w:val="12"/>
                <w:color w:val="auto"/>
                <w:w w:val="84"/>
              </w:rPr>
              <w:t xml:space="preserve"> 3,590</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left w:val="single" w:sz="8" w:color="CCEEFF"/>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360" w:type="dxa"/>
            <w:vAlign w:val="bottom"/>
            <w:tcBorders>
              <w:top w:val="single" w:sz="8" w:color="auto"/>
              <w:bottom w:val="single" w:sz="8" w:color="auto"/>
            </w:tcBorders>
            <w:gridSpan w:val="2"/>
            <w:shd w:val="clear" w:color="auto" w:fill="CCEEFF"/>
          </w:tcPr>
          <w:p>
            <w:pPr>
              <w:jc w:val="center"/>
              <w:ind w:left="26"/>
              <w:spacing w:after="0" w:line="133" w:lineRule="exact"/>
              <w:rPr>
                <w:sz w:val="20"/>
                <w:szCs w:val="20"/>
                <w:color w:val="auto"/>
              </w:rPr>
            </w:pPr>
            <w:r>
              <w:rPr>
                <w:rFonts w:ascii="Arial" w:cs="Arial" w:eastAsia="Arial" w:hAnsi="Arial"/>
                <w:sz w:val="12"/>
                <w:szCs w:val="12"/>
                <w:color w:val="auto"/>
                <w:w w:val="93"/>
              </w:rPr>
              <w:t>3,540</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gridSpan w:val="2"/>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460" w:type="dxa"/>
            <w:vAlign w:val="bottom"/>
            <w:tcBorders>
              <w:top w:val="single" w:sz="8" w:color="auto"/>
              <w:bottom w:val="single" w:sz="8" w:color="auto"/>
            </w:tcBorders>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3,490</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4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3,620</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62865</wp:posOffset>
            </wp:positionV>
            <wp:extent cx="51435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106" w:lineRule="exact"/>
        <w:rPr>
          <w:sz w:val="20"/>
          <w:szCs w:val="20"/>
          <w:color w:val="auto"/>
        </w:rPr>
      </w:pPr>
    </w:p>
    <w:p>
      <w:pPr>
        <w:ind w:left="1120" w:hanging="288"/>
        <w:spacing w:after="0"/>
        <w:tabs>
          <w:tab w:leader="none" w:pos="11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Excludes OpenMarket, which we divested on December 31, 2020</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 # #</w:t>
      </w:r>
    </w:p>
    <w:p>
      <w:pPr>
        <w:sectPr>
          <w:pgSz w:w="11900" w:h="16838" w:orient="portrait"/>
          <w:cols w:equalWidth="0" w:num="1">
            <w:col w:w="9019"/>
          </w:cols>
          <w:pgMar w:left="1440" w:top="226" w:right="1440" w:bottom="1440"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lvl>
    <w:lvl w:ilvl="1">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2021-11-03T05:19:32Z</dcterms:created>
  <dcterms:modified xsi:type="dcterms:W3CDTF">2021-11-03T05:19:32Z</dcterms:modified>
</cp:coreProperties>
</file>